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76" w:type="dxa"/>
        <w:tblInd w:w="-318" w:type="dxa"/>
        <w:tblLayout w:type="fixed"/>
        <w:tblLook w:val="0000"/>
      </w:tblPr>
      <w:tblGrid>
        <w:gridCol w:w="4112"/>
        <w:gridCol w:w="5764"/>
      </w:tblGrid>
      <w:tr w:rsidR="00E716FF" w:rsidRPr="004E33BE" w:rsidTr="00E117FF">
        <w:tc>
          <w:tcPr>
            <w:tcW w:w="4112" w:type="dxa"/>
          </w:tcPr>
          <w:p w:rsidR="00E716FF" w:rsidRPr="004E33BE" w:rsidRDefault="00E716FF" w:rsidP="00E117FF">
            <w:pPr>
              <w:ind w:left="-558" w:right="-115" w:firstLine="360"/>
              <w:jc w:val="center"/>
              <w:rPr>
                <w:spacing w:val="-6"/>
              </w:rPr>
            </w:pPr>
            <w:r w:rsidRPr="004E33BE">
              <w:rPr>
                <w:spacing w:val="-6"/>
              </w:rPr>
              <w:t>MINISTRY OF PLANNING AND INVESTMENT</w:t>
            </w:r>
          </w:p>
          <w:p w:rsidR="00E716FF" w:rsidRPr="004E33BE" w:rsidRDefault="00E716FF" w:rsidP="00E117FF">
            <w:pPr>
              <w:ind w:right="-115"/>
              <w:jc w:val="center"/>
              <w:rPr>
                <w:b/>
                <w:bCs/>
                <w:spacing w:val="-6"/>
              </w:rPr>
            </w:pPr>
            <w:r w:rsidRPr="004E33BE">
              <w:rPr>
                <w:b/>
                <w:bCs/>
                <w:spacing w:val="-6"/>
              </w:rPr>
              <w:t>GENERAL STATISTICS OFFICE</w:t>
            </w:r>
          </w:p>
          <w:p w:rsidR="00E716FF" w:rsidRPr="004E33BE" w:rsidRDefault="00E716FF" w:rsidP="00E117FF">
            <w:pPr>
              <w:spacing w:before="120"/>
              <w:ind w:left="16" w:right="-18"/>
              <w:jc w:val="both"/>
            </w:pPr>
            <w:r w:rsidRPr="004E33BE">
              <w:rPr>
                <w:noProof/>
              </w:rPr>
              <w:pict>
                <v:line id="_x0000_s1029" style="position:absolute;left:0;text-align:left;z-index:251660288" from="39.2pt,1.65pt" to="115.7pt,1.65pt" strokeweight="1pt"/>
              </w:pict>
            </w:r>
            <w:r w:rsidRPr="004E33BE">
              <w:t xml:space="preserve">   No: 171/BC-TCTK</w:t>
            </w:r>
          </w:p>
        </w:tc>
        <w:tc>
          <w:tcPr>
            <w:tcW w:w="5764" w:type="dxa"/>
          </w:tcPr>
          <w:p w:rsidR="00E716FF" w:rsidRPr="004E33BE" w:rsidRDefault="00E716FF" w:rsidP="00E117FF">
            <w:pPr>
              <w:rPr>
                <w:b/>
                <w:bCs/>
              </w:rPr>
            </w:pPr>
            <w:r w:rsidRPr="004E33BE">
              <w:rPr>
                <w:b/>
                <w:bCs/>
              </w:rPr>
              <w:t>SOCIALIST REPUBLIC OF VIET NAM</w:t>
            </w:r>
          </w:p>
          <w:p w:rsidR="00E716FF" w:rsidRPr="004E33BE" w:rsidRDefault="00E716FF" w:rsidP="00E117FF">
            <w:pPr>
              <w:jc w:val="center"/>
              <w:rPr>
                <w:b/>
                <w:bCs/>
              </w:rPr>
            </w:pPr>
            <w:r w:rsidRPr="004E33BE">
              <w:rPr>
                <w:b/>
                <w:bCs/>
              </w:rPr>
              <w:t>Independence-Freedom-Happiness</w:t>
            </w:r>
          </w:p>
          <w:p w:rsidR="00E716FF" w:rsidRPr="004E33BE" w:rsidRDefault="00E716FF" w:rsidP="00E117FF">
            <w:pPr>
              <w:spacing w:before="120"/>
              <w:ind w:left="72"/>
              <w:jc w:val="center"/>
              <w:rPr>
                <w:i/>
                <w:iCs/>
              </w:rPr>
            </w:pPr>
            <w:r w:rsidRPr="004E33BE">
              <w:rPr>
                <w:noProof/>
              </w:rPr>
              <w:pict>
                <v:line id="_x0000_s1030" style="position:absolute;left:0;text-align:left;z-index:251661312" from="79.75pt,2.15pt" to="228.1pt,2.15pt" strokeweight="1pt"/>
              </w:pict>
            </w:r>
          </w:p>
          <w:p w:rsidR="00E716FF" w:rsidRPr="004E33BE" w:rsidRDefault="00E716FF" w:rsidP="00E117FF">
            <w:pPr>
              <w:ind w:left="72"/>
              <w:jc w:val="center"/>
              <w:rPr>
                <w:b/>
                <w:bCs/>
                <w:i/>
                <w:iCs/>
              </w:rPr>
            </w:pPr>
            <w:r w:rsidRPr="004E33BE">
              <w:rPr>
                <w:i/>
                <w:iCs/>
              </w:rPr>
              <w:t xml:space="preserve">Ha </w:t>
            </w:r>
            <w:proofErr w:type="spellStart"/>
            <w:r w:rsidRPr="004E33BE">
              <w:rPr>
                <w:i/>
                <w:iCs/>
              </w:rPr>
              <w:t>Noi</w:t>
            </w:r>
            <w:proofErr w:type="spellEnd"/>
            <w:r w:rsidRPr="004E33BE">
              <w:rPr>
                <w:i/>
                <w:iCs/>
              </w:rPr>
              <w:t>, 28</w:t>
            </w:r>
            <w:r w:rsidRPr="004E33BE">
              <w:rPr>
                <w:i/>
                <w:iCs/>
                <w:vertAlign w:val="superscript"/>
              </w:rPr>
              <w:t>th</w:t>
            </w:r>
            <w:r w:rsidRPr="004E33BE">
              <w:rPr>
                <w:i/>
                <w:iCs/>
              </w:rPr>
              <w:t xml:space="preserve"> November, 2018</w:t>
            </w:r>
          </w:p>
        </w:tc>
      </w:tr>
    </w:tbl>
    <w:p w:rsidR="00E716FF" w:rsidRPr="004E33BE" w:rsidRDefault="00E716FF" w:rsidP="00E716FF">
      <w:pPr>
        <w:spacing w:line="276" w:lineRule="auto"/>
        <w:jc w:val="center"/>
        <w:rPr>
          <w:b/>
          <w:bCs/>
        </w:rPr>
      </w:pPr>
    </w:p>
    <w:p w:rsidR="00E716FF" w:rsidRPr="004E33BE" w:rsidRDefault="00E716FF" w:rsidP="00E716FF">
      <w:pPr>
        <w:jc w:val="center"/>
        <w:rPr>
          <w:b/>
          <w:bCs/>
        </w:rPr>
      </w:pPr>
    </w:p>
    <w:p w:rsidR="00E716FF" w:rsidRPr="004E33BE" w:rsidRDefault="00E716FF" w:rsidP="00E716FF">
      <w:pPr>
        <w:jc w:val="center"/>
        <w:rPr>
          <w:b/>
          <w:bCs/>
        </w:rPr>
      </w:pPr>
    </w:p>
    <w:p w:rsidR="00E716FF" w:rsidRPr="004E33BE" w:rsidRDefault="00E716FF" w:rsidP="00E716FF">
      <w:pPr>
        <w:spacing w:before="120"/>
        <w:jc w:val="center"/>
        <w:rPr>
          <w:b/>
          <w:bCs/>
        </w:rPr>
      </w:pPr>
      <w:r w:rsidRPr="004E33BE">
        <w:rPr>
          <w:b/>
          <w:bCs/>
        </w:rPr>
        <w:t>REPORT</w:t>
      </w:r>
    </w:p>
    <w:p w:rsidR="00E716FF" w:rsidRPr="004E33BE" w:rsidRDefault="00E716FF" w:rsidP="00E716FF">
      <w:pPr>
        <w:jc w:val="center"/>
        <w:rPr>
          <w:b/>
          <w:bCs/>
        </w:rPr>
      </w:pPr>
      <w:r w:rsidRPr="004E33BE">
        <w:rPr>
          <w:b/>
          <w:bCs/>
        </w:rPr>
        <w:t xml:space="preserve">SOCIAL AND ECONOMIC SITUATIONS </w:t>
      </w:r>
    </w:p>
    <w:p w:rsidR="00E716FF" w:rsidRPr="004E33BE" w:rsidRDefault="00E716FF" w:rsidP="00E716FF">
      <w:pPr>
        <w:jc w:val="center"/>
        <w:rPr>
          <w:b/>
          <w:bCs/>
        </w:rPr>
      </w:pPr>
      <w:r w:rsidRPr="004E33BE">
        <w:rPr>
          <w:b/>
          <w:bCs/>
        </w:rPr>
        <w:t>IN NOVEMB</w:t>
      </w:r>
      <w:r w:rsidR="009D329E" w:rsidRPr="004E33BE">
        <w:rPr>
          <w:b/>
          <w:bCs/>
        </w:rPr>
        <w:t>E</w:t>
      </w:r>
      <w:r w:rsidRPr="004E33BE">
        <w:rPr>
          <w:b/>
          <w:bCs/>
        </w:rPr>
        <w:t>R AND ELEVEN MONTHS OF 2018</w:t>
      </w:r>
    </w:p>
    <w:p w:rsidR="00E716FF" w:rsidRPr="004E33BE" w:rsidRDefault="00E716FF" w:rsidP="00E716FF">
      <w:pPr>
        <w:spacing w:before="20"/>
        <w:jc w:val="center"/>
        <w:rPr>
          <w:b/>
          <w:bCs/>
        </w:rPr>
      </w:pPr>
      <w:r w:rsidRPr="004E33BE">
        <w:rPr>
          <w:b/>
          <w:bCs/>
          <w:noProof/>
        </w:rPr>
        <w:pict>
          <v:shapetype id="_x0000_t32" coordsize="21600,21600" o:spt="32" o:oned="t" path="m,l21600,21600e" filled="f">
            <v:path arrowok="t" fillok="f" o:connecttype="none"/>
            <o:lock v:ext="edit" shapetype="t"/>
          </v:shapetype>
          <v:shape id="_x0000_s1031" type="#_x0000_t32" style="position:absolute;left:0;text-align:left;margin-left:166.4pt;margin-top:8.05pt;width:111.25pt;height:0;z-index:251662336" o:connectortype="straight"/>
        </w:pict>
      </w:r>
    </w:p>
    <w:p w:rsidR="00E716FF" w:rsidRPr="004E33BE" w:rsidRDefault="00E716FF" w:rsidP="00E716FF">
      <w:pPr>
        <w:spacing w:before="40" w:after="40" w:line="300" w:lineRule="auto"/>
        <w:ind w:firstLine="567"/>
        <w:jc w:val="both"/>
        <w:rPr>
          <w:b/>
          <w:bCs/>
        </w:rPr>
      </w:pPr>
      <w:r w:rsidRPr="004E33BE">
        <w:rPr>
          <w:b/>
          <w:bCs/>
        </w:rPr>
        <w:t>1. Agriculture, forestry and fishery</w:t>
      </w:r>
    </w:p>
    <w:p w:rsidR="00E716FF" w:rsidRPr="004E33BE" w:rsidRDefault="00E716FF" w:rsidP="00E716FF">
      <w:pPr>
        <w:pStyle w:val="ListParagraph"/>
        <w:tabs>
          <w:tab w:val="left" w:pos="1080"/>
          <w:tab w:val="left" w:pos="1134"/>
        </w:tabs>
        <w:spacing w:before="40" w:after="40" w:line="300" w:lineRule="auto"/>
        <w:ind w:left="0" w:firstLine="567"/>
        <w:contextualSpacing w:val="0"/>
        <w:jc w:val="both"/>
        <w:rPr>
          <w:b/>
          <w:bCs/>
          <w:i/>
          <w:iCs/>
        </w:rPr>
      </w:pPr>
      <w:r w:rsidRPr="004E33BE">
        <w:rPr>
          <w:b/>
          <w:bCs/>
          <w:i/>
          <w:iCs/>
        </w:rPr>
        <w:t>a) Agriculture</w:t>
      </w:r>
    </w:p>
    <w:p w:rsidR="00E716FF" w:rsidRPr="004E33BE" w:rsidRDefault="00E716FF" w:rsidP="00E716FF">
      <w:pPr>
        <w:tabs>
          <w:tab w:val="left" w:pos="720"/>
        </w:tabs>
        <w:spacing w:before="40" w:after="40" w:line="283" w:lineRule="auto"/>
        <w:ind w:firstLine="567"/>
        <w:jc w:val="both"/>
      </w:pPr>
      <w:r w:rsidRPr="004E33BE">
        <w:t>Agricultural production in the month focused mainly on harvest</w:t>
      </w:r>
      <w:r w:rsidR="0049244B" w:rsidRPr="004E33BE">
        <w:t>ing</w:t>
      </w:r>
      <w:r w:rsidRPr="004E33BE">
        <w:t xml:space="preserve"> winter paddy, autumn-winter paddy in the country and plant</w:t>
      </w:r>
      <w:r w:rsidR="00271734" w:rsidRPr="004E33BE">
        <w:t>ing</w:t>
      </w:r>
      <w:r w:rsidRPr="004E33BE">
        <w:t xml:space="preserve"> winter annual crops in </w:t>
      </w:r>
      <w:r w:rsidR="006F659E" w:rsidRPr="004E33BE">
        <w:t>Northern</w:t>
      </w:r>
      <w:r w:rsidRPr="004E33BE">
        <w:t xml:space="preserve"> provinces. As of mid-November, the country harvested 1,469.7 thousand hectares of winter paddy, accounted for 87.3% of cultivated area</w:t>
      </w:r>
      <w:r w:rsidRPr="004E33BE">
        <w:rPr>
          <w:rStyle w:val="FootnoteReference"/>
          <w:bCs/>
        </w:rPr>
        <w:footnoteReference w:id="1"/>
      </w:r>
      <w:r w:rsidRPr="004E33BE">
        <w:t xml:space="preserve">, equaling 98.1% compared with the same period last year, of which localities in the North harvested 1,085.5 thousand hectares, accounted for 98.3%, equaling 96.9%; Southern provinces harvested 384.2 thousand hectares, accounted for 66.3%, equaling 101.7%. </w:t>
      </w:r>
      <w:r w:rsidR="00271734" w:rsidRPr="004E33BE">
        <w:t>B</w:t>
      </w:r>
      <w:r w:rsidRPr="004E33BE">
        <w:t xml:space="preserve">ecause the weather was </w:t>
      </w:r>
      <w:proofErr w:type="spellStart"/>
      <w:r w:rsidRPr="004E33BE">
        <w:t>favourable</w:t>
      </w:r>
      <w:proofErr w:type="spellEnd"/>
      <w:r w:rsidRPr="004E33BE">
        <w:t xml:space="preserve"> for paddy </w:t>
      </w:r>
      <w:r w:rsidR="00081B2B" w:rsidRPr="004E33BE">
        <w:t>grow</w:t>
      </w:r>
      <w:r w:rsidR="00081B2B" w:rsidRPr="004E33BE">
        <w:t>th</w:t>
      </w:r>
      <w:r w:rsidR="00081B2B" w:rsidRPr="004E33BE">
        <w:t xml:space="preserve"> </w:t>
      </w:r>
      <w:r w:rsidRPr="004E33BE">
        <w:t>and develop</w:t>
      </w:r>
      <w:r w:rsidR="00271734" w:rsidRPr="004E33BE">
        <w:t>ment</w:t>
      </w:r>
      <w:r w:rsidRPr="004E33BE">
        <w:t xml:space="preserve"> so the yield </w:t>
      </w:r>
      <w:r w:rsidR="00271734" w:rsidRPr="004E33BE">
        <w:t xml:space="preserve">in Northern provinces </w:t>
      </w:r>
      <w:r w:rsidRPr="004E33BE">
        <w:t>was quite good. According to preliminary reports, the yield of winter paddy this year in Northern provinces was estimated at 49.4 quintals/hectare, an increase of 3.2 quintals/hecta</w:t>
      </w:r>
      <w:r w:rsidR="006F659E">
        <w:t>r</w:t>
      </w:r>
      <w:r w:rsidRPr="004E33BE">
        <w:t xml:space="preserve">e compared with that over the previous year, the yield reached nearly 5.5 million tons, increased by 217.1 thousand tons, particularly in the Red River Delta increased by 235.9 thousand tons, of which Thai </w:t>
      </w:r>
      <w:proofErr w:type="spellStart"/>
      <w:r w:rsidRPr="004E33BE">
        <w:t>Binh</w:t>
      </w:r>
      <w:proofErr w:type="spellEnd"/>
      <w:r w:rsidRPr="004E33BE">
        <w:t xml:space="preserve"> increased by 91.2 thousand tons; Nam </w:t>
      </w:r>
      <w:proofErr w:type="spellStart"/>
      <w:r w:rsidRPr="004E33BE">
        <w:t>Dinh</w:t>
      </w:r>
      <w:proofErr w:type="spellEnd"/>
      <w:r w:rsidRPr="004E33BE">
        <w:t xml:space="preserve"> increased by 51.2 thousand tons; Hai Duong increased by 40.1 thousand tons; Ha Nam and </w:t>
      </w:r>
      <w:proofErr w:type="spellStart"/>
      <w:r w:rsidRPr="004E33BE">
        <w:t>Ninh</w:t>
      </w:r>
      <w:proofErr w:type="spellEnd"/>
      <w:r w:rsidRPr="004E33BE">
        <w:t xml:space="preserve"> </w:t>
      </w:r>
      <w:proofErr w:type="spellStart"/>
      <w:r w:rsidRPr="004E33BE">
        <w:t>Binh</w:t>
      </w:r>
      <w:proofErr w:type="spellEnd"/>
      <w:r w:rsidRPr="004E33BE">
        <w:t xml:space="preserve"> both increased by over 21 thousand tons. In </w:t>
      </w:r>
      <w:r w:rsidR="00081B2B" w:rsidRPr="004E33BE">
        <w:t>S</w:t>
      </w:r>
      <w:r w:rsidR="00081B2B" w:rsidRPr="004E33BE">
        <w:t xml:space="preserve">outhern </w:t>
      </w:r>
      <w:r w:rsidRPr="004E33BE">
        <w:t xml:space="preserve">provinces, the yield of winter paddy was estimated at 48.5 quintal/hectare, an increase of 3.1 quintal/hectare compared with that over the previous year; production reached 2.8 million tons, increased by 185.9 thousand tons. Generally, in the country, the yield of winter paddy in 2018 was estimated at 49.1 quintals/hectare, an increase of 3.2 </w:t>
      </w:r>
      <w:r w:rsidRPr="004E33BE">
        <w:lastRenderedPageBreak/>
        <w:t>quintals/hectare; production reached nearly 8.3 million tons, increased by 403 thousand tons.</w:t>
      </w:r>
    </w:p>
    <w:p w:rsidR="00E716FF" w:rsidRPr="004E33BE" w:rsidRDefault="00E716FF" w:rsidP="00E716FF">
      <w:pPr>
        <w:tabs>
          <w:tab w:val="left" w:pos="720"/>
        </w:tabs>
        <w:spacing w:before="40" w:after="40" w:line="283" w:lineRule="auto"/>
        <w:ind w:firstLine="567"/>
        <w:jc w:val="both"/>
      </w:pPr>
      <w:r w:rsidRPr="004E33BE">
        <w:t xml:space="preserve">As of November 15, 2018, localities in the Mekong River Delta cultivated 732.1 thousand hectares of autumn-winter paddy, equaling 90.4% of the same period last year. So far, 383.4 thousand hectares of autumn-winter paddy was harvested in the region, accounted for 52.4% of the cultivated area and equaling 89% compared with the same period last year. Progress of harvested winter-autumn paddy was slower than that over the same period last year because this summer-autumn crop was late and prolonged, additionally, due to the effects of storms and early floods that made many areas unable to cultivate and affected to the crop </w:t>
      </w:r>
      <w:r w:rsidR="004374BA" w:rsidRPr="004E33BE">
        <w:t>calendar</w:t>
      </w:r>
      <w:r w:rsidRPr="004E33BE">
        <w:t xml:space="preserve"> of the autumn-winter paddy. According to preliminary reports, the total crop productivity was estimated at 53.2 quintal/hectare, increased by 0.9 quintal/hectare compared with the previous winter-autumn crop; production was estimated at 3.9 million tons, fell 343.2 thousand tons. Cultivated areas and production of some localities was dropped: Long </w:t>
      </w:r>
      <w:proofErr w:type="gramStart"/>
      <w:r w:rsidRPr="004E33BE">
        <w:t>An</w:t>
      </w:r>
      <w:proofErr w:type="gramEnd"/>
      <w:r w:rsidRPr="004E33BE">
        <w:t xml:space="preserve"> (fell 16.5 thousand hectares and 48.8 thousand tons); Dong </w:t>
      </w:r>
      <w:proofErr w:type="spellStart"/>
      <w:r w:rsidRPr="004E33BE">
        <w:t>Thap</w:t>
      </w:r>
      <w:proofErr w:type="spellEnd"/>
      <w:r w:rsidRPr="004E33BE">
        <w:t xml:space="preserve"> (fell 16.1 thousand hectares and 89.8 thousand tons); </w:t>
      </w:r>
      <w:proofErr w:type="spellStart"/>
      <w:r w:rsidRPr="004E33BE">
        <w:t>Hau</w:t>
      </w:r>
      <w:proofErr w:type="spellEnd"/>
      <w:r w:rsidRPr="004E33BE">
        <w:t xml:space="preserve"> </w:t>
      </w:r>
      <w:proofErr w:type="spellStart"/>
      <w:r w:rsidRPr="004E33BE">
        <w:t>Giang</w:t>
      </w:r>
      <w:proofErr w:type="spellEnd"/>
      <w:r w:rsidRPr="004E33BE">
        <w:t xml:space="preserve"> (decreased by 12.1 thousand hectares and 60.2 thousand tons); </w:t>
      </w:r>
      <w:proofErr w:type="spellStart"/>
      <w:r w:rsidRPr="004E33BE">
        <w:t>Kien</w:t>
      </w:r>
      <w:proofErr w:type="spellEnd"/>
      <w:r w:rsidRPr="004E33BE">
        <w:t xml:space="preserve"> </w:t>
      </w:r>
      <w:proofErr w:type="spellStart"/>
      <w:r w:rsidRPr="004E33BE">
        <w:t>Giang</w:t>
      </w:r>
      <w:proofErr w:type="spellEnd"/>
      <w:r w:rsidRPr="004E33BE">
        <w:t xml:space="preserve"> (fell 10.9 thousand hectares and 69 thousand tons).</w:t>
      </w:r>
    </w:p>
    <w:p w:rsidR="00E716FF" w:rsidRPr="004E33BE" w:rsidRDefault="00E716FF" w:rsidP="00E716FF">
      <w:pPr>
        <w:tabs>
          <w:tab w:val="left" w:pos="720"/>
        </w:tabs>
        <w:spacing w:before="40" w:after="40" w:line="281" w:lineRule="auto"/>
        <w:ind w:firstLine="567"/>
        <w:jc w:val="both"/>
      </w:pPr>
      <w:r w:rsidRPr="004E33BE">
        <w:t>At the time mentioned above, Southern provinces sowed 171 thousand hectares of early winter-spring paddy, equivalent to the same period last year, of which the Mekong River Delta sowed 168.7 thousand hectares, equivalent to 100. 3%.</w:t>
      </w:r>
    </w:p>
    <w:p w:rsidR="00E716FF" w:rsidRPr="004E33BE" w:rsidRDefault="00E716FF" w:rsidP="00E716FF">
      <w:pPr>
        <w:tabs>
          <w:tab w:val="left" w:pos="720"/>
        </w:tabs>
        <w:spacing w:before="40" w:after="40" w:line="281" w:lineRule="auto"/>
        <w:ind w:firstLine="567"/>
        <w:jc w:val="both"/>
      </w:pPr>
      <w:r w:rsidRPr="004E33BE">
        <w:t xml:space="preserve">As of November 15, 2018, the country planted 100.3 thousand hectares of maize, equaling 101.8% compared with the same period last year; 21.2 thousand hectares of sweet potatoes, equaling 98.6%; 4.7 thousand hectares of soybean, equaling 102.2%; 4.9 thousand ha of groundnut, equaling 96.1%; 144.6 thousand hectares of vegetables and beans, equaling 105.9%. Because the weather was </w:t>
      </w:r>
      <w:proofErr w:type="spellStart"/>
      <w:r w:rsidRPr="004E33BE">
        <w:t>favourable</w:t>
      </w:r>
      <w:proofErr w:type="spellEnd"/>
      <w:r w:rsidRPr="004E33BE">
        <w:t xml:space="preserve">, </w:t>
      </w:r>
      <w:r w:rsidR="005D7B5F" w:rsidRPr="004E33BE">
        <w:t xml:space="preserve">fewer </w:t>
      </w:r>
      <w:r w:rsidRPr="004E33BE">
        <w:t>pests and diseases appeared so winter annual crops was in stage of good growth and development.</w:t>
      </w:r>
    </w:p>
    <w:p w:rsidR="00E716FF" w:rsidRPr="004E33BE" w:rsidRDefault="00E716FF" w:rsidP="00E716FF">
      <w:pPr>
        <w:tabs>
          <w:tab w:val="num" w:pos="851"/>
        </w:tabs>
        <w:spacing w:before="40" w:after="40" w:line="281" w:lineRule="auto"/>
        <w:ind w:firstLine="567"/>
        <w:jc w:val="both"/>
      </w:pPr>
      <w:r w:rsidRPr="004E33BE">
        <w:t xml:space="preserve">Livestock </w:t>
      </w:r>
      <w:r w:rsidR="006F659E" w:rsidRPr="004E33BE">
        <w:t>witnessed</w:t>
      </w:r>
      <w:r w:rsidRPr="004E33BE">
        <w:t xml:space="preserve"> stability and no major epidemics </w:t>
      </w:r>
      <w:r w:rsidR="004374BA" w:rsidRPr="004E33BE">
        <w:t>occurred</w:t>
      </w:r>
      <w:r w:rsidRPr="004E33BE">
        <w:t xml:space="preserve">. Buffalo population in the month was estimated to decrease by 1% compared with the same period last year; cattle population increased by 2.2%; pigs increased by 2.8%; poultry population increased by 5.8%. As of November 25, 2018, there was no avian influenza and blue ear disease; </w:t>
      </w:r>
      <w:r w:rsidR="004374BA" w:rsidRPr="004E33BE">
        <w:t>however</w:t>
      </w:r>
      <w:r w:rsidRPr="004E33BE">
        <w:t xml:space="preserve">, foot and mouth disease in pig did not pass 21 days in </w:t>
      </w:r>
      <w:proofErr w:type="spellStart"/>
      <w:r w:rsidRPr="004E33BE">
        <w:t>Quang</w:t>
      </w:r>
      <w:proofErr w:type="spellEnd"/>
      <w:r w:rsidRPr="004E33BE">
        <w:t xml:space="preserve"> Tri. Notably, the spread of African swine fever continued to be complicated in southern China, </w:t>
      </w:r>
      <w:proofErr w:type="spellStart"/>
      <w:r w:rsidRPr="004E33BE">
        <w:t>neighbouring</w:t>
      </w:r>
      <w:proofErr w:type="spellEnd"/>
      <w:r w:rsidRPr="004E33BE">
        <w:t xml:space="preserve"> border with the North West provinces of Vietnam, therefore, ministries, relevant agencies </w:t>
      </w:r>
      <w:r w:rsidRPr="004E33BE">
        <w:lastRenderedPageBreak/>
        <w:t xml:space="preserve">and local authorities urgently </w:t>
      </w:r>
      <w:r w:rsidR="008D30DB" w:rsidRPr="004E33BE">
        <w:t>took</w:t>
      </w:r>
      <w:r w:rsidR="008D30DB" w:rsidRPr="004E33BE">
        <w:t xml:space="preserve"> </w:t>
      </w:r>
      <w:r w:rsidRPr="004E33BE">
        <w:t xml:space="preserve">measures to prevent the </w:t>
      </w:r>
      <w:r w:rsidR="00FD0398" w:rsidRPr="004E33BE">
        <w:t>contagion</w:t>
      </w:r>
      <w:r w:rsidRPr="004E33BE">
        <w:t xml:space="preserve"> of African swine fever</w:t>
      </w:r>
      <w:r w:rsidR="008D30DB" w:rsidRPr="004E33BE">
        <w:t xml:space="preserve"> </w:t>
      </w:r>
      <w:r w:rsidR="00FD0398" w:rsidRPr="004E33BE">
        <w:t>in</w:t>
      </w:r>
      <w:r w:rsidRPr="004E33BE">
        <w:t xml:space="preserve"> the country.</w:t>
      </w:r>
    </w:p>
    <w:p w:rsidR="00E716FF" w:rsidRPr="004E33BE" w:rsidRDefault="00E716FF" w:rsidP="00E716FF">
      <w:pPr>
        <w:spacing w:before="40" w:after="40" w:line="281" w:lineRule="auto"/>
        <w:ind w:firstLine="567"/>
        <w:jc w:val="both"/>
        <w:rPr>
          <w:b/>
          <w:i/>
        </w:rPr>
      </w:pPr>
      <w:r w:rsidRPr="004E33BE">
        <w:rPr>
          <w:b/>
          <w:i/>
        </w:rPr>
        <w:t>b) Forestry</w:t>
      </w:r>
    </w:p>
    <w:p w:rsidR="00E716FF" w:rsidRPr="004E33BE" w:rsidRDefault="00E716FF" w:rsidP="00E716FF">
      <w:pPr>
        <w:spacing w:before="40" w:after="40" w:line="281" w:lineRule="auto"/>
        <w:ind w:firstLine="567"/>
        <w:jc w:val="both"/>
      </w:pPr>
      <w:bookmarkStart w:id="0" w:name="_GoBack"/>
      <w:bookmarkEnd w:id="0"/>
      <w:r w:rsidRPr="004E33BE">
        <w:t xml:space="preserve">In November, areas of concentrated forests was estimated at 26.1 </w:t>
      </w:r>
      <w:r w:rsidR="004374BA" w:rsidRPr="004E33BE">
        <w:t>thousand</w:t>
      </w:r>
      <w:r w:rsidRPr="004E33BE">
        <w:t xml:space="preserve"> hectares, fell 6.8% compared with the same period last year; the number of scattered planted trees reached 8.1 million trees, fell 1.2%; production of wood cut reached 1.2 million m</w:t>
      </w:r>
      <w:r w:rsidRPr="004E33BE">
        <w:rPr>
          <w:vertAlign w:val="superscript"/>
        </w:rPr>
        <w:t>3</w:t>
      </w:r>
      <w:r w:rsidRPr="004E33BE">
        <w:t xml:space="preserve">, grew up 9.8%; the yield of firewood reached 1.6 million </w:t>
      </w:r>
      <w:proofErr w:type="spellStart"/>
      <w:r w:rsidRPr="004E33BE">
        <w:t>ste</w:t>
      </w:r>
      <w:proofErr w:type="spellEnd"/>
      <w:r w:rsidRPr="004E33BE">
        <w:t xml:space="preserve">, equivalent to the same period last year. Some localities increased timber production: </w:t>
      </w:r>
      <w:proofErr w:type="spellStart"/>
      <w:r w:rsidRPr="004E33BE">
        <w:t>Hoa</w:t>
      </w:r>
      <w:proofErr w:type="spellEnd"/>
      <w:r w:rsidRPr="004E33BE">
        <w:t xml:space="preserve"> </w:t>
      </w:r>
      <w:proofErr w:type="spellStart"/>
      <w:r w:rsidRPr="004E33BE">
        <w:t>Binh</w:t>
      </w:r>
      <w:proofErr w:type="spellEnd"/>
      <w:r w:rsidRPr="004E33BE">
        <w:t xml:space="preserve"> increased by 10.9%; Thanh </w:t>
      </w:r>
      <w:proofErr w:type="spellStart"/>
      <w:r w:rsidRPr="004E33BE">
        <w:t>Hoa</w:t>
      </w:r>
      <w:proofErr w:type="spellEnd"/>
      <w:r w:rsidRPr="004E33BE">
        <w:t xml:space="preserve"> increased by 12.9%; </w:t>
      </w:r>
      <w:proofErr w:type="spellStart"/>
      <w:r w:rsidRPr="004E33BE">
        <w:t>Quang</w:t>
      </w:r>
      <w:proofErr w:type="spellEnd"/>
      <w:r w:rsidRPr="004E33BE">
        <w:t xml:space="preserve"> </w:t>
      </w:r>
      <w:proofErr w:type="spellStart"/>
      <w:r w:rsidRPr="004E33BE">
        <w:t>Ngai</w:t>
      </w:r>
      <w:proofErr w:type="spellEnd"/>
      <w:r w:rsidRPr="004E33BE">
        <w:t xml:space="preserve"> increased by 13.9%; </w:t>
      </w:r>
      <w:proofErr w:type="spellStart"/>
      <w:r w:rsidRPr="004E33BE">
        <w:t>Quang</w:t>
      </w:r>
      <w:proofErr w:type="spellEnd"/>
      <w:r w:rsidRPr="004E33BE">
        <w:t xml:space="preserve"> Tri increased by 19.2% and </w:t>
      </w:r>
      <w:proofErr w:type="spellStart"/>
      <w:r w:rsidRPr="004E33BE">
        <w:t>Nghe</w:t>
      </w:r>
      <w:proofErr w:type="spellEnd"/>
      <w:r w:rsidRPr="004E33BE">
        <w:t xml:space="preserve"> An increased by 19.5%.</w:t>
      </w:r>
    </w:p>
    <w:p w:rsidR="00E716FF" w:rsidRPr="004E33BE" w:rsidRDefault="00E716FF" w:rsidP="00E716FF">
      <w:pPr>
        <w:spacing w:before="40" w:after="40" w:line="281" w:lineRule="auto"/>
        <w:ind w:firstLine="567"/>
        <w:jc w:val="both"/>
      </w:pPr>
      <w:r w:rsidRPr="004E33BE">
        <w:t xml:space="preserve">Generally for 11 months, the area of concentrated forests was estimated at 213 thousand hectares, fell 1.4% compared with the same period last year; the number of scattered planted trees reached 76.6 million, fell 0.3%; wood cut production reached 11.6 million m3, grew up 10.1%; production of firewood reached 22 million </w:t>
      </w:r>
      <w:proofErr w:type="spellStart"/>
      <w:r w:rsidRPr="004E33BE">
        <w:t>ste</w:t>
      </w:r>
      <w:proofErr w:type="spellEnd"/>
      <w:r w:rsidRPr="004E33BE">
        <w:t>, fell 1.3%.</w:t>
      </w:r>
    </w:p>
    <w:p w:rsidR="00E716FF" w:rsidRPr="004E33BE" w:rsidRDefault="00E716FF" w:rsidP="00E716FF">
      <w:pPr>
        <w:spacing w:before="40" w:after="40" w:line="281" w:lineRule="auto"/>
        <w:ind w:firstLine="567"/>
        <w:jc w:val="both"/>
        <w:rPr>
          <w:spacing w:val="-4"/>
        </w:rPr>
      </w:pPr>
      <w:r w:rsidRPr="004E33BE">
        <w:rPr>
          <w:spacing w:val="-4"/>
        </w:rPr>
        <w:t>During the month, there were 34.5 hectares of damaged forests in the country, of which the area of forests cut and destroyed was 31.9 hectares. Generally for 11 months of the year, the damaged forest area was 1,270.4 hectares, fell 16.9% compared with the same period last year, of which forest fire area was 741.1 hectares, grew up 43.3%; The area of forest cut was 529.3 hectares, fell 47.7%.</w:t>
      </w:r>
    </w:p>
    <w:p w:rsidR="00E716FF" w:rsidRPr="004E33BE" w:rsidRDefault="00E716FF" w:rsidP="00E716FF">
      <w:pPr>
        <w:spacing w:before="40" w:after="40" w:line="283" w:lineRule="auto"/>
        <w:ind w:firstLine="567"/>
        <w:jc w:val="both"/>
        <w:rPr>
          <w:b/>
          <w:bCs/>
          <w:i/>
          <w:iCs/>
        </w:rPr>
      </w:pPr>
      <w:r w:rsidRPr="004E33BE">
        <w:rPr>
          <w:b/>
          <w:bCs/>
          <w:i/>
          <w:iCs/>
        </w:rPr>
        <w:t>c) Fishery</w:t>
      </w:r>
    </w:p>
    <w:p w:rsidR="00E716FF" w:rsidRPr="004E33BE" w:rsidRDefault="00E716FF" w:rsidP="00E716FF">
      <w:pPr>
        <w:shd w:val="clear" w:color="auto" w:fill="FFFFFF"/>
        <w:spacing w:before="40" w:after="40" w:line="283" w:lineRule="auto"/>
        <w:ind w:firstLine="567"/>
        <w:jc w:val="both"/>
      </w:pPr>
      <w:r w:rsidRPr="004E33BE">
        <w:t>In November, fishery production of the country was estimated at 684.4 thousand tons, rose by 7.5% compared with the same period last year, of which fish reached 510.3 thousand tons, rose by 9.6%; shrimp reached 80.5 thousand tons, rose by 2.9%.</w:t>
      </w:r>
    </w:p>
    <w:p w:rsidR="00E716FF" w:rsidRPr="004E33BE" w:rsidRDefault="00E716FF" w:rsidP="00E716FF">
      <w:pPr>
        <w:shd w:val="clear" w:color="auto" w:fill="FFFFFF"/>
        <w:spacing w:before="40" w:after="40" w:line="283" w:lineRule="auto"/>
        <w:ind w:firstLine="567"/>
        <w:jc w:val="both"/>
        <w:rPr>
          <w:spacing w:val="-2"/>
        </w:rPr>
      </w:pPr>
      <w:r w:rsidRPr="004E33BE">
        <w:rPr>
          <w:spacing w:val="-2"/>
        </w:rPr>
        <w:t xml:space="preserve">Aquaculture production in the month was estimated at 393.6 thousand tons, grew up 9.4% compared with the same period last year due to a sharp increase of harvested area, of which 285.2 thousand tons of fish, rose by 12, 5%; shrimp reached 69.4 thousand tons, rose by 3.1%. </w:t>
      </w:r>
      <w:proofErr w:type="spellStart"/>
      <w:r w:rsidRPr="004E33BE">
        <w:rPr>
          <w:spacing w:val="-2"/>
        </w:rPr>
        <w:t>Pangasius</w:t>
      </w:r>
      <w:proofErr w:type="spellEnd"/>
      <w:r w:rsidRPr="004E33BE">
        <w:rPr>
          <w:spacing w:val="-2"/>
        </w:rPr>
        <w:t xml:space="preserve"> farming in the month was quite good. </w:t>
      </w:r>
      <w:proofErr w:type="spellStart"/>
      <w:r w:rsidRPr="004E33BE">
        <w:rPr>
          <w:spacing w:val="-2"/>
        </w:rPr>
        <w:t>Pangasius</w:t>
      </w:r>
      <w:proofErr w:type="spellEnd"/>
      <w:r w:rsidRPr="004E33BE">
        <w:rPr>
          <w:spacing w:val="-2"/>
        </w:rPr>
        <w:t xml:space="preserve"> price continued to remain at high level, at the time, the price of raw </w:t>
      </w:r>
      <w:proofErr w:type="spellStart"/>
      <w:r w:rsidRPr="004E33BE">
        <w:rPr>
          <w:spacing w:val="-2"/>
        </w:rPr>
        <w:t>pangasius</w:t>
      </w:r>
      <w:proofErr w:type="spellEnd"/>
      <w:r w:rsidRPr="004E33BE">
        <w:rPr>
          <w:spacing w:val="-2"/>
        </w:rPr>
        <w:t xml:space="preserve"> reached 36,500 VND/kg (at this price the producer earned profit of 8,000-10,000 VND/ kg) and at the same time, export of </w:t>
      </w:r>
      <w:proofErr w:type="spellStart"/>
      <w:r w:rsidRPr="004E33BE">
        <w:rPr>
          <w:spacing w:val="-2"/>
        </w:rPr>
        <w:t>Pangasius</w:t>
      </w:r>
      <w:proofErr w:type="spellEnd"/>
      <w:r w:rsidRPr="004E33BE">
        <w:rPr>
          <w:spacing w:val="-2"/>
        </w:rPr>
        <w:t xml:space="preserve"> was favorable so many farming ponds took advantage of early harvesting. </w:t>
      </w:r>
      <w:proofErr w:type="spellStart"/>
      <w:r w:rsidRPr="004E33BE">
        <w:rPr>
          <w:spacing w:val="-2"/>
        </w:rPr>
        <w:t>Pangasius</w:t>
      </w:r>
      <w:proofErr w:type="spellEnd"/>
      <w:r w:rsidRPr="004E33BE">
        <w:rPr>
          <w:spacing w:val="-2"/>
        </w:rPr>
        <w:t xml:space="preserve"> production in the month was estimated at 128.7 thousand tons, rose by 15.2% compared with the same period last year, of which An </w:t>
      </w:r>
      <w:proofErr w:type="spellStart"/>
      <w:r w:rsidRPr="004E33BE">
        <w:rPr>
          <w:spacing w:val="-2"/>
        </w:rPr>
        <w:t>Giang</w:t>
      </w:r>
      <w:proofErr w:type="spellEnd"/>
      <w:r w:rsidRPr="004E33BE">
        <w:rPr>
          <w:spacing w:val="-2"/>
        </w:rPr>
        <w:t xml:space="preserve"> reached 39.2 thousand tons, rose by 74%; Dong </w:t>
      </w:r>
      <w:proofErr w:type="spellStart"/>
      <w:r w:rsidRPr="004E33BE">
        <w:rPr>
          <w:spacing w:val="-2"/>
        </w:rPr>
        <w:t>Thap</w:t>
      </w:r>
      <w:proofErr w:type="spellEnd"/>
      <w:r w:rsidRPr="004E33BE">
        <w:rPr>
          <w:spacing w:val="-2"/>
        </w:rPr>
        <w:t xml:space="preserve"> reached 42.8 thousand tons, rose by </w:t>
      </w:r>
      <w:r w:rsidRPr="004E33BE">
        <w:rPr>
          <w:spacing w:val="-2"/>
        </w:rPr>
        <w:lastRenderedPageBreak/>
        <w:t xml:space="preserve">4.6%; Can </w:t>
      </w:r>
      <w:proofErr w:type="spellStart"/>
      <w:r w:rsidRPr="004E33BE">
        <w:rPr>
          <w:spacing w:val="-2"/>
        </w:rPr>
        <w:t>Tho</w:t>
      </w:r>
      <w:proofErr w:type="spellEnd"/>
      <w:r w:rsidRPr="004E33BE">
        <w:rPr>
          <w:spacing w:val="-2"/>
        </w:rPr>
        <w:t xml:space="preserve"> reached 11.7 thousand tons, rose by 10%. Brackish water shrimp farming was being harvested at the end of the crop to prepare breeding for new crop. Production of black tiger shrimp in the month was estimated at 22.8 thousand tons, fell 3% compared with the same period last year; White leg shrimp reached 43.2 thousand tons, rose by 7.2%.</w:t>
      </w:r>
    </w:p>
    <w:p w:rsidR="00E716FF" w:rsidRPr="004E33BE" w:rsidRDefault="00E716FF" w:rsidP="00E716FF">
      <w:pPr>
        <w:shd w:val="clear" w:color="auto" w:fill="FFFFFF"/>
        <w:spacing w:before="40" w:after="40" w:line="283" w:lineRule="auto"/>
        <w:ind w:firstLine="567"/>
        <w:jc w:val="both"/>
      </w:pPr>
      <w:r w:rsidRPr="004E33BE">
        <w:t>Fishery production exploited in November was estimated at 290.8 thousand tons, increased by 5% compared with the same period last year, of which fish reached 225.1 thousand tons, increased by 6%; shrimp reached 11.1 thousand tons, increased by 1.8%. Particularly, marine catching production was estimated at 270.8 thousand tons, increased by 5.3%, of which fish reached 211 thousand tons, increased by 6.5%; shrimp reached 10 thousand tons, increased by 2%.</w:t>
      </w:r>
    </w:p>
    <w:p w:rsidR="00CB7181" w:rsidRPr="004E33BE" w:rsidRDefault="00E716FF" w:rsidP="00E716FF">
      <w:pPr>
        <w:shd w:val="clear" w:color="auto" w:fill="FFFFFF"/>
        <w:spacing w:before="40" w:after="40" w:line="283" w:lineRule="auto"/>
        <w:ind w:right="29" w:firstLine="567"/>
        <w:jc w:val="both"/>
      </w:pPr>
      <w:r w:rsidRPr="004E33BE">
        <w:t>Generally for 11 months, fishery production in the country was estimated at 6,873.7 thousand tons, rose by 6.2% compared with the same period last year, of which aquaculture production reached 3,688.9 thousand tons, grew up 6, 9%; production of fishery catching reached 3,184.8 thousand tons, grew up 5.3% (the production of marine catching reached 2,997.3 thousand tons, grew up 5.6%).</w:t>
      </w:r>
    </w:p>
    <w:p w:rsidR="00E716FF" w:rsidRPr="004E33BE" w:rsidRDefault="00B223A3" w:rsidP="00923B85">
      <w:pPr>
        <w:spacing w:after="120"/>
        <w:ind w:firstLine="567"/>
        <w:jc w:val="both"/>
        <w:rPr>
          <w:b/>
        </w:rPr>
      </w:pPr>
      <w:r w:rsidRPr="004E33BE">
        <w:rPr>
          <w:b/>
          <w:bCs/>
        </w:rPr>
        <w:t xml:space="preserve">2. </w:t>
      </w:r>
      <w:r w:rsidR="00E716FF" w:rsidRPr="004E33BE">
        <w:rPr>
          <w:b/>
        </w:rPr>
        <w:t>Industrial production</w:t>
      </w:r>
    </w:p>
    <w:p w:rsidR="00E716FF" w:rsidRPr="004E33BE" w:rsidRDefault="00E716FF" w:rsidP="004E33BE">
      <w:pPr>
        <w:shd w:val="clear" w:color="auto" w:fill="FFFFFF"/>
        <w:spacing w:before="40" w:after="40" w:line="283" w:lineRule="auto"/>
        <w:ind w:right="29" w:firstLine="567"/>
        <w:jc w:val="both"/>
      </w:pPr>
      <w:r w:rsidRPr="004E33BE">
        <w:t>Index of industrial production (IIP) in November was estimated to decrease by 9.6% year-on-year, of which mining and quarrying, manufacturing, electricity production and distribution rose 0.2%, 9.2% and 4.5% respectively.</w:t>
      </w:r>
    </w:p>
    <w:p w:rsidR="00E716FF" w:rsidRPr="004E33BE" w:rsidRDefault="00E716FF" w:rsidP="004E33BE">
      <w:pPr>
        <w:shd w:val="clear" w:color="auto" w:fill="FFFFFF"/>
        <w:spacing w:before="40" w:after="40" w:line="283" w:lineRule="auto"/>
        <w:ind w:right="29" w:firstLine="567"/>
        <w:jc w:val="both"/>
      </w:pPr>
      <w:r w:rsidRPr="004E33BE">
        <w:t>In general, the IIP in November 2018 was estimated to increase by 10.1% compared to the same period of previous, lower than the growth of 10.3% in the same time point of 2017</w:t>
      </w:r>
      <w:r w:rsidRPr="006F659E">
        <w:rPr>
          <w:vertAlign w:val="superscript"/>
        </w:rPr>
        <w:footnoteReference w:id="2"/>
      </w:r>
      <w:r w:rsidRPr="004E33BE">
        <w:t>, of which the manufacturing edged up 12.2%, contributing 9.5 percentage points to the general growth; the electricity production and distribution grew up 9.6%, contributing 0.8% percentage points; water supply, waste and sewerage remediation went up 6.3%, contributing 0.1 percentage points; however, mining and quarrying fell 2%, resulting in a fall of 0.3 percentage points in general growth.</w:t>
      </w:r>
    </w:p>
    <w:p w:rsidR="00E716FF" w:rsidRPr="004E33BE" w:rsidRDefault="00E716FF" w:rsidP="004E33BE">
      <w:pPr>
        <w:shd w:val="clear" w:color="auto" w:fill="FFFFFF"/>
        <w:spacing w:before="40" w:after="40" w:line="283" w:lineRule="auto"/>
        <w:ind w:right="29" w:firstLine="567"/>
        <w:jc w:val="both"/>
      </w:pPr>
      <w:r w:rsidRPr="004E33BE">
        <w:t xml:space="preserve">In 2-digit industrial activities, the IIP in November in some industrial activities witnessed </w:t>
      </w:r>
      <w:r w:rsidR="00106C47">
        <w:t>a</w:t>
      </w:r>
      <w:r w:rsidR="00106C47" w:rsidRPr="004E33BE">
        <w:t xml:space="preserve"> </w:t>
      </w:r>
      <w:r w:rsidRPr="004E33BE">
        <w:t xml:space="preserve">high rise in comparison with the same period of last year, particularly: the manufacturing of coke and refined petroleum products soared 63%; the manufacturing of metal surged by 23.7%; the manufacturing of pharmaceuticals, medicinal chemical and botanical products jumped up 22.3%, </w:t>
      </w:r>
      <w:r w:rsidRPr="004E33BE">
        <w:lastRenderedPageBreak/>
        <w:t>the manufacturing of motor vehicles climbed up 16.3%; the manufacturing of paper, paper products and furniture both went up 13.4%; textile edged up 13%; the manufacturing of fabricated metal products (except machinery, equipment) rose 12.8%; the manufacturing of wearing apparel grew up 11.5%; the manufacturing of electronic, computer and optical products increased by 11.2%. Meanwhile,  some industrial activities experienced a slight increase or decrease, specifically: the waste collection, treatment, disposal and material recovery activities rose 3.2%; the manufacturing of rubber and plastic products and quarrying of metal ores both increased by 3.1%; repair, maintenance and installation of machinery and equipment went up 3%; the extraction of crude oil and natural gas fell by 5.5% (crude oil dropped 11.9%; natural gas rose by 1.7%; the other mining (stone, sand, gravel…) reduced by 1.6%.</w:t>
      </w:r>
    </w:p>
    <w:p w:rsidR="00E716FF" w:rsidRPr="004E33BE" w:rsidRDefault="00E716FF" w:rsidP="004F15B3">
      <w:pPr>
        <w:shd w:val="clear" w:color="auto" w:fill="FFFFFF"/>
        <w:spacing w:before="40" w:after="40" w:line="283" w:lineRule="auto"/>
        <w:ind w:right="29" w:firstLine="567"/>
        <w:jc w:val="both"/>
      </w:pPr>
      <w:r w:rsidRPr="004E33BE">
        <w:t xml:space="preserve">Some main industrial products in November gained </w:t>
      </w:r>
      <w:r w:rsidR="004F15B3">
        <w:t>a</w:t>
      </w:r>
      <w:r w:rsidR="004F15B3" w:rsidRPr="004E33BE">
        <w:t xml:space="preserve"> </w:t>
      </w:r>
      <w:r w:rsidRPr="004E33BE">
        <w:t>sharp increase compared to the previous year, as follows: oil and petroleum was 51.8%; steel, iron bar was 40.9%; television set was 23.9%; aluminum was 22.9%; liquefied petroleum gas was 22.4%; fabric from polyester and artificial yarn was 21.3%; aquatic feed was 17.5%; fabric from natural yarn was 16.5%; assembled automobile was 14.4%; refined sugar was 14.3%; mobile phone accessory was 12.4%. At the same time, some main industrial products possessed a moderate rise or reduction, particularly: assembled motorbike; urea fertilizer; NPK fertilizer; fresh milk; natural gas; animal feed mobile phone rose 4.2%; 2.8%; 2.5%; 2.5%; 1.8%; 1.7%; 1% and 3.3% respectively (smart phone dropped 4.7%); extracted crude oil fell by 11.9% (compared to a drop of 10.6% in the same period of 2017).</w:t>
      </w:r>
    </w:p>
    <w:p w:rsidR="00E716FF" w:rsidRPr="004E33BE" w:rsidRDefault="00E716FF" w:rsidP="004F15B3">
      <w:pPr>
        <w:shd w:val="clear" w:color="auto" w:fill="FFFFFF"/>
        <w:spacing w:before="40" w:after="40" w:line="283" w:lineRule="auto"/>
        <w:ind w:right="29" w:firstLine="567"/>
        <w:jc w:val="both"/>
      </w:pPr>
      <w:r w:rsidRPr="004E33BE">
        <w:t xml:space="preserve">The index of industrial production in November in 63 provinces and cities under central increased year-on-year, of which Ha </w:t>
      </w:r>
      <w:proofErr w:type="spellStart"/>
      <w:r w:rsidRPr="004E33BE">
        <w:t>Tinh</w:t>
      </w:r>
      <w:proofErr w:type="spellEnd"/>
      <w:r w:rsidRPr="004E33BE">
        <w:t xml:space="preserve"> province recorded the highest growth rate of 93.2%, thanks to the contribution of Formosa corporation, the following was Thanh </w:t>
      </w:r>
      <w:proofErr w:type="spellStart"/>
      <w:r w:rsidRPr="004E33BE">
        <w:t>Hoa</w:t>
      </w:r>
      <w:proofErr w:type="spellEnd"/>
      <w:r w:rsidRPr="004E33BE">
        <w:t xml:space="preserve"> province with an increase of 33.6% because the </w:t>
      </w:r>
      <w:proofErr w:type="spellStart"/>
      <w:r w:rsidRPr="004E33BE">
        <w:t>Nghi</w:t>
      </w:r>
      <w:proofErr w:type="spellEnd"/>
      <w:r w:rsidRPr="004E33BE">
        <w:t xml:space="preserve"> Son refinery and petrochemical LLC started running at mid-2018, </w:t>
      </w:r>
      <w:proofErr w:type="spellStart"/>
      <w:r w:rsidRPr="004E33BE">
        <w:t>Ba</w:t>
      </w:r>
      <w:proofErr w:type="spellEnd"/>
      <w:r w:rsidRPr="004E33BE">
        <w:t xml:space="preserve"> </w:t>
      </w:r>
      <w:proofErr w:type="spellStart"/>
      <w:r w:rsidRPr="004E33BE">
        <w:t>Ria-Vung</w:t>
      </w:r>
      <w:proofErr w:type="spellEnd"/>
      <w:r w:rsidRPr="004E33BE">
        <w:t xml:space="preserve"> Tau province experienced the lowest rise of 2.1% due to </w:t>
      </w:r>
      <w:r w:rsidR="00C57BE8">
        <w:t>a</w:t>
      </w:r>
      <w:r w:rsidR="00C57BE8" w:rsidRPr="004E33BE">
        <w:t xml:space="preserve"> </w:t>
      </w:r>
      <w:r w:rsidRPr="004E33BE">
        <w:t xml:space="preserve">fall in extraction of crude oil. The IIP in November compared to the same time point of previous year in large-sized industrial provinces as follows: Hai </w:t>
      </w:r>
      <w:proofErr w:type="spellStart"/>
      <w:r w:rsidRPr="004E33BE">
        <w:t>Phong</w:t>
      </w:r>
      <w:proofErr w:type="spellEnd"/>
      <w:r w:rsidRPr="004E33BE">
        <w:t xml:space="preserve"> soared 25.7%; Vinh </w:t>
      </w:r>
      <w:proofErr w:type="spellStart"/>
      <w:r w:rsidRPr="004E33BE">
        <w:t>Phuc</w:t>
      </w:r>
      <w:proofErr w:type="spellEnd"/>
      <w:r w:rsidRPr="004E33BE">
        <w:t xml:space="preserve"> surged by 14.9%; Thai Nguyen jumped up 12.3%; </w:t>
      </w:r>
      <w:proofErr w:type="spellStart"/>
      <w:r w:rsidRPr="004E33BE">
        <w:t>Binh</w:t>
      </w:r>
      <w:proofErr w:type="spellEnd"/>
      <w:r w:rsidRPr="004E33BE">
        <w:t xml:space="preserve"> Duong went up 9.5%; Hai Duong edged up 9.2%; </w:t>
      </w:r>
      <w:proofErr w:type="spellStart"/>
      <w:r w:rsidRPr="004E33BE">
        <w:t>Quang</w:t>
      </w:r>
      <w:proofErr w:type="spellEnd"/>
      <w:r w:rsidRPr="004E33BE">
        <w:t xml:space="preserve"> </w:t>
      </w:r>
      <w:proofErr w:type="spellStart"/>
      <w:r w:rsidRPr="004E33BE">
        <w:t>Ninh</w:t>
      </w:r>
      <w:proofErr w:type="spellEnd"/>
      <w:r w:rsidRPr="004E33BE">
        <w:t xml:space="preserve"> grew up 9.1%; Dong </w:t>
      </w:r>
      <w:proofErr w:type="spellStart"/>
      <w:r w:rsidRPr="004E33BE">
        <w:t>Nai</w:t>
      </w:r>
      <w:proofErr w:type="spellEnd"/>
      <w:r w:rsidRPr="004E33BE">
        <w:t xml:space="preserve"> rose 8.9%; </w:t>
      </w:r>
      <w:proofErr w:type="spellStart"/>
      <w:r w:rsidRPr="004E33BE">
        <w:t>Bac</w:t>
      </w:r>
      <w:proofErr w:type="spellEnd"/>
      <w:r w:rsidRPr="004E33BE">
        <w:t xml:space="preserve"> </w:t>
      </w:r>
      <w:proofErr w:type="spellStart"/>
      <w:r w:rsidRPr="004E33BE">
        <w:t>Ninh</w:t>
      </w:r>
      <w:proofErr w:type="spellEnd"/>
      <w:r w:rsidRPr="004E33BE">
        <w:t xml:space="preserve"> climbed up 8.4%; and Can </w:t>
      </w:r>
      <w:proofErr w:type="spellStart"/>
      <w:r w:rsidRPr="004E33BE">
        <w:t>Tho</w:t>
      </w:r>
      <w:proofErr w:type="spellEnd"/>
      <w:r w:rsidRPr="004E33BE">
        <w:t xml:space="preserve">; Ho Chi Minh city; Ha </w:t>
      </w:r>
      <w:proofErr w:type="spellStart"/>
      <w:r w:rsidRPr="004E33BE">
        <w:t>Noi</w:t>
      </w:r>
      <w:proofErr w:type="spellEnd"/>
      <w:r w:rsidRPr="004E33BE">
        <w:t xml:space="preserve">; </w:t>
      </w:r>
      <w:proofErr w:type="spellStart"/>
      <w:r w:rsidRPr="004E33BE">
        <w:t>Da</w:t>
      </w:r>
      <w:proofErr w:type="spellEnd"/>
      <w:r w:rsidRPr="004E33BE">
        <w:t xml:space="preserve"> Nang; </w:t>
      </w:r>
      <w:proofErr w:type="spellStart"/>
      <w:r w:rsidRPr="004E33BE">
        <w:t>Quang</w:t>
      </w:r>
      <w:proofErr w:type="spellEnd"/>
      <w:r w:rsidRPr="004E33BE">
        <w:t xml:space="preserve"> Nam increased by 8.1%, 8%, 7.4%, 7.2% and 6.9% respectively. </w:t>
      </w:r>
    </w:p>
    <w:p w:rsidR="00E716FF" w:rsidRPr="004E33BE" w:rsidRDefault="00E716FF" w:rsidP="004F15B3">
      <w:pPr>
        <w:shd w:val="clear" w:color="auto" w:fill="FFFFFF"/>
        <w:spacing w:before="40" w:after="40" w:line="283" w:lineRule="auto"/>
        <w:ind w:right="29" w:firstLine="567"/>
        <w:jc w:val="both"/>
      </w:pPr>
      <w:r w:rsidRPr="004E33BE">
        <w:lastRenderedPageBreak/>
        <w:t>Employees working in industrial enterprises as of 1</w:t>
      </w:r>
      <w:r w:rsidRPr="004F15B3">
        <w:t>st</w:t>
      </w:r>
      <w:r w:rsidRPr="004E33BE">
        <w:t xml:space="preserve"> November 2018 rose 3% in comparison with the same period of previous year, of which the employees in State owned enterprises decreased by 0.9%; the employees in non</w:t>
      </w:r>
      <w:r w:rsidR="00C57BE8">
        <w:t>-</w:t>
      </w:r>
      <w:r w:rsidRPr="004E33BE">
        <w:t>state enterprises and FDI enterprises grew up 4.1% and 3.4% respectively. At the same time, the employees in mining and quarrying enterprises fell by 1.2% year-on-year; the employees in manufacturing; electricity production and distribution; water supply, waste and sewerage remediation activities witnessed the corresponding rise of 3.4%, 0.1% and 0.5%.</w:t>
      </w:r>
    </w:p>
    <w:p w:rsidR="00243F91" w:rsidRPr="004E33BE" w:rsidRDefault="00E716FF" w:rsidP="004F15B3">
      <w:pPr>
        <w:shd w:val="clear" w:color="auto" w:fill="FFFFFF"/>
        <w:spacing w:before="40" w:after="40" w:line="283" w:lineRule="auto"/>
        <w:ind w:right="29" w:firstLine="567"/>
        <w:jc w:val="both"/>
      </w:pPr>
      <w:r w:rsidRPr="004E33BE">
        <w:t>Employees in industrial enterprises as of 1</w:t>
      </w:r>
      <w:r w:rsidRPr="004F15B3">
        <w:t>st</w:t>
      </w:r>
      <w:r w:rsidRPr="004E33BE">
        <w:t xml:space="preserve"> November 2018 compared to the same time point of previous year in large-sized industrial provinces as follows: Hai </w:t>
      </w:r>
      <w:proofErr w:type="spellStart"/>
      <w:r w:rsidRPr="004E33BE">
        <w:t>Phong</w:t>
      </w:r>
      <w:proofErr w:type="spellEnd"/>
      <w:r w:rsidRPr="004E33BE">
        <w:t xml:space="preserve">; </w:t>
      </w:r>
      <w:proofErr w:type="spellStart"/>
      <w:r w:rsidRPr="004E33BE">
        <w:t>Ba</w:t>
      </w:r>
      <w:proofErr w:type="spellEnd"/>
      <w:r w:rsidRPr="004E33BE">
        <w:t xml:space="preserve"> </w:t>
      </w:r>
      <w:proofErr w:type="spellStart"/>
      <w:r w:rsidRPr="004E33BE">
        <w:t>Ria-Vung</w:t>
      </w:r>
      <w:proofErr w:type="spellEnd"/>
      <w:r w:rsidRPr="004E33BE">
        <w:t xml:space="preserve"> Tau; Ha </w:t>
      </w:r>
      <w:proofErr w:type="spellStart"/>
      <w:r w:rsidRPr="004E33BE">
        <w:t>Noi</w:t>
      </w:r>
      <w:proofErr w:type="spellEnd"/>
      <w:r w:rsidRPr="004E33BE">
        <w:t xml:space="preserve">; Dong </w:t>
      </w:r>
      <w:proofErr w:type="spellStart"/>
      <w:r w:rsidRPr="004E33BE">
        <w:t>Nai</w:t>
      </w:r>
      <w:proofErr w:type="spellEnd"/>
      <w:r w:rsidRPr="004E33BE">
        <w:t xml:space="preserve">; Hai Duong; </w:t>
      </w:r>
      <w:proofErr w:type="spellStart"/>
      <w:r w:rsidRPr="004E33BE">
        <w:t>Quang</w:t>
      </w:r>
      <w:proofErr w:type="spellEnd"/>
      <w:r w:rsidRPr="004E33BE">
        <w:t xml:space="preserve"> </w:t>
      </w:r>
      <w:proofErr w:type="spellStart"/>
      <w:r w:rsidRPr="004E33BE">
        <w:t>Ninh</w:t>
      </w:r>
      <w:proofErr w:type="spellEnd"/>
      <w:r w:rsidRPr="004E33BE">
        <w:t xml:space="preserve">; Can </w:t>
      </w:r>
      <w:proofErr w:type="spellStart"/>
      <w:r w:rsidRPr="004E33BE">
        <w:t>Tho</w:t>
      </w:r>
      <w:proofErr w:type="spellEnd"/>
      <w:r w:rsidRPr="004E33BE">
        <w:t xml:space="preserve"> went up 13%, 6.8%, 5.8%, 4.5%, 2.6%, 2.4% and 1.1% respectively. Ha Chi Minh city and Thai Nguyen both rose 1%; </w:t>
      </w:r>
      <w:proofErr w:type="spellStart"/>
      <w:r w:rsidRPr="004E33BE">
        <w:t>Binh</w:t>
      </w:r>
      <w:proofErr w:type="spellEnd"/>
      <w:r w:rsidRPr="004E33BE">
        <w:t xml:space="preserve"> Duong edged up 0.8%; </w:t>
      </w:r>
      <w:proofErr w:type="spellStart"/>
      <w:r w:rsidRPr="004E33BE">
        <w:t>Quang</w:t>
      </w:r>
      <w:proofErr w:type="spellEnd"/>
      <w:r w:rsidRPr="004E33BE">
        <w:t xml:space="preserve"> Nam accelerated by 0.5%. Meanwhile, Vinh </w:t>
      </w:r>
      <w:proofErr w:type="spellStart"/>
      <w:r w:rsidRPr="004E33BE">
        <w:t>Phuc</w:t>
      </w:r>
      <w:proofErr w:type="spellEnd"/>
      <w:r w:rsidRPr="004E33BE">
        <w:t xml:space="preserve">; </w:t>
      </w:r>
      <w:proofErr w:type="spellStart"/>
      <w:proofErr w:type="gramStart"/>
      <w:r w:rsidRPr="004E33BE">
        <w:t>Bac</w:t>
      </w:r>
      <w:proofErr w:type="spellEnd"/>
      <w:proofErr w:type="gramEnd"/>
      <w:r w:rsidRPr="004E33BE">
        <w:t xml:space="preserve"> </w:t>
      </w:r>
      <w:proofErr w:type="spellStart"/>
      <w:r w:rsidRPr="004E33BE">
        <w:t>Ninh</w:t>
      </w:r>
      <w:proofErr w:type="spellEnd"/>
      <w:r w:rsidRPr="004E33BE">
        <w:t xml:space="preserve">; </w:t>
      </w:r>
      <w:proofErr w:type="spellStart"/>
      <w:r w:rsidRPr="004E33BE">
        <w:t>Da</w:t>
      </w:r>
      <w:proofErr w:type="spellEnd"/>
      <w:r w:rsidRPr="004E33BE">
        <w:t xml:space="preserve"> Nang reduced by 2.7%; 7.9% and 12.3%</w:t>
      </w:r>
      <w:r w:rsidRPr="004F15B3">
        <w:footnoteReference w:id="3"/>
      </w:r>
      <w:r w:rsidRPr="004E33BE">
        <w:t xml:space="preserve"> respectively</w:t>
      </w:r>
      <w:r w:rsidR="001A2EBC" w:rsidRPr="004E33BE">
        <w:t>.</w:t>
      </w:r>
    </w:p>
    <w:p w:rsidR="00E716FF" w:rsidRPr="004E33BE" w:rsidRDefault="004908F8" w:rsidP="00923B85">
      <w:pPr>
        <w:ind w:firstLine="567"/>
        <w:jc w:val="both"/>
        <w:rPr>
          <w:b/>
          <w:color w:val="000000" w:themeColor="text1"/>
        </w:rPr>
      </w:pPr>
      <w:r w:rsidRPr="004E33BE">
        <w:rPr>
          <w:b/>
          <w:bCs/>
        </w:rPr>
        <w:t xml:space="preserve">3. </w:t>
      </w:r>
      <w:r w:rsidR="00E716FF" w:rsidRPr="004E33BE">
        <w:rPr>
          <w:b/>
          <w:color w:val="000000" w:themeColor="text1"/>
        </w:rPr>
        <w:t>Enterprise registration status</w:t>
      </w:r>
      <w:r w:rsidR="00E716FF" w:rsidRPr="004E33BE">
        <w:rPr>
          <w:rStyle w:val="FootnoteReference"/>
          <w:b/>
          <w:color w:val="000000" w:themeColor="text1"/>
        </w:rPr>
        <w:footnoteReference w:id="4"/>
      </w:r>
    </w:p>
    <w:p w:rsidR="00E716FF" w:rsidRPr="004E33BE" w:rsidRDefault="00E716FF" w:rsidP="00E716FF">
      <w:pPr>
        <w:spacing w:before="40" w:after="40" w:line="281" w:lineRule="auto"/>
        <w:ind w:firstLine="567"/>
        <w:jc w:val="both"/>
      </w:pPr>
      <w:r w:rsidRPr="004E33BE">
        <w:t>In November, there were 11,637 newly established enterprises in the whole country with total registered capital of 118.4 trillion VND, down 10.5% in the number of enterprises and 22% in the registered capital compared to the previous month</w:t>
      </w:r>
      <w:r w:rsidRPr="00A30E66">
        <w:rPr>
          <w:vertAlign w:val="superscript"/>
        </w:rPr>
        <w:footnoteReference w:id="5"/>
      </w:r>
      <w:r w:rsidRPr="004E33BE">
        <w:t>; the average registered capital of an enterprise reached 10.2 billion VND, fell of 13.3%; The total number of registered employees of newly established enterprises were 92.3 thousand employees, declining by 12.1%. In the month, there were 3,404 re-operated enterprises, 1.4% lower than the previous month; 6,353 temporarily ceased enterprises (including: 1,952 enterprises registered to cease for a certain period of time and 4,401 enterprises temporarily ceased without registration or awaited dissolution) reduced 5%; 1,554 enterprises completed dissolution procedures, down 12.3%.</w:t>
      </w:r>
    </w:p>
    <w:p w:rsidR="00E716FF" w:rsidRPr="004E33BE" w:rsidRDefault="00E716FF" w:rsidP="00E716FF">
      <w:pPr>
        <w:spacing w:before="40" w:after="40" w:line="281" w:lineRule="auto"/>
        <w:ind w:firstLine="567"/>
        <w:jc w:val="both"/>
      </w:pPr>
      <w:r w:rsidRPr="004E33BE">
        <w:t>Generally for 11 months, the whole country had 121,248 newly registered enterprises with a total registered capital of 1,234.4 trillion VND, an increase of 4.5% in the number of enterprises and 9.1% in registered capital compared to the same period in 2017</w:t>
      </w:r>
      <w:r w:rsidRPr="004E33BE">
        <w:footnoteReference w:id="6"/>
      </w:r>
      <w:r w:rsidRPr="004E33BE">
        <w:t xml:space="preserve">; The average registered capital of a newly established </w:t>
      </w:r>
      <w:r w:rsidRPr="004E33BE">
        <w:lastRenderedPageBreak/>
        <w:t xml:space="preserve">enterprise reached 10.2 billion VND, rose by 4.1%. If including 2,198.2 trillion VND of additional registered capital of enterprises that recorded upward adjustment of capital, the total additional registered capital in the economy in 11 months of 2018 was 3,432.6 trillion VND. </w:t>
      </w:r>
      <w:r w:rsidR="00A30E66" w:rsidRPr="004E33BE">
        <w:t>Besides</w:t>
      </w:r>
      <w:r w:rsidRPr="004E33BE">
        <w:t>, there were 31,869 re-operated enterprises, made up 30.9% over the same period last year, bringing the total number of newly registered enterprises and re-operated enterprises in 11 months over 153.1 thousand enterprises. The total number of registered employees of newly established enterprises in 11 months was 1,107.1 thousand employees, a fall of 4.5% compared to the same period last year.</w:t>
      </w:r>
    </w:p>
    <w:p w:rsidR="00E716FF" w:rsidRPr="004E33BE" w:rsidRDefault="00E716FF" w:rsidP="00E716FF">
      <w:pPr>
        <w:spacing w:before="40" w:after="40" w:line="281" w:lineRule="auto"/>
        <w:ind w:firstLine="567"/>
        <w:jc w:val="both"/>
      </w:pPr>
      <w:r w:rsidRPr="004E33BE">
        <w:t>By economic activities, for 11 months, there were 42.6 thousand newly established enterprises in the wholesale, retail, repair of automobiles and motorbikes (accounting for 35.1% of the total number of newly established enterprises), a growth of 2.3% over the same period last year; 15.6 thousand construction enterprises (accounting for 12.8%), an increase of 5.8%; 15 thousand manufacturing enterprises (sharing 12.3%), making up 0.6%; 9.2 thousand enterprises in the science, technology, consultation service, designing, advertisement and others (ma</w:t>
      </w:r>
      <w:r w:rsidR="00A30E66">
        <w:t>king</w:t>
      </w:r>
      <w:r w:rsidRPr="004E33BE">
        <w:t xml:space="preserve"> </w:t>
      </w:r>
      <w:r w:rsidR="00A30E66">
        <w:t>up</w:t>
      </w:r>
      <w:r w:rsidR="00A30E66" w:rsidRPr="004E33BE">
        <w:t xml:space="preserve"> </w:t>
      </w:r>
      <w:r w:rsidRPr="004E33BE">
        <w:t>7.6%), went up 6.6%; 7.1 thousand enterprises in the employment services, travel, renting and leasing of machinery, equipment and other support services (accounting for 5.8%), an increase of 15.1%; 6.4 thousand enterprises in the real estate activities (</w:t>
      </w:r>
      <w:r w:rsidR="00A30E66" w:rsidRPr="004E33BE">
        <w:t>ma</w:t>
      </w:r>
      <w:r w:rsidR="00A30E66">
        <w:t>king</w:t>
      </w:r>
      <w:r w:rsidR="00A30E66" w:rsidRPr="004E33BE">
        <w:t xml:space="preserve"> </w:t>
      </w:r>
      <w:r w:rsidR="00A30E66">
        <w:t>up</w:t>
      </w:r>
      <w:r w:rsidR="00A30E66" w:rsidRPr="004E33BE" w:rsidDel="00A30E66">
        <w:t xml:space="preserve"> </w:t>
      </w:r>
      <w:r w:rsidRPr="004E33BE">
        <w:t xml:space="preserve">5.3%), rising by 41.7%; 6.3 thousand enterprises in the accommodation and catering services (shared 5.2%), went up 11%; 3.9 thousand enterprises in the transportation and </w:t>
      </w:r>
      <w:r w:rsidR="00A30E66" w:rsidRPr="004E33BE">
        <w:t>storage</w:t>
      </w:r>
      <w:r w:rsidRPr="004E33BE">
        <w:t xml:space="preserve"> (representing 3.2%), downturn 27.7% ...</w:t>
      </w:r>
    </w:p>
    <w:p w:rsidR="00E716FF" w:rsidRPr="004E33BE" w:rsidRDefault="00E716FF" w:rsidP="00E716FF">
      <w:pPr>
        <w:spacing w:before="40" w:after="40" w:line="281" w:lineRule="auto"/>
        <w:ind w:firstLine="567"/>
        <w:jc w:val="both"/>
      </w:pPr>
      <w:r w:rsidRPr="004E33BE">
        <w:t xml:space="preserve">For 11 months, some economic regions had a number of newly registered enterprises increased over the same period last year: the Red River Delta was 35.9 thousand enterprises, an increase of 3% (the registered capital reached 356,7 trillion VND, made up 31.3%); North Central and Central Coastal </w:t>
      </w:r>
      <w:r w:rsidR="006E169E">
        <w:t xml:space="preserve">areas </w:t>
      </w:r>
      <w:r w:rsidRPr="004E33BE">
        <w:t>was 17.3 thousand enterprises, rose by 9.6% (registered capital of 149.4 trillion VND, rising by 1%); South East was 51.7 thousand enterprises, an increase of 5% (registered capital of 567 trillion VND, a fall of 2.1%); Mekong River Delta was 8.5 thousand enterprises, a growth of 3.1% (registered capital of 98.5 trillion VND, a rise of 63.4%). The remaining regions experienced a fall in the number of newly registered enterprises compared to the same period last year: Northern Midlands and Mountains had 4.9 thousand enterprises, downturn 0.8% (the registered capital was 41.9 trillion VND, went up 17.5%); Central Highlands recorded 2.9 thousand enterprises, decreased by 1.3% (the registered capital was 20.9 trillion VND, a cut down of 5.3%).</w:t>
      </w:r>
    </w:p>
    <w:p w:rsidR="00E716FF" w:rsidRPr="004E33BE" w:rsidRDefault="00E716FF" w:rsidP="00E716FF">
      <w:pPr>
        <w:spacing w:before="40" w:after="40" w:line="281" w:lineRule="auto"/>
        <w:ind w:firstLine="567"/>
        <w:jc w:val="both"/>
      </w:pPr>
      <w:r w:rsidRPr="004E33BE">
        <w:lastRenderedPageBreak/>
        <w:t xml:space="preserve">For 11 months, the number of </w:t>
      </w:r>
      <w:r w:rsidR="006E169E" w:rsidRPr="004E33BE">
        <w:t>temporarily</w:t>
      </w:r>
      <w:r w:rsidRPr="004E33BE">
        <w:t xml:space="preserve"> ceased enterprises was 83,108 enterprises, an increase of 49.3% compared to the same period last year, including 25,977 enterprises ceased for a certain period of time, made up 24.8% and 57,131 enterprises temporarily ceased without registration or awaited dissolution, increasing 64%</w:t>
      </w:r>
      <w:r w:rsidRPr="006E169E">
        <w:rPr>
          <w:vertAlign w:val="superscript"/>
        </w:rPr>
        <w:footnoteReference w:id="7"/>
      </w:r>
      <w:r w:rsidRPr="004E33BE">
        <w:t>. By economic activities, there were 10.2 thousand enterprises ceased for a certain period of time in the wholesale, retail, repair of automobiles and motorbikes registered (accounting for 39.4%), rose by 24.2 % compared to the same period last year; 3.8 thousand construction enterprises (accounting for 14.7%), made up 24.6%; 3.2 thousand manufacturing enterprises (accounting for 12.3%), going up 18.8%; 1.5 thousand enterprises in the accommodation and catering services (accounting for 5.7%), making up 28.2% ... For temporarily ceased</w:t>
      </w:r>
      <w:r w:rsidR="002F37EC">
        <w:t xml:space="preserve"> </w:t>
      </w:r>
      <w:r w:rsidR="002F37EC" w:rsidRPr="004E33BE">
        <w:t>enterprises</w:t>
      </w:r>
      <w:r w:rsidRPr="004E33BE">
        <w:t xml:space="preserve"> without registration or awaited dissolution</w:t>
      </w:r>
      <w:r w:rsidR="00A4683E">
        <w:t>,</w:t>
      </w:r>
      <w:r w:rsidRPr="004E33BE">
        <w:t xml:space="preserve"> the wholesale and retail, repair of automobiles and motorbikes gained 20.1 thousand enterprises (accounting for 35.2%), went up 39.8% over the same period last year; 8.4 thousand construction enterprises (accounting for 14.7%), shared 73.6%; 7.1 thousand manufacturing enterprises (accounting for 12.5%), increased by 79%; 3.1 thousand enterprises in the accommodation and catering services (accounting for 5.5%), went up 86.8% ...</w:t>
      </w:r>
    </w:p>
    <w:p w:rsidR="00CC1BE9" w:rsidRPr="004E33BE" w:rsidRDefault="00E716FF" w:rsidP="00E716FF">
      <w:pPr>
        <w:spacing w:before="40" w:after="40" w:line="288" w:lineRule="auto"/>
        <w:ind w:right="45" w:firstLine="567"/>
        <w:jc w:val="both"/>
        <w:rPr>
          <w:b/>
          <w:bCs/>
        </w:rPr>
      </w:pPr>
      <w:r w:rsidRPr="004E33BE">
        <w:t>In November, the number of enterprises</w:t>
      </w:r>
      <w:r w:rsidR="009F56D8">
        <w:t xml:space="preserve"> which</w:t>
      </w:r>
      <w:r w:rsidRPr="004E33BE">
        <w:t xml:space="preserve"> completed dissolution procedures</w:t>
      </w:r>
      <w:r w:rsidR="009F56D8">
        <w:t>,</w:t>
      </w:r>
      <w:r w:rsidRPr="004E33BE">
        <w:t xml:space="preserve"> was 14,861 enterprises, an increase of 37.4% compared to the same period last year, of which 13,598 the enterprises with capital size of less than 10 billion VND, accounting for 91.5% and increased by 37.3%. Enterprises completed dissolution procedures mainly focused in the economic activities: wholesale, retail, repair of automobiles and motorbikes with 5.6 thousand enterprises, up 34.2% over the same period last year; the manufacturing: 2 thousand enterprises, rose up 44.6%; the construction activity: 1.7 thousand enterprises, jumped up 48.9%.</w:t>
      </w:r>
    </w:p>
    <w:p w:rsidR="00E716FF" w:rsidRPr="004E33BE" w:rsidRDefault="003A35EA" w:rsidP="00923B85">
      <w:pPr>
        <w:spacing w:before="40" w:after="40" w:line="283" w:lineRule="auto"/>
        <w:ind w:firstLine="567"/>
        <w:jc w:val="both"/>
        <w:rPr>
          <w:b/>
          <w:bCs/>
        </w:rPr>
      </w:pPr>
      <w:r w:rsidRPr="004E33BE">
        <w:rPr>
          <w:b/>
          <w:bCs/>
        </w:rPr>
        <w:t xml:space="preserve">4. </w:t>
      </w:r>
      <w:r w:rsidR="00E716FF" w:rsidRPr="004E33BE">
        <w:rPr>
          <w:b/>
          <w:bCs/>
        </w:rPr>
        <w:t>Investment</w:t>
      </w:r>
    </w:p>
    <w:p w:rsidR="00E716FF" w:rsidRPr="004E33BE" w:rsidRDefault="00E716FF" w:rsidP="00E716FF">
      <w:pPr>
        <w:spacing w:before="40" w:after="40" w:line="293" w:lineRule="auto"/>
        <w:ind w:firstLine="567"/>
        <w:jc w:val="both"/>
      </w:pPr>
      <w:r w:rsidRPr="004E33BE">
        <w:t>In November 2018, the realized investment of the State budget was estimated at 36.7 trillion VND, increasing by 15.4% over the same period of the previous year, including:</w:t>
      </w:r>
      <w:r w:rsidRPr="004E33BE">
        <w:rPr>
          <w:iCs/>
        </w:rPr>
        <w:t xml:space="preserve"> The central capital</w:t>
      </w:r>
      <w:r w:rsidR="00A4683E">
        <w:rPr>
          <w:iCs/>
        </w:rPr>
        <w:t xml:space="preserve"> </w:t>
      </w:r>
      <w:r w:rsidR="009F56D8">
        <w:rPr>
          <w:iCs/>
        </w:rPr>
        <w:t>was</w:t>
      </w:r>
      <w:r w:rsidRPr="004E33BE">
        <w:rPr>
          <w:iCs/>
        </w:rPr>
        <w:t xml:space="preserve"> 6.7 trillion VND, decreased by 0.3%; the local capital</w:t>
      </w:r>
      <w:r w:rsidR="009F56D8">
        <w:rPr>
          <w:iCs/>
        </w:rPr>
        <w:t xml:space="preserve"> was</w:t>
      </w:r>
      <w:r w:rsidRPr="004E33BE">
        <w:rPr>
          <w:iCs/>
        </w:rPr>
        <w:t xml:space="preserve"> 30 trillion VND, went down 19.6%.  Generally </w:t>
      </w:r>
      <w:r w:rsidR="009F56D8">
        <w:rPr>
          <w:iCs/>
        </w:rPr>
        <w:t>for</w:t>
      </w:r>
      <w:r w:rsidR="009F56D8" w:rsidRPr="004E33BE">
        <w:rPr>
          <w:iCs/>
        </w:rPr>
        <w:t xml:space="preserve"> </w:t>
      </w:r>
      <w:r w:rsidRPr="004E33BE">
        <w:rPr>
          <w:iCs/>
        </w:rPr>
        <w:t>11 months,</w:t>
      </w:r>
      <w:r w:rsidRPr="004E33BE">
        <w:t xml:space="preserve"> the realized investment of the State budget reached 284.7 trillion VND, equaling 82.1% </w:t>
      </w:r>
      <w:r w:rsidRPr="004E33BE">
        <w:rPr>
          <w:iCs/>
        </w:rPr>
        <w:t>of the year</w:t>
      </w:r>
      <w:r w:rsidR="009F56D8">
        <w:rPr>
          <w:iCs/>
        </w:rPr>
        <w:t>ly</w:t>
      </w:r>
      <w:r w:rsidRPr="004E33BE">
        <w:rPr>
          <w:iCs/>
        </w:rPr>
        <w:t xml:space="preserve"> plan and increasing by 12.8% compared to </w:t>
      </w:r>
      <w:r w:rsidRPr="004E33BE">
        <w:rPr>
          <w:iCs/>
        </w:rPr>
        <w:lastRenderedPageBreak/>
        <w:t>the same period of the previous year (the rates in the same period in 2017 were 82% and 7.5% respectively), including:</w:t>
      </w:r>
    </w:p>
    <w:p w:rsidR="00E716FF" w:rsidRPr="004E33BE" w:rsidRDefault="00E716FF" w:rsidP="00E716FF">
      <w:pPr>
        <w:pStyle w:val="Normal1"/>
        <w:spacing w:before="40" w:beforeAutospacing="0" w:after="40" w:afterAutospacing="0" w:line="286" w:lineRule="auto"/>
        <w:ind w:firstLine="567"/>
        <w:jc w:val="both"/>
        <w:rPr>
          <w:rFonts w:ascii="Times New Roman" w:hAnsi="Times New Roman" w:cs="Times New Roman"/>
          <w:iCs/>
          <w:sz w:val="28"/>
          <w:szCs w:val="28"/>
        </w:rPr>
      </w:pPr>
      <w:r w:rsidRPr="004E33BE">
        <w:rPr>
          <w:rFonts w:ascii="Times New Roman" w:hAnsi="Times New Roman" w:cs="Times New Roman"/>
          <w:iCs/>
          <w:sz w:val="28"/>
          <w:szCs w:val="28"/>
        </w:rPr>
        <w:t>- The capital under central management reached 52.4</w:t>
      </w:r>
      <w:r w:rsidRPr="004E33BE">
        <w:rPr>
          <w:rFonts w:ascii="Times New Roman" w:hAnsi="Times New Roman" w:cs="Times New Roman"/>
          <w:spacing w:val="-2"/>
          <w:sz w:val="28"/>
          <w:szCs w:val="28"/>
        </w:rPr>
        <w:t xml:space="preserve"> </w:t>
      </w:r>
      <w:r w:rsidRPr="004E33BE">
        <w:rPr>
          <w:rFonts w:ascii="Times New Roman" w:hAnsi="Times New Roman" w:cs="Times New Roman"/>
          <w:iCs/>
          <w:sz w:val="28"/>
          <w:szCs w:val="28"/>
        </w:rPr>
        <w:t>trillion VND, equaling 79.6% of the year</w:t>
      </w:r>
      <w:r w:rsidR="00981C60">
        <w:rPr>
          <w:rFonts w:ascii="Times New Roman" w:hAnsi="Times New Roman" w:cs="Times New Roman"/>
          <w:iCs/>
          <w:sz w:val="28"/>
          <w:szCs w:val="28"/>
        </w:rPr>
        <w:t>ly</w:t>
      </w:r>
      <w:r w:rsidRPr="004E33BE">
        <w:rPr>
          <w:rFonts w:ascii="Times New Roman" w:hAnsi="Times New Roman" w:cs="Times New Roman"/>
          <w:iCs/>
          <w:sz w:val="28"/>
          <w:szCs w:val="28"/>
        </w:rPr>
        <w:t xml:space="preserve"> plan and decreasing by 5.9% over the same period last year, of which, the realized investment under management of the Ministry of Transportation reached 16.4 trillion VND, equaling 88.9% and going down 42.3%; Ministry of Agriculture and Rural Development: 5,747</w:t>
      </w:r>
      <w:r w:rsidRPr="004E33BE">
        <w:rPr>
          <w:rFonts w:ascii="Times New Roman" w:hAnsi="Times New Roman" w:cs="Times New Roman"/>
          <w:sz w:val="28"/>
          <w:szCs w:val="28"/>
        </w:rPr>
        <w:t xml:space="preserve"> </w:t>
      </w:r>
      <w:r w:rsidRPr="004E33BE">
        <w:rPr>
          <w:rFonts w:ascii="Times New Roman" w:hAnsi="Times New Roman" w:cs="Times New Roman"/>
          <w:iCs/>
          <w:sz w:val="28"/>
          <w:szCs w:val="28"/>
        </w:rPr>
        <w:t xml:space="preserve"> billion VND, equaling 71.2% and increasing by 9.3%; Ministry of Health: 2,271 billion VND, equaling 68.7% and decreasing by 33.5%; Ministry of Natural Resources and Environment: 1,105 billion VND, equaling 74.5% and increasing by 52.4%; Ministry of Education and Training: 571 billion VND, equaling 67.9% and increasing by 33.7%; Ministry of Culture, Sports and Tourism: 571 billion VND, equaling 76% and increasing by 15.8%; Ministry of Construction: 234 billion VND, equaling 85.8% and falling 47.3%; Ministry of Science and Technology: 192 billion VND, equaling 79.4% and increasing by 56.6%; Ministry of Industry and Trade: 186 billion VND, equaling 84.5% and going down 13.7%; Ministry of Information and Communications: 107 billion VND, equaling 80.1% and rising by 18.2%.</w:t>
      </w:r>
    </w:p>
    <w:p w:rsidR="00E716FF" w:rsidRPr="004E33BE" w:rsidRDefault="00E716FF" w:rsidP="00E716FF">
      <w:pPr>
        <w:pStyle w:val="Normal1"/>
        <w:spacing w:before="40" w:beforeAutospacing="0" w:after="40" w:afterAutospacing="0" w:line="286" w:lineRule="auto"/>
        <w:ind w:firstLine="567"/>
        <w:jc w:val="both"/>
        <w:rPr>
          <w:rFonts w:ascii="Times New Roman" w:hAnsi="Times New Roman" w:cs="Times New Roman"/>
          <w:sz w:val="28"/>
          <w:szCs w:val="28"/>
        </w:rPr>
      </w:pPr>
      <w:r w:rsidRPr="004E33BE">
        <w:rPr>
          <w:rFonts w:ascii="Times New Roman" w:hAnsi="Times New Roman" w:cs="Times New Roman"/>
          <w:sz w:val="28"/>
          <w:szCs w:val="28"/>
        </w:rPr>
        <w:t>- The capital under local management reached 232.3</w:t>
      </w:r>
      <w:r w:rsidRPr="004E33BE">
        <w:rPr>
          <w:rFonts w:ascii="Times New Roman" w:hAnsi="Times New Roman" w:cs="Times New Roman"/>
          <w:spacing w:val="-2"/>
          <w:sz w:val="28"/>
          <w:szCs w:val="28"/>
        </w:rPr>
        <w:t xml:space="preserve"> </w:t>
      </w:r>
      <w:r w:rsidRPr="004E33BE">
        <w:rPr>
          <w:rFonts w:ascii="Times New Roman" w:hAnsi="Times New Roman" w:cs="Times New Roman"/>
          <w:sz w:val="28"/>
          <w:szCs w:val="28"/>
        </w:rPr>
        <w:t>trillion VND, equaling 82.7% of the year plan and rising 18.1% over the same period in 2017, of which: The State budget capital at provincial level reached 162.9 trillion VND, equaling 79.4% and going up 19.8%; the State budget capital at district level reached 58.4 trillion VND, equaling 89% and increasing 15.3%; the State budget capital at commune level reached 11</w:t>
      </w:r>
      <w:r w:rsidRPr="004E33BE">
        <w:rPr>
          <w:rFonts w:ascii="Times New Roman" w:hAnsi="Times New Roman" w:cs="Times New Roman"/>
          <w:spacing w:val="-2"/>
          <w:sz w:val="28"/>
          <w:szCs w:val="28"/>
        </w:rPr>
        <w:t xml:space="preserve"> </w:t>
      </w:r>
      <w:r w:rsidRPr="004E33BE">
        <w:rPr>
          <w:rFonts w:ascii="Times New Roman" w:hAnsi="Times New Roman" w:cs="Times New Roman"/>
          <w:sz w:val="28"/>
          <w:szCs w:val="28"/>
        </w:rPr>
        <w:t xml:space="preserve">trillion VND, equaling 107.8% and increasing by 9.9%. The realized investment from the State budget of some provinces and cities directly under the Central Government of 11 months in 2018 was as follows: Ha </w:t>
      </w:r>
      <w:proofErr w:type="spellStart"/>
      <w:r w:rsidRPr="004E33BE">
        <w:rPr>
          <w:rFonts w:ascii="Times New Roman" w:hAnsi="Times New Roman" w:cs="Times New Roman"/>
          <w:sz w:val="28"/>
          <w:szCs w:val="28"/>
        </w:rPr>
        <w:t>Noi</w:t>
      </w:r>
      <w:proofErr w:type="spellEnd"/>
      <w:r w:rsidRPr="004E33BE">
        <w:rPr>
          <w:rFonts w:ascii="Times New Roman" w:hAnsi="Times New Roman" w:cs="Times New Roman"/>
          <w:sz w:val="28"/>
          <w:szCs w:val="28"/>
        </w:rPr>
        <w:t xml:space="preserve"> capital reached 31.9</w:t>
      </w:r>
      <w:r w:rsidRPr="004E33BE">
        <w:rPr>
          <w:rFonts w:ascii="Times New Roman" w:hAnsi="Times New Roman" w:cs="Times New Roman"/>
          <w:spacing w:val="-2"/>
          <w:sz w:val="28"/>
          <w:szCs w:val="28"/>
        </w:rPr>
        <w:t xml:space="preserve"> </w:t>
      </w:r>
      <w:r w:rsidRPr="004E33BE">
        <w:rPr>
          <w:rFonts w:ascii="Times New Roman" w:hAnsi="Times New Roman" w:cs="Times New Roman"/>
          <w:sz w:val="28"/>
          <w:szCs w:val="28"/>
        </w:rPr>
        <w:t xml:space="preserve">trillion VND, equaling 83.7% of the year plan and rising 7.2% compared to the same period of the previous year; Ho Chi Minh City: 23.2 trillion VND, equaling 64.6% and increasing by 23.1%; </w:t>
      </w:r>
      <w:proofErr w:type="spellStart"/>
      <w:r w:rsidRPr="004E33BE">
        <w:rPr>
          <w:rFonts w:ascii="Times New Roman" w:hAnsi="Times New Roman" w:cs="Times New Roman"/>
          <w:sz w:val="28"/>
          <w:szCs w:val="28"/>
        </w:rPr>
        <w:t>Quang</w:t>
      </w:r>
      <w:proofErr w:type="spellEnd"/>
      <w:r w:rsidRPr="004E33BE">
        <w:rPr>
          <w:rFonts w:ascii="Times New Roman" w:hAnsi="Times New Roman" w:cs="Times New Roman"/>
          <w:sz w:val="28"/>
          <w:szCs w:val="28"/>
        </w:rPr>
        <w:t xml:space="preserve"> </w:t>
      </w:r>
      <w:proofErr w:type="spellStart"/>
      <w:r w:rsidRPr="004E33BE">
        <w:rPr>
          <w:rFonts w:ascii="Times New Roman" w:hAnsi="Times New Roman" w:cs="Times New Roman"/>
          <w:sz w:val="28"/>
          <w:szCs w:val="28"/>
        </w:rPr>
        <w:t>Ninh</w:t>
      </w:r>
      <w:proofErr w:type="spellEnd"/>
      <w:r w:rsidRPr="004E33BE">
        <w:rPr>
          <w:rFonts w:ascii="Times New Roman" w:hAnsi="Times New Roman" w:cs="Times New Roman"/>
          <w:sz w:val="28"/>
          <w:szCs w:val="28"/>
        </w:rPr>
        <w:t xml:space="preserve"> province: 9.8 trillion VND, equaling 75.8% and rising by 40.5%; Hai </w:t>
      </w:r>
      <w:proofErr w:type="spellStart"/>
      <w:r w:rsidRPr="004E33BE">
        <w:rPr>
          <w:rFonts w:ascii="Times New Roman" w:hAnsi="Times New Roman" w:cs="Times New Roman"/>
          <w:sz w:val="28"/>
          <w:szCs w:val="28"/>
        </w:rPr>
        <w:t>Phong</w:t>
      </w:r>
      <w:proofErr w:type="spellEnd"/>
      <w:r w:rsidRPr="004E33BE">
        <w:rPr>
          <w:rFonts w:ascii="Times New Roman" w:hAnsi="Times New Roman" w:cs="Times New Roman"/>
          <w:sz w:val="28"/>
          <w:szCs w:val="28"/>
        </w:rPr>
        <w:t xml:space="preserve"> province: 8.9 trillion VND, equaling 97.3% and going up 37.1%; </w:t>
      </w:r>
      <w:proofErr w:type="spellStart"/>
      <w:r w:rsidRPr="004E33BE">
        <w:rPr>
          <w:rFonts w:ascii="Times New Roman" w:hAnsi="Times New Roman" w:cs="Times New Roman"/>
          <w:sz w:val="28"/>
          <w:szCs w:val="28"/>
        </w:rPr>
        <w:t>Binh</w:t>
      </w:r>
      <w:proofErr w:type="spellEnd"/>
      <w:r w:rsidRPr="004E33BE">
        <w:rPr>
          <w:rFonts w:ascii="Times New Roman" w:hAnsi="Times New Roman" w:cs="Times New Roman"/>
          <w:sz w:val="28"/>
          <w:szCs w:val="28"/>
        </w:rPr>
        <w:t xml:space="preserve"> Duong province: 6.9 trillion VND, equaling 86.5% and rising by 11.5%; Dong </w:t>
      </w:r>
      <w:proofErr w:type="spellStart"/>
      <w:r w:rsidRPr="004E33BE">
        <w:rPr>
          <w:rFonts w:ascii="Times New Roman" w:hAnsi="Times New Roman" w:cs="Times New Roman"/>
          <w:sz w:val="28"/>
          <w:szCs w:val="28"/>
        </w:rPr>
        <w:t>Nai</w:t>
      </w:r>
      <w:proofErr w:type="spellEnd"/>
      <w:r w:rsidRPr="004E33BE">
        <w:rPr>
          <w:rFonts w:ascii="Times New Roman" w:hAnsi="Times New Roman" w:cs="Times New Roman"/>
          <w:sz w:val="28"/>
          <w:szCs w:val="28"/>
        </w:rPr>
        <w:t xml:space="preserve"> province: 6.1 trillion VND, equaling 84.3% and increasing by 26%; </w:t>
      </w:r>
      <w:proofErr w:type="spellStart"/>
      <w:r w:rsidRPr="004E33BE">
        <w:rPr>
          <w:rFonts w:ascii="Times New Roman" w:hAnsi="Times New Roman" w:cs="Times New Roman"/>
          <w:sz w:val="28"/>
          <w:szCs w:val="28"/>
        </w:rPr>
        <w:t>Ba</w:t>
      </w:r>
      <w:proofErr w:type="spellEnd"/>
      <w:r w:rsidRPr="004E33BE">
        <w:rPr>
          <w:rFonts w:ascii="Times New Roman" w:hAnsi="Times New Roman" w:cs="Times New Roman"/>
          <w:sz w:val="28"/>
          <w:szCs w:val="28"/>
        </w:rPr>
        <w:t xml:space="preserve"> </w:t>
      </w:r>
      <w:proofErr w:type="spellStart"/>
      <w:r w:rsidRPr="004E33BE">
        <w:rPr>
          <w:rFonts w:ascii="Times New Roman" w:hAnsi="Times New Roman" w:cs="Times New Roman"/>
          <w:sz w:val="28"/>
          <w:szCs w:val="28"/>
        </w:rPr>
        <w:t>Ria-Vung</w:t>
      </w:r>
      <w:proofErr w:type="spellEnd"/>
      <w:r w:rsidRPr="004E33BE">
        <w:rPr>
          <w:rFonts w:ascii="Times New Roman" w:hAnsi="Times New Roman" w:cs="Times New Roman"/>
          <w:sz w:val="28"/>
          <w:szCs w:val="28"/>
        </w:rPr>
        <w:t xml:space="preserve"> Tau province: 6 trillion VND, equaling 92% and increasing by 42.2%; Thanh </w:t>
      </w:r>
      <w:proofErr w:type="spellStart"/>
      <w:r w:rsidRPr="004E33BE">
        <w:rPr>
          <w:rFonts w:ascii="Times New Roman" w:hAnsi="Times New Roman" w:cs="Times New Roman"/>
          <w:sz w:val="28"/>
          <w:szCs w:val="28"/>
        </w:rPr>
        <w:t>Hoa</w:t>
      </w:r>
      <w:proofErr w:type="spellEnd"/>
      <w:r w:rsidRPr="004E33BE">
        <w:rPr>
          <w:rFonts w:ascii="Times New Roman" w:hAnsi="Times New Roman" w:cs="Times New Roman"/>
          <w:sz w:val="28"/>
          <w:szCs w:val="28"/>
        </w:rPr>
        <w:t xml:space="preserve"> province: 5.7 trillion VND, equaling 90.7% and increasing by 31.7%.  </w:t>
      </w:r>
    </w:p>
    <w:p w:rsidR="00E716FF" w:rsidRPr="004E33BE" w:rsidRDefault="00E716FF" w:rsidP="00E716FF">
      <w:pPr>
        <w:pStyle w:val="Normal1"/>
        <w:spacing w:before="40" w:beforeAutospacing="0" w:after="40" w:afterAutospacing="0" w:line="286" w:lineRule="auto"/>
        <w:ind w:firstLine="567"/>
        <w:jc w:val="both"/>
        <w:rPr>
          <w:rFonts w:ascii="Times New Roman" w:hAnsi="Times New Roman" w:cs="Times New Roman"/>
          <w:sz w:val="28"/>
          <w:szCs w:val="28"/>
        </w:rPr>
      </w:pPr>
      <w:r w:rsidRPr="004E33BE">
        <w:rPr>
          <w:rFonts w:ascii="Times New Roman" w:hAnsi="Times New Roman" w:cs="Times New Roman"/>
          <w:sz w:val="28"/>
          <w:szCs w:val="28"/>
        </w:rPr>
        <w:lastRenderedPageBreak/>
        <w:t>Foreign direct investment from the beginning of the year to 20</w:t>
      </w:r>
      <w:r w:rsidRPr="004E33BE">
        <w:rPr>
          <w:rFonts w:ascii="Times New Roman" w:hAnsi="Times New Roman" w:cs="Times New Roman"/>
          <w:sz w:val="28"/>
          <w:szCs w:val="28"/>
          <w:vertAlign w:val="superscript"/>
        </w:rPr>
        <w:t>th</w:t>
      </w:r>
      <w:r w:rsidRPr="004E33BE">
        <w:rPr>
          <w:rFonts w:ascii="Times New Roman" w:hAnsi="Times New Roman" w:cs="Times New Roman"/>
          <w:sz w:val="28"/>
          <w:szCs w:val="28"/>
        </w:rPr>
        <w:t xml:space="preserve"> November, 2018 attracted 2,714 newly licensed projects with a registered capital of 15,788.4 million USD, an increase of 18.4% in number of projects and a fall of 20.3% of registered capital compared to the same period in 2017. Besides, 1,059 projects which were licensed in the previous year registered to adjust investment with an additional capital of 7,403.3 million USD, a reduction of 7.4% compared to the same period last year. Thus, the total newly registered and additional registered capital of 11 months reached 23,191.7 million USD, a decrease of 16.6% compared to the same period of 2017. </w:t>
      </w:r>
      <w:r w:rsidR="00DC1040">
        <w:rPr>
          <w:rFonts w:ascii="Times New Roman" w:hAnsi="Times New Roman" w:cs="Times New Roman"/>
          <w:sz w:val="28"/>
          <w:szCs w:val="28"/>
        </w:rPr>
        <w:t>The r</w:t>
      </w:r>
      <w:r w:rsidRPr="004E33BE">
        <w:rPr>
          <w:rFonts w:ascii="Times New Roman" w:hAnsi="Times New Roman" w:cs="Times New Roman"/>
          <w:sz w:val="28"/>
          <w:szCs w:val="28"/>
        </w:rPr>
        <w:t xml:space="preserve">ealized foreign direct investment </w:t>
      </w:r>
      <w:r w:rsidR="00DC1040">
        <w:rPr>
          <w:rFonts w:ascii="Times New Roman" w:hAnsi="Times New Roman" w:cs="Times New Roman"/>
          <w:sz w:val="28"/>
          <w:szCs w:val="28"/>
        </w:rPr>
        <w:t>in</w:t>
      </w:r>
      <w:r w:rsidRPr="004E33BE">
        <w:rPr>
          <w:rFonts w:ascii="Times New Roman" w:hAnsi="Times New Roman" w:cs="Times New Roman"/>
          <w:sz w:val="28"/>
          <w:szCs w:val="28"/>
        </w:rPr>
        <w:t xml:space="preserve"> 11 months of this year was estimated to reach 16.5 billion USD, an increase of 3.1% compared to the same period in 2017. In 11 months, there were 5,882 turns of capital contribution and share purchase of foreign investors with the total of 7.64 billion USD, an increase of 44.4% compared to the same period in 2017, of which: 995 turns of capital contributions and share purchases increased the charter capital of the enterprise with the capital contribution of 2.96 billion USD and 4,887 turns of foreign investors repurchased domestic shares without increasing charter capital with the value of 4.68 billion USD.</w:t>
      </w:r>
    </w:p>
    <w:p w:rsidR="00E716FF" w:rsidRPr="004E33BE" w:rsidRDefault="00E716FF" w:rsidP="00E716FF">
      <w:pPr>
        <w:spacing w:before="40" w:after="40" w:line="283" w:lineRule="auto"/>
        <w:ind w:firstLine="567"/>
        <w:jc w:val="both"/>
      </w:pPr>
      <w:r w:rsidRPr="004E33BE">
        <w:t xml:space="preserve">In 11 months, the manufacturing activity attracted the most foreign direct investment with capital of newly licensed projects reaching 7,433.9  million USD, accounted for 47.1% of the total newly registered capital; the real estate activities reached 5,206.9 million USD, accounted for 33%; other sectors reached 3,147.6 million USD, accounted for 19.9%. If including additional registered capital of licensed projects from previous years, foreign direct investment in the manufacturing activity in 11 months of this year reached 12,404.5 million USD, accounted for 53.5 % of total registered capital; the real estate activities reached 5,945.5 million USD, accounted for 25.6%; other sectors reached </w:t>
      </w:r>
      <w:r w:rsidRPr="004E33BE">
        <w:rPr>
          <w:spacing w:val="-4"/>
        </w:rPr>
        <w:t xml:space="preserve">4,841.7 </w:t>
      </w:r>
      <w:r w:rsidRPr="004E33BE">
        <w:t xml:space="preserve">million USD, accounted for 20.9%. For capital contribution, buying shares of foreign investors, capital invested in the wholesale and retail trade; repair of motor vehicles and motorcycles reached </w:t>
      </w:r>
      <w:r w:rsidRPr="004E33BE">
        <w:rPr>
          <w:spacing w:val="-2"/>
        </w:rPr>
        <w:t xml:space="preserve">2,328 </w:t>
      </w:r>
      <w:r w:rsidRPr="004E33BE">
        <w:t xml:space="preserve">million USD, accounted for 30.5% of the total capital contribution; the </w:t>
      </w:r>
      <w:r w:rsidR="00DC1040" w:rsidRPr="004E33BE">
        <w:t>manufacturing</w:t>
      </w:r>
      <w:r w:rsidRPr="004E33BE">
        <w:t xml:space="preserve"> activity reached 1,865.1 million USD, accounted for 24.4%; other sectors reached 3,451.3 million USD, accounted for 45.1%.</w:t>
      </w:r>
    </w:p>
    <w:p w:rsidR="00E716FF" w:rsidRPr="004E33BE" w:rsidRDefault="00E716FF" w:rsidP="00E716FF">
      <w:pPr>
        <w:pStyle w:val="Normal1"/>
        <w:spacing w:before="40" w:beforeAutospacing="0" w:after="40" w:afterAutospacing="0" w:line="295" w:lineRule="auto"/>
        <w:ind w:firstLine="567"/>
        <w:jc w:val="both"/>
        <w:rPr>
          <w:rFonts w:ascii="Times New Roman" w:hAnsi="Times New Roman" w:cs="Times New Roman"/>
          <w:sz w:val="28"/>
          <w:szCs w:val="28"/>
        </w:rPr>
      </w:pPr>
      <w:r w:rsidRPr="004E33BE">
        <w:rPr>
          <w:rFonts w:ascii="Times New Roman" w:hAnsi="Times New Roman" w:cs="Times New Roman"/>
          <w:sz w:val="28"/>
          <w:szCs w:val="28"/>
        </w:rPr>
        <w:t xml:space="preserve">In the whole country, there were 54 provinces and centrally-run cities </w:t>
      </w:r>
      <w:r w:rsidR="00427462" w:rsidRPr="004E33BE">
        <w:rPr>
          <w:rFonts w:ascii="Times New Roman" w:hAnsi="Times New Roman" w:cs="Times New Roman"/>
          <w:sz w:val="28"/>
          <w:szCs w:val="28"/>
        </w:rPr>
        <w:t>ha</w:t>
      </w:r>
      <w:r w:rsidR="00427462">
        <w:rPr>
          <w:rFonts w:ascii="Times New Roman" w:hAnsi="Times New Roman" w:cs="Times New Roman"/>
          <w:sz w:val="28"/>
          <w:szCs w:val="28"/>
        </w:rPr>
        <w:t>ving</w:t>
      </w:r>
      <w:r w:rsidR="00427462" w:rsidRPr="004E33BE">
        <w:rPr>
          <w:rFonts w:ascii="Times New Roman" w:hAnsi="Times New Roman" w:cs="Times New Roman"/>
          <w:sz w:val="28"/>
          <w:szCs w:val="28"/>
        </w:rPr>
        <w:t xml:space="preserve"> </w:t>
      </w:r>
      <w:r w:rsidRPr="004E33BE">
        <w:rPr>
          <w:rFonts w:ascii="Times New Roman" w:hAnsi="Times New Roman" w:cs="Times New Roman"/>
          <w:sz w:val="28"/>
          <w:szCs w:val="28"/>
        </w:rPr>
        <w:t xml:space="preserve">newly foreign direct investment projects licensed in 11 months of this year, of which Ha </w:t>
      </w:r>
      <w:proofErr w:type="spellStart"/>
      <w:r w:rsidRPr="004E33BE">
        <w:rPr>
          <w:rFonts w:ascii="Times New Roman" w:hAnsi="Times New Roman" w:cs="Times New Roman"/>
          <w:sz w:val="28"/>
          <w:szCs w:val="28"/>
        </w:rPr>
        <w:t>Noi</w:t>
      </w:r>
      <w:proofErr w:type="spellEnd"/>
      <w:r w:rsidRPr="004E33BE">
        <w:rPr>
          <w:rFonts w:ascii="Times New Roman" w:hAnsi="Times New Roman" w:cs="Times New Roman"/>
          <w:sz w:val="28"/>
          <w:szCs w:val="28"/>
        </w:rPr>
        <w:t xml:space="preserve"> had the largest registered capital with 5,020.6 million USD, accounted for 31.8% total newly registered capital; followed by </w:t>
      </w:r>
      <w:proofErr w:type="spellStart"/>
      <w:r w:rsidRPr="004E33BE">
        <w:rPr>
          <w:rFonts w:ascii="Times New Roman" w:hAnsi="Times New Roman" w:cs="Times New Roman"/>
          <w:sz w:val="28"/>
          <w:szCs w:val="28"/>
        </w:rPr>
        <w:t>Ba</w:t>
      </w:r>
      <w:proofErr w:type="spellEnd"/>
      <w:r w:rsidRPr="004E33BE">
        <w:rPr>
          <w:rFonts w:ascii="Times New Roman" w:hAnsi="Times New Roman" w:cs="Times New Roman"/>
          <w:sz w:val="28"/>
          <w:szCs w:val="28"/>
        </w:rPr>
        <w:t xml:space="preserve"> </w:t>
      </w:r>
      <w:proofErr w:type="spellStart"/>
      <w:r w:rsidRPr="004E33BE">
        <w:rPr>
          <w:rFonts w:ascii="Times New Roman" w:hAnsi="Times New Roman" w:cs="Times New Roman"/>
          <w:sz w:val="28"/>
          <w:szCs w:val="28"/>
        </w:rPr>
        <w:t>Ria</w:t>
      </w:r>
      <w:proofErr w:type="spellEnd"/>
      <w:r w:rsidRPr="004E33BE">
        <w:rPr>
          <w:rFonts w:ascii="Times New Roman" w:hAnsi="Times New Roman" w:cs="Times New Roman"/>
          <w:sz w:val="28"/>
          <w:szCs w:val="28"/>
        </w:rPr>
        <w:t xml:space="preserve"> – </w:t>
      </w:r>
      <w:proofErr w:type="spellStart"/>
      <w:r w:rsidRPr="004E33BE">
        <w:rPr>
          <w:rFonts w:ascii="Times New Roman" w:hAnsi="Times New Roman" w:cs="Times New Roman"/>
          <w:sz w:val="28"/>
          <w:szCs w:val="28"/>
        </w:rPr>
        <w:t>Vung</w:t>
      </w:r>
      <w:proofErr w:type="spellEnd"/>
      <w:r w:rsidRPr="004E33BE">
        <w:rPr>
          <w:rFonts w:ascii="Times New Roman" w:hAnsi="Times New Roman" w:cs="Times New Roman"/>
          <w:sz w:val="28"/>
          <w:szCs w:val="28"/>
        </w:rPr>
        <w:t xml:space="preserve"> Tau province with 1,796.9 million USD, accounted for 11.4%; </w:t>
      </w:r>
      <w:proofErr w:type="spellStart"/>
      <w:r w:rsidRPr="004E33BE">
        <w:rPr>
          <w:rFonts w:ascii="Times New Roman" w:hAnsi="Times New Roman" w:cs="Times New Roman"/>
          <w:sz w:val="28"/>
          <w:szCs w:val="28"/>
        </w:rPr>
        <w:t>Binh</w:t>
      </w:r>
      <w:proofErr w:type="spellEnd"/>
      <w:r w:rsidRPr="004E33BE">
        <w:rPr>
          <w:rFonts w:ascii="Times New Roman" w:hAnsi="Times New Roman" w:cs="Times New Roman"/>
          <w:sz w:val="28"/>
          <w:szCs w:val="28"/>
        </w:rPr>
        <w:t xml:space="preserve"> </w:t>
      </w:r>
      <w:r w:rsidRPr="004E33BE">
        <w:rPr>
          <w:rFonts w:ascii="Times New Roman" w:hAnsi="Times New Roman" w:cs="Times New Roman"/>
          <w:sz w:val="28"/>
          <w:szCs w:val="28"/>
        </w:rPr>
        <w:lastRenderedPageBreak/>
        <w:t xml:space="preserve">Duong province: 952.9 million USD, accounted for 6%; Dong </w:t>
      </w:r>
      <w:proofErr w:type="spellStart"/>
      <w:r w:rsidRPr="004E33BE">
        <w:rPr>
          <w:rFonts w:ascii="Times New Roman" w:hAnsi="Times New Roman" w:cs="Times New Roman"/>
          <w:sz w:val="28"/>
          <w:szCs w:val="28"/>
        </w:rPr>
        <w:t>Nai</w:t>
      </w:r>
      <w:proofErr w:type="spellEnd"/>
      <w:r w:rsidRPr="004E33BE">
        <w:rPr>
          <w:rFonts w:ascii="Times New Roman" w:hAnsi="Times New Roman" w:cs="Times New Roman"/>
          <w:sz w:val="28"/>
          <w:szCs w:val="28"/>
        </w:rPr>
        <w:t xml:space="preserve"> province: 923.3 million USD, accounted for 5.8%; Ho Chi Minh city: 737.7 million USD, accounted for 4.7%; Hai </w:t>
      </w:r>
      <w:proofErr w:type="spellStart"/>
      <w:r w:rsidRPr="004E33BE">
        <w:rPr>
          <w:rFonts w:ascii="Times New Roman" w:hAnsi="Times New Roman" w:cs="Times New Roman"/>
          <w:sz w:val="28"/>
          <w:szCs w:val="28"/>
        </w:rPr>
        <w:t>Phong</w:t>
      </w:r>
      <w:proofErr w:type="spellEnd"/>
      <w:r w:rsidRPr="004E33BE">
        <w:rPr>
          <w:rFonts w:ascii="Times New Roman" w:hAnsi="Times New Roman" w:cs="Times New Roman"/>
          <w:sz w:val="28"/>
          <w:szCs w:val="28"/>
        </w:rPr>
        <w:t xml:space="preserve"> province: 567.1 million USD, accounted for 3.6%; </w:t>
      </w:r>
      <w:proofErr w:type="spellStart"/>
      <w:r w:rsidRPr="004E33BE">
        <w:rPr>
          <w:rFonts w:ascii="Times New Roman" w:hAnsi="Times New Roman" w:cs="Times New Roman"/>
          <w:sz w:val="28"/>
          <w:szCs w:val="28"/>
        </w:rPr>
        <w:t>Tay</w:t>
      </w:r>
      <w:proofErr w:type="spellEnd"/>
      <w:r w:rsidRPr="004E33BE">
        <w:rPr>
          <w:rFonts w:ascii="Times New Roman" w:hAnsi="Times New Roman" w:cs="Times New Roman"/>
          <w:sz w:val="28"/>
          <w:szCs w:val="28"/>
        </w:rPr>
        <w:t xml:space="preserve"> </w:t>
      </w:r>
      <w:proofErr w:type="spellStart"/>
      <w:r w:rsidRPr="004E33BE">
        <w:rPr>
          <w:rFonts w:ascii="Times New Roman" w:hAnsi="Times New Roman" w:cs="Times New Roman"/>
          <w:sz w:val="28"/>
          <w:szCs w:val="28"/>
        </w:rPr>
        <w:t>Ninh</w:t>
      </w:r>
      <w:proofErr w:type="spellEnd"/>
      <w:r w:rsidRPr="004E33BE">
        <w:rPr>
          <w:rFonts w:ascii="Times New Roman" w:hAnsi="Times New Roman" w:cs="Times New Roman"/>
          <w:sz w:val="28"/>
          <w:szCs w:val="28"/>
        </w:rPr>
        <w:t xml:space="preserve"> province 448.3 million USD, accounted for 2.8%; </w:t>
      </w:r>
      <w:proofErr w:type="spellStart"/>
      <w:r w:rsidRPr="004E33BE">
        <w:rPr>
          <w:rFonts w:ascii="Times New Roman" w:hAnsi="Times New Roman" w:cs="Times New Roman"/>
          <w:sz w:val="28"/>
          <w:szCs w:val="28"/>
        </w:rPr>
        <w:t>Ninh</w:t>
      </w:r>
      <w:proofErr w:type="spellEnd"/>
      <w:r w:rsidRPr="004E33BE">
        <w:rPr>
          <w:rFonts w:ascii="Times New Roman" w:hAnsi="Times New Roman" w:cs="Times New Roman"/>
          <w:sz w:val="28"/>
          <w:szCs w:val="28"/>
        </w:rPr>
        <w:t xml:space="preserve"> </w:t>
      </w:r>
      <w:proofErr w:type="spellStart"/>
      <w:r w:rsidRPr="004E33BE">
        <w:rPr>
          <w:rFonts w:ascii="Times New Roman" w:hAnsi="Times New Roman" w:cs="Times New Roman"/>
          <w:sz w:val="28"/>
          <w:szCs w:val="28"/>
        </w:rPr>
        <w:t>Thuan</w:t>
      </w:r>
      <w:proofErr w:type="spellEnd"/>
      <w:r w:rsidRPr="004E33BE">
        <w:rPr>
          <w:rFonts w:ascii="Times New Roman" w:hAnsi="Times New Roman" w:cs="Times New Roman"/>
          <w:sz w:val="28"/>
          <w:szCs w:val="28"/>
        </w:rPr>
        <w:t xml:space="preserve"> province 387.5 million USD, accounted for 2.5%; </w:t>
      </w:r>
      <w:proofErr w:type="spellStart"/>
      <w:r w:rsidRPr="004E33BE">
        <w:rPr>
          <w:rFonts w:ascii="Times New Roman" w:hAnsi="Times New Roman" w:cs="Times New Roman"/>
          <w:sz w:val="28"/>
          <w:szCs w:val="28"/>
        </w:rPr>
        <w:t>Bac</w:t>
      </w:r>
      <w:proofErr w:type="spellEnd"/>
      <w:r w:rsidRPr="004E33BE">
        <w:rPr>
          <w:rFonts w:ascii="Times New Roman" w:hAnsi="Times New Roman" w:cs="Times New Roman"/>
          <w:sz w:val="28"/>
          <w:szCs w:val="28"/>
        </w:rPr>
        <w:t xml:space="preserve"> </w:t>
      </w:r>
      <w:proofErr w:type="spellStart"/>
      <w:r w:rsidRPr="004E33BE">
        <w:rPr>
          <w:rFonts w:ascii="Times New Roman" w:hAnsi="Times New Roman" w:cs="Times New Roman"/>
          <w:sz w:val="28"/>
          <w:szCs w:val="28"/>
        </w:rPr>
        <w:t>Ninh</w:t>
      </w:r>
      <w:proofErr w:type="spellEnd"/>
      <w:r w:rsidRPr="004E33BE">
        <w:rPr>
          <w:rFonts w:ascii="Times New Roman" w:hAnsi="Times New Roman" w:cs="Times New Roman"/>
          <w:sz w:val="28"/>
          <w:szCs w:val="28"/>
        </w:rPr>
        <w:t xml:space="preserve"> 380.2 million USD, accounted for 2.4%.</w:t>
      </w:r>
    </w:p>
    <w:p w:rsidR="00E716FF" w:rsidRPr="004E33BE" w:rsidRDefault="00E716FF" w:rsidP="00E716FF">
      <w:pPr>
        <w:pStyle w:val="Normal1"/>
        <w:spacing w:before="40" w:beforeAutospacing="0" w:after="40" w:afterAutospacing="0" w:line="276" w:lineRule="auto"/>
        <w:ind w:firstLine="567"/>
        <w:jc w:val="both"/>
        <w:rPr>
          <w:rFonts w:ascii="Times New Roman" w:hAnsi="Times New Roman" w:cs="Times New Roman"/>
          <w:sz w:val="28"/>
          <w:szCs w:val="28"/>
        </w:rPr>
      </w:pPr>
      <w:r w:rsidRPr="004E33BE">
        <w:rPr>
          <w:rFonts w:ascii="Times New Roman" w:hAnsi="Times New Roman" w:cs="Times New Roman"/>
          <w:sz w:val="28"/>
          <w:szCs w:val="28"/>
        </w:rPr>
        <w:t>Among 74 countries and territories had newly licensed investment projects in Vietnam in 11 months, Japan ranked the top with 6,055.5 million USD, accounted for 38.4% of the total newly registered capital; followed by Korea with 3,418.1 million USD, accounted for 21.6%; Singapore 1,111.1  million USD, accounted for 7%; China with 892.9 million USD, accounted for 5.7%; Thai Lan 857.1 million USD, accounted for 5.4%; Hong Kong Special Administrative Region (China) with 711.1 million USD, accounted for 4.5%; France with 472.5 million USD, accounted for 3%.</w:t>
      </w:r>
    </w:p>
    <w:p w:rsidR="00C95C6B" w:rsidRPr="004E33BE" w:rsidRDefault="00E716FF" w:rsidP="00E716FF">
      <w:pPr>
        <w:spacing w:before="40" w:after="40" w:line="300" w:lineRule="auto"/>
        <w:ind w:firstLine="567"/>
        <w:jc w:val="both"/>
      </w:pPr>
      <w:r w:rsidRPr="004E33BE">
        <w:t xml:space="preserve">Vietnam's outward foreign direct investment in months had 125 new projects granted investment certificates with a total capital of 303.6 million USD from Viet Nam; 30 projects adjusted capital with a supplementary capital of 54 million USD. In general, the total outward foreign direct investment of Vietnam (newly licensed and supplementary capital) in 11 months of 2018 reached 357.6 million USD in 2018, of which financial and banking activities reached 105.8 million USD, accounted for 29.6% of total investment; the agriculture, forestry and fishery recorded at 68.4 million USD, accounted for 19.1%; the </w:t>
      </w:r>
      <w:r w:rsidR="00ED0498" w:rsidRPr="004E33BE">
        <w:t>manufacturing</w:t>
      </w:r>
      <w:r w:rsidRPr="004E33BE">
        <w:t xml:space="preserve"> activity reached 50.9 million USD, accounted for 14.2%. In 11 months of this year, Viet Nam outward invested in 35 countries and territories, of which Lao People’s Democratic Republic was the leading country with 97.6 million USD, accounted for 27.3% of total investment; Australia: 52.8</w:t>
      </w:r>
      <w:r w:rsidRPr="004E33BE">
        <w:rPr>
          <w:spacing w:val="-2"/>
        </w:rPr>
        <w:t xml:space="preserve"> </w:t>
      </w:r>
      <w:r w:rsidRPr="004E33BE">
        <w:t>million USD, accounted for 14.8%; Slovakia: 35.9 million USD, accounted for 10%</w:t>
      </w:r>
      <w:r w:rsidR="00C95C6B" w:rsidRPr="004E33BE">
        <w:t>.</w:t>
      </w:r>
    </w:p>
    <w:p w:rsidR="000F6092" w:rsidRPr="004E33BE" w:rsidRDefault="000F6092" w:rsidP="00923B85">
      <w:pPr>
        <w:spacing w:before="40" w:after="40" w:line="283" w:lineRule="auto"/>
        <w:ind w:firstLine="567"/>
        <w:jc w:val="both"/>
        <w:rPr>
          <w:b/>
          <w:bCs/>
        </w:rPr>
      </w:pPr>
      <w:r w:rsidRPr="004E33BE">
        <w:rPr>
          <w:b/>
          <w:bCs/>
        </w:rPr>
        <w:t xml:space="preserve">5. </w:t>
      </w:r>
      <w:r w:rsidR="00277860" w:rsidRPr="004E33BE">
        <w:rPr>
          <w:b/>
          <w:color w:val="000000"/>
        </w:rPr>
        <w:t>State budget revenue and expenditure</w:t>
      </w:r>
    </w:p>
    <w:p w:rsidR="002612C8" w:rsidRPr="004E33BE" w:rsidRDefault="002612C8" w:rsidP="002612C8">
      <w:pPr>
        <w:shd w:val="clear" w:color="auto" w:fill="FFFFFF"/>
        <w:spacing w:before="40" w:after="40" w:line="283" w:lineRule="auto"/>
        <w:ind w:right="4" w:firstLine="567"/>
        <w:jc w:val="both"/>
        <w:rPr>
          <w:color w:val="000000" w:themeColor="text1"/>
        </w:rPr>
      </w:pPr>
      <w:r w:rsidRPr="004E33BE">
        <w:rPr>
          <w:color w:val="000000" w:themeColor="text1"/>
        </w:rPr>
        <w:t xml:space="preserve">The state budget revenue </w:t>
      </w:r>
      <w:r w:rsidR="002E1D87" w:rsidRPr="004E33BE">
        <w:t xml:space="preserve">from the beginning of the year to 15/11/2018 </w:t>
      </w:r>
      <w:r w:rsidRPr="004E33BE">
        <w:rPr>
          <w:color w:val="000000" w:themeColor="text1"/>
        </w:rPr>
        <w:t xml:space="preserve">was estimated at </w:t>
      </w:r>
      <w:r w:rsidR="002E1D87" w:rsidRPr="004E33BE">
        <w:rPr>
          <w:color w:val="000000" w:themeColor="text1"/>
        </w:rPr>
        <w:t xml:space="preserve">1,160.1 </w:t>
      </w:r>
      <w:r w:rsidRPr="004E33BE">
        <w:rPr>
          <w:color w:val="000000" w:themeColor="text1"/>
        </w:rPr>
        <w:t xml:space="preserve">trillion VND, equaling </w:t>
      </w:r>
      <w:r w:rsidR="002E1D87" w:rsidRPr="004E33BE">
        <w:rPr>
          <w:color w:val="000000" w:themeColor="text1"/>
        </w:rPr>
        <w:t>87.9</w:t>
      </w:r>
      <w:r w:rsidRPr="004E33BE">
        <w:rPr>
          <w:color w:val="000000" w:themeColor="text1"/>
        </w:rPr>
        <w:t xml:space="preserve">% of the yearly estimate, of which: domestic revenue reached </w:t>
      </w:r>
      <w:r w:rsidR="002E1D87" w:rsidRPr="004E33BE">
        <w:rPr>
          <w:color w:val="000000" w:themeColor="text1"/>
        </w:rPr>
        <w:t>926.9</w:t>
      </w:r>
      <w:r w:rsidRPr="004E33BE">
        <w:rPr>
          <w:color w:val="000000" w:themeColor="text1"/>
        </w:rPr>
        <w:t xml:space="preserve"> trillion VND, equal to </w:t>
      </w:r>
      <w:r w:rsidR="002E1D87" w:rsidRPr="004E33BE">
        <w:rPr>
          <w:color w:val="000000" w:themeColor="text1"/>
        </w:rPr>
        <w:t>84.3</w:t>
      </w:r>
      <w:r w:rsidRPr="004E33BE">
        <w:rPr>
          <w:color w:val="000000" w:themeColor="text1"/>
        </w:rPr>
        <w:t xml:space="preserve">%; crude oil revenue was </w:t>
      </w:r>
      <w:r w:rsidR="00947E6D" w:rsidRPr="004E33BE">
        <w:rPr>
          <w:color w:val="000000" w:themeColor="text1"/>
        </w:rPr>
        <w:t>54.3</w:t>
      </w:r>
      <w:r w:rsidRPr="004E33BE">
        <w:rPr>
          <w:color w:val="000000" w:themeColor="text1"/>
        </w:rPr>
        <w:t xml:space="preserve"> trillion VND, equaling </w:t>
      </w:r>
      <w:r w:rsidR="00947E6D" w:rsidRPr="004E33BE">
        <w:rPr>
          <w:color w:val="000000" w:themeColor="text1"/>
        </w:rPr>
        <w:t>151.3</w:t>
      </w:r>
      <w:r w:rsidRPr="004E33BE">
        <w:rPr>
          <w:color w:val="000000" w:themeColor="text1"/>
        </w:rPr>
        <w:t xml:space="preserve">%; budget balance revenue from export and import gained </w:t>
      </w:r>
      <w:r w:rsidR="00CC7A26" w:rsidRPr="004E33BE">
        <w:rPr>
          <w:color w:val="000000" w:themeColor="text1"/>
        </w:rPr>
        <w:t>174.9</w:t>
      </w:r>
      <w:r w:rsidRPr="004E33BE">
        <w:rPr>
          <w:color w:val="000000" w:themeColor="text1"/>
        </w:rPr>
        <w:t xml:space="preserve"> trillion VND, equaling </w:t>
      </w:r>
      <w:r w:rsidR="00CC7A26" w:rsidRPr="004E33BE">
        <w:rPr>
          <w:color w:val="000000" w:themeColor="text1"/>
        </w:rPr>
        <w:t>97.7</w:t>
      </w:r>
      <w:r w:rsidRPr="004E33BE">
        <w:rPr>
          <w:color w:val="000000" w:themeColor="text1"/>
        </w:rPr>
        <w:t xml:space="preserve">%. In domestic revenues, state-owned enterprises reached </w:t>
      </w:r>
      <w:r w:rsidR="00CC7A26" w:rsidRPr="004E33BE">
        <w:rPr>
          <w:color w:val="000000" w:themeColor="text1"/>
        </w:rPr>
        <w:t>128.6</w:t>
      </w:r>
      <w:r w:rsidRPr="004E33BE">
        <w:rPr>
          <w:color w:val="000000" w:themeColor="text1"/>
        </w:rPr>
        <w:t xml:space="preserve"> </w:t>
      </w:r>
      <w:r w:rsidR="00CC7A26" w:rsidRPr="004E33BE">
        <w:rPr>
          <w:color w:val="000000" w:themeColor="text1"/>
        </w:rPr>
        <w:t>tr</w:t>
      </w:r>
      <w:r w:rsidRPr="004E33BE">
        <w:rPr>
          <w:color w:val="000000" w:themeColor="text1"/>
        </w:rPr>
        <w:t xml:space="preserve">illion VND, equaling </w:t>
      </w:r>
      <w:r w:rsidR="00CC7A26" w:rsidRPr="004E33BE">
        <w:rPr>
          <w:color w:val="000000" w:themeColor="text1"/>
        </w:rPr>
        <w:t>77.2</w:t>
      </w:r>
      <w:r w:rsidRPr="004E33BE">
        <w:rPr>
          <w:color w:val="000000" w:themeColor="text1"/>
        </w:rPr>
        <w:t xml:space="preserve">% of the yearly estimate; FDI enterprises (excluding crude oil) achieved </w:t>
      </w:r>
      <w:r w:rsidR="00CC7A26" w:rsidRPr="004E33BE">
        <w:rPr>
          <w:color w:val="000000" w:themeColor="text1"/>
        </w:rPr>
        <w:t>156.6</w:t>
      </w:r>
      <w:r w:rsidRPr="004E33BE">
        <w:rPr>
          <w:color w:val="000000" w:themeColor="text1"/>
        </w:rPr>
        <w:t xml:space="preserve"> </w:t>
      </w:r>
      <w:r w:rsidR="00CC7A26" w:rsidRPr="004E33BE">
        <w:rPr>
          <w:color w:val="000000" w:themeColor="text1"/>
        </w:rPr>
        <w:t>tr</w:t>
      </w:r>
      <w:r w:rsidRPr="004E33BE">
        <w:rPr>
          <w:color w:val="000000" w:themeColor="text1"/>
        </w:rPr>
        <w:t xml:space="preserve">illion VND, equaling </w:t>
      </w:r>
      <w:r w:rsidR="00CC7A26" w:rsidRPr="004E33BE">
        <w:rPr>
          <w:color w:val="000000" w:themeColor="text1"/>
        </w:rPr>
        <w:t>7</w:t>
      </w:r>
      <w:r w:rsidRPr="004E33BE">
        <w:rPr>
          <w:color w:val="000000" w:themeColor="text1"/>
        </w:rPr>
        <w:t>0.</w:t>
      </w:r>
      <w:r w:rsidR="00CC7A26" w:rsidRPr="004E33BE">
        <w:rPr>
          <w:color w:val="000000" w:themeColor="text1"/>
        </w:rPr>
        <w:t>3</w:t>
      </w:r>
      <w:r w:rsidRPr="004E33BE">
        <w:rPr>
          <w:color w:val="000000" w:themeColor="text1"/>
        </w:rPr>
        <w:t xml:space="preserve">%; non-state revenue reached </w:t>
      </w:r>
      <w:r w:rsidR="00012668" w:rsidRPr="004E33BE">
        <w:rPr>
          <w:color w:val="000000" w:themeColor="text1"/>
        </w:rPr>
        <w:t>178.7</w:t>
      </w:r>
      <w:r w:rsidRPr="004E33BE">
        <w:rPr>
          <w:color w:val="000000" w:themeColor="text1"/>
        </w:rPr>
        <w:t xml:space="preserve"> </w:t>
      </w:r>
      <w:r w:rsidRPr="004E33BE">
        <w:rPr>
          <w:color w:val="000000" w:themeColor="text1"/>
        </w:rPr>
        <w:lastRenderedPageBreak/>
        <w:t xml:space="preserve">trillion VND, accounting for </w:t>
      </w:r>
      <w:r w:rsidR="00012668" w:rsidRPr="004E33BE">
        <w:rPr>
          <w:color w:val="000000" w:themeColor="text1"/>
        </w:rPr>
        <w:t>82</w:t>
      </w:r>
      <w:r w:rsidRPr="004E33BE">
        <w:rPr>
          <w:color w:val="000000" w:themeColor="text1"/>
        </w:rPr>
        <w:t xml:space="preserve">%; tax on personal income was </w:t>
      </w:r>
      <w:r w:rsidR="00012668" w:rsidRPr="004E33BE">
        <w:rPr>
          <w:color w:val="000000" w:themeColor="text1"/>
        </w:rPr>
        <w:t>82.5</w:t>
      </w:r>
      <w:r w:rsidRPr="004E33BE">
        <w:rPr>
          <w:color w:val="000000" w:themeColor="text1"/>
        </w:rPr>
        <w:t xml:space="preserve"> trillion VND, equaling </w:t>
      </w:r>
      <w:r w:rsidR="00012668" w:rsidRPr="004E33BE">
        <w:rPr>
          <w:color w:val="000000" w:themeColor="text1"/>
        </w:rPr>
        <w:t>85.2</w:t>
      </w:r>
      <w:r w:rsidRPr="004E33BE">
        <w:rPr>
          <w:color w:val="000000" w:themeColor="text1"/>
        </w:rPr>
        <w:t xml:space="preserve">%; environmental protection tax gained </w:t>
      </w:r>
      <w:r w:rsidR="00012668" w:rsidRPr="004E33BE">
        <w:rPr>
          <w:color w:val="000000" w:themeColor="text1"/>
        </w:rPr>
        <w:t>38.3</w:t>
      </w:r>
      <w:r w:rsidRPr="004E33BE">
        <w:rPr>
          <w:color w:val="000000" w:themeColor="text1"/>
        </w:rPr>
        <w:t xml:space="preserve"> </w:t>
      </w:r>
      <w:r w:rsidR="00012668" w:rsidRPr="004E33BE">
        <w:rPr>
          <w:color w:val="000000" w:themeColor="text1"/>
        </w:rPr>
        <w:t>tr</w:t>
      </w:r>
      <w:r w:rsidRPr="004E33BE">
        <w:rPr>
          <w:color w:val="000000" w:themeColor="text1"/>
        </w:rPr>
        <w:t xml:space="preserve">illion VND, equaling </w:t>
      </w:r>
      <w:r w:rsidR="00012668" w:rsidRPr="004E33BE">
        <w:rPr>
          <w:color w:val="000000" w:themeColor="text1"/>
        </w:rPr>
        <w:t>78.5</w:t>
      </w:r>
      <w:r w:rsidRPr="004E33BE">
        <w:rPr>
          <w:color w:val="000000" w:themeColor="text1"/>
        </w:rPr>
        <w:t xml:space="preserve">%; revenue from land use recorded </w:t>
      </w:r>
      <w:r w:rsidR="00012668" w:rsidRPr="004E33BE">
        <w:rPr>
          <w:color w:val="000000" w:themeColor="text1"/>
        </w:rPr>
        <w:t>102.1</w:t>
      </w:r>
      <w:r w:rsidRPr="004E33BE">
        <w:rPr>
          <w:color w:val="000000" w:themeColor="text1"/>
        </w:rPr>
        <w:t xml:space="preserve"> trillion VND, equal to </w:t>
      </w:r>
      <w:r w:rsidR="00012668" w:rsidRPr="004E33BE">
        <w:rPr>
          <w:color w:val="000000" w:themeColor="text1"/>
        </w:rPr>
        <w:t>118.8</w:t>
      </w:r>
      <w:r w:rsidRPr="004E33BE">
        <w:rPr>
          <w:color w:val="000000" w:themeColor="text1"/>
        </w:rPr>
        <w:t>%.</w:t>
      </w:r>
    </w:p>
    <w:p w:rsidR="00CC7A26" w:rsidRPr="004E33BE" w:rsidRDefault="00CC7A26" w:rsidP="00CC7A26">
      <w:pPr>
        <w:shd w:val="clear" w:color="auto" w:fill="FFFFFF"/>
        <w:spacing w:before="40" w:after="40" w:line="283" w:lineRule="auto"/>
        <w:ind w:right="4" w:firstLine="567"/>
        <w:jc w:val="both"/>
        <w:rPr>
          <w:color w:val="000000" w:themeColor="text1"/>
        </w:rPr>
      </w:pPr>
      <w:r w:rsidRPr="004E33BE">
        <w:rPr>
          <w:color w:val="000000" w:themeColor="text1"/>
        </w:rPr>
        <w:t xml:space="preserve">The state budget expenditure </w:t>
      </w:r>
      <w:r w:rsidR="00012668" w:rsidRPr="004E33BE">
        <w:t xml:space="preserve">from the beginning of the year to 15/11/2018 </w:t>
      </w:r>
      <w:r w:rsidRPr="004E33BE">
        <w:rPr>
          <w:color w:val="000000" w:themeColor="text1"/>
        </w:rPr>
        <w:t xml:space="preserve">was estimated at </w:t>
      </w:r>
      <w:r w:rsidR="00976836" w:rsidRPr="004E33BE">
        <w:rPr>
          <w:color w:val="000000" w:themeColor="text1"/>
        </w:rPr>
        <w:t>1,166.2</w:t>
      </w:r>
      <w:r w:rsidRPr="004E33BE">
        <w:rPr>
          <w:color w:val="000000" w:themeColor="text1"/>
        </w:rPr>
        <w:t xml:space="preserve"> trillion VND, equaling </w:t>
      </w:r>
      <w:r w:rsidR="00976836" w:rsidRPr="004E33BE">
        <w:rPr>
          <w:color w:val="000000" w:themeColor="text1"/>
        </w:rPr>
        <w:t>76.6</w:t>
      </w:r>
      <w:r w:rsidRPr="004E33BE">
        <w:rPr>
          <w:color w:val="000000" w:themeColor="text1"/>
        </w:rPr>
        <w:t xml:space="preserve">% of the yearly estimate, of which recurrent expenditures reached </w:t>
      </w:r>
      <w:r w:rsidR="00976836" w:rsidRPr="004E33BE">
        <w:rPr>
          <w:color w:val="000000" w:themeColor="text1"/>
        </w:rPr>
        <w:t>806.8</w:t>
      </w:r>
      <w:r w:rsidRPr="004E33BE">
        <w:rPr>
          <w:color w:val="000000" w:themeColor="text1"/>
        </w:rPr>
        <w:t xml:space="preserve"> trillion VND, equal to </w:t>
      </w:r>
      <w:r w:rsidR="00976836" w:rsidRPr="004E33BE">
        <w:rPr>
          <w:color w:val="000000" w:themeColor="text1"/>
        </w:rPr>
        <w:t>85.8</w:t>
      </w:r>
      <w:r w:rsidRPr="004E33BE">
        <w:rPr>
          <w:color w:val="000000" w:themeColor="text1"/>
        </w:rPr>
        <w:t xml:space="preserve">%; development investment expenditure was </w:t>
      </w:r>
      <w:r w:rsidR="00976836" w:rsidRPr="004E33BE">
        <w:rPr>
          <w:color w:val="000000" w:themeColor="text1"/>
        </w:rPr>
        <w:t>239.8</w:t>
      </w:r>
      <w:r w:rsidRPr="004E33BE">
        <w:rPr>
          <w:color w:val="000000" w:themeColor="text1"/>
        </w:rPr>
        <w:t xml:space="preserve"> trillion VND, equaling </w:t>
      </w:r>
      <w:r w:rsidR="00976836" w:rsidRPr="004E33BE">
        <w:rPr>
          <w:color w:val="000000" w:themeColor="text1"/>
        </w:rPr>
        <w:t>60</w:t>
      </w:r>
      <w:r w:rsidRPr="004E33BE">
        <w:rPr>
          <w:color w:val="000000" w:themeColor="text1"/>
        </w:rPr>
        <w:t xml:space="preserve">%; interest payment was </w:t>
      </w:r>
      <w:r w:rsidR="00976836" w:rsidRPr="004E33BE">
        <w:rPr>
          <w:color w:val="000000" w:themeColor="text1"/>
        </w:rPr>
        <w:t>93.5</w:t>
      </w:r>
      <w:r w:rsidRPr="004E33BE">
        <w:rPr>
          <w:color w:val="000000" w:themeColor="text1"/>
        </w:rPr>
        <w:t xml:space="preserve"> trillion VND, </w:t>
      </w:r>
      <w:r w:rsidR="00976836" w:rsidRPr="004E33BE">
        <w:rPr>
          <w:color w:val="000000" w:themeColor="text1"/>
        </w:rPr>
        <w:t>equal to</w:t>
      </w:r>
      <w:r w:rsidRPr="004E33BE">
        <w:rPr>
          <w:color w:val="000000" w:themeColor="text1"/>
        </w:rPr>
        <w:t xml:space="preserve"> </w:t>
      </w:r>
      <w:r w:rsidR="00976836" w:rsidRPr="004E33BE">
        <w:rPr>
          <w:color w:val="000000" w:themeColor="text1"/>
        </w:rPr>
        <w:t>83.1</w:t>
      </w:r>
      <w:r w:rsidRPr="004E33BE">
        <w:rPr>
          <w:color w:val="000000" w:themeColor="text1"/>
        </w:rPr>
        <w:t>%.</w:t>
      </w:r>
    </w:p>
    <w:p w:rsidR="003A35EA" w:rsidRPr="004E33BE" w:rsidRDefault="000F6092" w:rsidP="00923B85">
      <w:pPr>
        <w:pStyle w:val="normal0"/>
        <w:spacing w:before="40" w:beforeAutospacing="0" w:after="40" w:afterAutospacing="0" w:line="283" w:lineRule="auto"/>
        <w:ind w:firstLine="567"/>
        <w:jc w:val="both"/>
        <w:rPr>
          <w:b/>
          <w:bCs/>
          <w:sz w:val="28"/>
          <w:szCs w:val="28"/>
        </w:rPr>
      </w:pPr>
      <w:r w:rsidRPr="004E33BE">
        <w:rPr>
          <w:b/>
          <w:bCs/>
          <w:sz w:val="28"/>
          <w:szCs w:val="28"/>
        </w:rPr>
        <w:t>6</w:t>
      </w:r>
      <w:r w:rsidR="003A35EA" w:rsidRPr="004E33BE">
        <w:rPr>
          <w:b/>
          <w:bCs/>
          <w:sz w:val="28"/>
          <w:szCs w:val="28"/>
        </w:rPr>
        <w:t xml:space="preserve">. </w:t>
      </w:r>
      <w:r w:rsidR="00976836" w:rsidRPr="004E33BE">
        <w:rPr>
          <w:b/>
          <w:bCs/>
          <w:sz w:val="28"/>
          <w:szCs w:val="28"/>
        </w:rPr>
        <w:t>Trade, prices, transportation and tourism</w:t>
      </w:r>
    </w:p>
    <w:p w:rsidR="003A35EA" w:rsidRPr="004E33BE" w:rsidRDefault="003A35EA" w:rsidP="003F35D9">
      <w:pPr>
        <w:spacing w:before="40" w:after="40" w:line="283" w:lineRule="auto"/>
        <w:ind w:firstLine="567"/>
        <w:jc w:val="both"/>
        <w:rPr>
          <w:b/>
          <w:bCs/>
          <w:i/>
          <w:iCs/>
        </w:rPr>
      </w:pPr>
      <w:r w:rsidRPr="004E33BE">
        <w:rPr>
          <w:b/>
          <w:bCs/>
          <w:i/>
          <w:iCs/>
        </w:rPr>
        <w:t>a</w:t>
      </w:r>
      <w:r w:rsidR="004C70CE" w:rsidRPr="004E33BE">
        <w:rPr>
          <w:b/>
          <w:bCs/>
          <w:i/>
          <w:iCs/>
        </w:rPr>
        <w:t>)</w:t>
      </w:r>
      <w:r w:rsidRPr="004E33BE">
        <w:rPr>
          <w:b/>
          <w:bCs/>
          <w:i/>
          <w:iCs/>
        </w:rPr>
        <w:t xml:space="preserve"> </w:t>
      </w:r>
      <w:r w:rsidR="00592D7B" w:rsidRPr="004E33BE">
        <w:rPr>
          <w:b/>
          <w:bCs/>
          <w:i/>
          <w:iCs/>
        </w:rPr>
        <w:t>Gross retail sales of goods and services</w:t>
      </w:r>
    </w:p>
    <w:p w:rsidR="00592D7B" w:rsidRPr="004E33BE" w:rsidRDefault="00592D7B" w:rsidP="00592D7B">
      <w:pPr>
        <w:spacing w:before="40" w:after="40" w:line="274" w:lineRule="auto"/>
        <w:ind w:firstLine="567"/>
        <w:jc w:val="both"/>
        <w:rPr>
          <w:bCs/>
        </w:rPr>
      </w:pPr>
      <w:r w:rsidRPr="004E33BE">
        <w:rPr>
          <w:bCs/>
        </w:rPr>
        <w:t xml:space="preserve">Gross retail sales of goods and services in November 2018 was estimated at 385 trillion VND, a rise of 1.1% over the previous month and a growth of 12.2% over the same period last year, of which: retail sales of goods gained 288.6 trillion VND, </w:t>
      </w:r>
      <w:r w:rsidR="00ED0498" w:rsidRPr="004E33BE">
        <w:rPr>
          <w:bCs/>
        </w:rPr>
        <w:t>an</w:t>
      </w:r>
      <w:r w:rsidR="007E7AFD" w:rsidRPr="004E33BE">
        <w:rPr>
          <w:bCs/>
        </w:rPr>
        <w:t xml:space="preserve"> increase of 0.8% and 13.1%; turnover of </w:t>
      </w:r>
      <w:r w:rsidR="00102B53" w:rsidRPr="004E33BE">
        <w:rPr>
          <w:bCs/>
          <w:color w:val="000000"/>
        </w:rPr>
        <w:t xml:space="preserve">accommodation and catering services achieved 47 trillion VND, rising by </w:t>
      </w:r>
      <w:r w:rsidR="00D527A5" w:rsidRPr="004E33BE">
        <w:rPr>
          <w:bCs/>
          <w:color w:val="000000"/>
        </w:rPr>
        <w:t>2.3</w:t>
      </w:r>
      <w:r w:rsidR="00102B53" w:rsidRPr="004E33BE">
        <w:rPr>
          <w:bCs/>
          <w:color w:val="000000"/>
        </w:rPr>
        <w:t xml:space="preserve">% and by </w:t>
      </w:r>
      <w:r w:rsidR="00D527A5" w:rsidRPr="004E33BE">
        <w:rPr>
          <w:bCs/>
          <w:color w:val="000000"/>
        </w:rPr>
        <w:t>8.2</w:t>
      </w:r>
      <w:r w:rsidR="00102B53" w:rsidRPr="004E33BE">
        <w:rPr>
          <w:bCs/>
          <w:color w:val="000000"/>
        </w:rPr>
        <w:t xml:space="preserve">%; </w:t>
      </w:r>
      <w:r w:rsidR="00D527A5" w:rsidRPr="004E33BE">
        <w:rPr>
          <w:bCs/>
          <w:color w:val="000000"/>
        </w:rPr>
        <w:t xml:space="preserve">turnover of travelling services gained 3.4 trillion VND, </w:t>
      </w:r>
      <w:r w:rsidR="00ED0498" w:rsidRPr="004E33BE">
        <w:rPr>
          <w:bCs/>
          <w:color w:val="000000"/>
        </w:rPr>
        <w:t>climbing</w:t>
      </w:r>
      <w:r w:rsidR="00D527A5" w:rsidRPr="004E33BE">
        <w:rPr>
          <w:bCs/>
          <w:color w:val="000000"/>
        </w:rPr>
        <w:t xml:space="preserve"> up by 0.7% and by 3%; and turnover of other services was 46 trillion VND, jumping up by 1.6% and by 11.7%.</w:t>
      </w:r>
      <w:r w:rsidR="00776C19" w:rsidRPr="004E33BE">
        <w:rPr>
          <w:bCs/>
          <w:color w:val="000000"/>
        </w:rPr>
        <w:t xml:space="preserve"> Generally for 11 months in 2018, gross retail sales of goods and services was estimated at 4,000.1 </w:t>
      </w:r>
      <w:r w:rsidR="00ED0498" w:rsidRPr="004E33BE">
        <w:rPr>
          <w:bCs/>
          <w:color w:val="000000"/>
        </w:rPr>
        <w:t>trillion</w:t>
      </w:r>
      <w:r w:rsidR="00776C19" w:rsidRPr="004E33BE">
        <w:rPr>
          <w:bCs/>
          <w:color w:val="000000"/>
        </w:rPr>
        <w:t xml:space="preserve"> VND, rising by 11.5% over the same period last year, </w:t>
      </w:r>
      <w:r w:rsidR="00776C19" w:rsidRPr="004E33BE">
        <w:rPr>
          <w:bCs/>
        </w:rPr>
        <w:t>if excluding price factor, increased by 9.34% (same period in 2017 rose by 9.25%).</w:t>
      </w:r>
      <w:r w:rsidR="00D527A5" w:rsidRPr="004E33BE">
        <w:rPr>
          <w:bCs/>
          <w:color w:val="000000"/>
        </w:rPr>
        <w:t xml:space="preserve"> </w:t>
      </w:r>
    </w:p>
    <w:p w:rsidR="00592D7B" w:rsidRPr="004E33BE" w:rsidRDefault="00776C19" w:rsidP="003F35D9">
      <w:pPr>
        <w:spacing w:before="40" w:after="40" w:line="283" w:lineRule="auto"/>
        <w:ind w:firstLine="567"/>
        <w:jc w:val="both"/>
        <w:rPr>
          <w:bCs/>
        </w:rPr>
      </w:pPr>
      <w:r w:rsidRPr="004E33BE">
        <w:rPr>
          <w:bCs/>
        </w:rPr>
        <w:t xml:space="preserve">By economic activities, gross retail sales of goods </w:t>
      </w:r>
      <w:r w:rsidR="000527B3" w:rsidRPr="004E33BE">
        <w:rPr>
          <w:bCs/>
        </w:rPr>
        <w:t>for</w:t>
      </w:r>
      <w:r w:rsidRPr="004E33BE">
        <w:rPr>
          <w:bCs/>
        </w:rPr>
        <w:t xml:space="preserve"> </w:t>
      </w:r>
      <w:r w:rsidR="000527B3" w:rsidRPr="004E33BE">
        <w:rPr>
          <w:bCs/>
        </w:rPr>
        <w:t>11 months</w:t>
      </w:r>
      <w:r w:rsidRPr="004E33BE">
        <w:rPr>
          <w:bCs/>
        </w:rPr>
        <w:t xml:space="preserve"> was estimated at </w:t>
      </w:r>
      <w:r w:rsidR="000527B3" w:rsidRPr="004E33BE">
        <w:rPr>
          <w:bCs/>
        </w:rPr>
        <w:t>3,007.2</w:t>
      </w:r>
      <w:r w:rsidRPr="004E33BE">
        <w:rPr>
          <w:bCs/>
        </w:rPr>
        <w:t xml:space="preserve"> trillion VND,</w:t>
      </w:r>
      <w:r w:rsidR="000527B3" w:rsidRPr="004E33BE">
        <w:rPr>
          <w:bCs/>
        </w:rPr>
        <w:t xml:space="preserve"> accounted for 75.2% and </w:t>
      </w:r>
      <w:r w:rsidRPr="004E33BE">
        <w:rPr>
          <w:bCs/>
        </w:rPr>
        <w:t xml:space="preserve">rose by </w:t>
      </w:r>
      <w:r w:rsidR="000527B3" w:rsidRPr="004E33BE">
        <w:rPr>
          <w:bCs/>
        </w:rPr>
        <w:t>12.3</w:t>
      </w:r>
      <w:r w:rsidRPr="004E33BE">
        <w:rPr>
          <w:bCs/>
        </w:rPr>
        <w:t xml:space="preserve">% compared to the same period last year, of which: food and foodstuff increased by </w:t>
      </w:r>
      <w:r w:rsidR="00FE5DAD" w:rsidRPr="004E33BE">
        <w:rPr>
          <w:bCs/>
        </w:rPr>
        <w:t>12.7</w:t>
      </w:r>
      <w:r w:rsidRPr="004E33BE">
        <w:rPr>
          <w:bCs/>
        </w:rPr>
        <w:t xml:space="preserve">%; garment up by </w:t>
      </w:r>
      <w:r w:rsidR="00FE5DAD" w:rsidRPr="004E33BE">
        <w:rPr>
          <w:bCs/>
        </w:rPr>
        <w:t>12.3</w:t>
      </w:r>
      <w:r w:rsidRPr="004E33BE">
        <w:rPr>
          <w:bCs/>
        </w:rPr>
        <w:t xml:space="preserve">%; household equipments and appliances up by </w:t>
      </w:r>
      <w:r w:rsidR="00FE5DAD" w:rsidRPr="004E33BE">
        <w:rPr>
          <w:bCs/>
        </w:rPr>
        <w:t>12.1</w:t>
      </w:r>
      <w:r w:rsidRPr="004E33BE">
        <w:rPr>
          <w:bCs/>
        </w:rPr>
        <w:t>%</w:t>
      </w:r>
      <w:r w:rsidR="00173073" w:rsidRPr="004E33BE">
        <w:rPr>
          <w:bCs/>
        </w:rPr>
        <w:t>; cultural and educational products up by 10.8%; and vehicles up by 11.3%</w:t>
      </w:r>
      <w:r w:rsidRPr="004E33BE">
        <w:rPr>
          <w:bCs/>
        </w:rPr>
        <w:t>. Some provinces achieved a good growth, particularly as follows:</w:t>
      </w:r>
      <w:r w:rsidR="001563D5" w:rsidRPr="004E33BE">
        <w:rPr>
          <w:bCs/>
        </w:rPr>
        <w:t xml:space="preserve"> Thanh </w:t>
      </w:r>
      <w:proofErr w:type="spellStart"/>
      <w:r w:rsidR="001563D5" w:rsidRPr="004E33BE">
        <w:rPr>
          <w:bCs/>
        </w:rPr>
        <w:t>Hoa</w:t>
      </w:r>
      <w:proofErr w:type="spellEnd"/>
      <w:r w:rsidR="001563D5" w:rsidRPr="004E33BE">
        <w:rPr>
          <w:bCs/>
        </w:rPr>
        <w:t xml:space="preserve">: 13.5%; Ho Chi Minh City: 13.2%; </w:t>
      </w:r>
      <w:proofErr w:type="spellStart"/>
      <w:r w:rsidR="001563D5" w:rsidRPr="004E33BE">
        <w:rPr>
          <w:bCs/>
        </w:rPr>
        <w:t>Binh</w:t>
      </w:r>
      <w:proofErr w:type="spellEnd"/>
      <w:r w:rsidR="001563D5" w:rsidRPr="004E33BE">
        <w:rPr>
          <w:bCs/>
        </w:rPr>
        <w:t xml:space="preserve"> </w:t>
      </w:r>
      <w:proofErr w:type="spellStart"/>
      <w:r w:rsidR="001563D5" w:rsidRPr="004E33BE">
        <w:rPr>
          <w:bCs/>
        </w:rPr>
        <w:t>Dinh</w:t>
      </w:r>
      <w:proofErr w:type="spellEnd"/>
      <w:r w:rsidR="001563D5" w:rsidRPr="004E33BE">
        <w:rPr>
          <w:bCs/>
        </w:rPr>
        <w:t xml:space="preserve">: 12.8%; Thai Nguyen: 12.7%; </w:t>
      </w:r>
      <w:proofErr w:type="spellStart"/>
      <w:proofErr w:type="gramStart"/>
      <w:r w:rsidR="001563D5" w:rsidRPr="004E33BE">
        <w:rPr>
          <w:bCs/>
        </w:rPr>
        <w:t>Bac</w:t>
      </w:r>
      <w:proofErr w:type="spellEnd"/>
      <w:proofErr w:type="gramEnd"/>
      <w:r w:rsidR="001563D5" w:rsidRPr="004E33BE">
        <w:rPr>
          <w:bCs/>
        </w:rPr>
        <w:t xml:space="preserve"> </w:t>
      </w:r>
      <w:proofErr w:type="spellStart"/>
      <w:r w:rsidR="001563D5" w:rsidRPr="004E33BE">
        <w:rPr>
          <w:bCs/>
        </w:rPr>
        <w:t>Giang</w:t>
      </w:r>
      <w:proofErr w:type="spellEnd"/>
      <w:r w:rsidR="001563D5" w:rsidRPr="004E33BE">
        <w:rPr>
          <w:bCs/>
        </w:rPr>
        <w:t xml:space="preserve">: 12.6%; Hai Duong: 12.2%; Nam </w:t>
      </w:r>
      <w:proofErr w:type="spellStart"/>
      <w:r w:rsidR="001563D5" w:rsidRPr="004E33BE">
        <w:rPr>
          <w:bCs/>
        </w:rPr>
        <w:t>Dinh</w:t>
      </w:r>
      <w:proofErr w:type="spellEnd"/>
      <w:r w:rsidR="001563D5" w:rsidRPr="004E33BE">
        <w:rPr>
          <w:bCs/>
        </w:rPr>
        <w:t xml:space="preserve">: 11.5%; and </w:t>
      </w:r>
      <w:r w:rsidRPr="004E33BE">
        <w:rPr>
          <w:bCs/>
        </w:rPr>
        <w:t xml:space="preserve">Ha </w:t>
      </w:r>
      <w:proofErr w:type="spellStart"/>
      <w:r w:rsidRPr="004E33BE">
        <w:rPr>
          <w:bCs/>
        </w:rPr>
        <w:t>Noi</w:t>
      </w:r>
      <w:proofErr w:type="spellEnd"/>
      <w:r w:rsidRPr="004E33BE">
        <w:rPr>
          <w:bCs/>
        </w:rPr>
        <w:t xml:space="preserve">: </w:t>
      </w:r>
      <w:r w:rsidR="00AB047C" w:rsidRPr="004E33BE">
        <w:rPr>
          <w:bCs/>
        </w:rPr>
        <w:t>11.2</w:t>
      </w:r>
      <w:r w:rsidRPr="004E33BE">
        <w:rPr>
          <w:bCs/>
        </w:rPr>
        <w:t>%.</w:t>
      </w:r>
    </w:p>
    <w:p w:rsidR="00791BD8" w:rsidRPr="004E33BE" w:rsidRDefault="00AB047C" w:rsidP="003F35D9">
      <w:pPr>
        <w:tabs>
          <w:tab w:val="left" w:pos="0"/>
        </w:tabs>
        <w:spacing w:before="40" w:after="40" w:line="283" w:lineRule="auto"/>
        <w:ind w:firstLine="567"/>
        <w:jc w:val="both"/>
        <w:rPr>
          <w:bCs/>
          <w:color w:val="000000"/>
        </w:rPr>
      </w:pPr>
      <w:r w:rsidRPr="004E33BE">
        <w:rPr>
          <w:bCs/>
          <w:color w:val="000000"/>
        </w:rPr>
        <w:t xml:space="preserve">The turnover of accommodation and catering services in 11 months was estimated at 488.6 trillion VND, accounting for 12.2% and increasing by </w:t>
      </w:r>
      <w:r w:rsidR="00791BD8" w:rsidRPr="004E33BE">
        <w:rPr>
          <w:bCs/>
          <w:color w:val="000000"/>
        </w:rPr>
        <w:t>8.6</w:t>
      </w:r>
      <w:r w:rsidRPr="004E33BE">
        <w:rPr>
          <w:bCs/>
          <w:color w:val="000000"/>
        </w:rPr>
        <w:t xml:space="preserve">% compared to the </w:t>
      </w:r>
      <w:r w:rsidR="00791BD8" w:rsidRPr="004E33BE">
        <w:rPr>
          <w:bCs/>
          <w:color w:val="000000"/>
        </w:rPr>
        <w:t xml:space="preserve">same period last year, of which </w:t>
      </w:r>
      <w:proofErr w:type="spellStart"/>
      <w:r w:rsidR="00791BD8" w:rsidRPr="004E33BE">
        <w:rPr>
          <w:bCs/>
          <w:color w:val="000000"/>
        </w:rPr>
        <w:t>Binh</w:t>
      </w:r>
      <w:proofErr w:type="spellEnd"/>
      <w:r w:rsidR="00791BD8" w:rsidRPr="004E33BE">
        <w:rPr>
          <w:bCs/>
          <w:color w:val="000000"/>
        </w:rPr>
        <w:t xml:space="preserve"> </w:t>
      </w:r>
      <w:proofErr w:type="spellStart"/>
      <w:r w:rsidR="00791BD8" w:rsidRPr="004E33BE">
        <w:rPr>
          <w:bCs/>
          <w:color w:val="000000"/>
        </w:rPr>
        <w:t>Dinh</w:t>
      </w:r>
      <w:proofErr w:type="spellEnd"/>
      <w:r w:rsidR="00791BD8" w:rsidRPr="004E33BE">
        <w:rPr>
          <w:bCs/>
          <w:color w:val="000000"/>
        </w:rPr>
        <w:t xml:space="preserve"> up by 14%; </w:t>
      </w:r>
      <w:proofErr w:type="spellStart"/>
      <w:r w:rsidR="00791BD8" w:rsidRPr="004E33BE">
        <w:rPr>
          <w:bCs/>
          <w:color w:val="000000"/>
        </w:rPr>
        <w:t>Nghe</w:t>
      </w:r>
      <w:proofErr w:type="spellEnd"/>
      <w:r w:rsidR="00791BD8" w:rsidRPr="004E33BE">
        <w:rPr>
          <w:bCs/>
          <w:color w:val="000000"/>
        </w:rPr>
        <w:t xml:space="preserve"> An up by 12.3%; </w:t>
      </w:r>
      <w:proofErr w:type="spellStart"/>
      <w:r w:rsidR="00791BD8" w:rsidRPr="004E33BE">
        <w:rPr>
          <w:bCs/>
          <w:color w:val="000000"/>
        </w:rPr>
        <w:t>Tien</w:t>
      </w:r>
      <w:proofErr w:type="spellEnd"/>
      <w:r w:rsidR="00791BD8" w:rsidRPr="004E33BE">
        <w:rPr>
          <w:bCs/>
          <w:color w:val="000000"/>
        </w:rPr>
        <w:t xml:space="preserve"> </w:t>
      </w:r>
      <w:proofErr w:type="spellStart"/>
      <w:r w:rsidR="00791BD8" w:rsidRPr="004E33BE">
        <w:rPr>
          <w:bCs/>
          <w:color w:val="000000"/>
        </w:rPr>
        <w:t>Giang</w:t>
      </w:r>
      <w:proofErr w:type="spellEnd"/>
      <w:r w:rsidR="00791BD8" w:rsidRPr="004E33BE">
        <w:rPr>
          <w:bCs/>
          <w:color w:val="000000"/>
        </w:rPr>
        <w:t xml:space="preserve"> up by 12.2%; </w:t>
      </w:r>
      <w:proofErr w:type="spellStart"/>
      <w:r w:rsidR="00791BD8" w:rsidRPr="004E33BE">
        <w:rPr>
          <w:bCs/>
          <w:color w:val="000000"/>
        </w:rPr>
        <w:t>Binh</w:t>
      </w:r>
      <w:proofErr w:type="spellEnd"/>
      <w:r w:rsidR="00791BD8" w:rsidRPr="004E33BE">
        <w:rPr>
          <w:bCs/>
          <w:color w:val="000000"/>
        </w:rPr>
        <w:t xml:space="preserve"> Duong up by 11.6</w:t>
      </w:r>
      <w:r w:rsidR="00D602CF" w:rsidRPr="004E33BE">
        <w:rPr>
          <w:bCs/>
          <w:color w:val="000000"/>
        </w:rPr>
        <w:t xml:space="preserve">%; </w:t>
      </w:r>
      <w:proofErr w:type="spellStart"/>
      <w:r w:rsidR="00D602CF" w:rsidRPr="004E33BE">
        <w:rPr>
          <w:bCs/>
          <w:color w:val="000000"/>
        </w:rPr>
        <w:t>Khanh</w:t>
      </w:r>
      <w:proofErr w:type="spellEnd"/>
      <w:r w:rsidR="00D602CF" w:rsidRPr="004E33BE">
        <w:rPr>
          <w:bCs/>
          <w:color w:val="000000"/>
        </w:rPr>
        <w:t xml:space="preserve"> </w:t>
      </w:r>
      <w:proofErr w:type="spellStart"/>
      <w:r w:rsidR="00D602CF" w:rsidRPr="004E33BE">
        <w:rPr>
          <w:bCs/>
          <w:color w:val="000000"/>
        </w:rPr>
        <w:t>Hoa</w:t>
      </w:r>
      <w:proofErr w:type="spellEnd"/>
      <w:r w:rsidR="00D602CF" w:rsidRPr="004E33BE">
        <w:rPr>
          <w:bCs/>
          <w:color w:val="000000"/>
        </w:rPr>
        <w:t xml:space="preserve"> up by 10.9%; Ho Chi Minh up by 7.4%; and Ha </w:t>
      </w:r>
      <w:proofErr w:type="spellStart"/>
      <w:r w:rsidR="00D602CF" w:rsidRPr="004E33BE">
        <w:rPr>
          <w:bCs/>
          <w:color w:val="000000"/>
        </w:rPr>
        <w:t>Noi</w:t>
      </w:r>
      <w:proofErr w:type="spellEnd"/>
      <w:r w:rsidR="00D602CF" w:rsidRPr="004E33BE">
        <w:rPr>
          <w:bCs/>
          <w:color w:val="000000"/>
        </w:rPr>
        <w:t xml:space="preserve"> up by 4.9%.</w:t>
      </w:r>
    </w:p>
    <w:p w:rsidR="00D602CF" w:rsidRPr="004E33BE" w:rsidRDefault="00D602CF" w:rsidP="004A6C8B">
      <w:pPr>
        <w:tabs>
          <w:tab w:val="left" w:pos="0"/>
        </w:tabs>
        <w:spacing w:before="40" w:after="40" w:line="274" w:lineRule="auto"/>
        <w:ind w:firstLine="567"/>
        <w:jc w:val="both"/>
        <w:rPr>
          <w:bCs/>
          <w:color w:val="000000"/>
        </w:rPr>
      </w:pPr>
      <w:r w:rsidRPr="004E33BE">
        <w:rPr>
          <w:bCs/>
          <w:color w:val="000000"/>
        </w:rPr>
        <w:t>The turnover of travelling in 11 months was estimated at 37 trillion VND, making up 0.9% and rising by 14.7% over the same period last year</w:t>
      </w:r>
      <w:r w:rsidR="004A6C8B" w:rsidRPr="004E33BE">
        <w:rPr>
          <w:bCs/>
          <w:color w:val="000000"/>
        </w:rPr>
        <w:t xml:space="preserve">. Some </w:t>
      </w:r>
      <w:r w:rsidR="004A6C8B" w:rsidRPr="004E33BE">
        <w:rPr>
          <w:bCs/>
          <w:color w:val="000000"/>
        </w:rPr>
        <w:lastRenderedPageBreak/>
        <w:t xml:space="preserve">provinces gained a good growth, particularly: </w:t>
      </w:r>
      <w:proofErr w:type="spellStart"/>
      <w:r w:rsidR="004A6C8B" w:rsidRPr="004E33BE">
        <w:rPr>
          <w:bCs/>
          <w:color w:val="000000"/>
        </w:rPr>
        <w:t>Ba</w:t>
      </w:r>
      <w:proofErr w:type="spellEnd"/>
      <w:r w:rsidR="004A6C8B" w:rsidRPr="004E33BE">
        <w:rPr>
          <w:bCs/>
          <w:color w:val="000000"/>
        </w:rPr>
        <w:t xml:space="preserve"> </w:t>
      </w:r>
      <w:proofErr w:type="spellStart"/>
      <w:r w:rsidR="004A6C8B" w:rsidRPr="004E33BE">
        <w:rPr>
          <w:bCs/>
          <w:color w:val="000000"/>
        </w:rPr>
        <w:t>Ria</w:t>
      </w:r>
      <w:proofErr w:type="spellEnd"/>
      <w:r w:rsidR="004A6C8B" w:rsidRPr="004E33BE">
        <w:rPr>
          <w:bCs/>
          <w:color w:val="000000"/>
        </w:rPr>
        <w:t xml:space="preserve"> - </w:t>
      </w:r>
      <w:proofErr w:type="spellStart"/>
      <w:r w:rsidR="004A6C8B" w:rsidRPr="004E33BE">
        <w:rPr>
          <w:bCs/>
          <w:color w:val="000000"/>
        </w:rPr>
        <w:t>Vung</w:t>
      </w:r>
      <w:proofErr w:type="spellEnd"/>
      <w:r w:rsidR="004A6C8B" w:rsidRPr="004E33BE">
        <w:rPr>
          <w:bCs/>
          <w:color w:val="000000"/>
        </w:rPr>
        <w:t xml:space="preserve"> Tau </w:t>
      </w:r>
      <w:r w:rsidRPr="004E33BE">
        <w:rPr>
          <w:bCs/>
          <w:color w:val="000000"/>
        </w:rPr>
        <w:t xml:space="preserve">increased by </w:t>
      </w:r>
      <w:r w:rsidR="004A6C8B" w:rsidRPr="004E33BE">
        <w:rPr>
          <w:bCs/>
          <w:color w:val="000000"/>
        </w:rPr>
        <w:t>22.9</w:t>
      </w:r>
      <w:r w:rsidRPr="004E33BE">
        <w:rPr>
          <w:bCs/>
          <w:color w:val="000000"/>
        </w:rPr>
        <w:t xml:space="preserve">%; </w:t>
      </w:r>
      <w:r w:rsidR="004A6C8B" w:rsidRPr="004E33BE">
        <w:rPr>
          <w:bCs/>
          <w:color w:val="000000"/>
        </w:rPr>
        <w:t xml:space="preserve">Hai </w:t>
      </w:r>
      <w:proofErr w:type="spellStart"/>
      <w:r w:rsidR="004A6C8B" w:rsidRPr="004E33BE">
        <w:rPr>
          <w:bCs/>
          <w:color w:val="000000"/>
        </w:rPr>
        <w:t>Phong</w:t>
      </w:r>
      <w:proofErr w:type="spellEnd"/>
      <w:r w:rsidRPr="004E33BE">
        <w:rPr>
          <w:bCs/>
          <w:color w:val="000000"/>
        </w:rPr>
        <w:t xml:space="preserve"> rose by </w:t>
      </w:r>
      <w:r w:rsidR="004A6C8B" w:rsidRPr="004E33BE">
        <w:rPr>
          <w:bCs/>
          <w:color w:val="000000"/>
        </w:rPr>
        <w:t>19.9</w:t>
      </w:r>
      <w:r w:rsidRPr="004E33BE">
        <w:rPr>
          <w:bCs/>
          <w:color w:val="000000"/>
        </w:rPr>
        <w:t xml:space="preserve">%; Ho Chi Minh City spread </w:t>
      </w:r>
      <w:r w:rsidR="008470E3" w:rsidRPr="004E33BE">
        <w:rPr>
          <w:bCs/>
          <w:color w:val="000000"/>
        </w:rPr>
        <w:t>18</w:t>
      </w:r>
      <w:r w:rsidRPr="004E33BE">
        <w:rPr>
          <w:bCs/>
          <w:color w:val="000000"/>
        </w:rPr>
        <w:t>.6%</w:t>
      </w:r>
      <w:r w:rsidR="004A6C8B" w:rsidRPr="004E33BE">
        <w:rPr>
          <w:bCs/>
          <w:color w:val="000000"/>
        </w:rPr>
        <w:t xml:space="preserve">; </w:t>
      </w:r>
      <w:proofErr w:type="spellStart"/>
      <w:r w:rsidR="008470E3" w:rsidRPr="004E33BE">
        <w:rPr>
          <w:bCs/>
          <w:color w:val="000000"/>
        </w:rPr>
        <w:t>Nghe</w:t>
      </w:r>
      <w:proofErr w:type="spellEnd"/>
      <w:r w:rsidR="008470E3" w:rsidRPr="004E33BE">
        <w:rPr>
          <w:bCs/>
          <w:color w:val="000000"/>
        </w:rPr>
        <w:t xml:space="preserve"> An</w:t>
      </w:r>
      <w:r w:rsidR="004A6C8B" w:rsidRPr="004E33BE">
        <w:rPr>
          <w:bCs/>
          <w:color w:val="000000"/>
        </w:rPr>
        <w:t xml:space="preserve"> climbed up by </w:t>
      </w:r>
      <w:r w:rsidR="008470E3" w:rsidRPr="004E33BE">
        <w:rPr>
          <w:bCs/>
          <w:color w:val="000000"/>
        </w:rPr>
        <w:t>16.4</w:t>
      </w:r>
      <w:r w:rsidR="004A6C8B" w:rsidRPr="004E33BE">
        <w:rPr>
          <w:bCs/>
          <w:color w:val="000000"/>
        </w:rPr>
        <w:t xml:space="preserve">%; </w:t>
      </w:r>
      <w:r w:rsidR="008470E3" w:rsidRPr="004E33BE">
        <w:rPr>
          <w:bCs/>
          <w:color w:val="000000"/>
        </w:rPr>
        <w:t>and</w:t>
      </w:r>
      <w:r w:rsidR="004A6C8B" w:rsidRPr="004E33BE">
        <w:rPr>
          <w:bCs/>
          <w:color w:val="000000"/>
        </w:rPr>
        <w:t xml:space="preserve"> Ha </w:t>
      </w:r>
      <w:proofErr w:type="spellStart"/>
      <w:r w:rsidR="004A6C8B" w:rsidRPr="004E33BE">
        <w:rPr>
          <w:bCs/>
          <w:color w:val="000000"/>
        </w:rPr>
        <w:t>Noi</w:t>
      </w:r>
      <w:proofErr w:type="spellEnd"/>
      <w:r w:rsidR="004A6C8B" w:rsidRPr="004E33BE">
        <w:rPr>
          <w:bCs/>
          <w:color w:val="000000"/>
        </w:rPr>
        <w:t xml:space="preserve"> expanded 8.</w:t>
      </w:r>
      <w:r w:rsidR="008470E3" w:rsidRPr="004E33BE">
        <w:rPr>
          <w:bCs/>
          <w:color w:val="000000"/>
        </w:rPr>
        <w:t>6%</w:t>
      </w:r>
      <w:r w:rsidRPr="004E33BE">
        <w:rPr>
          <w:bCs/>
          <w:color w:val="000000"/>
        </w:rPr>
        <w:t>.</w:t>
      </w:r>
    </w:p>
    <w:p w:rsidR="00202BA1" w:rsidRPr="004E33BE" w:rsidRDefault="00202BA1" w:rsidP="00202BA1">
      <w:pPr>
        <w:tabs>
          <w:tab w:val="left" w:pos="0"/>
        </w:tabs>
        <w:spacing w:before="40" w:after="40" w:line="274" w:lineRule="auto"/>
        <w:ind w:firstLine="567"/>
        <w:jc w:val="both"/>
        <w:rPr>
          <w:bCs/>
          <w:color w:val="000000"/>
          <w:spacing w:val="-2"/>
        </w:rPr>
      </w:pPr>
      <w:r w:rsidRPr="004E33BE">
        <w:rPr>
          <w:bCs/>
          <w:color w:val="000000"/>
          <w:spacing w:val="-2"/>
        </w:rPr>
        <w:t xml:space="preserve">The turnover of other services in </w:t>
      </w:r>
      <w:r w:rsidR="008470E3" w:rsidRPr="004E33BE">
        <w:rPr>
          <w:bCs/>
          <w:color w:val="000000"/>
          <w:spacing w:val="-2"/>
        </w:rPr>
        <w:t>11 months</w:t>
      </w:r>
      <w:r w:rsidRPr="004E33BE">
        <w:rPr>
          <w:bCs/>
          <w:color w:val="000000"/>
          <w:spacing w:val="-2"/>
        </w:rPr>
        <w:t xml:space="preserve"> was estimated at </w:t>
      </w:r>
      <w:r w:rsidR="008470E3" w:rsidRPr="004E33BE">
        <w:rPr>
          <w:bCs/>
          <w:color w:val="000000"/>
          <w:spacing w:val="-2"/>
        </w:rPr>
        <w:t>467.3</w:t>
      </w:r>
      <w:r w:rsidRPr="004E33BE">
        <w:rPr>
          <w:bCs/>
          <w:color w:val="000000"/>
          <w:spacing w:val="-2"/>
        </w:rPr>
        <w:t xml:space="preserve"> trillion VND, </w:t>
      </w:r>
      <w:r w:rsidR="008470E3" w:rsidRPr="004E33BE">
        <w:rPr>
          <w:bCs/>
          <w:color w:val="000000"/>
          <w:spacing w:val="-2"/>
        </w:rPr>
        <w:t xml:space="preserve">accounting for 11.7% and </w:t>
      </w:r>
      <w:r w:rsidRPr="004E33BE">
        <w:rPr>
          <w:bCs/>
          <w:color w:val="000000"/>
          <w:spacing w:val="-2"/>
        </w:rPr>
        <w:t xml:space="preserve">gaining an increase of </w:t>
      </w:r>
      <w:r w:rsidR="008470E3" w:rsidRPr="004E33BE">
        <w:rPr>
          <w:bCs/>
          <w:color w:val="000000"/>
          <w:spacing w:val="-2"/>
        </w:rPr>
        <w:t>9</w:t>
      </w:r>
      <w:r w:rsidRPr="004E33BE">
        <w:rPr>
          <w:bCs/>
          <w:color w:val="000000"/>
          <w:spacing w:val="-2"/>
        </w:rPr>
        <w:t xml:space="preserve">.8% compared to the same period last year, of which </w:t>
      </w:r>
      <w:proofErr w:type="spellStart"/>
      <w:r w:rsidR="00255466" w:rsidRPr="004E33BE">
        <w:rPr>
          <w:bCs/>
          <w:color w:val="000000"/>
          <w:spacing w:val="-2"/>
        </w:rPr>
        <w:t>Da</w:t>
      </w:r>
      <w:proofErr w:type="spellEnd"/>
      <w:r w:rsidR="00255466" w:rsidRPr="004E33BE">
        <w:rPr>
          <w:bCs/>
          <w:color w:val="000000"/>
          <w:spacing w:val="-2"/>
        </w:rPr>
        <w:t xml:space="preserve"> Nang</w:t>
      </w:r>
      <w:r w:rsidRPr="004E33BE">
        <w:rPr>
          <w:bCs/>
          <w:color w:val="000000"/>
          <w:spacing w:val="-2"/>
        </w:rPr>
        <w:t xml:space="preserve"> went up by </w:t>
      </w:r>
      <w:r w:rsidR="00255466" w:rsidRPr="004E33BE">
        <w:rPr>
          <w:bCs/>
          <w:color w:val="000000"/>
          <w:spacing w:val="-2"/>
        </w:rPr>
        <w:t>13</w:t>
      </w:r>
      <w:r w:rsidRPr="004E33BE">
        <w:rPr>
          <w:bCs/>
          <w:color w:val="000000"/>
          <w:spacing w:val="-2"/>
        </w:rPr>
        <w:t xml:space="preserve">%; Thanh </w:t>
      </w:r>
      <w:proofErr w:type="spellStart"/>
      <w:r w:rsidRPr="004E33BE">
        <w:rPr>
          <w:bCs/>
          <w:color w:val="000000"/>
          <w:spacing w:val="-2"/>
        </w:rPr>
        <w:t>Hoa</w:t>
      </w:r>
      <w:proofErr w:type="spellEnd"/>
      <w:r w:rsidRPr="004E33BE">
        <w:rPr>
          <w:bCs/>
          <w:color w:val="000000"/>
          <w:spacing w:val="-2"/>
        </w:rPr>
        <w:t xml:space="preserve"> up by </w:t>
      </w:r>
      <w:r w:rsidR="00255466" w:rsidRPr="004E33BE">
        <w:rPr>
          <w:bCs/>
          <w:color w:val="000000"/>
          <w:spacing w:val="-2"/>
        </w:rPr>
        <w:t>12.7</w:t>
      </w:r>
      <w:r w:rsidRPr="004E33BE">
        <w:rPr>
          <w:bCs/>
          <w:color w:val="000000"/>
          <w:spacing w:val="-2"/>
        </w:rPr>
        <w:t xml:space="preserve">%; </w:t>
      </w:r>
      <w:proofErr w:type="spellStart"/>
      <w:r w:rsidR="00255466" w:rsidRPr="004E33BE">
        <w:rPr>
          <w:bCs/>
          <w:color w:val="000000"/>
          <w:spacing w:val="-2"/>
        </w:rPr>
        <w:t>Binh</w:t>
      </w:r>
      <w:proofErr w:type="spellEnd"/>
      <w:r w:rsidR="00255466" w:rsidRPr="004E33BE">
        <w:rPr>
          <w:bCs/>
          <w:color w:val="000000"/>
          <w:spacing w:val="-2"/>
        </w:rPr>
        <w:t xml:space="preserve"> </w:t>
      </w:r>
      <w:proofErr w:type="spellStart"/>
      <w:r w:rsidR="00255466" w:rsidRPr="004E33BE">
        <w:rPr>
          <w:bCs/>
          <w:color w:val="000000"/>
          <w:spacing w:val="-2"/>
        </w:rPr>
        <w:t>Dinh</w:t>
      </w:r>
      <w:proofErr w:type="spellEnd"/>
      <w:r w:rsidRPr="004E33BE">
        <w:rPr>
          <w:bCs/>
          <w:color w:val="000000"/>
          <w:spacing w:val="-2"/>
        </w:rPr>
        <w:t xml:space="preserve"> up by </w:t>
      </w:r>
      <w:r w:rsidR="00255466" w:rsidRPr="004E33BE">
        <w:rPr>
          <w:bCs/>
          <w:color w:val="000000"/>
          <w:spacing w:val="-2"/>
        </w:rPr>
        <w:t>11.8</w:t>
      </w:r>
      <w:r w:rsidRPr="004E33BE">
        <w:rPr>
          <w:bCs/>
          <w:color w:val="000000"/>
          <w:spacing w:val="-2"/>
        </w:rPr>
        <w:t xml:space="preserve">%; Ho Chi Minh City up by </w:t>
      </w:r>
      <w:r w:rsidR="00255466" w:rsidRPr="004E33BE">
        <w:rPr>
          <w:bCs/>
          <w:color w:val="000000"/>
          <w:spacing w:val="-2"/>
        </w:rPr>
        <w:t>11.3</w:t>
      </w:r>
      <w:r w:rsidRPr="004E33BE">
        <w:rPr>
          <w:bCs/>
          <w:color w:val="000000"/>
          <w:spacing w:val="-2"/>
        </w:rPr>
        <w:t xml:space="preserve">% and Ha </w:t>
      </w:r>
      <w:proofErr w:type="spellStart"/>
      <w:r w:rsidRPr="004E33BE">
        <w:rPr>
          <w:bCs/>
          <w:color w:val="000000"/>
          <w:spacing w:val="-2"/>
        </w:rPr>
        <w:t>Noi</w:t>
      </w:r>
      <w:proofErr w:type="spellEnd"/>
      <w:r w:rsidRPr="004E33BE">
        <w:rPr>
          <w:bCs/>
          <w:color w:val="000000"/>
          <w:spacing w:val="-2"/>
        </w:rPr>
        <w:t xml:space="preserve"> up by </w:t>
      </w:r>
      <w:r w:rsidR="00255466" w:rsidRPr="004E33BE">
        <w:rPr>
          <w:bCs/>
          <w:color w:val="000000"/>
          <w:spacing w:val="-2"/>
        </w:rPr>
        <w:t>6.3</w:t>
      </w:r>
      <w:r w:rsidRPr="004E33BE">
        <w:rPr>
          <w:bCs/>
          <w:color w:val="000000"/>
          <w:spacing w:val="-2"/>
        </w:rPr>
        <w:t>%.</w:t>
      </w:r>
    </w:p>
    <w:p w:rsidR="003918DF" w:rsidRPr="004E33BE" w:rsidRDefault="00E10D3A" w:rsidP="0018332A">
      <w:pPr>
        <w:pStyle w:val="NormalWeb"/>
        <w:spacing w:before="40" w:beforeAutospacing="0" w:after="40" w:afterAutospacing="0" w:line="336" w:lineRule="atLeast"/>
        <w:jc w:val="both"/>
        <w:rPr>
          <w:color w:val="000000"/>
          <w:sz w:val="28"/>
          <w:szCs w:val="28"/>
        </w:rPr>
      </w:pPr>
      <w:r w:rsidRPr="004E33BE">
        <w:rPr>
          <w:rStyle w:val="Strong"/>
          <w:i/>
          <w:iCs/>
          <w:sz w:val="28"/>
          <w:szCs w:val="28"/>
        </w:rPr>
        <w:t xml:space="preserve"> </w:t>
      </w:r>
      <w:r w:rsidR="00923B85">
        <w:rPr>
          <w:rStyle w:val="Strong"/>
          <w:i/>
          <w:iCs/>
          <w:sz w:val="28"/>
          <w:szCs w:val="28"/>
        </w:rPr>
        <w:tab/>
      </w:r>
      <w:r w:rsidR="00C031A9" w:rsidRPr="004E33BE">
        <w:rPr>
          <w:rStyle w:val="Strong"/>
          <w:i/>
          <w:iCs/>
          <w:sz w:val="28"/>
          <w:szCs w:val="28"/>
        </w:rPr>
        <w:t>b</w:t>
      </w:r>
      <w:r w:rsidR="004C70CE" w:rsidRPr="004E33BE">
        <w:rPr>
          <w:rStyle w:val="Strong"/>
          <w:i/>
          <w:iCs/>
          <w:sz w:val="28"/>
          <w:szCs w:val="28"/>
        </w:rPr>
        <w:t>)</w:t>
      </w:r>
      <w:r w:rsidR="00C031A9" w:rsidRPr="004E33BE">
        <w:rPr>
          <w:rStyle w:val="Strong"/>
          <w:i/>
          <w:iCs/>
          <w:sz w:val="28"/>
          <w:szCs w:val="28"/>
        </w:rPr>
        <w:t xml:space="preserve"> </w:t>
      </w:r>
      <w:r w:rsidR="003918DF" w:rsidRPr="004E33BE">
        <w:rPr>
          <w:rStyle w:val="notranslate"/>
          <w:b/>
          <w:bCs/>
          <w:i/>
          <w:iCs/>
          <w:color w:val="000000"/>
          <w:sz w:val="28"/>
          <w:szCs w:val="28"/>
        </w:rPr>
        <w:t>Import and export of goods</w:t>
      </w:r>
    </w:p>
    <w:p w:rsidR="003918DF" w:rsidRPr="004E33BE" w:rsidRDefault="003918DF" w:rsidP="003918DF">
      <w:pPr>
        <w:pStyle w:val="NormalWeb"/>
        <w:shd w:val="clear" w:color="auto" w:fill="FFFFFF"/>
        <w:spacing w:before="40" w:beforeAutospacing="0" w:after="40" w:afterAutospacing="0" w:line="336" w:lineRule="atLeast"/>
        <w:ind w:firstLine="567"/>
        <w:jc w:val="both"/>
        <w:rPr>
          <w:color w:val="000000"/>
          <w:sz w:val="28"/>
          <w:szCs w:val="28"/>
        </w:rPr>
      </w:pPr>
      <w:r w:rsidRPr="004E33BE">
        <w:rPr>
          <w:rStyle w:val="notranslate"/>
          <w:color w:val="000000"/>
          <w:sz w:val="28"/>
          <w:szCs w:val="28"/>
        </w:rPr>
        <w:t>Export turnover of goods in October 2018 reached 22,531 million USD, 1,731 million USD higher than the estimated figure, of which: phones and their parts were 746 million USD;</w:t>
      </w:r>
      <w:r w:rsidRPr="004E33BE">
        <w:rPr>
          <w:color w:val="000000"/>
          <w:sz w:val="28"/>
          <w:szCs w:val="28"/>
        </w:rPr>
        <w:t> </w:t>
      </w:r>
      <w:r w:rsidRPr="004E33BE">
        <w:rPr>
          <w:rStyle w:val="notranslate"/>
          <w:color w:val="000000"/>
          <w:sz w:val="28"/>
          <w:szCs w:val="28"/>
        </w:rPr>
        <w:t>electronic goods, computers and their parts were 135 million USD;</w:t>
      </w:r>
      <w:r w:rsidRPr="004E33BE">
        <w:rPr>
          <w:color w:val="000000"/>
          <w:sz w:val="28"/>
          <w:szCs w:val="28"/>
        </w:rPr>
        <w:t> </w:t>
      </w:r>
      <w:r w:rsidRPr="004E33BE">
        <w:rPr>
          <w:rStyle w:val="notranslate"/>
          <w:color w:val="000000"/>
          <w:sz w:val="28"/>
          <w:szCs w:val="28"/>
        </w:rPr>
        <w:t>footwear was 132 million USD;</w:t>
      </w:r>
      <w:r w:rsidRPr="004E33BE">
        <w:rPr>
          <w:color w:val="000000"/>
          <w:sz w:val="28"/>
          <w:szCs w:val="28"/>
        </w:rPr>
        <w:t> </w:t>
      </w:r>
      <w:r w:rsidRPr="004E33BE">
        <w:rPr>
          <w:rStyle w:val="notranslate"/>
          <w:color w:val="000000"/>
          <w:sz w:val="28"/>
          <w:szCs w:val="28"/>
        </w:rPr>
        <w:t>iron and steel were 115 million USD;</w:t>
      </w:r>
      <w:r w:rsidRPr="004E33BE">
        <w:rPr>
          <w:color w:val="000000"/>
          <w:sz w:val="28"/>
          <w:szCs w:val="28"/>
        </w:rPr>
        <w:t> </w:t>
      </w:r>
      <w:r w:rsidRPr="004E33BE">
        <w:rPr>
          <w:rStyle w:val="notranslate"/>
          <w:color w:val="000000"/>
          <w:sz w:val="28"/>
          <w:szCs w:val="28"/>
        </w:rPr>
        <w:t>machinery, instruments and accessory were 103 million USD;</w:t>
      </w:r>
      <w:r w:rsidRPr="004E33BE">
        <w:rPr>
          <w:color w:val="000000"/>
          <w:sz w:val="28"/>
          <w:szCs w:val="28"/>
        </w:rPr>
        <w:t> </w:t>
      </w:r>
      <w:r w:rsidRPr="004E33BE">
        <w:rPr>
          <w:rStyle w:val="notranslate"/>
          <w:color w:val="000000"/>
          <w:sz w:val="28"/>
          <w:szCs w:val="28"/>
        </w:rPr>
        <w:t>wood, wooden products and crude oil were 45 million USD;</w:t>
      </w:r>
      <w:r w:rsidRPr="004E33BE">
        <w:rPr>
          <w:color w:val="000000"/>
          <w:sz w:val="28"/>
          <w:szCs w:val="28"/>
        </w:rPr>
        <w:t> </w:t>
      </w:r>
      <w:r w:rsidRPr="004E33BE">
        <w:rPr>
          <w:rStyle w:val="notranslate"/>
          <w:color w:val="000000"/>
          <w:sz w:val="28"/>
          <w:szCs w:val="28"/>
        </w:rPr>
        <w:t>gasoline was 34 million USD;</w:t>
      </w:r>
      <w:r w:rsidRPr="004E33BE">
        <w:rPr>
          <w:color w:val="000000"/>
          <w:sz w:val="28"/>
          <w:szCs w:val="28"/>
        </w:rPr>
        <w:t> </w:t>
      </w:r>
      <w:r w:rsidRPr="004E33BE">
        <w:rPr>
          <w:rStyle w:val="notranslate"/>
          <w:color w:val="000000"/>
          <w:sz w:val="28"/>
          <w:szCs w:val="28"/>
        </w:rPr>
        <w:t>textile was 32 million USD;</w:t>
      </w:r>
      <w:r w:rsidRPr="004E33BE">
        <w:rPr>
          <w:color w:val="000000"/>
          <w:sz w:val="28"/>
          <w:szCs w:val="28"/>
        </w:rPr>
        <w:t> h</w:t>
      </w:r>
      <w:r w:rsidRPr="004E33BE">
        <w:rPr>
          <w:rStyle w:val="notranslate"/>
          <w:color w:val="000000"/>
          <w:sz w:val="28"/>
          <w:szCs w:val="28"/>
        </w:rPr>
        <w:t>igh quality plastic products were 30 million USD higher than estimated.</w:t>
      </w:r>
    </w:p>
    <w:p w:rsidR="003918DF" w:rsidRPr="004E33BE" w:rsidRDefault="003918DF" w:rsidP="003918DF">
      <w:pPr>
        <w:pStyle w:val="NormalWeb"/>
        <w:shd w:val="clear" w:color="auto" w:fill="FFFFFF"/>
        <w:spacing w:before="40" w:beforeAutospacing="0" w:after="40" w:afterAutospacing="0" w:line="336" w:lineRule="atLeast"/>
        <w:ind w:firstLine="567"/>
        <w:jc w:val="both"/>
        <w:rPr>
          <w:color w:val="000000"/>
          <w:sz w:val="28"/>
          <w:szCs w:val="28"/>
        </w:rPr>
      </w:pPr>
      <w:r w:rsidRPr="004E33BE">
        <w:rPr>
          <w:rStyle w:val="notranslate"/>
          <w:color w:val="000000"/>
          <w:sz w:val="28"/>
          <w:szCs w:val="28"/>
        </w:rPr>
        <w:t>Export turnover in November was estimated at 21.60 billion USD, going down by 4.1% over the previous month, of which: the domestic economic sector was 5.89 billion USD, decreasing by 4.5%;</w:t>
      </w:r>
      <w:r w:rsidRPr="004E33BE">
        <w:rPr>
          <w:color w:val="000000"/>
          <w:sz w:val="28"/>
          <w:szCs w:val="28"/>
        </w:rPr>
        <w:t> </w:t>
      </w:r>
      <w:r w:rsidRPr="004E33BE">
        <w:rPr>
          <w:rStyle w:val="notranslate"/>
          <w:color w:val="000000"/>
          <w:sz w:val="28"/>
          <w:szCs w:val="28"/>
        </w:rPr>
        <w:t>FDI sector (including crude oil) reached 15.71 billion USD, declining by 4%.</w:t>
      </w:r>
      <w:r w:rsidRPr="004E33BE">
        <w:rPr>
          <w:color w:val="000000"/>
          <w:sz w:val="28"/>
          <w:szCs w:val="28"/>
        </w:rPr>
        <w:t> </w:t>
      </w:r>
      <w:r w:rsidRPr="004E33BE">
        <w:rPr>
          <w:rStyle w:val="notranslate"/>
          <w:color w:val="000000"/>
          <w:sz w:val="28"/>
          <w:szCs w:val="28"/>
        </w:rPr>
        <w:t>Most products had decreased export turnover in the month compared to the previous month, of which: iron and steel fell by 30.8%;</w:t>
      </w:r>
      <w:r w:rsidRPr="004E33BE">
        <w:rPr>
          <w:color w:val="000000"/>
          <w:sz w:val="28"/>
          <w:szCs w:val="28"/>
        </w:rPr>
        <w:t> </w:t>
      </w:r>
      <w:r w:rsidRPr="004E33BE">
        <w:rPr>
          <w:rStyle w:val="notranslate"/>
          <w:color w:val="000000"/>
          <w:sz w:val="28"/>
          <w:szCs w:val="28"/>
        </w:rPr>
        <w:t>gasoline decreased by 12.7%;</w:t>
      </w:r>
      <w:r w:rsidRPr="004E33BE">
        <w:rPr>
          <w:color w:val="000000"/>
          <w:sz w:val="28"/>
          <w:szCs w:val="28"/>
        </w:rPr>
        <w:t> </w:t>
      </w:r>
      <w:r w:rsidRPr="004E33BE">
        <w:rPr>
          <w:rStyle w:val="notranslate"/>
          <w:color w:val="000000"/>
          <w:sz w:val="28"/>
          <w:szCs w:val="28"/>
        </w:rPr>
        <w:t>electronic goods, computers and their parts dropped 8.3%;</w:t>
      </w:r>
      <w:r w:rsidRPr="004E33BE">
        <w:rPr>
          <w:color w:val="000000"/>
          <w:sz w:val="28"/>
          <w:szCs w:val="28"/>
        </w:rPr>
        <w:t> </w:t>
      </w:r>
      <w:r w:rsidRPr="004E33BE">
        <w:rPr>
          <w:rStyle w:val="notranslate"/>
          <w:color w:val="000000"/>
          <w:sz w:val="28"/>
          <w:szCs w:val="28"/>
        </w:rPr>
        <w:t>textiles and garments decreased by 4.8%.</w:t>
      </w:r>
      <w:r w:rsidRPr="004E33BE">
        <w:rPr>
          <w:color w:val="000000"/>
          <w:sz w:val="28"/>
          <w:szCs w:val="28"/>
        </w:rPr>
        <w:t> </w:t>
      </w:r>
      <w:r w:rsidRPr="004E33BE">
        <w:rPr>
          <w:rStyle w:val="notranslate"/>
          <w:color w:val="000000"/>
          <w:sz w:val="28"/>
          <w:szCs w:val="28"/>
        </w:rPr>
        <w:t>Compared to the same period last year, export turnover in November increased by 7.8%, of which: the domestic economic sector increased by 10.8%;</w:t>
      </w:r>
      <w:r w:rsidRPr="004E33BE">
        <w:rPr>
          <w:color w:val="000000"/>
          <w:sz w:val="28"/>
          <w:szCs w:val="28"/>
        </w:rPr>
        <w:t> </w:t>
      </w:r>
      <w:r w:rsidRPr="004E33BE">
        <w:rPr>
          <w:rStyle w:val="notranslate"/>
          <w:color w:val="000000"/>
          <w:sz w:val="28"/>
          <w:szCs w:val="28"/>
        </w:rPr>
        <w:t>FDI sector (including crude oil) grew up by 6.7%.</w:t>
      </w:r>
      <w:r w:rsidRPr="004E33BE">
        <w:rPr>
          <w:color w:val="000000"/>
          <w:sz w:val="28"/>
          <w:szCs w:val="28"/>
        </w:rPr>
        <w:t> </w:t>
      </w:r>
      <w:r w:rsidRPr="004E33BE">
        <w:rPr>
          <w:rStyle w:val="notranslate"/>
          <w:color w:val="000000"/>
          <w:sz w:val="28"/>
          <w:szCs w:val="28"/>
        </w:rPr>
        <w:t>Some products had increased export turnover over the same period last year: Chemicals grew up by 36.4%;</w:t>
      </w:r>
      <w:r w:rsidRPr="004E33BE">
        <w:rPr>
          <w:color w:val="000000"/>
          <w:sz w:val="28"/>
          <w:szCs w:val="28"/>
        </w:rPr>
        <w:t> </w:t>
      </w:r>
      <w:r w:rsidRPr="004E33BE">
        <w:rPr>
          <w:rStyle w:val="notranslate"/>
          <w:color w:val="000000"/>
          <w:sz w:val="28"/>
          <w:szCs w:val="28"/>
        </w:rPr>
        <w:t>textiles and garments rose by 20.3%;</w:t>
      </w:r>
      <w:r w:rsidRPr="004E33BE">
        <w:rPr>
          <w:color w:val="000000"/>
          <w:sz w:val="28"/>
          <w:szCs w:val="28"/>
        </w:rPr>
        <w:t> </w:t>
      </w:r>
      <w:r w:rsidRPr="004E33BE">
        <w:rPr>
          <w:rStyle w:val="notranslate"/>
          <w:color w:val="000000"/>
          <w:sz w:val="28"/>
          <w:szCs w:val="28"/>
        </w:rPr>
        <w:t>machinery, instrument and accessory increased by 20.2%;</w:t>
      </w:r>
      <w:r w:rsidRPr="004E33BE">
        <w:rPr>
          <w:color w:val="000000"/>
          <w:sz w:val="28"/>
          <w:szCs w:val="28"/>
        </w:rPr>
        <w:t> </w:t>
      </w:r>
      <w:r w:rsidRPr="004E33BE">
        <w:rPr>
          <w:rStyle w:val="notranslate"/>
          <w:color w:val="000000"/>
          <w:sz w:val="28"/>
          <w:szCs w:val="28"/>
        </w:rPr>
        <w:t>means of transport and spare parts increased by 18.9%;</w:t>
      </w:r>
      <w:r w:rsidRPr="004E33BE">
        <w:rPr>
          <w:color w:val="000000"/>
          <w:sz w:val="28"/>
          <w:szCs w:val="28"/>
        </w:rPr>
        <w:t> </w:t>
      </w:r>
      <w:r w:rsidRPr="004E33BE">
        <w:rPr>
          <w:rStyle w:val="notranslate"/>
          <w:color w:val="000000"/>
          <w:sz w:val="28"/>
          <w:szCs w:val="28"/>
        </w:rPr>
        <w:t>phones and components edged up by 2.5%.</w:t>
      </w:r>
    </w:p>
    <w:p w:rsidR="003918DF" w:rsidRPr="004E33BE" w:rsidRDefault="003918DF" w:rsidP="003918DF">
      <w:pPr>
        <w:pStyle w:val="NormalWeb"/>
        <w:shd w:val="clear" w:color="auto" w:fill="FFFFFF"/>
        <w:spacing w:before="40" w:beforeAutospacing="0" w:after="40" w:afterAutospacing="0" w:line="342" w:lineRule="atLeast"/>
        <w:ind w:firstLine="567"/>
        <w:jc w:val="both"/>
        <w:rPr>
          <w:color w:val="000000"/>
          <w:sz w:val="28"/>
          <w:szCs w:val="28"/>
        </w:rPr>
      </w:pPr>
      <w:r w:rsidRPr="004E33BE">
        <w:rPr>
          <w:rStyle w:val="notranslate"/>
          <w:color w:val="000000" w:themeColor="text1"/>
          <w:sz w:val="28"/>
          <w:szCs w:val="28"/>
        </w:rPr>
        <w:t xml:space="preserve">Generally for 11 months </w:t>
      </w:r>
      <w:r w:rsidRPr="004E33BE">
        <w:rPr>
          <w:rStyle w:val="notranslate"/>
          <w:color w:val="000000"/>
          <w:sz w:val="28"/>
          <w:szCs w:val="28"/>
        </w:rPr>
        <w:t>of 2018, export turnover was estimated at 223.63 billion USD, going up by 14.4% over the same period in 2017, of which: the domestic economic sector reached 63.24 billion USD, growing up by 17.2%;</w:t>
      </w:r>
      <w:r w:rsidRPr="004E33BE">
        <w:rPr>
          <w:color w:val="000000"/>
          <w:sz w:val="28"/>
          <w:szCs w:val="28"/>
        </w:rPr>
        <w:t> </w:t>
      </w:r>
      <w:r w:rsidRPr="004E33BE">
        <w:rPr>
          <w:rStyle w:val="notranslate"/>
          <w:color w:val="000000"/>
          <w:sz w:val="28"/>
          <w:szCs w:val="28"/>
        </w:rPr>
        <w:t>FDI sector (including crude oil) reached 160.39 billion USD (accounting for 71.7% of total export turnover), edging up by 13.4%.</w:t>
      </w:r>
      <w:r w:rsidRPr="004E33BE">
        <w:rPr>
          <w:color w:val="000000"/>
          <w:sz w:val="28"/>
          <w:szCs w:val="28"/>
        </w:rPr>
        <w:t> </w:t>
      </w:r>
      <w:r w:rsidRPr="004E33BE">
        <w:rPr>
          <w:rStyle w:val="notranslate"/>
          <w:color w:val="000000"/>
          <w:sz w:val="28"/>
          <w:szCs w:val="28"/>
        </w:rPr>
        <w:t>Export turnover of some key products continued to increase over the same period last year:</w:t>
      </w:r>
      <w:r w:rsidRPr="004E33BE">
        <w:rPr>
          <w:color w:val="000000"/>
          <w:sz w:val="28"/>
          <w:szCs w:val="28"/>
        </w:rPr>
        <w:t> </w:t>
      </w:r>
      <w:r w:rsidRPr="004E33BE">
        <w:rPr>
          <w:rStyle w:val="notranslate"/>
          <w:color w:val="000000"/>
          <w:sz w:val="28"/>
          <w:szCs w:val="28"/>
        </w:rPr>
        <w:t xml:space="preserve">Phones and their parts </w:t>
      </w:r>
      <w:r w:rsidR="00ED0498" w:rsidRPr="004E33BE">
        <w:rPr>
          <w:rStyle w:val="notranslate"/>
          <w:color w:val="000000"/>
          <w:sz w:val="28"/>
          <w:szCs w:val="28"/>
        </w:rPr>
        <w:t>attained</w:t>
      </w:r>
      <w:r w:rsidRPr="004E33BE">
        <w:rPr>
          <w:rStyle w:val="notranslate"/>
          <w:color w:val="000000"/>
          <w:sz w:val="28"/>
          <w:szCs w:val="28"/>
        </w:rPr>
        <w:t xml:space="preserve"> 46.1 billion USD, rising by 11.5%;</w:t>
      </w:r>
      <w:r w:rsidRPr="004E33BE">
        <w:rPr>
          <w:color w:val="000000"/>
          <w:sz w:val="28"/>
          <w:szCs w:val="28"/>
        </w:rPr>
        <w:t> </w:t>
      </w:r>
      <w:r w:rsidRPr="004E33BE">
        <w:rPr>
          <w:rStyle w:val="notranslate"/>
          <w:color w:val="000000"/>
          <w:sz w:val="28"/>
          <w:szCs w:val="28"/>
        </w:rPr>
        <w:t>textiles and garments reached 27.8 billion USD, increasing by 17.4%;</w:t>
      </w:r>
      <w:r w:rsidRPr="004E33BE">
        <w:rPr>
          <w:color w:val="000000"/>
          <w:sz w:val="28"/>
          <w:szCs w:val="28"/>
        </w:rPr>
        <w:t> </w:t>
      </w:r>
      <w:r w:rsidRPr="004E33BE">
        <w:rPr>
          <w:rStyle w:val="notranslate"/>
          <w:color w:val="000000"/>
          <w:sz w:val="28"/>
          <w:szCs w:val="28"/>
        </w:rPr>
        <w:t>electronic goods, computers and their parts gained 27 billion USD, climbing up by 13.9%;</w:t>
      </w:r>
      <w:r w:rsidRPr="004E33BE">
        <w:rPr>
          <w:color w:val="000000"/>
          <w:sz w:val="28"/>
          <w:szCs w:val="28"/>
        </w:rPr>
        <w:t> </w:t>
      </w:r>
      <w:r w:rsidRPr="004E33BE">
        <w:rPr>
          <w:rStyle w:val="notranslate"/>
          <w:color w:val="000000"/>
          <w:sz w:val="28"/>
          <w:szCs w:val="28"/>
        </w:rPr>
        <w:t xml:space="preserve">machinery, instrument and accessory reached 15.1 billion USD, </w:t>
      </w:r>
      <w:r w:rsidRPr="004E33BE">
        <w:rPr>
          <w:rStyle w:val="notranslate"/>
          <w:color w:val="000000"/>
          <w:sz w:val="28"/>
          <w:szCs w:val="28"/>
        </w:rPr>
        <w:lastRenderedPageBreak/>
        <w:t>increasing by 28.6%;</w:t>
      </w:r>
      <w:r w:rsidRPr="004E33BE">
        <w:rPr>
          <w:color w:val="000000"/>
          <w:sz w:val="28"/>
          <w:szCs w:val="28"/>
        </w:rPr>
        <w:t> </w:t>
      </w:r>
      <w:r w:rsidRPr="004E33BE">
        <w:rPr>
          <w:rStyle w:val="notranslate"/>
          <w:color w:val="000000"/>
          <w:sz w:val="28"/>
          <w:szCs w:val="28"/>
        </w:rPr>
        <w:t>footwear reached 14.5 billion USD, going up by 9.9%.</w:t>
      </w:r>
      <w:r w:rsidRPr="004E33BE">
        <w:rPr>
          <w:color w:val="000000"/>
          <w:sz w:val="28"/>
          <w:szCs w:val="28"/>
        </w:rPr>
        <w:t> </w:t>
      </w:r>
      <w:r w:rsidRPr="004E33BE">
        <w:rPr>
          <w:rStyle w:val="notranslate"/>
          <w:color w:val="000000"/>
          <w:sz w:val="28"/>
          <w:szCs w:val="28"/>
        </w:rPr>
        <w:t>Besides, some agricultural products and fishery products also increased significantly: Fishery reached 8 billion USD, growing up by 6.1%; vegetables and fruits achieved 3.5 billion USD, edging up by 11.6%;</w:t>
      </w:r>
      <w:r w:rsidRPr="004E33BE">
        <w:rPr>
          <w:color w:val="000000"/>
          <w:sz w:val="28"/>
          <w:szCs w:val="28"/>
        </w:rPr>
        <w:t> </w:t>
      </w:r>
      <w:r w:rsidRPr="004E33BE">
        <w:rPr>
          <w:rStyle w:val="notranslate"/>
          <w:color w:val="000000"/>
          <w:sz w:val="28"/>
          <w:szCs w:val="28"/>
        </w:rPr>
        <w:t>coffee reached 3.3 billion USD, increasing by 2.9% (volume increased by 23%);</w:t>
      </w:r>
      <w:r w:rsidRPr="004E33BE">
        <w:rPr>
          <w:color w:val="000000"/>
          <w:sz w:val="28"/>
          <w:szCs w:val="28"/>
        </w:rPr>
        <w:t> </w:t>
      </w:r>
      <w:r w:rsidRPr="004E33BE">
        <w:rPr>
          <w:rStyle w:val="notranslate"/>
          <w:color w:val="000000"/>
          <w:sz w:val="28"/>
          <w:szCs w:val="28"/>
        </w:rPr>
        <w:t>rice gained 2.9 billion USD, rising by 16.8% (volume increased by 4.8%). Although the export volume of some agricultural products increased, their turnover decreased compared to the same period last year due to the reduced average export price: Cashew nuts reached 3.1 billion USD, going down by 4.2% (volume increased by 4.5 %);</w:t>
      </w:r>
      <w:r w:rsidRPr="004E33BE">
        <w:rPr>
          <w:color w:val="000000"/>
          <w:sz w:val="28"/>
          <w:szCs w:val="28"/>
        </w:rPr>
        <w:t> </w:t>
      </w:r>
      <w:r w:rsidRPr="004E33BE">
        <w:rPr>
          <w:rStyle w:val="notranslate"/>
          <w:color w:val="000000"/>
          <w:sz w:val="28"/>
          <w:szCs w:val="28"/>
        </w:rPr>
        <w:t>rubber gained 1.9 billion USD, falling by 6.1% (volume rose by 14.8%);</w:t>
      </w:r>
      <w:r w:rsidRPr="004E33BE">
        <w:rPr>
          <w:color w:val="000000"/>
          <w:sz w:val="28"/>
          <w:szCs w:val="28"/>
        </w:rPr>
        <w:t> </w:t>
      </w:r>
      <w:r w:rsidRPr="004E33BE">
        <w:rPr>
          <w:rStyle w:val="notranslate"/>
          <w:color w:val="000000"/>
          <w:sz w:val="28"/>
          <w:szCs w:val="28"/>
        </w:rPr>
        <w:t>pepper reached 720 million USD, decreasing by 32.3% (volume increased by 9.1%).</w:t>
      </w:r>
      <w:r w:rsidRPr="004E33BE">
        <w:rPr>
          <w:color w:val="000000"/>
          <w:sz w:val="28"/>
          <w:szCs w:val="28"/>
        </w:rPr>
        <w:t> </w:t>
      </w:r>
      <w:r w:rsidRPr="004E33BE">
        <w:rPr>
          <w:rStyle w:val="notranslate"/>
          <w:color w:val="000000"/>
          <w:sz w:val="28"/>
          <w:szCs w:val="28"/>
        </w:rPr>
        <w:t>Particularly, crude oil for 11 months continued to decline sharply in both volume and export turnover over the same period last year: crude oil export turnover reached 2.1 billion USD, going down by 20.4% (volume reduced by 42.5 %).</w:t>
      </w:r>
    </w:p>
    <w:p w:rsidR="003918DF" w:rsidRPr="004E33BE" w:rsidRDefault="003918DF" w:rsidP="003918DF">
      <w:pPr>
        <w:pStyle w:val="NormalWeb"/>
        <w:shd w:val="clear" w:color="auto" w:fill="FFFFFF"/>
        <w:spacing w:before="40" w:beforeAutospacing="0" w:after="40" w:afterAutospacing="0" w:line="342" w:lineRule="atLeast"/>
        <w:ind w:firstLine="567"/>
        <w:jc w:val="both"/>
        <w:rPr>
          <w:color w:val="000000"/>
          <w:sz w:val="28"/>
          <w:szCs w:val="28"/>
        </w:rPr>
      </w:pPr>
      <w:r w:rsidRPr="004E33BE">
        <w:rPr>
          <w:rStyle w:val="notranslate"/>
          <w:color w:val="000000"/>
          <w:spacing w:val="-2"/>
          <w:sz w:val="28"/>
          <w:szCs w:val="28"/>
        </w:rPr>
        <w:t>Regarding the export goods market in 11 months, the United States was the largest export market of Viet Nam with a turnover of 43.7 billion USD, going up by 15% over the same period last year, of which: phones and their parts increased by 49.8%;</w:t>
      </w:r>
      <w:r w:rsidRPr="004E33BE">
        <w:rPr>
          <w:color w:val="000000"/>
          <w:sz w:val="28"/>
          <w:szCs w:val="28"/>
        </w:rPr>
        <w:t> </w:t>
      </w:r>
      <w:r w:rsidRPr="004E33BE">
        <w:rPr>
          <w:rStyle w:val="notranslate"/>
          <w:color w:val="000000"/>
          <w:spacing w:val="-2"/>
          <w:sz w:val="28"/>
          <w:szCs w:val="28"/>
        </w:rPr>
        <w:t>footwear rose by 14.6%;</w:t>
      </w:r>
      <w:r w:rsidRPr="004E33BE">
        <w:rPr>
          <w:color w:val="000000"/>
          <w:sz w:val="28"/>
          <w:szCs w:val="28"/>
        </w:rPr>
        <w:t> </w:t>
      </w:r>
      <w:r w:rsidRPr="004E33BE">
        <w:rPr>
          <w:rStyle w:val="notranslate"/>
          <w:color w:val="000000"/>
          <w:spacing w:val="-2"/>
          <w:sz w:val="28"/>
          <w:szCs w:val="28"/>
        </w:rPr>
        <w:t>textiles and garments edged up 12.4%.</w:t>
      </w:r>
      <w:r w:rsidRPr="004E33BE">
        <w:rPr>
          <w:color w:val="000000"/>
          <w:sz w:val="28"/>
          <w:szCs w:val="28"/>
        </w:rPr>
        <w:t> </w:t>
      </w:r>
      <w:r w:rsidRPr="004E33BE">
        <w:rPr>
          <w:rStyle w:val="notranslate"/>
          <w:color w:val="000000"/>
          <w:spacing w:val="-2"/>
          <w:sz w:val="28"/>
          <w:szCs w:val="28"/>
        </w:rPr>
        <w:t>The following was EU with 38.2 billion USD, growing up by 8.8%, of which: textile and garment increased by 9.7%; electronic goods, computers and their parts increased by 9.3%;</w:t>
      </w:r>
      <w:r w:rsidRPr="004E33BE">
        <w:rPr>
          <w:color w:val="000000"/>
          <w:sz w:val="28"/>
          <w:szCs w:val="28"/>
        </w:rPr>
        <w:t> </w:t>
      </w:r>
      <w:r w:rsidRPr="004E33BE">
        <w:rPr>
          <w:rStyle w:val="notranslate"/>
          <w:color w:val="000000"/>
          <w:spacing w:val="-2"/>
          <w:sz w:val="28"/>
          <w:szCs w:val="28"/>
        </w:rPr>
        <w:t>phones and their parts jumped by 8%.</w:t>
      </w:r>
      <w:r w:rsidRPr="004E33BE">
        <w:rPr>
          <w:color w:val="000000"/>
          <w:sz w:val="28"/>
          <w:szCs w:val="28"/>
        </w:rPr>
        <w:t> </w:t>
      </w:r>
      <w:r w:rsidRPr="004E33BE">
        <w:rPr>
          <w:rStyle w:val="notranslate"/>
          <w:color w:val="000000"/>
          <w:spacing w:val="-2"/>
          <w:sz w:val="28"/>
          <w:szCs w:val="28"/>
        </w:rPr>
        <w:t>China reached 38.1 billion USD, an increase of 23.2%, of which: phones and their parts jumped up 57.9%;</w:t>
      </w:r>
      <w:r w:rsidRPr="004E33BE">
        <w:rPr>
          <w:color w:val="000000"/>
          <w:sz w:val="28"/>
          <w:szCs w:val="28"/>
        </w:rPr>
        <w:t> </w:t>
      </w:r>
      <w:r w:rsidRPr="004E33BE">
        <w:rPr>
          <w:rStyle w:val="notranslate"/>
          <w:color w:val="000000"/>
          <w:spacing w:val="-2"/>
          <w:sz w:val="28"/>
          <w:szCs w:val="28"/>
        </w:rPr>
        <w:t>electronic goods, computers and their parts increased by 24.8%; vegetables rose by 8.6%.</w:t>
      </w:r>
      <w:r w:rsidRPr="004E33BE">
        <w:rPr>
          <w:color w:val="000000"/>
          <w:sz w:val="28"/>
          <w:szCs w:val="28"/>
        </w:rPr>
        <w:t> </w:t>
      </w:r>
      <w:r w:rsidRPr="004E33BE">
        <w:rPr>
          <w:rStyle w:val="notranslate"/>
          <w:color w:val="000000"/>
          <w:spacing w:val="-2"/>
          <w:sz w:val="28"/>
          <w:szCs w:val="28"/>
        </w:rPr>
        <w:t>ASEAN market achieved 22.7 billion USD, growing up 14%, of which: rice soared by 107.7%;</w:t>
      </w:r>
      <w:r w:rsidRPr="004E33BE">
        <w:rPr>
          <w:color w:val="000000"/>
          <w:sz w:val="28"/>
          <w:szCs w:val="28"/>
        </w:rPr>
        <w:t> </w:t>
      </w:r>
      <w:r w:rsidRPr="004E33BE">
        <w:rPr>
          <w:rStyle w:val="notranslate"/>
          <w:color w:val="000000"/>
          <w:spacing w:val="-2"/>
          <w:sz w:val="28"/>
          <w:szCs w:val="28"/>
        </w:rPr>
        <w:t>iron and steel increased by 40.7%;</w:t>
      </w:r>
      <w:r w:rsidRPr="004E33BE">
        <w:rPr>
          <w:color w:val="000000"/>
          <w:sz w:val="28"/>
          <w:szCs w:val="28"/>
        </w:rPr>
        <w:t> </w:t>
      </w:r>
      <w:r w:rsidRPr="004E33BE">
        <w:rPr>
          <w:rStyle w:val="notranslate"/>
          <w:color w:val="000000"/>
          <w:spacing w:val="-2"/>
          <w:sz w:val="28"/>
          <w:szCs w:val="28"/>
        </w:rPr>
        <w:t>textiles and garments climbed up by 35.3%.</w:t>
      </w:r>
      <w:r w:rsidRPr="004E33BE">
        <w:rPr>
          <w:color w:val="000000"/>
          <w:sz w:val="28"/>
          <w:szCs w:val="28"/>
        </w:rPr>
        <w:t> </w:t>
      </w:r>
      <w:r w:rsidRPr="004E33BE">
        <w:rPr>
          <w:rStyle w:val="notranslate"/>
          <w:color w:val="000000"/>
          <w:spacing w:val="-2"/>
          <w:sz w:val="28"/>
          <w:szCs w:val="28"/>
        </w:rPr>
        <w:t>Japan reached 17.1 billion USD, going up by 11.5%, of which: textiles and garments increased by 23.2%;</w:t>
      </w:r>
      <w:r w:rsidRPr="004E33BE">
        <w:rPr>
          <w:color w:val="000000"/>
          <w:sz w:val="28"/>
          <w:szCs w:val="28"/>
        </w:rPr>
        <w:t> </w:t>
      </w:r>
      <w:r w:rsidRPr="004E33BE">
        <w:rPr>
          <w:rStyle w:val="notranslate"/>
          <w:color w:val="000000"/>
          <w:spacing w:val="-2"/>
          <w:sz w:val="28"/>
          <w:szCs w:val="28"/>
        </w:rPr>
        <w:t>electronic goods, computers and their parts rose by 13.3%;</w:t>
      </w:r>
      <w:r w:rsidRPr="004E33BE">
        <w:rPr>
          <w:color w:val="000000"/>
          <w:sz w:val="28"/>
          <w:szCs w:val="28"/>
        </w:rPr>
        <w:t> </w:t>
      </w:r>
      <w:r w:rsidRPr="004E33BE">
        <w:rPr>
          <w:rStyle w:val="notranslate"/>
          <w:color w:val="000000"/>
          <w:spacing w:val="-2"/>
          <w:sz w:val="28"/>
          <w:szCs w:val="28"/>
        </w:rPr>
        <w:t>machinery, instrument and accessory increased by 7.7%.</w:t>
      </w:r>
      <w:r w:rsidRPr="004E33BE">
        <w:rPr>
          <w:color w:val="000000"/>
          <w:sz w:val="28"/>
          <w:szCs w:val="28"/>
        </w:rPr>
        <w:t> </w:t>
      </w:r>
      <w:r w:rsidRPr="004E33BE">
        <w:rPr>
          <w:rStyle w:val="notranslate"/>
          <w:color w:val="000000"/>
          <w:spacing w:val="-2"/>
          <w:sz w:val="28"/>
          <w:szCs w:val="28"/>
        </w:rPr>
        <w:t>Korea reached 16.9 billion USD, edging up by 24.7%, of which: electronic goods, computers and their parts increased by 40.4%;</w:t>
      </w:r>
      <w:r w:rsidRPr="004E33BE">
        <w:rPr>
          <w:color w:val="000000"/>
          <w:sz w:val="28"/>
          <w:szCs w:val="28"/>
        </w:rPr>
        <w:t> </w:t>
      </w:r>
      <w:r w:rsidRPr="004E33BE">
        <w:rPr>
          <w:rStyle w:val="notranslate"/>
          <w:color w:val="000000"/>
          <w:spacing w:val="-2"/>
          <w:sz w:val="28"/>
          <w:szCs w:val="28"/>
        </w:rPr>
        <w:t>textiles and garments rose by 30.4%;</w:t>
      </w:r>
      <w:r w:rsidRPr="004E33BE">
        <w:rPr>
          <w:color w:val="000000"/>
          <w:sz w:val="28"/>
          <w:szCs w:val="28"/>
        </w:rPr>
        <w:t> </w:t>
      </w:r>
      <w:r w:rsidRPr="004E33BE">
        <w:rPr>
          <w:rStyle w:val="notranslate"/>
          <w:color w:val="000000"/>
          <w:spacing w:val="-2"/>
          <w:sz w:val="28"/>
          <w:szCs w:val="28"/>
        </w:rPr>
        <w:t>phones and their parts increased by 14.9%.</w:t>
      </w:r>
    </w:p>
    <w:p w:rsidR="003918DF" w:rsidRPr="004E33BE" w:rsidRDefault="003918DF" w:rsidP="003918DF">
      <w:pPr>
        <w:pStyle w:val="NormalWeb"/>
        <w:shd w:val="clear" w:color="auto" w:fill="FFFFFF"/>
        <w:spacing w:before="40" w:beforeAutospacing="0" w:after="40" w:afterAutospacing="0" w:line="342" w:lineRule="atLeast"/>
        <w:ind w:firstLine="567"/>
        <w:jc w:val="both"/>
        <w:rPr>
          <w:color w:val="000000"/>
          <w:sz w:val="28"/>
          <w:szCs w:val="28"/>
        </w:rPr>
      </w:pPr>
      <w:r w:rsidRPr="004E33BE">
        <w:rPr>
          <w:rStyle w:val="notranslate"/>
          <w:color w:val="000000"/>
          <w:spacing w:val="-4"/>
          <w:sz w:val="28"/>
          <w:szCs w:val="28"/>
        </w:rPr>
        <w:t>Import turnover in October 2018 achieved 21,761 million USD, 1,061 million USD higher than the estimated figure, of which: machinery, instrument and accessory were 147 million USD;</w:t>
      </w:r>
      <w:r w:rsidRPr="004E33BE">
        <w:rPr>
          <w:color w:val="000000"/>
          <w:sz w:val="28"/>
          <w:szCs w:val="28"/>
        </w:rPr>
        <w:t> </w:t>
      </w:r>
      <w:r w:rsidRPr="004E33BE">
        <w:rPr>
          <w:rStyle w:val="notranslate"/>
          <w:color w:val="000000"/>
          <w:spacing w:val="-4"/>
          <w:sz w:val="28"/>
          <w:szCs w:val="28"/>
        </w:rPr>
        <w:t>fabric was 103 million USD; phones and their parts were 82 million USD;</w:t>
      </w:r>
      <w:r w:rsidRPr="004E33BE">
        <w:rPr>
          <w:color w:val="000000"/>
          <w:sz w:val="28"/>
          <w:szCs w:val="28"/>
        </w:rPr>
        <w:t> </w:t>
      </w:r>
      <w:r w:rsidRPr="004E33BE">
        <w:rPr>
          <w:rStyle w:val="notranslate"/>
          <w:color w:val="000000"/>
          <w:spacing w:val="-4"/>
          <w:sz w:val="28"/>
          <w:szCs w:val="28"/>
        </w:rPr>
        <w:t>electronic goods, computers and their parts were 81 million USD;</w:t>
      </w:r>
      <w:r w:rsidRPr="004E33BE">
        <w:rPr>
          <w:color w:val="000000"/>
          <w:sz w:val="28"/>
          <w:szCs w:val="28"/>
        </w:rPr>
        <w:t> </w:t>
      </w:r>
      <w:r w:rsidRPr="004E33BE">
        <w:rPr>
          <w:rStyle w:val="notranslate"/>
          <w:color w:val="000000"/>
          <w:spacing w:val="-4"/>
          <w:sz w:val="28"/>
          <w:szCs w:val="28"/>
        </w:rPr>
        <w:t>chemicals were 67 million USD;</w:t>
      </w:r>
      <w:r w:rsidRPr="004E33BE">
        <w:rPr>
          <w:color w:val="000000"/>
          <w:sz w:val="28"/>
          <w:szCs w:val="28"/>
        </w:rPr>
        <w:t> </w:t>
      </w:r>
      <w:r w:rsidRPr="004E33BE">
        <w:rPr>
          <w:rStyle w:val="notranslate"/>
          <w:color w:val="000000"/>
          <w:spacing w:val="-4"/>
          <w:sz w:val="28"/>
          <w:szCs w:val="28"/>
        </w:rPr>
        <w:t>wheat was 64 million USD;</w:t>
      </w:r>
      <w:r w:rsidRPr="004E33BE">
        <w:rPr>
          <w:color w:val="000000"/>
          <w:sz w:val="28"/>
          <w:szCs w:val="28"/>
        </w:rPr>
        <w:t> </w:t>
      </w:r>
      <w:r w:rsidRPr="004E33BE">
        <w:rPr>
          <w:rStyle w:val="notranslate"/>
          <w:color w:val="000000"/>
          <w:spacing w:val="-4"/>
          <w:sz w:val="28"/>
          <w:szCs w:val="28"/>
        </w:rPr>
        <w:t>plastic was 57 million USD;</w:t>
      </w:r>
      <w:r w:rsidRPr="004E33BE">
        <w:rPr>
          <w:color w:val="000000"/>
          <w:sz w:val="28"/>
          <w:szCs w:val="28"/>
        </w:rPr>
        <w:t> </w:t>
      </w:r>
      <w:r w:rsidRPr="004E33BE">
        <w:rPr>
          <w:rStyle w:val="notranslate"/>
          <w:color w:val="000000"/>
          <w:spacing w:val="-4"/>
          <w:sz w:val="28"/>
          <w:szCs w:val="28"/>
        </w:rPr>
        <w:t>cars were 54 million USD;</w:t>
      </w:r>
      <w:r w:rsidRPr="004E33BE">
        <w:rPr>
          <w:color w:val="000000"/>
          <w:sz w:val="28"/>
          <w:szCs w:val="28"/>
        </w:rPr>
        <w:t> </w:t>
      </w:r>
      <w:r w:rsidRPr="004E33BE">
        <w:rPr>
          <w:rStyle w:val="notranslate"/>
          <w:color w:val="000000"/>
          <w:spacing w:val="-4"/>
          <w:sz w:val="28"/>
          <w:szCs w:val="28"/>
        </w:rPr>
        <w:t>iron and steel were 36 million USD higher than estimated.</w:t>
      </w:r>
    </w:p>
    <w:p w:rsidR="003918DF" w:rsidRPr="004E33BE" w:rsidRDefault="003918DF" w:rsidP="003918DF">
      <w:pPr>
        <w:pStyle w:val="NormalWeb"/>
        <w:shd w:val="clear" w:color="auto" w:fill="FFFFFF"/>
        <w:spacing w:before="40" w:beforeAutospacing="0" w:after="40" w:afterAutospacing="0" w:line="342" w:lineRule="atLeast"/>
        <w:ind w:firstLine="567"/>
        <w:jc w:val="both"/>
        <w:rPr>
          <w:color w:val="000000"/>
          <w:sz w:val="28"/>
          <w:szCs w:val="28"/>
        </w:rPr>
      </w:pPr>
      <w:r w:rsidRPr="004E33BE">
        <w:rPr>
          <w:rStyle w:val="notranslate"/>
          <w:color w:val="000000"/>
          <w:sz w:val="28"/>
          <w:szCs w:val="28"/>
        </w:rPr>
        <w:t xml:space="preserve">Import turnover in November was estimated at 22.0 billion USD, going up by 1.1% over the previous month, of which: the domestic economic sector was </w:t>
      </w:r>
      <w:r w:rsidRPr="004E33BE">
        <w:rPr>
          <w:rStyle w:val="notranslate"/>
          <w:color w:val="000000"/>
          <w:sz w:val="28"/>
          <w:szCs w:val="28"/>
        </w:rPr>
        <w:lastRenderedPageBreak/>
        <w:t>8.8 billion USD, growing up by 3.1%;</w:t>
      </w:r>
      <w:r w:rsidRPr="004E33BE">
        <w:rPr>
          <w:color w:val="000000"/>
          <w:sz w:val="28"/>
          <w:szCs w:val="28"/>
        </w:rPr>
        <w:t> </w:t>
      </w:r>
      <w:r w:rsidRPr="004E33BE">
        <w:rPr>
          <w:rStyle w:val="notranslate"/>
          <w:color w:val="000000"/>
          <w:sz w:val="28"/>
          <w:szCs w:val="28"/>
        </w:rPr>
        <w:t>FDI sector reached 13.2 billion USD, declining slightly by 0.2%.</w:t>
      </w:r>
      <w:r w:rsidRPr="004E33BE">
        <w:rPr>
          <w:color w:val="000000"/>
          <w:sz w:val="28"/>
          <w:szCs w:val="28"/>
        </w:rPr>
        <w:t> </w:t>
      </w:r>
      <w:r w:rsidRPr="004E33BE">
        <w:rPr>
          <w:rStyle w:val="notranslate"/>
          <w:color w:val="000000"/>
          <w:sz w:val="28"/>
          <w:szCs w:val="28"/>
        </w:rPr>
        <w:t>Import turnover of some goods increased compared to the previous month: Gasoline increased by 11.6%;</w:t>
      </w:r>
      <w:r w:rsidRPr="004E33BE">
        <w:rPr>
          <w:color w:val="000000"/>
          <w:sz w:val="28"/>
          <w:szCs w:val="28"/>
        </w:rPr>
        <w:t> </w:t>
      </w:r>
      <w:r w:rsidRPr="004E33BE">
        <w:rPr>
          <w:rStyle w:val="notranslate"/>
          <w:color w:val="000000"/>
          <w:sz w:val="28"/>
          <w:szCs w:val="28"/>
        </w:rPr>
        <w:t>motorcycles and spare parts edged up by 4.5%; phones and their parts rose by 4%;</w:t>
      </w:r>
      <w:r w:rsidRPr="004E33BE">
        <w:rPr>
          <w:color w:val="000000"/>
          <w:sz w:val="28"/>
          <w:szCs w:val="28"/>
        </w:rPr>
        <w:t> </w:t>
      </w:r>
      <w:r w:rsidRPr="004E33BE">
        <w:rPr>
          <w:rStyle w:val="notranslate"/>
          <w:color w:val="000000"/>
          <w:sz w:val="28"/>
          <w:szCs w:val="28"/>
        </w:rPr>
        <w:t>electronic goods, computers and their parts increased by 3.1%;</w:t>
      </w:r>
      <w:r w:rsidRPr="004E33BE">
        <w:rPr>
          <w:color w:val="000000"/>
          <w:sz w:val="28"/>
          <w:szCs w:val="28"/>
        </w:rPr>
        <w:t> </w:t>
      </w:r>
      <w:r w:rsidRPr="004E33BE">
        <w:rPr>
          <w:rStyle w:val="notranslate"/>
          <w:color w:val="000000"/>
          <w:sz w:val="28"/>
          <w:szCs w:val="28"/>
        </w:rPr>
        <w:t>machinery, instrument and accessory grew up by 1.7%. Compared to the same period last year, import turnover in November increased by 12.7%, of which: the domestic economic sector increased by 13%;</w:t>
      </w:r>
      <w:r w:rsidRPr="004E33BE">
        <w:rPr>
          <w:color w:val="000000"/>
          <w:sz w:val="28"/>
          <w:szCs w:val="28"/>
        </w:rPr>
        <w:t> </w:t>
      </w:r>
      <w:r w:rsidRPr="004E33BE">
        <w:rPr>
          <w:rStyle w:val="notranslate"/>
          <w:color w:val="000000"/>
          <w:sz w:val="28"/>
          <w:szCs w:val="28"/>
        </w:rPr>
        <w:t>FDI sector increased by 12.5%.</w:t>
      </w:r>
      <w:r w:rsidRPr="004E33BE">
        <w:rPr>
          <w:color w:val="000000"/>
          <w:sz w:val="28"/>
          <w:szCs w:val="28"/>
        </w:rPr>
        <w:t> Turnover of s</w:t>
      </w:r>
      <w:r w:rsidRPr="004E33BE">
        <w:rPr>
          <w:rStyle w:val="notranslate"/>
          <w:color w:val="000000"/>
          <w:sz w:val="28"/>
          <w:szCs w:val="28"/>
        </w:rPr>
        <w:t>ome products increased significantly compared to the same period last year:</w:t>
      </w:r>
      <w:r w:rsidRPr="004E33BE">
        <w:rPr>
          <w:color w:val="000000"/>
          <w:sz w:val="28"/>
          <w:szCs w:val="28"/>
        </w:rPr>
        <w:t> </w:t>
      </w:r>
      <w:r w:rsidRPr="004E33BE">
        <w:rPr>
          <w:rStyle w:val="notranslate"/>
          <w:color w:val="000000"/>
          <w:sz w:val="28"/>
          <w:szCs w:val="28"/>
        </w:rPr>
        <w:t>Motorcycles and spare parts increased by 69.1%;</w:t>
      </w:r>
      <w:r w:rsidRPr="004E33BE">
        <w:rPr>
          <w:color w:val="000000"/>
          <w:sz w:val="28"/>
          <w:szCs w:val="28"/>
        </w:rPr>
        <w:t> </w:t>
      </w:r>
      <w:r w:rsidRPr="004E33BE">
        <w:rPr>
          <w:rStyle w:val="notranslate"/>
          <w:color w:val="000000"/>
          <w:sz w:val="28"/>
          <w:szCs w:val="28"/>
        </w:rPr>
        <w:t>plastics rose by 28.2%;</w:t>
      </w:r>
      <w:r w:rsidRPr="004E33BE">
        <w:rPr>
          <w:color w:val="000000"/>
          <w:sz w:val="28"/>
          <w:szCs w:val="28"/>
        </w:rPr>
        <w:t> </w:t>
      </w:r>
      <w:r w:rsidRPr="004E33BE">
        <w:rPr>
          <w:rStyle w:val="notranslate"/>
          <w:color w:val="000000"/>
          <w:sz w:val="28"/>
          <w:szCs w:val="28"/>
        </w:rPr>
        <w:t>electronic goods, computers and their parts grew up by 14.3%;</w:t>
      </w:r>
      <w:r w:rsidRPr="004E33BE">
        <w:rPr>
          <w:color w:val="000000"/>
          <w:sz w:val="28"/>
          <w:szCs w:val="28"/>
        </w:rPr>
        <w:t> </w:t>
      </w:r>
      <w:r w:rsidRPr="004E33BE">
        <w:rPr>
          <w:rStyle w:val="notranslate"/>
          <w:color w:val="000000"/>
          <w:sz w:val="28"/>
          <w:szCs w:val="28"/>
        </w:rPr>
        <w:t>machinery, instrument and accessory increased by 7.2%.</w:t>
      </w:r>
    </w:p>
    <w:p w:rsidR="003918DF" w:rsidRPr="004E33BE" w:rsidRDefault="003918DF" w:rsidP="003918DF">
      <w:pPr>
        <w:pStyle w:val="NormalWeb"/>
        <w:shd w:val="clear" w:color="auto" w:fill="FFFFFF"/>
        <w:spacing w:before="40" w:beforeAutospacing="0" w:after="40" w:afterAutospacing="0" w:line="328" w:lineRule="atLeast"/>
        <w:ind w:firstLine="567"/>
        <w:jc w:val="both"/>
        <w:rPr>
          <w:color w:val="000000"/>
          <w:sz w:val="28"/>
          <w:szCs w:val="28"/>
        </w:rPr>
      </w:pPr>
      <w:r w:rsidRPr="004E33BE">
        <w:rPr>
          <w:rStyle w:val="notranslate"/>
          <w:color w:val="000000"/>
          <w:sz w:val="28"/>
          <w:szCs w:val="28"/>
        </w:rPr>
        <w:t>Generally for 11 months, import turnover was estimated at 216.82 billion USD, growing up by 12.4% over the same period last year, of which: the domestic economic sector reached 86.63 billion USD, going up by 12, 6%;</w:t>
      </w:r>
      <w:r w:rsidRPr="004E33BE">
        <w:rPr>
          <w:color w:val="000000"/>
          <w:sz w:val="28"/>
          <w:szCs w:val="28"/>
        </w:rPr>
        <w:t> </w:t>
      </w:r>
      <w:r w:rsidRPr="004E33BE">
        <w:rPr>
          <w:rStyle w:val="notranslate"/>
          <w:color w:val="000000"/>
          <w:sz w:val="28"/>
          <w:szCs w:val="28"/>
        </w:rPr>
        <w:t>FDI sector gained 130.19 billion USD, rising by 12.3%.</w:t>
      </w:r>
      <w:r w:rsidRPr="004E33BE">
        <w:rPr>
          <w:color w:val="000000"/>
          <w:sz w:val="28"/>
          <w:szCs w:val="28"/>
        </w:rPr>
        <w:t> </w:t>
      </w:r>
      <w:r w:rsidRPr="004E33BE">
        <w:rPr>
          <w:rStyle w:val="notranslate"/>
          <w:color w:val="000000"/>
          <w:sz w:val="28"/>
          <w:szCs w:val="28"/>
        </w:rPr>
        <w:t>Some products had large import turnover in 11 months: Electronic goods, computers and their parts reached 38.7 billion USD, an increase of 13.6% over the same period last year;</w:t>
      </w:r>
      <w:r w:rsidRPr="004E33BE">
        <w:rPr>
          <w:color w:val="000000"/>
          <w:sz w:val="28"/>
          <w:szCs w:val="28"/>
        </w:rPr>
        <w:t> </w:t>
      </w:r>
      <w:r w:rsidRPr="004E33BE">
        <w:rPr>
          <w:rStyle w:val="notranslate"/>
          <w:color w:val="000000"/>
          <w:sz w:val="28"/>
          <w:szCs w:val="28"/>
        </w:rPr>
        <w:t>machinery, instrument and accessory reached 30.7 billion USD, a decline of 0.7%;</w:t>
      </w:r>
      <w:r w:rsidRPr="004E33BE">
        <w:rPr>
          <w:color w:val="000000"/>
          <w:sz w:val="28"/>
          <w:szCs w:val="28"/>
        </w:rPr>
        <w:t> </w:t>
      </w:r>
      <w:r w:rsidRPr="004E33BE">
        <w:rPr>
          <w:rStyle w:val="notranslate"/>
          <w:color w:val="000000"/>
          <w:sz w:val="28"/>
          <w:szCs w:val="28"/>
        </w:rPr>
        <w:t>phones and their parts attained 14.4 billion USD, a reduction of 0.8%; fabric reached 11.8 billion USD, a rise of 13.6%;</w:t>
      </w:r>
      <w:r w:rsidRPr="004E33BE">
        <w:rPr>
          <w:color w:val="000000"/>
          <w:sz w:val="28"/>
          <w:szCs w:val="28"/>
        </w:rPr>
        <w:t> </w:t>
      </w:r>
      <w:r w:rsidRPr="004E33BE">
        <w:rPr>
          <w:rStyle w:val="notranslate"/>
          <w:color w:val="000000"/>
          <w:sz w:val="28"/>
          <w:szCs w:val="28"/>
        </w:rPr>
        <w:t>iron and steel gained 9.2 billion USD, a growth of 10.2%;</w:t>
      </w:r>
      <w:r w:rsidRPr="004E33BE">
        <w:rPr>
          <w:color w:val="000000"/>
          <w:sz w:val="28"/>
          <w:szCs w:val="28"/>
        </w:rPr>
        <w:t> </w:t>
      </w:r>
      <w:r w:rsidRPr="004E33BE">
        <w:rPr>
          <w:rStyle w:val="notranslate"/>
          <w:color w:val="000000"/>
          <w:sz w:val="28"/>
          <w:szCs w:val="28"/>
        </w:rPr>
        <w:t>plastics achieved 8.3 billion USD, a jump of 20.9%;</w:t>
      </w:r>
      <w:r w:rsidRPr="004E33BE">
        <w:rPr>
          <w:color w:val="000000"/>
          <w:sz w:val="28"/>
          <w:szCs w:val="28"/>
        </w:rPr>
        <w:t> </w:t>
      </w:r>
      <w:r w:rsidRPr="004E33BE">
        <w:rPr>
          <w:rStyle w:val="notranslate"/>
          <w:color w:val="000000"/>
          <w:sz w:val="28"/>
          <w:szCs w:val="28"/>
        </w:rPr>
        <w:t>petroleum reached 7.3 billion USD, an increase of 15.4%;</w:t>
      </w:r>
      <w:r w:rsidRPr="004E33BE">
        <w:rPr>
          <w:color w:val="000000"/>
          <w:sz w:val="28"/>
          <w:szCs w:val="28"/>
        </w:rPr>
        <w:t> </w:t>
      </w:r>
      <w:r w:rsidRPr="004E33BE">
        <w:rPr>
          <w:rStyle w:val="notranslate"/>
          <w:color w:val="000000"/>
          <w:sz w:val="28"/>
          <w:szCs w:val="28"/>
        </w:rPr>
        <w:t>metals attained 6.8 billion USD, a surge of 28.4%;</w:t>
      </w:r>
      <w:r w:rsidRPr="004E33BE">
        <w:rPr>
          <w:color w:val="000000"/>
          <w:sz w:val="28"/>
          <w:szCs w:val="28"/>
        </w:rPr>
        <w:t> </w:t>
      </w:r>
      <w:r w:rsidRPr="004E33BE">
        <w:rPr>
          <w:rStyle w:val="notranslate"/>
          <w:color w:val="000000"/>
          <w:sz w:val="28"/>
          <w:szCs w:val="28"/>
        </w:rPr>
        <w:t>materials for textile, garment and footwear reached 5.3 billion USD, an increase of 6.2%;</w:t>
      </w:r>
      <w:r w:rsidRPr="004E33BE">
        <w:rPr>
          <w:color w:val="000000"/>
          <w:sz w:val="28"/>
          <w:szCs w:val="28"/>
        </w:rPr>
        <w:t> </w:t>
      </w:r>
      <w:r w:rsidRPr="004E33BE">
        <w:rPr>
          <w:rStyle w:val="notranslate"/>
          <w:color w:val="000000"/>
          <w:sz w:val="28"/>
          <w:szCs w:val="28"/>
        </w:rPr>
        <w:t>chemicals gained 4.7 billion USD, a rise of 27.8%.</w:t>
      </w:r>
    </w:p>
    <w:p w:rsidR="003918DF" w:rsidRPr="004E33BE" w:rsidRDefault="003918DF" w:rsidP="003918DF">
      <w:pPr>
        <w:pStyle w:val="NormalWeb"/>
        <w:shd w:val="clear" w:color="auto" w:fill="FFFFFF"/>
        <w:spacing w:before="40" w:beforeAutospacing="0" w:after="40" w:afterAutospacing="0" w:line="328" w:lineRule="atLeast"/>
        <w:ind w:firstLine="567"/>
        <w:jc w:val="both"/>
        <w:rPr>
          <w:color w:val="000000"/>
          <w:sz w:val="28"/>
          <w:szCs w:val="28"/>
        </w:rPr>
      </w:pPr>
      <w:r w:rsidRPr="004E33BE">
        <w:rPr>
          <w:rStyle w:val="notranslate"/>
          <w:color w:val="000000"/>
          <w:sz w:val="28"/>
          <w:szCs w:val="28"/>
        </w:rPr>
        <w:t>Regarding import goods market in 11 months, China was still the largest import market of Vietnam with a turnover of 59.7 billion USD, an increase of 13% compared to the same period in 2017, of which: oil production soared by 110 %; fabric increased by 18.7%;</w:t>
      </w:r>
      <w:r w:rsidRPr="004E33BE">
        <w:rPr>
          <w:color w:val="000000"/>
          <w:sz w:val="28"/>
          <w:szCs w:val="28"/>
        </w:rPr>
        <w:t> </w:t>
      </w:r>
      <w:r w:rsidRPr="004E33BE">
        <w:rPr>
          <w:rStyle w:val="notranslate"/>
          <w:color w:val="000000"/>
          <w:sz w:val="28"/>
          <w:szCs w:val="28"/>
        </w:rPr>
        <w:t>electronic goods, computers and their parts increased by 9.8%;</w:t>
      </w:r>
      <w:r w:rsidRPr="004E33BE">
        <w:rPr>
          <w:color w:val="000000"/>
          <w:sz w:val="28"/>
          <w:szCs w:val="28"/>
        </w:rPr>
        <w:t> </w:t>
      </w:r>
      <w:r w:rsidRPr="004E33BE">
        <w:rPr>
          <w:rStyle w:val="notranslate"/>
          <w:color w:val="000000"/>
          <w:sz w:val="28"/>
          <w:szCs w:val="28"/>
        </w:rPr>
        <w:t>phones and their parts rose by 2.6%.</w:t>
      </w:r>
      <w:r w:rsidRPr="004E33BE">
        <w:rPr>
          <w:color w:val="000000"/>
          <w:sz w:val="28"/>
          <w:szCs w:val="28"/>
        </w:rPr>
        <w:t> </w:t>
      </w:r>
      <w:r w:rsidRPr="004E33BE">
        <w:rPr>
          <w:rStyle w:val="notranslate"/>
          <w:color w:val="000000"/>
          <w:sz w:val="28"/>
          <w:szCs w:val="28"/>
        </w:rPr>
        <w:t>The following was South Korea with import turnover of 43.5 billion USD, edging up by 1.7%, of which: iron and steel increased by 17.2%;</w:t>
      </w:r>
      <w:r w:rsidRPr="004E33BE">
        <w:rPr>
          <w:color w:val="000000"/>
          <w:sz w:val="28"/>
          <w:szCs w:val="28"/>
        </w:rPr>
        <w:t> </w:t>
      </w:r>
      <w:r w:rsidRPr="004E33BE">
        <w:rPr>
          <w:rStyle w:val="notranslate"/>
          <w:color w:val="000000"/>
          <w:sz w:val="28"/>
          <w:szCs w:val="28"/>
        </w:rPr>
        <w:t>electronic goods, computers and their parts increased by 14.3%.</w:t>
      </w:r>
      <w:r w:rsidRPr="004E33BE">
        <w:rPr>
          <w:color w:val="000000"/>
          <w:sz w:val="28"/>
          <w:szCs w:val="28"/>
        </w:rPr>
        <w:t> </w:t>
      </w:r>
      <w:r w:rsidRPr="004E33BE">
        <w:rPr>
          <w:rStyle w:val="notranslate"/>
          <w:color w:val="000000"/>
          <w:sz w:val="28"/>
          <w:szCs w:val="28"/>
        </w:rPr>
        <w:t>ASEAN reached 29 billion USD, an increase of 13.5%, of which: CBU cars rose by 29.5%; machinery, instrument and accessory increased by 16.7%;</w:t>
      </w:r>
      <w:r w:rsidRPr="004E33BE">
        <w:rPr>
          <w:color w:val="000000"/>
          <w:sz w:val="28"/>
          <w:szCs w:val="28"/>
        </w:rPr>
        <w:t> </w:t>
      </w:r>
      <w:r w:rsidRPr="004E33BE">
        <w:rPr>
          <w:rStyle w:val="notranslate"/>
          <w:color w:val="000000"/>
          <w:sz w:val="28"/>
          <w:szCs w:val="28"/>
        </w:rPr>
        <w:t>gasoline rose by 10.8%.</w:t>
      </w:r>
      <w:r w:rsidRPr="004E33BE">
        <w:rPr>
          <w:color w:val="000000"/>
          <w:sz w:val="28"/>
          <w:szCs w:val="28"/>
        </w:rPr>
        <w:t> </w:t>
      </w:r>
      <w:r w:rsidRPr="004E33BE">
        <w:rPr>
          <w:rStyle w:val="notranslate"/>
          <w:color w:val="000000"/>
          <w:sz w:val="28"/>
          <w:szCs w:val="28"/>
        </w:rPr>
        <w:t>Japanese market attained 17.5 billion USD, growing up by 15.2%, of which: electronic goods, computers and their parts increased by 37.1%;</w:t>
      </w:r>
      <w:r w:rsidRPr="004E33BE">
        <w:rPr>
          <w:color w:val="000000"/>
          <w:sz w:val="28"/>
          <w:szCs w:val="28"/>
        </w:rPr>
        <w:t> </w:t>
      </w:r>
      <w:r w:rsidRPr="004E33BE">
        <w:rPr>
          <w:rStyle w:val="notranslate"/>
          <w:color w:val="000000"/>
          <w:sz w:val="28"/>
          <w:szCs w:val="28"/>
        </w:rPr>
        <w:t>iron and steel rose by 13%. EU market reached 12.6 billion USD, edging up by 14.3%, of which: electronic goods, computers and their parts increased by 24%;</w:t>
      </w:r>
      <w:r w:rsidRPr="004E33BE">
        <w:rPr>
          <w:color w:val="000000"/>
          <w:sz w:val="28"/>
          <w:szCs w:val="28"/>
        </w:rPr>
        <w:t> </w:t>
      </w:r>
      <w:r w:rsidRPr="004E33BE">
        <w:rPr>
          <w:rStyle w:val="notranslate"/>
          <w:color w:val="000000"/>
          <w:sz w:val="28"/>
          <w:szCs w:val="28"/>
        </w:rPr>
        <w:t>fabric increased by 22.3%;</w:t>
      </w:r>
      <w:r w:rsidRPr="004E33BE">
        <w:rPr>
          <w:color w:val="000000"/>
          <w:sz w:val="28"/>
          <w:szCs w:val="28"/>
        </w:rPr>
        <w:t> </w:t>
      </w:r>
      <w:r w:rsidRPr="004E33BE">
        <w:rPr>
          <w:rStyle w:val="notranslate"/>
          <w:color w:val="000000"/>
          <w:sz w:val="28"/>
          <w:szCs w:val="28"/>
        </w:rPr>
        <w:t>machinery, instrument and accessory rose by 18.6%.</w:t>
      </w:r>
      <w:r w:rsidRPr="004E33BE">
        <w:rPr>
          <w:color w:val="000000"/>
          <w:sz w:val="28"/>
          <w:szCs w:val="28"/>
        </w:rPr>
        <w:t> </w:t>
      </w:r>
      <w:r w:rsidRPr="004E33BE">
        <w:rPr>
          <w:rStyle w:val="notranslate"/>
          <w:color w:val="000000"/>
          <w:sz w:val="28"/>
          <w:szCs w:val="28"/>
        </w:rPr>
        <w:t xml:space="preserve">The United States reached 11.8 billion USD, jumping up by 38.7%, of which: animal feed and </w:t>
      </w:r>
      <w:r w:rsidRPr="004E33BE">
        <w:rPr>
          <w:rStyle w:val="notranslate"/>
          <w:color w:val="000000"/>
          <w:sz w:val="28"/>
          <w:szCs w:val="28"/>
        </w:rPr>
        <w:lastRenderedPageBreak/>
        <w:t>raw materials soared by 185.7%;</w:t>
      </w:r>
      <w:r w:rsidRPr="004E33BE">
        <w:rPr>
          <w:color w:val="000000"/>
          <w:sz w:val="28"/>
          <w:szCs w:val="28"/>
        </w:rPr>
        <w:t> </w:t>
      </w:r>
      <w:r w:rsidRPr="004E33BE">
        <w:rPr>
          <w:rStyle w:val="notranslate"/>
          <w:color w:val="000000"/>
          <w:sz w:val="28"/>
          <w:szCs w:val="28"/>
        </w:rPr>
        <w:t>electronic goods, computers and their parts increased by 10%.</w:t>
      </w:r>
    </w:p>
    <w:p w:rsidR="006555E8" w:rsidRPr="004E33BE" w:rsidRDefault="003918DF" w:rsidP="003918DF">
      <w:pPr>
        <w:tabs>
          <w:tab w:val="num" w:pos="0"/>
        </w:tabs>
        <w:spacing w:before="40" w:after="40" w:line="288" w:lineRule="auto"/>
        <w:ind w:firstLine="567"/>
        <w:jc w:val="both"/>
      </w:pPr>
      <w:r w:rsidRPr="004E33BE">
        <w:rPr>
          <w:rStyle w:val="notranslate"/>
          <w:color w:val="000000"/>
        </w:rPr>
        <w:t>The trade balance of goods in October saw an export surplus of 770 million USD</w:t>
      </w:r>
      <w:bookmarkStart w:id="1" w:name="_ftnref1"/>
      <w:bookmarkEnd w:id="1"/>
      <w:r w:rsidRPr="004E33BE">
        <w:rPr>
          <w:rStyle w:val="FootnoteReference"/>
          <w:color w:val="000000"/>
        </w:rPr>
        <w:footnoteReference w:id="8"/>
      </w:r>
      <w:r w:rsidRPr="004E33BE">
        <w:rPr>
          <w:rStyle w:val="notranslate"/>
          <w:color w:val="000000"/>
        </w:rPr>
        <w:t>.</w:t>
      </w:r>
      <w:r w:rsidRPr="004E33BE">
        <w:rPr>
          <w:color w:val="000000"/>
        </w:rPr>
        <w:t> </w:t>
      </w:r>
      <w:r w:rsidRPr="004E33BE">
        <w:rPr>
          <w:rStyle w:val="notranslate"/>
          <w:color w:val="000000"/>
        </w:rPr>
        <w:t>November was estimated to have a trade deficit of 400 million USD.</w:t>
      </w:r>
      <w:r w:rsidRPr="004E33BE">
        <w:rPr>
          <w:color w:val="000000"/>
        </w:rPr>
        <w:t> </w:t>
      </w:r>
      <w:r w:rsidRPr="004E33BE">
        <w:rPr>
          <w:rStyle w:val="notranslate"/>
          <w:color w:val="000000"/>
        </w:rPr>
        <w:t>Generally, 11 months witnessed a trade surplus of 6.8 billion USD</w:t>
      </w:r>
      <w:bookmarkStart w:id="2" w:name="_ftnref2"/>
      <w:bookmarkEnd w:id="2"/>
      <w:r w:rsidRPr="004E33BE">
        <w:rPr>
          <w:rStyle w:val="FootnoteReference"/>
          <w:color w:val="000000"/>
        </w:rPr>
        <w:footnoteReference w:id="9"/>
      </w:r>
      <w:r w:rsidRPr="004E33BE">
        <w:rPr>
          <w:rStyle w:val="notranslate"/>
          <w:color w:val="000000"/>
        </w:rPr>
        <w:t>, of which: the domestic economic sector saw a trade deficit of 23.4 billion USD;</w:t>
      </w:r>
      <w:r w:rsidRPr="004E33BE">
        <w:rPr>
          <w:color w:val="000000"/>
        </w:rPr>
        <w:t> </w:t>
      </w:r>
      <w:r w:rsidRPr="004E33BE">
        <w:rPr>
          <w:rStyle w:val="notranslate"/>
          <w:color w:val="000000"/>
        </w:rPr>
        <w:t>FDI sector (including crude oil) witnessed a trade surplus of 30.2</w:t>
      </w:r>
      <w:r w:rsidRPr="004E33BE">
        <w:rPr>
          <w:color w:val="000000"/>
        </w:rPr>
        <w:t> </w:t>
      </w:r>
      <w:r w:rsidRPr="004E33BE">
        <w:rPr>
          <w:rStyle w:val="notranslate"/>
          <w:color w:val="000000"/>
        </w:rPr>
        <w:t>billion USD</w:t>
      </w:r>
      <w:r w:rsidR="00C565F3" w:rsidRPr="004E33BE">
        <w:t>.</w:t>
      </w:r>
    </w:p>
    <w:p w:rsidR="003918DF" w:rsidRPr="004E33BE" w:rsidRDefault="00755AF9" w:rsidP="003918DF">
      <w:pPr>
        <w:pStyle w:val="NormalWeb"/>
        <w:shd w:val="clear" w:color="auto" w:fill="FFFFFF"/>
        <w:spacing w:before="40" w:beforeAutospacing="0" w:after="40" w:afterAutospacing="0" w:line="281" w:lineRule="auto"/>
        <w:ind w:firstLine="567"/>
        <w:jc w:val="both"/>
        <w:rPr>
          <w:b/>
          <w:i/>
          <w:sz w:val="28"/>
          <w:szCs w:val="28"/>
        </w:rPr>
      </w:pPr>
      <w:r>
        <w:rPr>
          <w:b/>
          <w:i/>
          <w:sz w:val="28"/>
          <w:szCs w:val="28"/>
        </w:rPr>
        <w:t xml:space="preserve"> </w:t>
      </w:r>
      <w:r w:rsidR="00F9065D" w:rsidRPr="004E33BE">
        <w:rPr>
          <w:b/>
          <w:i/>
          <w:sz w:val="28"/>
          <w:szCs w:val="28"/>
        </w:rPr>
        <w:t>c</w:t>
      </w:r>
      <w:r w:rsidR="004C70CE" w:rsidRPr="004E33BE">
        <w:rPr>
          <w:b/>
          <w:i/>
          <w:sz w:val="28"/>
          <w:szCs w:val="28"/>
        </w:rPr>
        <w:t>)</w:t>
      </w:r>
      <w:r w:rsidR="00F9065D" w:rsidRPr="004E33BE">
        <w:rPr>
          <w:b/>
          <w:i/>
          <w:sz w:val="28"/>
          <w:szCs w:val="28"/>
        </w:rPr>
        <w:t xml:space="preserve"> </w:t>
      </w:r>
      <w:r w:rsidR="003918DF" w:rsidRPr="004E33BE">
        <w:rPr>
          <w:b/>
          <w:i/>
          <w:sz w:val="28"/>
          <w:szCs w:val="28"/>
        </w:rPr>
        <w:t>Consumer price index, gold price index and USD price index</w:t>
      </w:r>
    </w:p>
    <w:p w:rsidR="003918DF" w:rsidRPr="004E33BE" w:rsidRDefault="003918DF" w:rsidP="003918DF">
      <w:pPr>
        <w:pStyle w:val="NormalWeb"/>
        <w:shd w:val="clear" w:color="auto" w:fill="FFFFFF"/>
        <w:spacing w:before="40" w:beforeAutospacing="0" w:after="40" w:afterAutospacing="0" w:line="281" w:lineRule="auto"/>
        <w:ind w:firstLine="567"/>
        <w:jc w:val="both"/>
        <w:rPr>
          <w:rStyle w:val="normalchar"/>
          <w:sz w:val="28"/>
          <w:szCs w:val="28"/>
        </w:rPr>
      </w:pPr>
      <w:r w:rsidRPr="004E33BE">
        <w:rPr>
          <w:rStyle w:val="normalchar"/>
          <w:sz w:val="28"/>
          <w:szCs w:val="28"/>
        </w:rPr>
        <w:t>Consumer price index (CPI) in November 2018 decreased by 0.29% compared to the previous month, of which the transportation group fell the most with 1.81% due to the impact of downward adjustments of petrol and oil price as of 6</w:t>
      </w:r>
      <w:r w:rsidRPr="004E33BE">
        <w:rPr>
          <w:rStyle w:val="normalchar"/>
          <w:sz w:val="28"/>
          <w:szCs w:val="28"/>
          <w:vertAlign w:val="superscript"/>
        </w:rPr>
        <w:t>th</w:t>
      </w:r>
      <w:r w:rsidRPr="004E33BE">
        <w:rPr>
          <w:rStyle w:val="normalchar"/>
          <w:sz w:val="28"/>
          <w:szCs w:val="28"/>
        </w:rPr>
        <w:t xml:space="preserve"> and 21</w:t>
      </w:r>
      <w:r w:rsidRPr="004E33BE">
        <w:rPr>
          <w:rStyle w:val="normalchar"/>
          <w:sz w:val="28"/>
          <w:szCs w:val="28"/>
          <w:vertAlign w:val="superscript"/>
        </w:rPr>
        <w:t>st</w:t>
      </w:r>
      <w:r w:rsidRPr="004E33BE">
        <w:rPr>
          <w:rStyle w:val="normalchar"/>
          <w:sz w:val="28"/>
          <w:szCs w:val="28"/>
        </w:rPr>
        <w:t xml:space="preserve"> November 2018, so that the price of petrol and oil fall by 4.1% (leading to the decrease in overall CPI of 0.17%). The group of housing and construction materials decreased by 0.64%, mainly due to a decline of 9.18% in gas prices, a decrease 0.64% in electricity prices and a drop of 0.97% in kerosene prices. The group of food and catering services decreased by 0.14%, of which food increased by 0.27% due to an increase of 0.25% in rice price; foodstuffs fell 0.3%</w:t>
      </w:r>
      <w:r w:rsidRPr="004E33BE">
        <w:rPr>
          <w:rStyle w:val="FootnoteReference"/>
          <w:rFonts w:eastAsia="Batang"/>
          <w:bCs/>
          <w:sz w:val="28"/>
          <w:szCs w:val="28"/>
        </w:rPr>
        <w:footnoteReference w:id="10"/>
      </w:r>
      <w:r w:rsidRPr="004E33BE">
        <w:rPr>
          <w:rStyle w:val="normalchar"/>
          <w:sz w:val="28"/>
          <w:szCs w:val="28"/>
        </w:rPr>
        <w:t>. The post and telecommunication decreased by 0.06%. CPI in November of 7 per 11 main groups of goods and services increased compared to the previous month: Garment, hat and footwear increased by 0.26% due to the changing weather in the North, so the demand for shopping increased slightly; household equipment and goods increased by 0.08%; beverage and cigarettes rose 0.07%; the group of education and culture, entertainments and tourism also expanded 0.05%; medicine and healthcare services grew 0.01%; other goods and services increased by 0.15%.</w:t>
      </w:r>
    </w:p>
    <w:p w:rsidR="003918DF" w:rsidRPr="004E33BE" w:rsidRDefault="003918DF" w:rsidP="003918DF">
      <w:pPr>
        <w:pStyle w:val="NormalWeb"/>
        <w:shd w:val="clear" w:color="auto" w:fill="FFFFFF"/>
        <w:spacing w:before="40" w:beforeAutospacing="0" w:after="40" w:afterAutospacing="0" w:line="281" w:lineRule="auto"/>
        <w:ind w:firstLine="567"/>
        <w:jc w:val="both"/>
        <w:rPr>
          <w:rStyle w:val="normalchar"/>
          <w:sz w:val="28"/>
          <w:szCs w:val="28"/>
        </w:rPr>
      </w:pPr>
      <w:r w:rsidRPr="004E33BE">
        <w:rPr>
          <w:rStyle w:val="normalchar"/>
          <w:sz w:val="28"/>
          <w:szCs w:val="28"/>
        </w:rPr>
        <w:t>Average CPI in November 2018 increased by 3.59% compared to the average of the same period in 2017; CPI in November 2018 increased by 3.24% compared to December 2017 and rose 3.46% compared to the same period in 2017</w:t>
      </w:r>
    </w:p>
    <w:p w:rsidR="003918DF" w:rsidRPr="004E33BE" w:rsidRDefault="003918DF" w:rsidP="003918DF">
      <w:pPr>
        <w:pStyle w:val="NormalWeb"/>
        <w:shd w:val="clear" w:color="auto" w:fill="FFFFFF"/>
        <w:spacing w:before="40" w:beforeAutospacing="0" w:after="40" w:afterAutospacing="0" w:line="281" w:lineRule="auto"/>
        <w:ind w:firstLine="567"/>
        <w:jc w:val="both"/>
        <w:rPr>
          <w:rStyle w:val="Strong"/>
          <w:b w:val="0"/>
          <w:color w:val="000000"/>
          <w:sz w:val="28"/>
          <w:szCs w:val="28"/>
        </w:rPr>
      </w:pPr>
      <w:r w:rsidRPr="004E33BE">
        <w:rPr>
          <w:rStyle w:val="Strong"/>
          <w:b w:val="0"/>
          <w:color w:val="000000"/>
          <w:sz w:val="28"/>
          <w:szCs w:val="28"/>
        </w:rPr>
        <w:t xml:space="preserve">Core inflation in November 2018 increased by 0.11% over the previous month and rose by 1.72% over the same period last year. Average core inflation </w:t>
      </w:r>
      <w:r w:rsidRPr="004E33BE">
        <w:rPr>
          <w:rStyle w:val="Strong"/>
          <w:b w:val="0"/>
          <w:color w:val="000000"/>
          <w:sz w:val="28"/>
          <w:szCs w:val="28"/>
        </w:rPr>
        <w:lastRenderedPageBreak/>
        <w:t>in 11 months of 2018 expanded 1.46% compared to the average of the same period in 2017.</w:t>
      </w:r>
    </w:p>
    <w:p w:rsidR="003918DF" w:rsidRPr="004E33BE" w:rsidRDefault="003918DF" w:rsidP="003918DF">
      <w:pPr>
        <w:pStyle w:val="NormalWeb"/>
        <w:shd w:val="clear" w:color="auto" w:fill="FFFFFF"/>
        <w:spacing w:before="40" w:beforeAutospacing="0" w:after="40" w:afterAutospacing="0" w:line="281" w:lineRule="auto"/>
        <w:ind w:firstLine="567"/>
        <w:jc w:val="both"/>
        <w:rPr>
          <w:rStyle w:val="Strong"/>
          <w:b w:val="0"/>
          <w:color w:val="000000"/>
          <w:sz w:val="28"/>
          <w:szCs w:val="28"/>
        </w:rPr>
      </w:pPr>
      <w:r w:rsidRPr="004E33BE">
        <w:rPr>
          <w:rStyle w:val="Strong"/>
          <w:b w:val="0"/>
          <w:color w:val="000000"/>
          <w:sz w:val="28"/>
          <w:szCs w:val="28"/>
        </w:rPr>
        <w:t>Gold price index in November 2018 increased by 0.98% compared to the previous month; went down 0.81% compared to December 2017; decreased by 0.93% compared to the same period last year. USD price index in November 2018 decreased by 0.03% over the previous month; increased by 2.77% compared to December 2017 and increased 2.79% compared to the same period in 2017.</w:t>
      </w:r>
    </w:p>
    <w:p w:rsidR="003918DF" w:rsidRPr="004E33BE" w:rsidRDefault="003918DF" w:rsidP="003918DF">
      <w:pPr>
        <w:pStyle w:val="NormalWeb"/>
        <w:shd w:val="clear" w:color="auto" w:fill="FFFFFF"/>
        <w:spacing w:before="40" w:beforeAutospacing="0" w:after="40" w:afterAutospacing="0" w:line="281" w:lineRule="auto"/>
        <w:ind w:firstLine="567"/>
        <w:jc w:val="both"/>
        <w:rPr>
          <w:b/>
          <w:i/>
          <w:sz w:val="28"/>
          <w:szCs w:val="28"/>
        </w:rPr>
      </w:pPr>
      <w:r w:rsidRPr="004E33BE">
        <w:rPr>
          <w:b/>
          <w:i/>
          <w:sz w:val="28"/>
          <w:szCs w:val="28"/>
        </w:rPr>
        <w:t>d) Passenger and freight transport</w:t>
      </w:r>
    </w:p>
    <w:p w:rsidR="003918DF" w:rsidRPr="004E33BE" w:rsidRDefault="003918DF" w:rsidP="003918DF">
      <w:pPr>
        <w:spacing w:before="40" w:after="40" w:line="281" w:lineRule="auto"/>
        <w:ind w:firstLine="567"/>
        <w:jc w:val="both"/>
      </w:pPr>
      <w:r w:rsidRPr="004E33BE">
        <w:t xml:space="preserve">Passenger transport in November was estimated at 398.6 million persons, an increase of 1.1% over the previous month and </w:t>
      </w:r>
      <w:proofErr w:type="gramStart"/>
      <w:r w:rsidRPr="004E33BE">
        <w:t>18.3 billion persons.km, a rise of 1.4%</w:t>
      </w:r>
      <w:proofErr w:type="gramEnd"/>
      <w:r w:rsidRPr="004E33BE">
        <w:t xml:space="preserve">. Generally for 11 months of 2018, passenger transport reached 4,238.6 million persons, an upturn of 10.6% compared to the same period last year and 189.6 billion passengers.km, an expansion of 11%, of which passenger transport by roadway reached 4,000.2 million persons, a gain of 10.8% and 131.2 billion persons.km, a growth of 11.1%; by inland waterway reached 178.4 million persons, an increase of 6.9% and 3.4 billion persons.km, an rise of 7.3%; by seaway attained 6.8 million persons, an growth of 7.2% and 405.2 million persons.km, a rise of 7.5%; by airway achieved quite good with 45.1 million persons, an increase of 11.9% and 51.3 billion person.km, an increase of 12.3%; by railway reached 8.1 million, a fall of 8.7% and 3.3 billion persons.km, a decline of 3.1%. </w:t>
      </w:r>
    </w:p>
    <w:p w:rsidR="003918DF" w:rsidRPr="004E33BE" w:rsidRDefault="003918DF" w:rsidP="003918DF">
      <w:pPr>
        <w:spacing w:before="40" w:after="40" w:line="281" w:lineRule="auto"/>
        <w:ind w:firstLine="567"/>
        <w:jc w:val="both"/>
        <w:rPr>
          <w:color w:val="000000"/>
        </w:rPr>
      </w:pPr>
      <w:r w:rsidRPr="004E33BE">
        <w:rPr>
          <w:color w:val="000000"/>
        </w:rPr>
        <w:t xml:space="preserve">Freight transport in November was estimated at 141.3 million tons, an upturn of 1.2% over the previous month and </w:t>
      </w:r>
      <w:proofErr w:type="gramStart"/>
      <w:r w:rsidRPr="004E33BE">
        <w:rPr>
          <w:color w:val="000000"/>
        </w:rPr>
        <w:t>26.8 billion tons.km, an increase of 1%</w:t>
      </w:r>
      <w:proofErr w:type="gramEnd"/>
      <w:r w:rsidRPr="004E33BE">
        <w:rPr>
          <w:color w:val="000000"/>
        </w:rPr>
        <w:t>. For 11 months, freight transport reached 1,491.7 million tons, an increase of 9.8% over the same period last year and 279.3 billion tons.km, an expansion of 7.4%, of which domestic freight reached 1,460.8 million tons, a rise of 9.9% and 154.1 billion tons.km, a growth of 11%; overseas freight reached 30.8 million tons, a rise of 2.2% and 125.2 billion tons.km, an upturn of 3.4%. By type of transport, fright transport by roadway reached 1,151.2 million tons, an increase of 10.6% over the same period last year and 76.1 billion tons.km, an expansion of 11.4%; by inland waterway reached 263.7 million tons, a rise of 7.3% and 55.7 billion tons.km, a spread of 7.7%; by seaway reached 71.2 million tons, an increase of 6.4% and 142.9 billion tons.km, a rise of 5.2%; by railway reached 5.2 million tons, a growth of 2.4% and 3.7 billion tons.km, a rise of 13.2%; by airway reached 369.2 thousand tons, an gain of 18.6% and 976.5 million tons.km, a spiral of 17.2%.</w:t>
      </w:r>
    </w:p>
    <w:p w:rsidR="003918DF" w:rsidRPr="004E33BE" w:rsidRDefault="003918DF" w:rsidP="003918DF">
      <w:pPr>
        <w:pStyle w:val="NormalWeb"/>
        <w:spacing w:before="40" w:beforeAutospacing="0" w:after="40" w:afterAutospacing="0" w:line="281" w:lineRule="auto"/>
        <w:ind w:firstLine="567"/>
        <w:jc w:val="both"/>
        <w:rPr>
          <w:b/>
          <w:i/>
          <w:sz w:val="28"/>
          <w:szCs w:val="28"/>
        </w:rPr>
      </w:pPr>
      <w:r w:rsidRPr="004E33BE">
        <w:rPr>
          <w:b/>
          <w:i/>
          <w:sz w:val="28"/>
          <w:szCs w:val="28"/>
        </w:rPr>
        <w:t>e) International visitors to Viet Nam</w:t>
      </w:r>
    </w:p>
    <w:p w:rsidR="003918DF" w:rsidRPr="004E33BE" w:rsidRDefault="003918DF" w:rsidP="003918DF">
      <w:pPr>
        <w:pStyle w:val="NormalWeb"/>
        <w:shd w:val="clear" w:color="auto" w:fill="FFFFFF"/>
        <w:spacing w:before="40" w:beforeAutospacing="0" w:after="40" w:afterAutospacing="0" w:line="281" w:lineRule="auto"/>
        <w:ind w:firstLine="567"/>
        <w:jc w:val="both"/>
        <w:rPr>
          <w:sz w:val="28"/>
          <w:szCs w:val="28"/>
        </w:rPr>
      </w:pPr>
      <w:r w:rsidRPr="004E33BE">
        <w:rPr>
          <w:sz w:val="28"/>
          <w:szCs w:val="28"/>
        </w:rPr>
        <w:lastRenderedPageBreak/>
        <w:t xml:space="preserve">International visitors to Viet Nam in November were estimated at 1,301.9 thousand visitors, increasing by 8% over the previous month, of which visitors coming by airway rose by 8.6%; by roadway went up 8%; particularly, visitors going by seaway fell sharply by 53.2% due to the impact of the storm No. 8 and No. 9 on the East Sea. Compared to the same period last year, international visitors to Viet Nam increased by 11%, of which visitors from Asia increased by 14.9%; from Europe decreased by 0.3%; from the America rose 2.9%; from Oceania declined by 4.1%; from Africa went up 19.8%. </w:t>
      </w:r>
    </w:p>
    <w:p w:rsidR="003918DF" w:rsidRPr="004E33BE" w:rsidRDefault="003918DF" w:rsidP="003918DF">
      <w:pPr>
        <w:pStyle w:val="NormalWeb"/>
        <w:shd w:val="clear" w:color="auto" w:fill="FFFFFF"/>
        <w:spacing w:before="40" w:beforeAutospacing="0" w:after="40" w:afterAutospacing="0" w:line="281" w:lineRule="auto"/>
        <w:ind w:firstLine="567"/>
        <w:jc w:val="both"/>
        <w:rPr>
          <w:sz w:val="28"/>
          <w:szCs w:val="28"/>
        </w:rPr>
      </w:pPr>
      <w:r w:rsidRPr="004E33BE">
        <w:rPr>
          <w:sz w:val="28"/>
          <w:szCs w:val="28"/>
        </w:rPr>
        <w:t>Generally for 11 months of this year, international visitors to Viet Nam were estimated at 14,123.6 thousand visitors, increasing by 21.3% over the same period last year, of which visitors going by airway reached 11,397.3 thousand visitors, an increase of 15.3%; by roadway reached 2,521.9 thousand visitors, a rise of 64.4%; by seaway reached 204.4 thousand visitors, a fall of 11.3%.</w:t>
      </w:r>
    </w:p>
    <w:p w:rsidR="003918DF" w:rsidRPr="004E33BE" w:rsidRDefault="003918DF" w:rsidP="003918DF">
      <w:pPr>
        <w:pStyle w:val="NormalWeb"/>
        <w:shd w:val="clear" w:color="auto" w:fill="FFFFFF"/>
        <w:spacing w:before="40" w:beforeAutospacing="0" w:after="40" w:afterAutospacing="0" w:line="281" w:lineRule="auto"/>
        <w:ind w:firstLine="567"/>
        <w:jc w:val="both"/>
        <w:rPr>
          <w:sz w:val="28"/>
          <w:szCs w:val="28"/>
        </w:rPr>
      </w:pPr>
      <w:r w:rsidRPr="004E33BE">
        <w:rPr>
          <w:sz w:val="28"/>
          <w:szCs w:val="28"/>
        </w:rPr>
        <w:t>In 11 months, visitors to Viet Nam from Asia reached 10,983.9 thousand visitors, accounting for 77.8% of the total number of visitors coming to Viet Nam, a rise of 25.3% over the same period last year, of which visitors from the main markets all increased: visitors from China reached 4,560.9 thousand visitors, an increase of 26.9%; from South Korea achieved 3,160.9 thousand visitors, a rise of 46.5%; from Japan gained 756 thousand visitors, a growth of 3.7%; from Taiwan reached 649.7 thousand visitors, an increase of 15.6%; from Malaysia made 474.8 thousand visitor, an expansion of 13.4%; from Thailand attained 306.7 thousand visitors, an increase of 14.3%; from Singapore achieved 248.6 thousand visitors, an increase of 3.7%.</w:t>
      </w:r>
    </w:p>
    <w:p w:rsidR="003918DF" w:rsidRPr="004E33BE" w:rsidRDefault="003918DF" w:rsidP="003918DF">
      <w:pPr>
        <w:pStyle w:val="NormalWeb"/>
        <w:shd w:val="clear" w:color="auto" w:fill="FFFFFF"/>
        <w:spacing w:before="40" w:beforeAutospacing="0" w:after="40" w:afterAutospacing="0" w:line="281" w:lineRule="auto"/>
        <w:ind w:firstLine="567"/>
        <w:jc w:val="both"/>
        <w:rPr>
          <w:sz w:val="28"/>
          <w:szCs w:val="28"/>
        </w:rPr>
      </w:pPr>
      <w:r w:rsidRPr="004E33BE">
        <w:rPr>
          <w:sz w:val="28"/>
          <w:szCs w:val="28"/>
        </w:rPr>
        <w:t>Visitors to Viet Nam from Europe were estimated at 1,867.2 thousand visitors, increasing by 8.7% over the same period last year, of which: visitors from the Russian Federation achieved 552.2 thousand visitors, an upturn of 6.8%; from United Kingdom reached 275.6 thousand visitors, a rise of 5.2%; from France achieved 258.7 thousand visitors, an increase of 9.9%; from Germany reached 195.7 thousand visitors, an increase of 6.8%; from Spain attained 72.7 thousand visitors, an increase of 12.9%; from Netherlands made 71.4 thousand visitors, an upturn of 7.4%; from Italy reached 60.2 thousand visitors, an increase of 13.1%.</w:t>
      </w:r>
    </w:p>
    <w:p w:rsidR="00BD49C4" w:rsidRPr="004E33BE" w:rsidRDefault="003918DF" w:rsidP="003918DF">
      <w:pPr>
        <w:pStyle w:val="NormalWeb"/>
        <w:shd w:val="clear" w:color="auto" w:fill="FFFFFF"/>
        <w:spacing w:before="40" w:beforeAutospacing="0" w:after="40" w:afterAutospacing="0" w:line="281" w:lineRule="auto"/>
        <w:ind w:firstLine="567"/>
        <w:jc w:val="both"/>
        <w:rPr>
          <w:spacing w:val="-2"/>
          <w:sz w:val="28"/>
          <w:szCs w:val="28"/>
        </w:rPr>
      </w:pPr>
      <w:r w:rsidRPr="004E33BE">
        <w:rPr>
          <w:sz w:val="28"/>
          <w:szCs w:val="28"/>
        </w:rPr>
        <w:t xml:space="preserve">Visitors to Viet Nam from the America reached 830.7 thousand visitors, increasing by 11.4% over the same period last year, of which visitors from the United States reached 632.3 thousand visitors, going up 12.8%. Visitors from Oceania reached 403.7 thousand visitors, an increase of 4.9%, of which visitors from Australia achieved 355.9 thousand visitors, rising by 5.4%. Visitors from </w:t>
      </w:r>
      <w:r w:rsidRPr="004E33BE">
        <w:rPr>
          <w:sz w:val="28"/>
          <w:szCs w:val="28"/>
        </w:rPr>
        <w:lastRenderedPageBreak/>
        <w:t>Africa reached 38.2 thousand visitors, an increase of 19.7% compared to the same period in 2017</w:t>
      </w:r>
      <w:r w:rsidR="00BD49C4" w:rsidRPr="004E33BE">
        <w:rPr>
          <w:spacing w:val="-2"/>
          <w:sz w:val="28"/>
          <w:szCs w:val="28"/>
        </w:rPr>
        <w:t>.</w:t>
      </w:r>
    </w:p>
    <w:p w:rsidR="00B436E7" w:rsidRPr="004E33BE" w:rsidRDefault="0049145F" w:rsidP="00B436E7">
      <w:pPr>
        <w:pStyle w:val="NormalWeb"/>
        <w:shd w:val="clear" w:color="auto" w:fill="FFFFFF"/>
        <w:spacing w:before="40" w:beforeAutospacing="0" w:after="40" w:afterAutospacing="0" w:line="271" w:lineRule="auto"/>
        <w:ind w:firstLine="567"/>
        <w:jc w:val="both"/>
        <w:rPr>
          <w:b/>
          <w:sz w:val="28"/>
          <w:szCs w:val="28"/>
        </w:rPr>
      </w:pPr>
      <w:r w:rsidRPr="004E33BE">
        <w:rPr>
          <w:b/>
          <w:sz w:val="28"/>
          <w:szCs w:val="28"/>
        </w:rPr>
        <w:t xml:space="preserve">7. </w:t>
      </w:r>
      <w:r w:rsidR="00B436E7" w:rsidRPr="004E33BE">
        <w:rPr>
          <w:b/>
          <w:spacing w:val="-2"/>
          <w:sz w:val="28"/>
          <w:szCs w:val="28"/>
        </w:rPr>
        <w:t>Social issues</w:t>
      </w:r>
    </w:p>
    <w:p w:rsidR="00B436E7" w:rsidRPr="004E33BE" w:rsidRDefault="00B436E7" w:rsidP="00B436E7">
      <w:pPr>
        <w:pStyle w:val="NormalWeb"/>
        <w:shd w:val="clear" w:color="auto" w:fill="FFFFFF"/>
        <w:spacing w:before="40" w:beforeAutospacing="0" w:after="40" w:afterAutospacing="0" w:line="271" w:lineRule="auto"/>
        <w:ind w:firstLine="567"/>
        <w:jc w:val="both"/>
        <w:rPr>
          <w:b/>
          <w:i/>
          <w:sz w:val="28"/>
          <w:szCs w:val="28"/>
        </w:rPr>
      </w:pPr>
      <w:r w:rsidRPr="004E33BE">
        <w:rPr>
          <w:b/>
          <w:i/>
          <w:sz w:val="28"/>
          <w:szCs w:val="28"/>
        </w:rPr>
        <w:t>a) Food shortage among farmers</w:t>
      </w:r>
    </w:p>
    <w:p w:rsidR="00B436E7" w:rsidRPr="004E33BE" w:rsidRDefault="00B436E7" w:rsidP="00B436E7">
      <w:pPr>
        <w:pStyle w:val="NormalWeb"/>
        <w:shd w:val="clear" w:color="auto" w:fill="FFFFFF"/>
        <w:spacing w:before="40" w:beforeAutospacing="0" w:after="40" w:afterAutospacing="0" w:line="271" w:lineRule="auto"/>
        <w:ind w:firstLine="567"/>
        <w:jc w:val="both"/>
        <w:rPr>
          <w:sz w:val="28"/>
          <w:szCs w:val="28"/>
        </w:rPr>
      </w:pPr>
      <w:r w:rsidRPr="004E33BE">
        <w:rPr>
          <w:sz w:val="28"/>
          <w:szCs w:val="28"/>
        </w:rPr>
        <w:t>In November, the whole country witnessed nearly 1.4 thousand households suffering from food shortage, a year on year decrease of 86.6%, equivalent to 6.1 thousand persons suffering from food shortage, fell by 85.7%. In the first 11 months of the year, there were 104.1 thousand households suffering from food shortage, down 40.7% compared to the same period previous year, corresponding to 415.9 thousand persons suffering from food shortage, down 42.3%. In order to overcome food shortage, from the beginning of the year, all administrative levels, sectors and organizations from central to local level supported these households with about 7.4 thousand tons of food and over 1.6 billion VND.</w:t>
      </w:r>
    </w:p>
    <w:p w:rsidR="00B436E7" w:rsidRPr="004E33BE" w:rsidRDefault="00B436E7" w:rsidP="00B436E7">
      <w:pPr>
        <w:pStyle w:val="NormalWeb"/>
        <w:shd w:val="clear" w:color="auto" w:fill="FFFFFF"/>
        <w:spacing w:before="40" w:beforeAutospacing="0" w:after="40" w:afterAutospacing="0" w:line="271" w:lineRule="auto"/>
        <w:ind w:firstLine="567"/>
        <w:jc w:val="both"/>
        <w:rPr>
          <w:b/>
          <w:i/>
          <w:sz w:val="28"/>
          <w:szCs w:val="28"/>
        </w:rPr>
      </w:pPr>
      <w:r w:rsidRPr="004E33BE">
        <w:rPr>
          <w:b/>
          <w:i/>
          <w:sz w:val="28"/>
          <w:szCs w:val="28"/>
        </w:rPr>
        <w:t>b) Epidemic diseases and food poisoning</w:t>
      </w:r>
    </w:p>
    <w:p w:rsidR="00B436E7" w:rsidRPr="004E33BE" w:rsidRDefault="00B436E7" w:rsidP="00B436E7">
      <w:pPr>
        <w:spacing w:before="40" w:after="40" w:line="271" w:lineRule="auto"/>
        <w:ind w:firstLine="567"/>
        <w:jc w:val="both"/>
      </w:pPr>
      <w:r w:rsidRPr="004E33BE">
        <w:t xml:space="preserve">From 19 October to 18 November 2018, the whole country witnessed 38.4 thousand cases of hand, foot and mouth disease; 28.6 thousand cases of hemorrhagic fever (2 deaths); 67 cases of typhoid; 14 cases of viral encephalitis (1 death); 7 cases of meningococcal meningitis; 40 cases of whooping cough and 4 cases of </w:t>
      </w:r>
      <w:r w:rsidRPr="004E33BE">
        <w:rPr>
          <w:spacing w:val="-2"/>
        </w:rPr>
        <w:t xml:space="preserve">human streptococcus </w:t>
      </w:r>
      <w:proofErr w:type="spellStart"/>
      <w:r w:rsidRPr="004E33BE">
        <w:rPr>
          <w:spacing w:val="-2"/>
        </w:rPr>
        <w:t>suis</w:t>
      </w:r>
      <w:proofErr w:type="spellEnd"/>
      <w:r w:rsidRPr="004E33BE">
        <w:rPr>
          <w:spacing w:val="-2"/>
        </w:rPr>
        <w:t xml:space="preserve"> infection</w:t>
      </w:r>
      <w:r w:rsidRPr="004E33BE">
        <w:t xml:space="preserve">. </w:t>
      </w:r>
    </w:p>
    <w:p w:rsidR="00B436E7" w:rsidRPr="004E33BE" w:rsidRDefault="00B436E7" w:rsidP="00B436E7">
      <w:pPr>
        <w:spacing w:before="40" w:after="40" w:line="271" w:lineRule="auto"/>
        <w:ind w:firstLine="567"/>
        <w:jc w:val="both"/>
      </w:pPr>
      <w:r w:rsidRPr="004E33BE">
        <w:rPr>
          <w:spacing w:val="-2"/>
        </w:rPr>
        <w:t xml:space="preserve">In the 11 months of 2018, there were nearly 110.6 thousand cases of </w:t>
      </w:r>
      <w:r w:rsidRPr="004E33BE">
        <w:t xml:space="preserve">hand, foot and mouth disease </w:t>
      </w:r>
      <w:r w:rsidRPr="004E33BE">
        <w:rPr>
          <w:spacing w:val="-2"/>
        </w:rPr>
        <w:t xml:space="preserve">(6 deaths); 100.8 thousand cases of </w:t>
      </w:r>
      <w:r w:rsidRPr="004E33BE">
        <w:t xml:space="preserve">hemorrhagic fever </w:t>
      </w:r>
      <w:r w:rsidRPr="004E33BE">
        <w:rPr>
          <w:spacing w:val="-2"/>
        </w:rPr>
        <w:t xml:space="preserve">(13 deaths); 574 cases of typhoid; 703 cases of </w:t>
      </w:r>
      <w:r w:rsidRPr="004E33BE">
        <w:t xml:space="preserve">viral encephalitis </w:t>
      </w:r>
      <w:r w:rsidRPr="004E33BE">
        <w:rPr>
          <w:spacing w:val="-2"/>
        </w:rPr>
        <w:t xml:space="preserve">(21 deaths); 35 cases of meningococcal meningitis (2 deaths); 635 cases of </w:t>
      </w:r>
      <w:r w:rsidRPr="004E33BE">
        <w:t>whooping cough</w:t>
      </w:r>
      <w:r w:rsidRPr="004E33BE">
        <w:rPr>
          <w:spacing w:val="-2"/>
        </w:rPr>
        <w:t xml:space="preserve"> (2 deaths); 76 cases of human streptococcus </w:t>
      </w:r>
      <w:proofErr w:type="spellStart"/>
      <w:r w:rsidRPr="004E33BE">
        <w:rPr>
          <w:spacing w:val="-2"/>
        </w:rPr>
        <w:t>suis</w:t>
      </w:r>
      <w:proofErr w:type="spellEnd"/>
      <w:r w:rsidRPr="004E33BE">
        <w:rPr>
          <w:spacing w:val="-2"/>
        </w:rPr>
        <w:t xml:space="preserve"> infection (6 deaths) and 69 deaths from rabies.</w:t>
      </w:r>
    </w:p>
    <w:p w:rsidR="00B436E7" w:rsidRPr="004E33BE" w:rsidRDefault="00B436E7" w:rsidP="00B436E7">
      <w:pPr>
        <w:spacing w:before="40" w:after="40" w:line="271" w:lineRule="auto"/>
        <w:ind w:firstLine="567"/>
        <w:jc w:val="both"/>
      </w:pPr>
      <w:r w:rsidRPr="004E33BE">
        <w:t xml:space="preserve">As of 18 November 2018, the total number of </w:t>
      </w:r>
      <w:proofErr w:type="gramStart"/>
      <w:r w:rsidRPr="004E33BE">
        <w:t>alive</w:t>
      </w:r>
      <w:proofErr w:type="gramEnd"/>
      <w:r w:rsidRPr="004E33BE">
        <w:t xml:space="preserve"> HIV-infected persons over the country was 208.7 thousand persons and the number of cases turned to AIDS was 94.3 thousand persons; the number of persons died of HIV/AIDS nationwide was 98.13 thousand persons.</w:t>
      </w:r>
    </w:p>
    <w:p w:rsidR="00B436E7" w:rsidRPr="004E33BE" w:rsidRDefault="00B436E7" w:rsidP="00B436E7">
      <w:pPr>
        <w:pStyle w:val="NormalWeb"/>
        <w:shd w:val="clear" w:color="auto" w:fill="FFFFFF"/>
        <w:spacing w:before="40" w:beforeAutospacing="0" w:after="40" w:afterAutospacing="0" w:line="271" w:lineRule="auto"/>
        <w:ind w:firstLine="567"/>
        <w:jc w:val="both"/>
        <w:rPr>
          <w:sz w:val="28"/>
          <w:szCs w:val="28"/>
        </w:rPr>
      </w:pPr>
      <w:r w:rsidRPr="004E33BE">
        <w:rPr>
          <w:sz w:val="28"/>
          <w:szCs w:val="28"/>
        </w:rPr>
        <w:t>There were 9 cases of food poisoning in the month with 610 poisoned persons (1 death), of which more than 200 children and teachers at a kindergarten were poisoned in a food poisoning incident in Dong Anh District, Hanoi. In 11 months, there were 79 cases of food poisoning in the whole country, poisoned 2,847 persons (11 deaths).</w:t>
      </w:r>
    </w:p>
    <w:p w:rsidR="00B436E7" w:rsidRPr="004E33BE" w:rsidRDefault="00B436E7" w:rsidP="00B436E7">
      <w:pPr>
        <w:pStyle w:val="NormalWeb"/>
        <w:shd w:val="clear" w:color="auto" w:fill="FFFFFF"/>
        <w:spacing w:before="40" w:beforeAutospacing="0" w:after="40" w:afterAutospacing="0" w:line="271" w:lineRule="auto"/>
        <w:ind w:firstLine="567"/>
        <w:jc w:val="both"/>
        <w:rPr>
          <w:b/>
          <w:i/>
          <w:sz w:val="28"/>
          <w:szCs w:val="28"/>
        </w:rPr>
      </w:pPr>
      <w:r w:rsidRPr="004E33BE">
        <w:rPr>
          <w:b/>
          <w:i/>
          <w:sz w:val="28"/>
          <w:szCs w:val="28"/>
        </w:rPr>
        <w:t>c) Traffic accidents</w:t>
      </w:r>
    </w:p>
    <w:p w:rsidR="00B436E7" w:rsidRPr="004E33BE" w:rsidRDefault="00B436E7" w:rsidP="00B436E7">
      <w:pPr>
        <w:pStyle w:val="NormalWeb"/>
        <w:shd w:val="clear" w:color="auto" w:fill="FFFFFF"/>
        <w:spacing w:before="40" w:beforeAutospacing="0" w:after="40" w:afterAutospacing="0" w:line="271" w:lineRule="auto"/>
        <w:ind w:firstLine="567"/>
        <w:jc w:val="both"/>
        <w:rPr>
          <w:sz w:val="28"/>
          <w:szCs w:val="28"/>
        </w:rPr>
      </w:pPr>
      <w:r w:rsidRPr="004E33BE">
        <w:rPr>
          <w:sz w:val="28"/>
          <w:szCs w:val="28"/>
        </w:rPr>
        <w:t xml:space="preserve">In November (from 16 October to 15 November), there were 1,974 traffic accidents occurred nationwide, including 1,009 </w:t>
      </w:r>
      <w:r w:rsidRPr="004E33BE">
        <w:rPr>
          <w:spacing w:val="-2"/>
          <w:sz w:val="28"/>
          <w:szCs w:val="28"/>
        </w:rPr>
        <w:t xml:space="preserve">traffic accidents </w:t>
      </w:r>
      <w:r w:rsidRPr="004E33BE">
        <w:rPr>
          <w:sz w:val="28"/>
          <w:szCs w:val="28"/>
        </w:rPr>
        <w:t xml:space="preserve">from less serious to more and 965 traffic collisions, causing 821 deaths, 601 injuries and </w:t>
      </w:r>
      <w:r w:rsidRPr="004E33BE">
        <w:rPr>
          <w:sz w:val="28"/>
          <w:szCs w:val="28"/>
        </w:rPr>
        <w:lastRenderedPageBreak/>
        <w:t xml:space="preserve">956 </w:t>
      </w:r>
      <w:r w:rsidRPr="004E33BE">
        <w:rPr>
          <w:spacing w:val="-2"/>
          <w:sz w:val="28"/>
          <w:szCs w:val="28"/>
        </w:rPr>
        <w:t>slight injuries</w:t>
      </w:r>
      <w:r w:rsidRPr="004E33BE">
        <w:rPr>
          <w:sz w:val="28"/>
          <w:szCs w:val="28"/>
        </w:rPr>
        <w:t>. Compared to the same period last year, the number of traffic accidents in November decreased by 11% (</w:t>
      </w:r>
      <w:r w:rsidRPr="004E33BE">
        <w:rPr>
          <w:spacing w:val="-2"/>
          <w:sz w:val="28"/>
          <w:szCs w:val="28"/>
        </w:rPr>
        <w:t xml:space="preserve">traffic accidents </w:t>
      </w:r>
      <w:r w:rsidRPr="004E33BE">
        <w:rPr>
          <w:sz w:val="28"/>
          <w:szCs w:val="28"/>
        </w:rPr>
        <w:t xml:space="preserve">from less serious to more reduced by 0.3% and the number of traffic collisions decreased by 19.9%); the number of deaths rose by 5.7%; the number of injuries fell by 0.2% and the number of </w:t>
      </w:r>
      <w:r w:rsidRPr="004E33BE">
        <w:rPr>
          <w:spacing w:val="-2"/>
          <w:sz w:val="28"/>
          <w:szCs w:val="28"/>
        </w:rPr>
        <w:t>slight injuries</w:t>
      </w:r>
      <w:r w:rsidRPr="004E33BE">
        <w:rPr>
          <w:sz w:val="28"/>
          <w:szCs w:val="28"/>
        </w:rPr>
        <w:t xml:space="preserve"> decreased by 26.8%</w:t>
      </w:r>
    </w:p>
    <w:p w:rsidR="00B436E7" w:rsidRPr="004E33BE" w:rsidRDefault="00B436E7" w:rsidP="00B436E7">
      <w:pPr>
        <w:pStyle w:val="NormalWeb"/>
        <w:shd w:val="clear" w:color="auto" w:fill="FFFFFF"/>
        <w:spacing w:before="40" w:beforeAutospacing="0" w:after="40" w:afterAutospacing="0" w:line="274" w:lineRule="auto"/>
        <w:ind w:firstLine="567"/>
        <w:jc w:val="both"/>
        <w:rPr>
          <w:sz w:val="28"/>
          <w:szCs w:val="28"/>
        </w:rPr>
      </w:pPr>
      <w:r w:rsidRPr="004E33BE">
        <w:rPr>
          <w:sz w:val="28"/>
          <w:szCs w:val="28"/>
        </w:rPr>
        <w:t>Generally, for 11 months of 2018, there were 16,820 traffic accidents occurred nationwide including 8,679 traffic accidents from less serious to more and 8,141 traffic collisions, causing 7,495 deaths, 4,701 injuries and 8,405 slight injuries. Compared to the same period last year, the number of traffic accidents in 11 months of this year decreased by 8.5% (the number of traffic accidents from less serious to more reduced by 2.5%; the number of traffic collisions decreased by 14.1%); the number of deaths declined by 1.4%; the number of injuries rose by 1% and the number of slight injuries fell by 20.2%. On average, 50 traffic accidents occurred a day in 11 months nationwide, including 26 traffic accidents from less serious to more and 24 traffic collisions, causing 22 deaths, 14 injuries and 25 slight injuries.</w:t>
      </w:r>
    </w:p>
    <w:p w:rsidR="00B436E7" w:rsidRPr="004E33BE" w:rsidRDefault="00B436E7" w:rsidP="00B436E7">
      <w:pPr>
        <w:pStyle w:val="NormalWeb"/>
        <w:shd w:val="clear" w:color="auto" w:fill="FFFFFF"/>
        <w:spacing w:before="40" w:beforeAutospacing="0" w:after="40" w:afterAutospacing="0" w:line="274" w:lineRule="auto"/>
        <w:ind w:firstLine="567"/>
        <w:jc w:val="both"/>
        <w:rPr>
          <w:b/>
          <w:i/>
          <w:sz w:val="28"/>
          <w:szCs w:val="28"/>
        </w:rPr>
      </w:pPr>
      <w:r w:rsidRPr="004E33BE">
        <w:rPr>
          <w:b/>
          <w:i/>
          <w:sz w:val="28"/>
          <w:szCs w:val="28"/>
        </w:rPr>
        <w:t>d) Damages caused by natural disasters</w:t>
      </w:r>
    </w:p>
    <w:p w:rsidR="00B436E7" w:rsidRPr="004E33BE" w:rsidRDefault="00B436E7" w:rsidP="00B436E7">
      <w:pPr>
        <w:pStyle w:val="Normal1"/>
        <w:spacing w:before="40" w:beforeAutospacing="0" w:after="40" w:afterAutospacing="0" w:line="274" w:lineRule="auto"/>
        <w:ind w:firstLine="567"/>
        <w:jc w:val="both"/>
        <w:rPr>
          <w:rFonts w:ascii="Times New Roman" w:hAnsi="Times New Roman" w:cs="Times New Roman"/>
          <w:sz w:val="28"/>
          <w:szCs w:val="28"/>
        </w:rPr>
      </w:pPr>
      <w:r w:rsidRPr="004E33BE">
        <w:rPr>
          <w:rFonts w:ascii="Times New Roman" w:hAnsi="Times New Roman" w:cs="Times New Roman"/>
          <w:sz w:val="28"/>
          <w:szCs w:val="28"/>
        </w:rPr>
        <w:t xml:space="preserve">Damage caused by natural disasters in November 2018 was mainly due to floods, thunderstorms and landslides. Natural disasters caused 4 deaths and missing, 6 injuries; 67 houses collapsed and swept away, 670 houses were damaged; 650 ha of rice and crops were damaged. Total loss caused by natural disasters in the month was estimated at 60 billion VND. Generally for 11 months, natural disasters caused 189 deaths and missing, 140 were injured; more than 1.9 thousand houses collapsed and swept away; 61.8 thousand houses were damaged; more than 175 thousand hectares of rice and arable crops were damaged. The total value of damage caused by natural disasters in 11 months was estimated at 9 trillion VND. </w:t>
      </w:r>
    </w:p>
    <w:p w:rsidR="00B436E7" w:rsidRPr="004E33BE" w:rsidRDefault="00B436E7" w:rsidP="00B436E7">
      <w:pPr>
        <w:pStyle w:val="NormalWeb"/>
        <w:shd w:val="clear" w:color="auto" w:fill="FFFFFF"/>
        <w:spacing w:before="40" w:beforeAutospacing="0" w:after="40" w:afterAutospacing="0" w:line="274" w:lineRule="auto"/>
        <w:ind w:firstLine="567"/>
        <w:jc w:val="both"/>
        <w:rPr>
          <w:b/>
          <w:i/>
          <w:sz w:val="28"/>
          <w:szCs w:val="28"/>
        </w:rPr>
      </w:pPr>
      <w:r w:rsidRPr="004E33BE">
        <w:rPr>
          <w:b/>
          <w:i/>
          <w:sz w:val="28"/>
          <w:szCs w:val="28"/>
        </w:rPr>
        <w:t>e) Environment protection, fire and explosion prevention</w:t>
      </w:r>
    </w:p>
    <w:p w:rsidR="00B436E7" w:rsidRPr="004E33BE" w:rsidRDefault="00B436E7" w:rsidP="00B436E7">
      <w:pPr>
        <w:pStyle w:val="Normal1"/>
        <w:spacing w:before="40" w:beforeAutospacing="0" w:after="40" w:afterAutospacing="0" w:line="274" w:lineRule="auto"/>
        <w:ind w:firstLine="567"/>
        <w:jc w:val="both"/>
        <w:rPr>
          <w:rFonts w:ascii="Times New Roman" w:hAnsi="Times New Roman" w:cs="Times New Roman"/>
          <w:sz w:val="28"/>
          <w:szCs w:val="28"/>
        </w:rPr>
      </w:pPr>
      <w:r w:rsidRPr="004E33BE">
        <w:rPr>
          <w:rFonts w:ascii="Times New Roman" w:hAnsi="Times New Roman" w:cs="Times New Roman"/>
          <w:sz w:val="28"/>
          <w:szCs w:val="28"/>
        </w:rPr>
        <w:t>In November 2018, 1,321 cases of violating regulations of environment protection were found, of which 1,188 cases were addressed with total fine of 20.5 billion VND. Generally for 11 months, 13,391 cases of violating regulations of environment protection were found nationwide, of which 12,319 cases were addressed with total fine of 191 billion VND.</w:t>
      </w:r>
    </w:p>
    <w:p w:rsidR="00B436E7" w:rsidRPr="004E33BE" w:rsidRDefault="00B436E7" w:rsidP="00B436E7">
      <w:pPr>
        <w:pStyle w:val="Normal1"/>
        <w:spacing w:before="40" w:beforeAutospacing="0" w:after="40" w:afterAutospacing="0" w:line="274" w:lineRule="auto"/>
        <w:ind w:firstLine="567"/>
        <w:jc w:val="both"/>
        <w:rPr>
          <w:rFonts w:ascii="Times New Roman" w:hAnsi="Times New Roman" w:cs="Times New Roman"/>
          <w:sz w:val="28"/>
          <w:szCs w:val="28"/>
        </w:rPr>
      </w:pPr>
      <w:r w:rsidRPr="004E33BE">
        <w:rPr>
          <w:rFonts w:ascii="Times New Roman" w:hAnsi="Times New Roman" w:cs="Times New Roman"/>
          <w:sz w:val="28"/>
          <w:szCs w:val="28"/>
        </w:rPr>
        <w:t xml:space="preserve">In November 2018, there were 377 </w:t>
      </w:r>
      <w:r w:rsidRPr="004E33BE">
        <w:rPr>
          <w:rFonts w:ascii="Times New Roman" w:hAnsi="Times New Roman" w:cs="Times New Roman"/>
          <w:sz w:val="28"/>
          <w:szCs w:val="28"/>
          <w:shd w:val="clear" w:color="auto" w:fill="FFFFFF"/>
        </w:rPr>
        <w:t xml:space="preserve">cases of fire and explosion </w:t>
      </w:r>
      <w:r w:rsidRPr="004E33BE">
        <w:rPr>
          <w:rFonts w:ascii="Times New Roman" w:hAnsi="Times New Roman" w:cs="Times New Roman"/>
          <w:sz w:val="28"/>
          <w:szCs w:val="28"/>
        </w:rPr>
        <w:t>across the country, caused 6 deaths and 11 injuries, with an estimated damage of 45.7 billion VND. Generally for 11 months, there were 3,753 c</w:t>
      </w:r>
      <w:r w:rsidRPr="004E33BE">
        <w:rPr>
          <w:rFonts w:ascii="Times New Roman" w:hAnsi="Times New Roman" w:cs="Times New Roman"/>
          <w:sz w:val="28"/>
          <w:szCs w:val="28"/>
          <w:shd w:val="clear" w:color="auto" w:fill="FFFFFF"/>
        </w:rPr>
        <w:t xml:space="preserve">ases of fire and explosion </w:t>
      </w:r>
      <w:r w:rsidRPr="004E33BE">
        <w:rPr>
          <w:rFonts w:ascii="Times New Roman" w:hAnsi="Times New Roman" w:cs="Times New Roman"/>
          <w:sz w:val="28"/>
          <w:szCs w:val="28"/>
        </w:rPr>
        <w:t xml:space="preserve">across the country, caused 97 deaths and 246 injuries, with an estimated damage of 1,638 billion VND. Remarkably, on 22 November, a </w:t>
      </w:r>
      <w:r w:rsidRPr="004E33BE">
        <w:rPr>
          <w:rFonts w:ascii="Times New Roman" w:hAnsi="Times New Roman" w:cs="Times New Roman"/>
          <w:sz w:val="28"/>
          <w:szCs w:val="28"/>
        </w:rPr>
        <w:lastRenderedPageBreak/>
        <w:t xml:space="preserve">extremely fierce blaze swept after petrol tanker accident in </w:t>
      </w:r>
      <w:proofErr w:type="spellStart"/>
      <w:r w:rsidRPr="004E33BE">
        <w:rPr>
          <w:rFonts w:ascii="Times New Roman" w:hAnsi="Times New Roman" w:cs="Times New Roman"/>
          <w:sz w:val="28"/>
          <w:szCs w:val="28"/>
        </w:rPr>
        <w:t>Binh</w:t>
      </w:r>
      <w:proofErr w:type="spellEnd"/>
      <w:r w:rsidRPr="004E33BE">
        <w:rPr>
          <w:rFonts w:ascii="Times New Roman" w:hAnsi="Times New Roman" w:cs="Times New Roman"/>
          <w:sz w:val="28"/>
          <w:szCs w:val="28"/>
        </w:rPr>
        <w:t xml:space="preserve"> </w:t>
      </w:r>
      <w:proofErr w:type="spellStart"/>
      <w:r w:rsidRPr="004E33BE">
        <w:rPr>
          <w:rFonts w:ascii="Times New Roman" w:hAnsi="Times New Roman" w:cs="Times New Roman"/>
          <w:sz w:val="28"/>
          <w:szCs w:val="28"/>
        </w:rPr>
        <w:t>Phuoc</w:t>
      </w:r>
      <w:proofErr w:type="spellEnd"/>
      <w:r w:rsidRPr="004E33BE">
        <w:rPr>
          <w:rFonts w:ascii="Times New Roman" w:hAnsi="Times New Roman" w:cs="Times New Roman"/>
          <w:sz w:val="28"/>
          <w:szCs w:val="28"/>
        </w:rPr>
        <w:t xml:space="preserve"> province, caused 6 deaths and many houses were burnt to the ground./.</w:t>
      </w:r>
    </w:p>
    <w:p w:rsidR="003A35EA" w:rsidRPr="004E33BE" w:rsidRDefault="00B436E7" w:rsidP="00B436E7">
      <w:pPr>
        <w:pStyle w:val="NormalWeb"/>
        <w:shd w:val="clear" w:color="auto" w:fill="FFFFFF"/>
        <w:spacing w:before="40" w:beforeAutospacing="0" w:after="40" w:afterAutospacing="0" w:line="271" w:lineRule="auto"/>
        <w:ind w:firstLine="567"/>
        <w:jc w:val="center"/>
        <w:rPr>
          <w:b/>
          <w:bCs/>
          <w:sz w:val="28"/>
          <w:szCs w:val="28"/>
        </w:rPr>
      </w:pPr>
      <w:r w:rsidRPr="004E33BE">
        <w:rPr>
          <w:sz w:val="28"/>
          <w:szCs w:val="28"/>
        </w:rPr>
        <w:t xml:space="preserve">                                                                                                                                                                                                                             </w:t>
      </w:r>
      <w:r w:rsidRPr="004E33BE">
        <w:rPr>
          <w:b/>
          <w:bCs/>
          <w:sz w:val="28"/>
          <w:szCs w:val="28"/>
        </w:rPr>
        <w:t>DIRECTOR GENERAL</w:t>
      </w:r>
    </w:p>
    <w:p w:rsidR="00A14625" w:rsidRPr="004E33BE" w:rsidRDefault="00A14625" w:rsidP="00575A5A">
      <w:pPr>
        <w:spacing w:before="40" w:after="40" w:line="288" w:lineRule="auto"/>
        <w:ind w:firstLine="4770"/>
        <w:jc w:val="center"/>
        <w:rPr>
          <w:b/>
          <w:bCs/>
        </w:rPr>
      </w:pPr>
    </w:p>
    <w:p w:rsidR="00B436E7" w:rsidRPr="004E33BE" w:rsidRDefault="00B436E7" w:rsidP="00575A5A">
      <w:pPr>
        <w:spacing w:before="40" w:after="40" w:line="288" w:lineRule="auto"/>
        <w:ind w:firstLine="4770"/>
        <w:jc w:val="center"/>
        <w:rPr>
          <w:b/>
          <w:bCs/>
        </w:rPr>
      </w:pPr>
    </w:p>
    <w:p w:rsidR="00B436E7" w:rsidRPr="004E33BE" w:rsidRDefault="00B436E7" w:rsidP="00575A5A">
      <w:pPr>
        <w:spacing w:before="40" w:after="40" w:line="288" w:lineRule="auto"/>
        <w:ind w:firstLine="4770"/>
        <w:jc w:val="center"/>
        <w:rPr>
          <w:b/>
          <w:bCs/>
        </w:rPr>
      </w:pPr>
    </w:p>
    <w:p w:rsidR="00591556" w:rsidRPr="004E33BE" w:rsidRDefault="00834F0D" w:rsidP="00575A5A">
      <w:pPr>
        <w:spacing w:before="40" w:after="40" w:line="288" w:lineRule="auto"/>
        <w:ind w:firstLine="4770"/>
        <w:jc w:val="center"/>
        <w:rPr>
          <w:b/>
          <w:bCs/>
        </w:rPr>
      </w:pPr>
      <w:r w:rsidRPr="004E33BE">
        <w:rPr>
          <w:b/>
          <w:bCs/>
        </w:rPr>
        <w:t xml:space="preserve">Nguyễn Bích </w:t>
      </w:r>
      <w:proofErr w:type="spellStart"/>
      <w:r w:rsidRPr="004E33BE">
        <w:rPr>
          <w:b/>
          <w:bCs/>
        </w:rPr>
        <w:t>Lâm</w:t>
      </w:r>
      <w:proofErr w:type="spellEnd"/>
    </w:p>
    <w:sectPr w:rsidR="00591556" w:rsidRPr="004E33BE" w:rsidSect="001229F8">
      <w:headerReference w:type="default" r:id="rId8"/>
      <w:pgSz w:w="11907" w:h="16840" w:code="9"/>
      <w:pgMar w:top="1077" w:right="1134" w:bottom="1134" w:left="1797" w:header="505" w:footer="567"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7AA" w:rsidRDefault="003A47AA" w:rsidP="001A07A9">
      <w:r>
        <w:separator/>
      </w:r>
    </w:p>
  </w:endnote>
  <w:endnote w:type="continuationSeparator" w:id="0">
    <w:p w:rsidR="003A47AA" w:rsidRDefault="003A47AA" w:rsidP="001A0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7AA" w:rsidRDefault="003A47AA" w:rsidP="001A07A9">
      <w:r>
        <w:separator/>
      </w:r>
    </w:p>
  </w:footnote>
  <w:footnote w:type="continuationSeparator" w:id="0">
    <w:p w:rsidR="003A47AA" w:rsidRDefault="003A47AA" w:rsidP="001A07A9">
      <w:r>
        <w:continuationSeparator/>
      </w:r>
    </w:p>
  </w:footnote>
  <w:footnote w:id="1">
    <w:p w:rsidR="00E716FF" w:rsidRPr="009D7EFD" w:rsidRDefault="00E716FF" w:rsidP="00E716FF">
      <w:pPr>
        <w:pStyle w:val="FootnoteText"/>
        <w:spacing w:before="40"/>
        <w:ind w:left="142" w:hanging="142"/>
        <w:jc w:val="both"/>
        <w:rPr>
          <w:lang w:val="en-GB"/>
        </w:rPr>
      </w:pPr>
      <w:r w:rsidRPr="009D7EFD">
        <w:rPr>
          <w:rStyle w:val="FootnoteReference"/>
        </w:rPr>
        <w:footnoteRef/>
      </w:r>
      <w:r w:rsidRPr="009D7EFD">
        <w:t xml:space="preserve"> </w:t>
      </w:r>
      <w:r>
        <w:t xml:space="preserve">Farming area of winter paddy of in the country in 2018 was estimated at </w:t>
      </w:r>
      <w:r w:rsidRPr="00E616F3">
        <w:rPr>
          <w:lang w:val="pt-BR"/>
        </w:rPr>
        <w:t xml:space="preserve">1.683,3 </w:t>
      </w:r>
      <w:r>
        <w:rPr>
          <w:lang w:val="pt-BR"/>
        </w:rPr>
        <w:t>thounsand hectoares</w:t>
      </w:r>
      <w:r w:rsidRPr="00E616F3">
        <w:rPr>
          <w:lang w:val="pt-BR"/>
        </w:rPr>
        <w:t>,</w:t>
      </w:r>
      <w:r>
        <w:rPr>
          <w:lang w:val="pt-BR"/>
        </w:rPr>
        <w:t xml:space="preserve">decreased by </w:t>
      </w:r>
      <w:r w:rsidRPr="00E616F3">
        <w:rPr>
          <w:lang w:val="pt-BR"/>
        </w:rPr>
        <w:t>28,1</w:t>
      </w:r>
      <w:r>
        <w:rPr>
          <w:lang w:val="pt-BR"/>
        </w:rPr>
        <w:t xml:space="preserve"> thounsand hectares compared with that over the previous year, of which northern provincies reached </w:t>
      </w:r>
      <w:r w:rsidRPr="00E616F3">
        <w:rPr>
          <w:lang w:val="pt-BR"/>
        </w:rPr>
        <w:t>1.104,2</w:t>
      </w:r>
      <w:r>
        <w:rPr>
          <w:lang w:val="pt-BR"/>
        </w:rPr>
        <w:t xml:space="preserve"> thounsand hectares</w:t>
      </w:r>
      <w:r w:rsidRPr="00E616F3">
        <w:rPr>
          <w:lang w:val="pt-BR"/>
        </w:rPr>
        <w:t>,</w:t>
      </w:r>
      <w:r>
        <w:rPr>
          <w:lang w:val="pt-BR"/>
        </w:rPr>
        <w:t xml:space="preserve"> decreased by </w:t>
      </w:r>
      <w:r w:rsidRPr="00E616F3">
        <w:rPr>
          <w:lang w:val="pt-BR"/>
        </w:rPr>
        <w:t xml:space="preserve">29,8 </w:t>
      </w:r>
      <w:r>
        <w:rPr>
          <w:lang w:val="pt-BR"/>
        </w:rPr>
        <w:t xml:space="preserve">thounsand hectares; southern provinces reached </w:t>
      </w:r>
      <w:r w:rsidRPr="00E616F3">
        <w:rPr>
          <w:lang w:val="pt-BR"/>
        </w:rPr>
        <w:t xml:space="preserve">579,1 </w:t>
      </w:r>
      <w:r>
        <w:rPr>
          <w:lang w:val="pt-BR"/>
        </w:rPr>
        <w:t>thounsand hectares</w:t>
      </w:r>
      <w:r w:rsidRPr="00E616F3">
        <w:rPr>
          <w:lang w:val="pt-BR"/>
        </w:rPr>
        <w:t>,</w:t>
      </w:r>
      <w:r>
        <w:rPr>
          <w:lang w:val="pt-BR"/>
        </w:rPr>
        <w:t xml:space="preserve"> increased by </w:t>
      </w:r>
      <w:r w:rsidRPr="00E616F3">
        <w:rPr>
          <w:lang w:val="pt-BR"/>
        </w:rPr>
        <w:t>1,7</w:t>
      </w:r>
      <w:r>
        <w:rPr>
          <w:lang w:val="pt-BR"/>
        </w:rPr>
        <w:t xml:space="preserve"> thounsand hectares.</w:t>
      </w:r>
    </w:p>
  </w:footnote>
  <w:footnote w:id="2">
    <w:p w:rsidR="00E716FF" w:rsidRDefault="00E716FF" w:rsidP="00E716FF">
      <w:pPr>
        <w:pStyle w:val="FootnoteText"/>
      </w:pPr>
      <w:r>
        <w:rPr>
          <w:rStyle w:val="FootnoteReference"/>
        </w:rPr>
        <w:footnoteRef/>
      </w:r>
      <w:r>
        <w:t xml:space="preserve"> In November 2017, mining and quarrying decreased by 6.2%; manufacturing increased by 13.8%; electricity production and distribution rose 9%; water supply, waste and sewerage remediation went up 7% year-on-year.</w:t>
      </w:r>
    </w:p>
  </w:footnote>
  <w:footnote w:id="3">
    <w:p w:rsidR="00E716FF" w:rsidRDefault="00E716FF" w:rsidP="00E716FF">
      <w:pPr>
        <w:pStyle w:val="FootnoteText"/>
      </w:pPr>
      <w:r>
        <w:rPr>
          <w:rStyle w:val="FootnoteReference"/>
        </w:rPr>
        <w:footnoteRef/>
      </w:r>
      <w:r>
        <w:t xml:space="preserve"> Because some enterprises in the manufacturing of electronic parts and children toys faced difficulties in contract, resulting in the sharp fall in employee year-on-year</w:t>
      </w:r>
    </w:p>
  </w:footnote>
  <w:footnote w:id="4">
    <w:p w:rsidR="00E716FF" w:rsidRPr="00C05351" w:rsidRDefault="00E716FF" w:rsidP="00E716FF">
      <w:pPr>
        <w:pStyle w:val="HTMLPreformatted"/>
        <w:jc w:val="both"/>
        <w:rPr>
          <w:color w:val="000000" w:themeColor="text1"/>
        </w:rPr>
      </w:pPr>
      <w:r w:rsidRPr="00C05351">
        <w:rPr>
          <w:rStyle w:val="FootnoteReference"/>
          <w:color w:val="000000" w:themeColor="text1"/>
        </w:rPr>
        <w:footnoteRef/>
      </w:r>
      <w:r w:rsidRPr="00C05351">
        <w:rPr>
          <w:color w:val="000000" w:themeColor="text1"/>
        </w:rPr>
        <w:t xml:space="preserve"> </w:t>
      </w:r>
      <w:r w:rsidRPr="00C05351">
        <w:rPr>
          <w:rFonts w:ascii="Times New Roman" w:hAnsi="Times New Roman" w:cs="Times New Roman"/>
          <w:color w:val="000000" w:themeColor="text1"/>
        </w:rPr>
        <w:t>Source: National business registration information system, Business Registration Management Agency, Ministry of Planning and Investment.</w:t>
      </w:r>
    </w:p>
  </w:footnote>
  <w:footnote w:id="5">
    <w:p w:rsidR="00E716FF" w:rsidRPr="00C05351" w:rsidRDefault="00E716FF" w:rsidP="00E716FF">
      <w:pPr>
        <w:pStyle w:val="FootnoteText"/>
        <w:jc w:val="both"/>
        <w:rPr>
          <w:color w:val="000000" w:themeColor="text1"/>
        </w:rPr>
      </w:pPr>
      <w:r w:rsidRPr="00C05351">
        <w:rPr>
          <w:rStyle w:val="FootnoteReference"/>
          <w:color w:val="000000" w:themeColor="text1"/>
        </w:rPr>
        <w:footnoteRef/>
      </w:r>
      <w:r w:rsidRPr="00C05351">
        <w:rPr>
          <w:color w:val="000000" w:themeColor="text1"/>
        </w:rPr>
        <w:t xml:space="preserve"> Compared to the same period last year, the number of enterprises increased by 6.5%; the registered capital increased by 7.7%.</w:t>
      </w:r>
    </w:p>
  </w:footnote>
  <w:footnote w:id="6">
    <w:p w:rsidR="00E716FF" w:rsidRPr="00C05351" w:rsidRDefault="00E716FF" w:rsidP="00E716FF">
      <w:pPr>
        <w:pStyle w:val="HTMLPreformatted"/>
        <w:jc w:val="both"/>
        <w:rPr>
          <w:rFonts w:ascii="Times New Roman" w:hAnsi="Times New Roman" w:cs="Times New Roman"/>
          <w:color w:val="000000" w:themeColor="text1"/>
        </w:rPr>
      </w:pPr>
      <w:r w:rsidRPr="00C05351">
        <w:rPr>
          <w:rStyle w:val="FootnoteReference"/>
          <w:color w:val="000000" w:themeColor="text1"/>
        </w:rPr>
        <w:footnoteRef/>
      </w:r>
      <w:r w:rsidRPr="00C05351">
        <w:rPr>
          <w:color w:val="000000" w:themeColor="text1"/>
        </w:rPr>
        <w:t xml:space="preserve"> </w:t>
      </w:r>
      <w:r w:rsidRPr="00C05351">
        <w:rPr>
          <w:rFonts w:ascii="Times New Roman" w:hAnsi="Times New Roman" w:cs="Times New Roman"/>
          <w:color w:val="000000" w:themeColor="text1"/>
        </w:rPr>
        <w:t>In 11 months of 2017, the number of newly registered enterprises increased by 14.1% over the same period last year; the registered capital rose by 41.9%; the average registered capital of an enterprise increased by 24.3%.</w:t>
      </w:r>
    </w:p>
    <w:p w:rsidR="00E716FF" w:rsidRPr="00C05351" w:rsidRDefault="00E716FF" w:rsidP="00E716FF">
      <w:pPr>
        <w:pStyle w:val="FootnoteText"/>
        <w:rPr>
          <w:color w:val="000000" w:themeColor="text1"/>
        </w:rPr>
      </w:pPr>
    </w:p>
  </w:footnote>
  <w:footnote w:id="7">
    <w:p w:rsidR="00E716FF" w:rsidRPr="00C05351" w:rsidRDefault="00E716FF" w:rsidP="00E716FF">
      <w:pPr>
        <w:pStyle w:val="HTMLPreformatted"/>
        <w:jc w:val="both"/>
        <w:rPr>
          <w:color w:val="000000" w:themeColor="text1"/>
        </w:rPr>
      </w:pPr>
      <w:r w:rsidRPr="00C05351">
        <w:rPr>
          <w:rStyle w:val="FootnoteReference"/>
          <w:color w:val="000000" w:themeColor="text1"/>
        </w:rPr>
        <w:footnoteRef/>
      </w:r>
      <w:r w:rsidRPr="00C05351">
        <w:rPr>
          <w:color w:val="000000" w:themeColor="text1"/>
        </w:rPr>
        <w:t xml:space="preserve"> </w:t>
      </w:r>
      <w:r w:rsidRPr="00C05351">
        <w:rPr>
          <w:rFonts w:ascii="Times New Roman" w:hAnsi="Times New Roman" w:cs="Times New Roman"/>
          <w:color w:val="000000" w:themeColor="text1"/>
        </w:rPr>
        <w:t xml:space="preserve">The number of enterprises </w:t>
      </w:r>
      <w:r w:rsidRPr="00C05351">
        <w:rPr>
          <w:rFonts w:ascii="Times New Roman" w:hAnsi="Times New Roman"/>
          <w:color w:val="000000" w:themeColor="text1"/>
          <w:spacing w:val="2"/>
        </w:rPr>
        <w:t>temporarily ceased without registration or awaited dissolution grew up, because for</w:t>
      </w:r>
      <w:r w:rsidRPr="00C05351">
        <w:rPr>
          <w:rFonts w:ascii="Times New Roman" w:hAnsi="Times New Roman" w:cs="Times New Roman"/>
          <w:color w:val="000000" w:themeColor="text1"/>
        </w:rPr>
        <w:t xml:space="preserve"> 11 months of this year, the business registration offices in the whole country had been reviewing and standardizing data and eliminating enterprises still inactive for a long time.</w:t>
      </w:r>
    </w:p>
  </w:footnote>
  <w:footnote w:id="8">
    <w:p w:rsidR="003918DF" w:rsidRPr="006F0550" w:rsidRDefault="003918DF" w:rsidP="003918DF">
      <w:pPr>
        <w:pStyle w:val="FootnoteText"/>
      </w:pPr>
      <w:r>
        <w:rPr>
          <w:rStyle w:val="FootnoteReference"/>
        </w:rPr>
        <w:footnoteRef/>
      </w:r>
      <w:r>
        <w:t xml:space="preserve"> </w:t>
      </w:r>
      <w:r>
        <w:rPr>
          <w:color w:val="000000"/>
          <w:spacing w:val="-2"/>
        </w:rPr>
        <w:t>T</w:t>
      </w:r>
      <w:r w:rsidRPr="006F0550">
        <w:rPr>
          <w:color w:val="000000"/>
          <w:spacing w:val="-2"/>
        </w:rPr>
        <w:t>he trade</w:t>
      </w:r>
      <w:r w:rsidRPr="006F0550">
        <w:rPr>
          <w:color w:val="000000"/>
        </w:rPr>
        <w:t> </w:t>
      </w:r>
      <w:r w:rsidRPr="006F0550">
        <w:rPr>
          <w:color w:val="000000"/>
          <w:spacing w:val="-2"/>
        </w:rPr>
        <w:t>surplus</w:t>
      </w:r>
      <w:r w:rsidRPr="006F0550">
        <w:rPr>
          <w:color w:val="000000"/>
        </w:rPr>
        <w:t> </w:t>
      </w:r>
      <w:r w:rsidRPr="006F0550">
        <w:rPr>
          <w:color w:val="000000"/>
          <w:spacing w:val="-2"/>
        </w:rPr>
        <w:t>in</w:t>
      </w:r>
      <w:r w:rsidRPr="006F0550">
        <w:rPr>
          <w:color w:val="000000"/>
        </w:rPr>
        <w:t> </w:t>
      </w:r>
      <w:r w:rsidRPr="006F0550">
        <w:rPr>
          <w:color w:val="000000"/>
          <w:spacing w:val="-2"/>
        </w:rPr>
        <w:t xml:space="preserve">October </w:t>
      </w:r>
      <w:r>
        <w:rPr>
          <w:color w:val="000000"/>
          <w:spacing w:val="-2"/>
        </w:rPr>
        <w:t>was estimated at</w:t>
      </w:r>
      <w:r w:rsidRPr="006F0550">
        <w:rPr>
          <w:color w:val="000000"/>
        </w:rPr>
        <w:t> </w:t>
      </w:r>
      <w:r w:rsidRPr="006F0550">
        <w:rPr>
          <w:color w:val="000000"/>
          <w:spacing w:val="-2"/>
        </w:rPr>
        <w:t>100 million USD.</w:t>
      </w:r>
    </w:p>
  </w:footnote>
  <w:footnote w:id="9">
    <w:p w:rsidR="003918DF" w:rsidRDefault="003918DF" w:rsidP="003918DF">
      <w:pPr>
        <w:pStyle w:val="FootnoteText"/>
        <w:jc w:val="both"/>
      </w:pPr>
      <w:r>
        <w:rPr>
          <w:rStyle w:val="FootnoteReference"/>
        </w:rPr>
        <w:footnoteRef/>
      </w:r>
      <w:r>
        <w:t xml:space="preserve"> </w:t>
      </w:r>
      <w:r w:rsidRPr="006F0550">
        <w:rPr>
          <w:rStyle w:val="notranslate"/>
          <w:color w:val="000000"/>
          <w:spacing w:val="-2"/>
        </w:rPr>
        <w:t>Of which</w:t>
      </w:r>
      <w:r>
        <w:rPr>
          <w:rStyle w:val="notranslate"/>
          <w:color w:val="000000"/>
          <w:spacing w:val="-2"/>
        </w:rPr>
        <w:t>:</w:t>
      </w:r>
      <w:r w:rsidRPr="006F0550">
        <w:rPr>
          <w:rStyle w:val="notranslate"/>
          <w:color w:val="000000"/>
          <w:spacing w:val="-2"/>
        </w:rPr>
        <w:t xml:space="preserve"> </w:t>
      </w:r>
      <w:r>
        <w:rPr>
          <w:rStyle w:val="notranslate"/>
          <w:color w:val="000000"/>
          <w:spacing w:val="-2"/>
        </w:rPr>
        <w:t>T</w:t>
      </w:r>
      <w:r w:rsidRPr="006F0550">
        <w:rPr>
          <w:rStyle w:val="notranslate"/>
          <w:color w:val="000000"/>
          <w:spacing w:val="-2"/>
        </w:rPr>
        <w:t xml:space="preserve">rade deficit </w:t>
      </w:r>
      <w:r>
        <w:rPr>
          <w:rStyle w:val="notranslate"/>
          <w:color w:val="000000"/>
          <w:spacing w:val="-2"/>
        </w:rPr>
        <w:t>from</w:t>
      </w:r>
      <w:r w:rsidRPr="006F0550">
        <w:rPr>
          <w:rStyle w:val="notranslate"/>
          <w:color w:val="000000"/>
          <w:spacing w:val="-2"/>
        </w:rPr>
        <w:t xml:space="preserve"> South Korea </w:t>
      </w:r>
      <w:r>
        <w:rPr>
          <w:rStyle w:val="notranslate"/>
          <w:color w:val="000000"/>
          <w:spacing w:val="-2"/>
        </w:rPr>
        <w:t>reached 2</w:t>
      </w:r>
      <w:r w:rsidRPr="006F0550">
        <w:rPr>
          <w:rStyle w:val="notranslate"/>
          <w:color w:val="000000"/>
          <w:spacing w:val="-2"/>
        </w:rPr>
        <w:t>6,6</w:t>
      </w:r>
      <w:r w:rsidRPr="006F0550">
        <w:rPr>
          <w:rStyle w:val="notranslate"/>
          <w:color w:val="000000"/>
        </w:rPr>
        <w:t> </w:t>
      </w:r>
      <w:r w:rsidRPr="006F0550">
        <w:rPr>
          <w:rStyle w:val="notranslate"/>
          <w:color w:val="000000"/>
          <w:spacing w:val="-2"/>
        </w:rPr>
        <w:t>billion</w:t>
      </w:r>
      <w:r>
        <w:rPr>
          <w:rStyle w:val="notranslate"/>
          <w:color w:val="000000"/>
          <w:spacing w:val="-2"/>
        </w:rPr>
        <w:t xml:space="preserve"> USD</w:t>
      </w:r>
      <w:r w:rsidRPr="00F47E26">
        <w:rPr>
          <w:rStyle w:val="notranslate"/>
          <w:color w:val="000000"/>
          <w:spacing w:val="-2"/>
        </w:rPr>
        <w:t xml:space="preserve"> </w:t>
      </w:r>
      <w:r>
        <w:rPr>
          <w:rStyle w:val="notranslate"/>
          <w:color w:val="000000"/>
          <w:spacing w:val="-2"/>
        </w:rPr>
        <w:t xml:space="preserve">for </w:t>
      </w:r>
      <w:r w:rsidRPr="006F0550">
        <w:rPr>
          <w:rStyle w:val="notranslate"/>
          <w:color w:val="000000"/>
          <w:spacing w:val="-2"/>
        </w:rPr>
        <w:t>11</w:t>
      </w:r>
      <w:r w:rsidRPr="006F0550">
        <w:rPr>
          <w:rStyle w:val="notranslate"/>
          <w:color w:val="000000"/>
        </w:rPr>
        <w:t> </w:t>
      </w:r>
      <w:r w:rsidRPr="006F0550">
        <w:rPr>
          <w:rStyle w:val="notranslate"/>
          <w:color w:val="000000"/>
          <w:spacing w:val="-2"/>
        </w:rPr>
        <w:t>month</w:t>
      </w:r>
      <w:r>
        <w:rPr>
          <w:rStyle w:val="notranslate"/>
          <w:color w:val="000000"/>
          <w:spacing w:val="-2"/>
        </w:rPr>
        <w:t>s</w:t>
      </w:r>
      <w:r w:rsidRPr="006F0550">
        <w:rPr>
          <w:rStyle w:val="notranslate"/>
          <w:color w:val="000000"/>
          <w:spacing w:val="-2"/>
        </w:rPr>
        <w:t xml:space="preserve">, </w:t>
      </w:r>
      <w:r>
        <w:rPr>
          <w:rStyle w:val="notranslate"/>
          <w:color w:val="000000"/>
          <w:spacing w:val="-2"/>
        </w:rPr>
        <w:t xml:space="preserve">going </w:t>
      </w:r>
      <w:r w:rsidRPr="006F0550">
        <w:rPr>
          <w:rStyle w:val="notranslate"/>
          <w:color w:val="000000"/>
          <w:spacing w:val="-2"/>
        </w:rPr>
        <w:t>down</w:t>
      </w:r>
      <w:r w:rsidRPr="006F0550">
        <w:rPr>
          <w:rStyle w:val="notranslate"/>
          <w:color w:val="000000"/>
        </w:rPr>
        <w:t> </w:t>
      </w:r>
      <w:r>
        <w:rPr>
          <w:rStyle w:val="notranslate"/>
          <w:color w:val="000000"/>
        </w:rPr>
        <w:t xml:space="preserve">by </w:t>
      </w:r>
      <w:r w:rsidRPr="006F0550">
        <w:rPr>
          <w:rStyle w:val="notranslate"/>
          <w:color w:val="000000"/>
          <w:spacing w:val="-2"/>
        </w:rPr>
        <w:t>8,</w:t>
      </w:r>
      <w:r w:rsidRPr="006F0550">
        <w:rPr>
          <w:rStyle w:val="notranslate"/>
          <w:color w:val="000000"/>
        </w:rPr>
        <w:t> </w:t>
      </w:r>
      <w:r w:rsidRPr="006F0550">
        <w:rPr>
          <w:rStyle w:val="notranslate"/>
          <w:color w:val="000000"/>
          <w:spacing w:val="-2"/>
        </w:rPr>
        <w:t>9% compared to the same period last year;</w:t>
      </w:r>
      <w:r w:rsidRPr="006F0550">
        <w:rPr>
          <w:color w:val="000000"/>
        </w:rPr>
        <w:t> </w:t>
      </w:r>
      <w:r w:rsidRPr="006F0550">
        <w:rPr>
          <w:rStyle w:val="notranslate"/>
          <w:color w:val="000000"/>
          <w:spacing w:val="-2"/>
        </w:rPr>
        <w:t xml:space="preserve">trade deficit </w:t>
      </w:r>
      <w:r>
        <w:rPr>
          <w:rStyle w:val="notranslate"/>
          <w:color w:val="000000"/>
          <w:spacing w:val="-2"/>
        </w:rPr>
        <w:t xml:space="preserve">from </w:t>
      </w:r>
      <w:r w:rsidRPr="006F0550">
        <w:rPr>
          <w:rStyle w:val="notranslate"/>
          <w:color w:val="000000"/>
          <w:spacing w:val="-2"/>
        </w:rPr>
        <w:t>China</w:t>
      </w:r>
      <w:r>
        <w:rPr>
          <w:rStyle w:val="notranslate"/>
          <w:color w:val="000000"/>
          <w:spacing w:val="-2"/>
        </w:rPr>
        <w:t xml:space="preserve"> gained </w:t>
      </w:r>
      <w:r w:rsidRPr="006F0550">
        <w:rPr>
          <w:rStyle w:val="notranslate"/>
          <w:color w:val="000000"/>
          <w:spacing w:val="-2"/>
        </w:rPr>
        <w:t>21,6</w:t>
      </w:r>
      <w:r w:rsidRPr="006F0550">
        <w:rPr>
          <w:rStyle w:val="notranslate"/>
          <w:color w:val="000000"/>
        </w:rPr>
        <w:t> </w:t>
      </w:r>
      <w:r w:rsidRPr="006F0550">
        <w:rPr>
          <w:rStyle w:val="notranslate"/>
          <w:color w:val="000000"/>
          <w:spacing w:val="-2"/>
        </w:rPr>
        <w:t>billion</w:t>
      </w:r>
      <w:r>
        <w:rPr>
          <w:rStyle w:val="notranslate"/>
          <w:color w:val="000000"/>
          <w:spacing w:val="-2"/>
        </w:rPr>
        <w:t xml:space="preserve"> USD</w:t>
      </w:r>
      <w:r w:rsidRPr="006F0550">
        <w:rPr>
          <w:rStyle w:val="notranslate"/>
          <w:color w:val="000000"/>
          <w:spacing w:val="-2"/>
        </w:rPr>
        <w:t>,</w:t>
      </w:r>
      <w:r w:rsidRPr="006F0550">
        <w:rPr>
          <w:rStyle w:val="notranslate"/>
          <w:color w:val="000000"/>
        </w:rPr>
        <w:t> </w:t>
      </w:r>
      <w:r>
        <w:rPr>
          <w:rStyle w:val="notranslate"/>
          <w:color w:val="000000"/>
        </w:rPr>
        <w:t>declining by</w:t>
      </w:r>
      <w:r w:rsidRPr="006F0550">
        <w:rPr>
          <w:color w:val="000000"/>
        </w:rPr>
        <w:t> </w:t>
      </w:r>
      <w:r w:rsidRPr="006F0550">
        <w:rPr>
          <w:rStyle w:val="notranslate"/>
          <w:color w:val="000000"/>
          <w:spacing w:val="-2"/>
        </w:rPr>
        <w:t>1,5</w:t>
      </w:r>
      <w:r>
        <w:rPr>
          <w:rStyle w:val="notranslate"/>
          <w:color w:val="000000"/>
        </w:rPr>
        <w:t xml:space="preserve"> </w:t>
      </w:r>
      <w:r w:rsidRPr="006F0550">
        <w:rPr>
          <w:rStyle w:val="notranslate"/>
          <w:color w:val="000000"/>
          <w:spacing w:val="-2"/>
        </w:rPr>
        <w:t>%;</w:t>
      </w:r>
      <w:r w:rsidRPr="006F0550">
        <w:rPr>
          <w:color w:val="000000"/>
        </w:rPr>
        <w:t> </w:t>
      </w:r>
      <w:r w:rsidRPr="006F0550">
        <w:rPr>
          <w:rStyle w:val="notranslate"/>
          <w:color w:val="000000"/>
          <w:spacing w:val="-2"/>
        </w:rPr>
        <w:t xml:space="preserve">trade deficit </w:t>
      </w:r>
      <w:r>
        <w:rPr>
          <w:rStyle w:val="notranslate"/>
          <w:color w:val="000000"/>
          <w:spacing w:val="-2"/>
        </w:rPr>
        <w:t xml:space="preserve">from </w:t>
      </w:r>
      <w:r w:rsidRPr="006F0550">
        <w:rPr>
          <w:rStyle w:val="notranslate"/>
          <w:color w:val="000000"/>
          <w:spacing w:val="-2"/>
        </w:rPr>
        <w:t xml:space="preserve">ASEAN </w:t>
      </w:r>
      <w:r>
        <w:rPr>
          <w:rStyle w:val="notranslate"/>
          <w:color w:val="000000"/>
          <w:spacing w:val="-2"/>
        </w:rPr>
        <w:t>attained</w:t>
      </w:r>
      <w:r>
        <w:rPr>
          <w:rStyle w:val="notranslate"/>
          <w:color w:val="000000"/>
        </w:rPr>
        <w:t xml:space="preserve"> </w:t>
      </w:r>
      <w:r w:rsidRPr="006F0550">
        <w:rPr>
          <w:rStyle w:val="notranslate"/>
          <w:color w:val="000000"/>
          <w:spacing w:val="-2"/>
        </w:rPr>
        <w:t>6,3</w:t>
      </w:r>
      <w:r w:rsidRPr="006F0550">
        <w:rPr>
          <w:rStyle w:val="notranslate"/>
          <w:color w:val="000000"/>
        </w:rPr>
        <w:t> </w:t>
      </w:r>
      <w:r w:rsidRPr="006F0550">
        <w:rPr>
          <w:rStyle w:val="notranslate"/>
          <w:color w:val="000000"/>
          <w:spacing w:val="-2"/>
        </w:rPr>
        <w:t xml:space="preserve">billion USD, </w:t>
      </w:r>
      <w:r>
        <w:rPr>
          <w:rStyle w:val="notranslate"/>
          <w:color w:val="000000"/>
          <w:spacing w:val="-2"/>
        </w:rPr>
        <w:t>increasing by</w:t>
      </w:r>
      <w:r w:rsidRPr="006F0550">
        <w:rPr>
          <w:rStyle w:val="notranslate"/>
          <w:color w:val="000000"/>
        </w:rPr>
        <w:t> </w:t>
      </w:r>
      <w:r w:rsidRPr="006F0550">
        <w:rPr>
          <w:rStyle w:val="notranslate"/>
          <w:color w:val="000000"/>
          <w:spacing w:val="-2"/>
        </w:rPr>
        <w:t>11,7</w:t>
      </w:r>
      <w:r w:rsidRPr="006F0550">
        <w:rPr>
          <w:rStyle w:val="notranslate"/>
          <w:color w:val="000000"/>
        </w:rPr>
        <w:t> </w:t>
      </w:r>
      <w:r w:rsidRPr="006F0550">
        <w:rPr>
          <w:rStyle w:val="notranslate"/>
          <w:color w:val="000000"/>
          <w:spacing w:val="-2"/>
        </w:rPr>
        <w:t>%;</w:t>
      </w:r>
      <w:r>
        <w:rPr>
          <w:rStyle w:val="notranslate"/>
          <w:color w:val="000000"/>
          <w:spacing w:val="-2"/>
        </w:rPr>
        <w:t xml:space="preserve"> trade surplus to the United States achieved</w:t>
      </w:r>
      <w:r w:rsidRPr="006F0550">
        <w:rPr>
          <w:rStyle w:val="notranslate"/>
          <w:color w:val="000000"/>
        </w:rPr>
        <w:t> </w:t>
      </w:r>
      <w:r w:rsidRPr="006F0550">
        <w:rPr>
          <w:rStyle w:val="notranslate"/>
          <w:color w:val="000000"/>
          <w:spacing w:val="-2"/>
        </w:rPr>
        <w:t>31.9</w:t>
      </w:r>
      <w:r w:rsidRPr="006F0550">
        <w:rPr>
          <w:rStyle w:val="notranslate"/>
          <w:color w:val="000000"/>
        </w:rPr>
        <w:t> </w:t>
      </w:r>
      <w:r w:rsidRPr="006F0550">
        <w:rPr>
          <w:rStyle w:val="notranslate"/>
          <w:color w:val="000000"/>
          <w:spacing w:val="-2"/>
        </w:rPr>
        <w:t>billion</w:t>
      </w:r>
      <w:r>
        <w:rPr>
          <w:rStyle w:val="notranslate"/>
          <w:color w:val="000000"/>
          <w:spacing w:val="-2"/>
        </w:rPr>
        <w:t xml:space="preserve"> USD</w:t>
      </w:r>
      <w:r w:rsidRPr="006F0550">
        <w:rPr>
          <w:rStyle w:val="notranslate"/>
          <w:color w:val="000000"/>
          <w:spacing w:val="-2"/>
        </w:rPr>
        <w:t xml:space="preserve">, </w:t>
      </w:r>
      <w:r>
        <w:rPr>
          <w:rStyle w:val="notranslate"/>
          <w:color w:val="000000"/>
          <w:spacing w:val="-2"/>
        </w:rPr>
        <w:t>rising by</w:t>
      </w:r>
      <w:r w:rsidRPr="006F0550">
        <w:rPr>
          <w:rStyle w:val="notranslate"/>
          <w:color w:val="000000"/>
        </w:rPr>
        <w:t> </w:t>
      </w:r>
      <w:r w:rsidRPr="006F0550">
        <w:rPr>
          <w:rStyle w:val="notranslate"/>
          <w:color w:val="000000"/>
          <w:spacing w:val="-2"/>
        </w:rPr>
        <w:t>8,1</w:t>
      </w:r>
      <w:r w:rsidRPr="006F0550">
        <w:rPr>
          <w:rStyle w:val="notranslate"/>
          <w:color w:val="000000"/>
        </w:rPr>
        <w:t> </w:t>
      </w:r>
      <w:r w:rsidRPr="006F0550">
        <w:rPr>
          <w:rStyle w:val="notranslate"/>
          <w:color w:val="000000"/>
          <w:spacing w:val="-2"/>
        </w:rPr>
        <w:t>%;</w:t>
      </w:r>
      <w:r w:rsidRPr="006F0550">
        <w:rPr>
          <w:color w:val="000000"/>
        </w:rPr>
        <w:t> </w:t>
      </w:r>
      <w:r w:rsidRPr="006F0550">
        <w:rPr>
          <w:rStyle w:val="notranslate"/>
          <w:color w:val="000000"/>
          <w:spacing w:val="-2"/>
        </w:rPr>
        <w:t>trade surplus</w:t>
      </w:r>
      <w:r>
        <w:rPr>
          <w:rStyle w:val="notranslate"/>
          <w:color w:val="000000"/>
          <w:spacing w:val="-2"/>
        </w:rPr>
        <w:t xml:space="preserve"> to</w:t>
      </w:r>
      <w:r w:rsidRPr="006F0550">
        <w:rPr>
          <w:rStyle w:val="notranslate"/>
          <w:color w:val="000000"/>
          <w:spacing w:val="-2"/>
        </w:rPr>
        <w:t xml:space="preserve"> EU</w:t>
      </w:r>
      <w:r>
        <w:rPr>
          <w:rStyle w:val="notranslate"/>
          <w:color w:val="000000"/>
          <w:spacing w:val="-2"/>
        </w:rPr>
        <w:t xml:space="preserve"> market reached 2</w:t>
      </w:r>
      <w:r w:rsidRPr="006F0550">
        <w:rPr>
          <w:rStyle w:val="notranslate"/>
          <w:color w:val="000000"/>
          <w:spacing w:val="-2"/>
        </w:rPr>
        <w:t>5,6</w:t>
      </w:r>
      <w:r w:rsidRPr="006F0550">
        <w:rPr>
          <w:rStyle w:val="notranslate"/>
          <w:color w:val="000000"/>
        </w:rPr>
        <w:t> </w:t>
      </w:r>
      <w:r w:rsidRPr="006F0550">
        <w:rPr>
          <w:rStyle w:val="notranslate"/>
          <w:color w:val="000000"/>
          <w:spacing w:val="-2"/>
        </w:rPr>
        <w:t xml:space="preserve">billion USD, </w:t>
      </w:r>
      <w:r>
        <w:rPr>
          <w:rStyle w:val="notranslate"/>
          <w:color w:val="000000"/>
          <w:spacing w:val="-2"/>
        </w:rPr>
        <w:t xml:space="preserve">edging </w:t>
      </w:r>
      <w:r w:rsidRPr="006F0550">
        <w:rPr>
          <w:rStyle w:val="notranslate"/>
          <w:color w:val="000000"/>
          <w:spacing w:val="-2"/>
        </w:rPr>
        <w:t>up</w:t>
      </w:r>
      <w:r w:rsidRPr="006F0550">
        <w:rPr>
          <w:rStyle w:val="notranslate"/>
          <w:color w:val="000000"/>
        </w:rPr>
        <w:t> </w:t>
      </w:r>
      <w:r>
        <w:rPr>
          <w:rStyle w:val="notranslate"/>
          <w:color w:val="000000"/>
        </w:rPr>
        <w:t xml:space="preserve">by </w:t>
      </w:r>
      <w:r w:rsidRPr="006F0550">
        <w:rPr>
          <w:rStyle w:val="notranslate"/>
          <w:color w:val="000000"/>
          <w:spacing w:val="-2"/>
        </w:rPr>
        <w:t>6,3</w:t>
      </w:r>
      <w:r w:rsidRPr="006F0550">
        <w:rPr>
          <w:rStyle w:val="notranslate"/>
          <w:color w:val="000000"/>
        </w:rPr>
        <w:t> </w:t>
      </w:r>
      <w:r w:rsidRPr="006F0550">
        <w:rPr>
          <w:rStyle w:val="notranslate"/>
          <w:color w:val="000000"/>
          <w:spacing w:val="-2"/>
        </w:rPr>
        <w:t>%.</w:t>
      </w:r>
    </w:p>
  </w:footnote>
  <w:footnote w:id="10">
    <w:p w:rsidR="003918DF" w:rsidRPr="00886ABD" w:rsidRDefault="003918DF" w:rsidP="003918DF">
      <w:pPr>
        <w:pStyle w:val="FootnoteText"/>
        <w:ind w:left="142" w:hanging="142"/>
        <w:jc w:val="both"/>
        <w:rPr>
          <w:spacing w:val="-2"/>
        </w:rPr>
      </w:pPr>
      <w:r w:rsidRPr="00886ABD">
        <w:rPr>
          <w:rStyle w:val="FootnoteReference"/>
          <w:spacing w:val="-2"/>
        </w:rPr>
        <w:footnoteRef/>
      </w:r>
      <w:r w:rsidRPr="00886ABD">
        <w:rPr>
          <w:spacing w:val="-2"/>
        </w:rPr>
        <w:t xml:space="preserve"> </w:t>
      </w:r>
      <w:r>
        <w:rPr>
          <w:spacing w:val="-2"/>
        </w:rPr>
        <w:t xml:space="preserve">Mainly because pork price decreased by </w:t>
      </w:r>
      <w:r w:rsidRPr="00F358E9">
        <w:rPr>
          <w:spacing w:val="-2"/>
        </w:rPr>
        <w:t>1.3%</w:t>
      </w:r>
      <w:r>
        <w:rPr>
          <w:spacing w:val="-2"/>
        </w:rPr>
        <w:t xml:space="preserve"> </w:t>
      </w:r>
      <w:r w:rsidRPr="00F358E9">
        <w:rPr>
          <w:spacing w:val="-2"/>
        </w:rPr>
        <w:t>(</w:t>
      </w:r>
      <w:r>
        <w:rPr>
          <w:spacing w:val="-2"/>
        </w:rPr>
        <w:t xml:space="preserve">leading to a decrease of </w:t>
      </w:r>
      <w:r w:rsidRPr="00F358E9">
        <w:rPr>
          <w:spacing w:val="-2"/>
        </w:rPr>
        <w:t>0.05%</w:t>
      </w:r>
      <w:r>
        <w:rPr>
          <w:spacing w:val="-2"/>
        </w:rPr>
        <w:t xml:space="preserve"> in </w:t>
      </w:r>
      <w:r w:rsidRPr="00F358E9">
        <w:rPr>
          <w:spacing w:val="-2"/>
        </w:rPr>
        <w:t xml:space="preserve">the overall CPI); price of processed meat decreased by 0.32%; price of raw poultry meat </w:t>
      </w:r>
      <w:r>
        <w:rPr>
          <w:spacing w:val="-2"/>
        </w:rPr>
        <w:t>fell</w:t>
      </w:r>
      <w:r w:rsidRPr="00F358E9">
        <w:rPr>
          <w:spacing w:val="-2"/>
        </w:rPr>
        <w:t xml:space="preserve"> 0.19%; prices of poultry eggs of all kinds </w:t>
      </w:r>
      <w:r>
        <w:rPr>
          <w:spacing w:val="-2"/>
        </w:rPr>
        <w:t>dropped</w:t>
      </w:r>
      <w:r w:rsidRPr="00F358E9">
        <w:rPr>
          <w:spacing w:val="-2"/>
        </w:rPr>
        <w:t xml:space="preserve"> 0.92% and </w:t>
      </w:r>
      <w:r>
        <w:rPr>
          <w:spacing w:val="-2"/>
        </w:rPr>
        <w:t xml:space="preserve">price of </w:t>
      </w:r>
      <w:r w:rsidRPr="00F358E9">
        <w:rPr>
          <w:spacing w:val="-2"/>
        </w:rPr>
        <w:t xml:space="preserve">vegetables </w:t>
      </w:r>
      <w:r>
        <w:rPr>
          <w:spacing w:val="-2"/>
        </w:rPr>
        <w:t>went down</w:t>
      </w:r>
      <w:r w:rsidRPr="00F358E9">
        <w:rPr>
          <w:spacing w:val="-2"/>
        </w:rPr>
        <w:t xml:space="preserve"> 0.68%</w:t>
      </w:r>
      <w:r>
        <w:rPr>
          <w:spacing w:val="-2"/>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1EB" w:rsidRPr="002E2E79" w:rsidRDefault="002A3740">
    <w:pPr>
      <w:pStyle w:val="Header"/>
      <w:jc w:val="center"/>
      <w:rPr>
        <w:sz w:val="24"/>
        <w:szCs w:val="24"/>
      </w:rPr>
    </w:pPr>
    <w:r w:rsidRPr="002E2E79">
      <w:rPr>
        <w:sz w:val="24"/>
        <w:szCs w:val="24"/>
      </w:rPr>
      <w:fldChar w:fldCharType="begin"/>
    </w:r>
    <w:r w:rsidR="00AD01EB" w:rsidRPr="002E2E79">
      <w:rPr>
        <w:sz w:val="24"/>
        <w:szCs w:val="24"/>
      </w:rPr>
      <w:instrText xml:space="preserve"> PAGE   \* MERGEFORMAT </w:instrText>
    </w:r>
    <w:r w:rsidRPr="002E2E79">
      <w:rPr>
        <w:sz w:val="24"/>
        <w:szCs w:val="24"/>
      </w:rPr>
      <w:fldChar w:fldCharType="separate"/>
    </w:r>
    <w:r w:rsidR="00923B85">
      <w:rPr>
        <w:noProof/>
        <w:sz w:val="24"/>
        <w:szCs w:val="24"/>
      </w:rPr>
      <w:t>2</w:t>
    </w:r>
    <w:r w:rsidRPr="002E2E79">
      <w:rPr>
        <w:sz w:val="24"/>
        <w:szCs w:val="24"/>
      </w:rPr>
      <w:fldChar w:fldCharType="end"/>
    </w:r>
  </w:p>
  <w:p w:rsidR="00AD01EB" w:rsidRDefault="00AD01E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2B5A09"/>
    <w:multiLevelType w:val="hybridMultilevel"/>
    <w:tmpl w:val="E242A0A0"/>
    <w:lvl w:ilvl="0" w:tplc="DEFAB6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6A190281"/>
    <w:multiLevelType w:val="hybridMultilevel"/>
    <w:tmpl w:val="29E6A5A4"/>
    <w:lvl w:ilvl="0" w:tplc="F4002D4C">
      <w:start w:val="3"/>
      <w:numFmt w:val="lowerLetter"/>
      <w:lvlText w:val="%1."/>
      <w:lvlJc w:val="left"/>
      <w:pPr>
        <w:ind w:left="1170" w:hanging="360"/>
      </w:pPr>
      <w:rPr>
        <w:rFonts w:cs="Times New Roman"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2">
    <w:nsid w:val="6C15253D"/>
    <w:multiLevelType w:val="hybridMultilevel"/>
    <w:tmpl w:val="31AC050A"/>
    <w:lvl w:ilvl="0" w:tplc="CBAAC4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20"/>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rsids>
    <w:rsidRoot w:val="00A76468"/>
    <w:rsid w:val="0000060A"/>
    <w:rsid w:val="0000106D"/>
    <w:rsid w:val="00001C22"/>
    <w:rsid w:val="000036C2"/>
    <w:rsid w:val="0000461D"/>
    <w:rsid w:val="00005622"/>
    <w:rsid w:val="00006170"/>
    <w:rsid w:val="0000631B"/>
    <w:rsid w:val="000071F9"/>
    <w:rsid w:val="00007C7A"/>
    <w:rsid w:val="00007EA7"/>
    <w:rsid w:val="000111B7"/>
    <w:rsid w:val="000111E1"/>
    <w:rsid w:val="00011FBD"/>
    <w:rsid w:val="00012187"/>
    <w:rsid w:val="000125BC"/>
    <w:rsid w:val="00012668"/>
    <w:rsid w:val="00012976"/>
    <w:rsid w:val="00012C2C"/>
    <w:rsid w:val="00013979"/>
    <w:rsid w:val="00013BAD"/>
    <w:rsid w:val="00013D33"/>
    <w:rsid w:val="000143C8"/>
    <w:rsid w:val="00014846"/>
    <w:rsid w:val="00014AB2"/>
    <w:rsid w:val="000154AA"/>
    <w:rsid w:val="00016203"/>
    <w:rsid w:val="0001752D"/>
    <w:rsid w:val="00020671"/>
    <w:rsid w:val="00021BC1"/>
    <w:rsid w:val="00022151"/>
    <w:rsid w:val="00022B6E"/>
    <w:rsid w:val="00023FC2"/>
    <w:rsid w:val="00024AC9"/>
    <w:rsid w:val="00025359"/>
    <w:rsid w:val="0002579C"/>
    <w:rsid w:val="000277B8"/>
    <w:rsid w:val="00030096"/>
    <w:rsid w:val="00030AF3"/>
    <w:rsid w:val="00030D8A"/>
    <w:rsid w:val="000319D7"/>
    <w:rsid w:val="0003230D"/>
    <w:rsid w:val="00032DA1"/>
    <w:rsid w:val="00033079"/>
    <w:rsid w:val="00034406"/>
    <w:rsid w:val="00036452"/>
    <w:rsid w:val="0003761E"/>
    <w:rsid w:val="00040137"/>
    <w:rsid w:val="00040B78"/>
    <w:rsid w:val="000420D5"/>
    <w:rsid w:val="00042223"/>
    <w:rsid w:val="00042EB9"/>
    <w:rsid w:val="00044A7D"/>
    <w:rsid w:val="00045745"/>
    <w:rsid w:val="00045C3C"/>
    <w:rsid w:val="000461E1"/>
    <w:rsid w:val="000463F1"/>
    <w:rsid w:val="00046995"/>
    <w:rsid w:val="00046EB2"/>
    <w:rsid w:val="00047DFA"/>
    <w:rsid w:val="000506B5"/>
    <w:rsid w:val="00050839"/>
    <w:rsid w:val="00050A08"/>
    <w:rsid w:val="00051916"/>
    <w:rsid w:val="000527B3"/>
    <w:rsid w:val="00055398"/>
    <w:rsid w:val="0005565B"/>
    <w:rsid w:val="00055C58"/>
    <w:rsid w:val="000562FA"/>
    <w:rsid w:val="00056734"/>
    <w:rsid w:val="000601AD"/>
    <w:rsid w:val="0006034C"/>
    <w:rsid w:val="00060A18"/>
    <w:rsid w:val="00060EF3"/>
    <w:rsid w:val="00061C45"/>
    <w:rsid w:val="000620BB"/>
    <w:rsid w:val="00062BEB"/>
    <w:rsid w:val="00062D3D"/>
    <w:rsid w:val="00062EB5"/>
    <w:rsid w:val="00062FE7"/>
    <w:rsid w:val="000632F4"/>
    <w:rsid w:val="00063509"/>
    <w:rsid w:val="0006483F"/>
    <w:rsid w:val="0006495B"/>
    <w:rsid w:val="0006555A"/>
    <w:rsid w:val="000658A7"/>
    <w:rsid w:val="00065CCF"/>
    <w:rsid w:val="0006703E"/>
    <w:rsid w:val="00067C01"/>
    <w:rsid w:val="000712EE"/>
    <w:rsid w:val="00072295"/>
    <w:rsid w:val="00072810"/>
    <w:rsid w:val="00072939"/>
    <w:rsid w:val="00072A12"/>
    <w:rsid w:val="00073867"/>
    <w:rsid w:val="00074861"/>
    <w:rsid w:val="0007509B"/>
    <w:rsid w:val="0007626A"/>
    <w:rsid w:val="00076466"/>
    <w:rsid w:val="00076F40"/>
    <w:rsid w:val="0007721A"/>
    <w:rsid w:val="000773E7"/>
    <w:rsid w:val="0007787D"/>
    <w:rsid w:val="00077957"/>
    <w:rsid w:val="000809AB"/>
    <w:rsid w:val="00080FC5"/>
    <w:rsid w:val="00081B2B"/>
    <w:rsid w:val="000831C8"/>
    <w:rsid w:val="00083FA5"/>
    <w:rsid w:val="000851AC"/>
    <w:rsid w:val="000851C7"/>
    <w:rsid w:val="00085E39"/>
    <w:rsid w:val="00086EEA"/>
    <w:rsid w:val="00086FC8"/>
    <w:rsid w:val="000906F5"/>
    <w:rsid w:val="000909CE"/>
    <w:rsid w:val="00090A77"/>
    <w:rsid w:val="0009196E"/>
    <w:rsid w:val="00091E96"/>
    <w:rsid w:val="000927A1"/>
    <w:rsid w:val="00092A06"/>
    <w:rsid w:val="00092C77"/>
    <w:rsid w:val="00092E0E"/>
    <w:rsid w:val="000930DA"/>
    <w:rsid w:val="000937B1"/>
    <w:rsid w:val="00093D63"/>
    <w:rsid w:val="00095257"/>
    <w:rsid w:val="00095F89"/>
    <w:rsid w:val="000967B0"/>
    <w:rsid w:val="00096C40"/>
    <w:rsid w:val="00096E5D"/>
    <w:rsid w:val="00097770"/>
    <w:rsid w:val="000A0340"/>
    <w:rsid w:val="000A0827"/>
    <w:rsid w:val="000A0849"/>
    <w:rsid w:val="000A0F2C"/>
    <w:rsid w:val="000A1186"/>
    <w:rsid w:val="000A173F"/>
    <w:rsid w:val="000A192B"/>
    <w:rsid w:val="000A1CCE"/>
    <w:rsid w:val="000A1F41"/>
    <w:rsid w:val="000A2C95"/>
    <w:rsid w:val="000A3467"/>
    <w:rsid w:val="000A39E0"/>
    <w:rsid w:val="000A4A08"/>
    <w:rsid w:val="000A5EAF"/>
    <w:rsid w:val="000A6278"/>
    <w:rsid w:val="000B1AEB"/>
    <w:rsid w:val="000B1DBB"/>
    <w:rsid w:val="000B2181"/>
    <w:rsid w:val="000B2507"/>
    <w:rsid w:val="000B2FE9"/>
    <w:rsid w:val="000B3A76"/>
    <w:rsid w:val="000B3B84"/>
    <w:rsid w:val="000B4674"/>
    <w:rsid w:val="000B46CF"/>
    <w:rsid w:val="000B481F"/>
    <w:rsid w:val="000B49D3"/>
    <w:rsid w:val="000B56FF"/>
    <w:rsid w:val="000B5CC6"/>
    <w:rsid w:val="000C006C"/>
    <w:rsid w:val="000C0548"/>
    <w:rsid w:val="000C0B99"/>
    <w:rsid w:val="000C1A58"/>
    <w:rsid w:val="000C1AEE"/>
    <w:rsid w:val="000C40A9"/>
    <w:rsid w:val="000C4883"/>
    <w:rsid w:val="000C4D90"/>
    <w:rsid w:val="000C5209"/>
    <w:rsid w:val="000C53E9"/>
    <w:rsid w:val="000C5829"/>
    <w:rsid w:val="000C6AB4"/>
    <w:rsid w:val="000C6F18"/>
    <w:rsid w:val="000C7688"/>
    <w:rsid w:val="000C7845"/>
    <w:rsid w:val="000C7F9F"/>
    <w:rsid w:val="000D0051"/>
    <w:rsid w:val="000D0A19"/>
    <w:rsid w:val="000D3A06"/>
    <w:rsid w:val="000D4AE5"/>
    <w:rsid w:val="000D4AEE"/>
    <w:rsid w:val="000D4CC8"/>
    <w:rsid w:val="000D53AB"/>
    <w:rsid w:val="000D573D"/>
    <w:rsid w:val="000D58AA"/>
    <w:rsid w:val="000D713B"/>
    <w:rsid w:val="000D71B7"/>
    <w:rsid w:val="000D76D0"/>
    <w:rsid w:val="000D7E01"/>
    <w:rsid w:val="000E0006"/>
    <w:rsid w:val="000E08E4"/>
    <w:rsid w:val="000E0C6F"/>
    <w:rsid w:val="000E236D"/>
    <w:rsid w:val="000E26DC"/>
    <w:rsid w:val="000E388B"/>
    <w:rsid w:val="000E4E3C"/>
    <w:rsid w:val="000E535D"/>
    <w:rsid w:val="000E5BF6"/>
    <w:rsid w:val="000E6165"/>
    <w:rsid w:val="000E689F"/>
    <w:rsid w:val="000E6961"/>
    <w:rsid w:val="000E780A"/>
    <w:rsid w:val="000F0003"/>
    <w:rsid w:val="000F0084"/>
    <w:rsid w:val="000F1B3E"/>
    <w:rsid w:val="000F2026"/>
    <w:rsid w:val="000F394F"/>
    <w:rsid w:val="000F3CA3"/>
    <w:rsid w:val="000F423F"/>
    <w:rsid w:val="000F4742"/>
    <w:rsid w:val="000F4AC9"/>
    <w:rsid w:val="000F4DEC"/>
    <w:rsid w:val="000F6092"/>
    <w:rsid w:val="000F74AD"/>
    <w:rsid w:val="000F7BC2"/>
    <w:rsid w:val="00100DF0"/>
    <w:rsid w:val="00100EB4"/>
    <w:rsid w:val="00101826"/>
    <w:rsid w:val="00102204"/>
    <w:rsid w:val="0010267B"/>
    <w:rsid w:val="00102B53"/>
    <w:rsid w:val="00103A80"/>
    <w:rsid w:val="00103B7E"/>
    <w:rsid w:val="00103E62"/>
    <w:rsid w:val="001053C0"/>
    <w:rsid w:val="001067DB"/>
    <w:rsid w:val="00106C47"/>
    <w:rsid w:val="00106F46"/>
    <w:rsid w:val="00107927"/>
    <w:rsid w:val="00107A87"/>
    <w:rsid w:val="00110D60"/>
    <w:rsid w:val="001111A4"/>
    <w:rsid w:val="00111673"/>
    <w:rsid w:val="00112582"/>
    <w:rsid w:val="00112F57"/>
    <w:rsid w:val="0011328C"/>
    <w:rsid w:val="00113542"/>
    <w:rsid w:val="00114287"/>
    <w:rsid w:val="0011450B"/>
    <w:rsid w:val="001145F4"/>
    <w:rsid w:val="001163E2"/>
    <w:rsid w:val="0011728C"/>
    <w:rsid w:val="00117732"/>
    <w:rsid w:val="00117781"/>
    <w:rsid w:val="00120006"/>
    <w:rsid w:val="00120AA1"/>
    <w:rsid w:val="00120DCB"/>
    <w:rsid w:val="00120F4D"/>
    <w:rsid w:val="001219F9"/>
    <w:rsid w:val="00121DF2"/>
    <w:rsid w:val="001221A3"/>
    <w:rsid w:val="001229F8"/>
    <w:rsid w:val="00122D61"/>
    <w:rsid w:val="00124496"/>
    <w:rsid w:val="00124520"/>
    <w:rsid w:val="0012498F"/>
    <w:rsid w:val="00124AE1"/>
    <w:rsid w:val="00124D0A"/>
    <w:rsid w:val="00124F5E"/>
    <w:rsid w:val="0012619B"/>
    <w:rsid w:val="00126B64"/>
    <w:rsid w:val="00126BCD"/>
    <w:rsid w:val="00127476"/>
    <w:rsid w:val="00127893"/>
    <w:rsid w:val="00127FAA"/>
    <w:rsid w:val="00132327"/>
    <w:rsid w:val="00132AB4"/>
    <w:rsid w:val="00132C6D"/>
    <w:rsid w:val="00132F80"/>
    <w:rsid w:val="0013362F"/>
    <w:rsid w:val="0013392E"/>
    <w:rsid w:val="00134829"/>
    <w:rsid w:val="0013560B"/>
    <w:rsid w:val="00135708"/>
    <w:rsid w:val="0013616D"/>
    <w:rsid w:val="00136473"/>
    <w:rsid w:val="00136657"/>
    <w:rsid w:val="001379FC"/>
    <w:rsid w:val="00137F3E"/>
    <w:rsid w:val="00140121"/>
    <w:rsid w:val="0014056F"/>
    <w:rsid w:val="001409C2"/>
    <w:rsid w:val="00141006"/>
    <w:rsid w:val="001413DD"/>
    <w:rsid w:val="00141744"/>
    <w:rsid w:val="00141BCE"/>
    <w:rsid w:val="00142019"/>
    <w:rsid w:val="0014225B"/>
    <w:rsid w:val="001426FE"/>
    <w:rsid w:val="001428BC"/>
    <w:rsid w:val="00142D28"/>
    <w:rsid w:val="00142F1B"/>
    <w:rsid w:val="0014472B"/>
    <w:rsid w:val="00144921"/>
    <w:rsid w:val="00146F3C"/>
    <w:rsid w:val="00150514"/>
    <w:rsid w:val="00150717"/>
    <w:rsid w:val="001507DD"/>
    <w:rsid w:val="00150E8C"/>
    <w:rsid w:val="00151028"/>
    <w:rsid w:val="0015190E"/>
    <w:rsid w:val="001519F4"/>
    <w:rsid w:val="0015299C"/>
    <w:rsid w:val="0015336C"/>
    <w:rsid w:val="00155547"/>
    <w:rsid w:val="001556EA"/>
    <w:rsid w:val="001559A9"/>
    <w:rsid w:val="001563D5"/>
    <w:rsid w:val="001573FD"/>
    <w:rsid w:val="00157B22"/>
    <w:rsid w:val="0016093E"/>
    <w:rsid w:val="0016098B"/>
    <w:rsid w:val="001609D3"/>
    <w:rsid w:val="00160E0B"/>
    <w:rsid w:val="00161BCD"/>
    <w:rsid w:val="0016207C"/>
    <w:rsid w:val="00162689"/>
    <w:rsid w:val="001631CA"/>
    <w:rsid w:val="00164709"/>
    <w:rsid w:val="00164CDE"/>
    <w:rsid w:val="00164FA9"/>
    <w:rsid w:val="001665C1"/>
    <w:rsid w:val="00166711"/>
    <w:rsid w:val="00166F19"/>
    <w:rsid w:val="001678BC"/>
    <w:rsid w:val="001708AF"/>
    <w:rsid w:val="00170E86"/>
    <w:rsid w:val="00171A4B"/>
    <w:rsid w:val="00171AFC"/>
    <w:rsid w:val="00172373"/>
    <w:rsid w:val="00173073"/>
    <w:rsid w:val="00174088"/>
    <w:rsid w:val="00174CD4"/>
    <w:rsid w:val="00175126"/>
    <w:rsid w:val="0017544B"/>
    <w:rsid w:val="00175867"/>
    <w:rsid w:val="0017608F"/>
    <w:rsid w:val="00176E13"/>
    <w:rsid w:val="0017716A"/>
    <w:rsid w:val="00177248"/>
    <w:rsid w:val="001802FE"/>
    <w:rsid w:val="00180A37"/>
    <w:rsid w:val="00180D47"/>
    <w:rsid w:val="00181035"/>
    <w:rsid w:val="0018214D"/>
    <w:rsid w:val="00182AE3"/>
    <w:rsid w:val="00183076"/>
    <w:rsid w:val="0018332A"/>
    <w:rsid w:val="001842C2"/>
    <w:rsid w:val="00184CDD"/>
    <w:rsid w:val="00185B08"/>
    <w:rsid w:val="00185C7C"/>
    <w:rsid w:val="00185CEB"/>
    <w:rsid w:val="001867C2"/>
    <w:rsid w:val="00187314"/>
    <w:rsid w:val="001909BC"/>
    <w:rsid w:val="00190AEB"/>
    <w:rsid w:val="00190DC7"/>
    <w:rsid w:val="00191B9D"/>
    <w:rsid w:val="00191CB8"/>
    <w:rsid w:val="00193B56"/>
    <w:rsid w:val="00193EF2"/>
    <w:rsid w:val="0019426B"/>
    <w:rsid w:val="00194ABE"/>
    <w:rsid w:val="00194CE8"/>
    <w:rsid w:val="00195284"/>
    <w:rsid w:val="0019559C"/>
    <w:rsid w:val="00196010"/>
    <w:rsid w:val="0019657C"/>
    <w:rsid w:val="0019666F"/>
    <w:rsid w:val="001967B1"/>
    <w:rsid w:val="001A02E3"/>
    <w:rsid w:val="001A07A9"/>
    <w:rsid w:val="001A11E1"/>
    <w:rsid w:val="001A1D48"/>
    <w:rsid w:val="001A1DE3"/>
    <w:rsid w:val="001A1F71"/>
    <w:rsid w:val="001A24A0"/>
    <w:rsid w:val="001A265A"/>
    <w:rsid w:val="001A2EBC"/>
    <w:rsid w:val="001A307B"/>
    <w:rsid w:val="001A5466"/>
    <w:rsid w:val="001A6231"/>
    <w:rsid w:val="001A6265"/>
    <w:rsid w:val="001A632D"/>
    <w:rsid w:val="001A7B87"/>
    <w:rsid w:val="001A7D38"/>
    <w:rsid w:val="001B0377"/>
    <w:rsid w:val="001B05F7"/>
    <w:rsid w:val="001B06CA"/>
    <w:rsid w:val="001B1245"/>
    <w:rsid w:val="001B17CD"/>
    <w:rsid w:val="001B1F8B"/>
    <w:rsid w:val="001B2736"/>
    <w:rsid w:val="001B2DC9"/>
    <w:rsid w:val="001B31A8"/>
    <w:rsid w:val="001B34BB"/>
    <w:rsid w:val="001B3974"/>
    <w:rsid w:val="001B46A1"/>
    <w:rsid w:val="001B471E"/>
    <w:rsid w:val="001B47EE"/>
    <w:rsid w:val="001B5E51"/>
    <w:rsid w:val="001B5F6C"/>
    <w:rsid w:val="001B6543"/>
    <w:rsid w:val="001B6EAB"/>
    <w:rsid w:val="001B7181"/>
    <w:rsid w:val="001B7A79"/>
    <w:rsid w:val="001B7CA1"/>
    <w:rsid w:val="001B7CA9"/>
    <w:rsid w:val="001B7D2D"/>
    <w:rsid w:val="001C07D6"/>
    <w:rsid w:val="001C0EAD"/>
    <w:rsid w:val="001C1B98"/>
    <w:rsid w:val="001C26B0"/>
    <w:rsid w:val="001C2E28"/>
    <w:rsid w:val="001C3319"/>
    <w:rsid w:val="001C33BE"/>
    <w:rsid w:val="001C37BF"/>
    <w:rsid w:val="001C41D3"/>
    <w:rsid w:val="001C43F7"/>
    <w:rsid w:val="001C4575"/>
    <w:rsid w:val="001C76B1"/>
    <w:rsid w:val="001D139D"/>
    <w:rsid w:val="001D13CD"/>
    <w:rsid w:val="001D3772"/>
    <w:rsid w:val="001D40B8"/>
    <w:rsid w:val="001D49F4"/>
    <w:rsid w:val="001D4B0E"/>
    <w:rsid w:val="001D4F62"/>
    <w:rsid w:val="001D5CA2"/>
    <w:rsid w:val="001D6579"/>
    <w:rsid w:val="001D7340"/>
    <w:rsid w:val="001D7D63"/>
    <w:rsid w:val="001E014E"/>
    <w:rsid w:val="001E07EA"/>
    <w:rsid w:val="001E0E49"/>
    <w:rsid w:val="001E0EF9"/>
    <w:rsid w:val="001E1326"/>
    <w:rsid w:val="001E2A3F"/>
    <w:rsid w:val="001E3544"/>
    <w:rsid w:val="001E3599"/>
    <w:rsid w:val="001E39D0"/>
    <w:rsid w:val="001E498A"/>
    <w:rsid w:val="001E4A2C"/>
    <w:rsid w:val="001E4C62"/>
    <w:rsid w:val="001E5C43"/>
    <w:rsid w:val="001E5C74"/>
    <w:rsid w:val="001E5DAE"/>
    <w:rsid w:val="001E6570"/>
    <w:rsid w:val="001E65BA"/>
    <w:rsid w:val="001E6760"/>
    <w:rsid w:val="001E6957"/>
    <w:rsid w:val="001E6C19"/>
    <w:rsid w:val="001E6D2D"/>
    <w:rsid w:val="001E76A4"/>
    <w:rsid w:val="001E7B07"/>
    <w:rsid w:val="001F016A"/>
    <w:rsid w:val="001F1439"/>
    <w:rsid w:val="001F1CBC"/>
    <w:rsid w:val="001F3666"/>
    <w:rsid w:val="001F39ED"/>
    <w:rsid w:val="001F3C7C"/>
    <w:rsid w:val="001F402B"/>
    <w:rsid w:val="001F4845"/>
    <w:rsid w:val="001F4A1C"/>
    <w:rsid w:val="001F508E"/>
    <w:rsid w:val="001F55D6"/>
    <w:rsid w:val="001F66C2"/>
    <w:rsid w:val="001F716C"/>
    <w:rsid w:val="001F76F2"/>
    <w:rsid w:val="002001DC"/>
    <w:rsid w:val="0020207F"/>
    <w:rsid w:val="00202BA1"/>
    <w:rsid w:val="00204E46"/>
    <w:rsid w:val="00205937"/>
    <w:rsid w:val="00205B07"/>
    <w:rsid w:val="00205E9D"/>
    <w:rsid w:val="00206E2F"/>
    <w:rsid w:val="0020704C"/>
    <w:rsid w:val="00207B86"/>
    <w:rsid w:val="00210C01"/>
    <w:rsid w:val="00210EA7"/>
    <w:rsid w:val="00211110"/>
    <w:rsid w:val="002119D4"/>
    <w:rsid w:val="00213504"/>
    <w:rsid w:val="00213741"/>
    <w:rsid w:val="002142F6"/>
    <w:rsid w:val="0021521E"/>
    <w:rsid w:val="00215A08"/>
    <w:rsid w:val="00215D9D"/>
    <w:rsid w:val="002161C0"/>
    <w:rsid w:val="00216288"/>
    <w:rsid w:val="002163FC"/>
    <w:rsid w:val="00216F88"/>
    <w:rsid w:val="0021734C"/>
    <w:rsid w:val="002200BC"/>
    <w:rsid w:val="00220895"/>
    <w:rsid w:val="0022109E"/>
    <w:rsid w:val="002211B8"/>
    <w:rsid w:val="0022390D"/>
    <w:rsid w:val="00224B8D"/>
    <w:rsid w:val="002254DC"/>
    <w:rsid w:val="002255B4"/>
    <w:rsid w:val="002260F3"/>
    <w:rsid w:val="0022663B"/>
    <w:rsid w:val="0022689D"/>
    <w:rsid w:val="00227769"/>
    <w:rsid w:val="00227FAD"/>
    <w:rsid w:val="00230997"/>
    <w:rsid w:val="00230A54"/>
    <w:rsid w:val="00230D3B"/>
    <w:rsid w:val="00232402"/>
    <w:rsid w:val="0023258A"/>
    <w:rsid w:val="00232811"/>
    <w:rsid w:val="002331DD"/>
    <w:rsid w:val="00233480"/>
    <w:rsid w:val="00233CFF"/>
    <w:rsid w:val="00234AEA"/>
    <w:rsid w:val="00234E05"/>
    <w:rsid w:val="00234FB7"/>
    <w:rsid w:val="00235F70"/>
    <w:rsid w:val="00235F8C"/>
    <w:rsid w:val="002360BA"/>
    <w:rsid w:val="002362A4"/>
    <w:rsid w:val="0023704B"/>
    <w:rsid w:val="00237434"/>
    <w:rsid w:val="002374E8"/>
    <w:rsid w:val="00237CFC"/>
    <w:rsid w:val="00240415"/>
    <w:rsid w:val="002404C7"/>
    <w:rsid w:val="002410E5"/>
    <w:rsid w:val="002411CF"/>
    <w:rsid w:val="00241982"/>
    <w:rsid w:val="00241CEC"/>
    <w:rsid w:val="00241FA7"/>
    <w:rsid w:val="002424B1"/>
    <w:rsid w:val="002428EB"/>
    <w:rsid w:val="00242FFA"/>
    <w:rsid w:val="002430F5"/>
    <w:rsid w:val="00243F91"/>
    <w:rsid w:val="00244001"/>
    <w:rsid w:val="002440B4"/>
    <w:rsid w:val="002443F6"/>
    <w:rsid w:val="002447BD"/>
    <w:rsid w:val="00245678"/>
    <w:rsid w:val="00245B4B"/>
    <w:rsid w:val="002460EF"/>
    <w:rsid w:val="002462D2"/>
    <w:rsid w:val="00246DB4"/>
    <w:rsid w:val="00247050"/>
    <w:rsid w:val="0024716C"/>
    <w:rsid w:val="002473DA"/>
    <w:rsid w:val="00250B39"/>
    <w:rsid w:val="002517FD"/>
    <w:rsid w:val="00252F7A"/>
    <w:rsid w:val="00254C7B"/>
    <w:rsid w:val="00255261"/>
    <w:rsid w:val="00255466"/>
    <w:rsid w:val="0026046F"/>
    <w:rsid w:val="002606E1"/>
    <w:rsid w:val="00260936"/>
    <w:rsid w:val="00260DDA"/>
    <w:rsid w:val="00260F60"/>
    <w:rsid w:val="00261063"/>
    <w:rsid w:val="0026129F"/>
    <w:rsid w:val="002612C8"/>
    <w:rsid w:val="002613FE"/>
    <w:rsid w:val="002618D5"/>
    <w:rsid w:val="00261A90"/>
    <w:rsid w:val="002630A0"/>
    <w:rsid w:val="00263937"/>
    <w:rsid w:val="002646C7"/>
    <w:rsid w:val="00266958"/>
    <w:rsid w:val="002678A7"/>
    <w:rsid w:val="00267B9F"/>
    <w:rsid w:val="00267FE6"/>
    <w:rsid w:val="002700EC"/>
    <w:rsid w:val="002703C0"/>
    <w:rsid w:val="002703FD"/>
    <w:rsid w:val="00270CB2"/>
    <w:rsid w:val="00270F84"/>
    <w:rsid w:val="00271552"/>
    <w:rsid w:val="00271734"/>
    <w:rsid w:val="00272C69"/>
    <w:rsid w:val="00272FD8"/>
    <w:rsid w:val="00273B0E"/>
    <w:rsid w:val="002744D5"/>
    <w:rsid w:val="00274612"/>
    <w:rsid w:val="0027461D"/>
    <w:rsid w:val="002746F6"/>
    <w:rsid w:val="00276597"/>
    <w:rsid w:val="00276969"/>
    <w:rsid w:val="00276AEF"/>
    <w:rsid w:val="00276BBB"/>
    <w:rsid w:val="00277371"/>
    <w:rsid w:val="00277860"/>
    <w:rsid w:val="00280560"/>
    <w:rsid w:val="002805DD"/>
    <w:rsid w:val="00280A50"/>
    <w:rsid w:val="00280E12"/>
    <w:rsid w:val="00281200"/>
    <w:rsid w:val="00281B8E"/>
    <w:rsid w:val="00281CE7"/>
    <w:rsid w:val="00282303"/>
    <w:rsid w:val="00282EF0"/>
    <w:rsid w:val="00283199"/>
    <w:rsid w:val="002833E3"/>
    <w:rsid w:val="002845AF"/>
    <w:rsid w:val="00285772"/>
    <w:rsid w:val="00286623"/>
    <w:rsid w:val="0029123C"/>
    <w:rsid w:val="0029287C"/>
    <w:rsid w:val="00292F96"/>
    <w:rsid w:val="002931B4"/>
    <w:rsid w:val="00294043"/>
    <w:rsid w:val="002945D5"/>
    <w:rsid w:val="00294BF0"/>
    <w:rsid w:val="00294F82"/>
    <w:rsid w:val="0029538F"/>
    <w:rsid w:val="002978A7"/>
    <w:rsid w:val="002A06B7"/>
    <w:rsid w:val="002A1098"/>
    <w:rsid w:val="002A1D7F"/>
    <w:rsid w:val="002A20F4"/>
    <w:rsid w:val="002A2190"/>
    <w:rsid w:val="002A2303"/>
    <w:rsid w:val="002A2344"/>
    <w:rsid w:val="002A2D5D"/>
    <w:rsid w:val="002A3740"/>
    <w:rsid w:val="002A5269"/>
    <w:rsid w:val="002A564D"/>
    <w:rsid w:val="002A5F08"/>
    <w:rsid w:val="002A693B"/>
    <w:rsid w:val="002A7813"/>
    <w:rsid w:val="002B0104"/>
    <w:rsid w:val="002B20B1"/>
    <w:rsid w:val="002B2CBF"/>
    <w:rsid w:val="002B3C35"/>
    <w:rsid w:val="002B44B5"/>
    <w:rsid w:val="002B4777"/>
    <w:rsid w:val="002B4CCF"/>
    <w:rsid w:val="002B4DB3"/>
    <w:rsid w:val="002B5116"/>
    <w:rsid w:val="002B651E"/>
    <w:rsid w:val="002B67B8"/>
    <w:rsid w:val="002B705E"/>
    <w:rsid w:val="002B79F2"/>
    <w:rsid w:val="002C0DFE"/>
    <w:rsid w:val="002C0EC1"/>
    <w:rsid w:val="002C1136"/>
    <w:rsid w:val="002C2AB0"/>
    <w:rsid w:val="002C324A"/>
    <w:rsid w:val="002C4F8A"/>
    <w:rsid w:val="002C5142"/>
    <w:rsid w:val="002C593B"/>
    <w:rsid w:val="002C5CAB"/>
    <w:rsid w:val="002C5FC9"/>
    <w:rsid w:val="002C642A"/>
    <w:rsid w:val="002D1706"/>
    <w:rsid w:val="002D293D"/>
    <w:rsid w:val="002D329A"/>
    <w:rsid w:val="002D591D"/>
    <w:rsid w:val="002D5980"/>
    <w:rsid w:val="002D5AA3"/>
    <w:rsid w:val="002D5E8C"/>
    <w:rsid w:val="002D6001"/>
    <w:rsid w:val="002D66CE"/>
    <w:rsid w:val="002D6E24"/>
    <w:rsid w:val="002D7404"/>
    <w:rsid w:val="002D764F"/>
    <w:rsid w:val="002D7E9A"/>
    <w:rsid w:val="002E01CF"/>
    <w:rsid w:val="002E0A1B"/>
    <w:rsid w:val="002E172E"/>
    <w:rsid w:val="002E1D87"/>
    <w:rsid w:val="002E2E79"/>
    <w:rsid w:val="002E32F5"/>
    <w:rsid w:val="002E34C4"/>
    <w:rsid w:val="002E5077"/>
    <w:rsid w:val="002E52FC"/>
    <w:rsid w:val="002E5AA0"/>
    <w:rsid w:val="002E746D"/>
    <w:rsid w:val="002E76FF"/>
    <w:rsid w:val="002E7AC4"/>
    <w:rsid w:val="002F165C"/>
    <w:rsid w:val="002F217A"/>
    <w:rsid w:val="002F23CE"/>
    <w:rsid w:val="002F2CE1"/>
    <w:rsid w:val="002F2D56"/>
    <w:rsid w:val="002F35DF"/>
    <w:rsid w:val="002F37EC"/>
    <w:rsid w:val="002F39FD"/>
    <w:rsid w:val="002F3DF2"/>
    <w:rsid w:val="002F4450"/>
    <w:rsid w:val="002F455A"/>
    <w:rsid w:val="002F5491"/>
    <w:rsid w:val="002F59DA"/>
    <w:rsid w:val="002F6257"/>
    <w:rsid w:val="002F6316"/>
    <w:rsid w:val="002F6765"/>
    <w:rsid w:val="002F6F8F"/>
    <w:rsid w:val="002F7066"/>
    <w:rsid w:val="002F7C5C"/>
    <w:rsid w:val="002F7EFD"/>
    <w:rsid w:val="002F7F0F"/>
    <w:rsid w:val="00300597"/>
    <w:rsid w:val="00301C19"/>
    <w:rsid w:val="0030244C"/>
    <w:rsid w:val="003030A7"/>
    <w:rsid w:val="003031B7"/>
    <w:rsid w:val="0030372C"/>
    <w:rsid w:val="00303BDB"/>
    <w:rsid w:val="003045BB"/>
    <w:rsid w:val="00304BCC"/>
    <w:rsid w:val="003050B9"/>
    <w:rsid w:val="003050E4"/>
    <w:rsid w:val="003053FB"/>
    <w:rsid w:val="00305768"/>
    <w:rsid w:val="00305D9D"/>
    <w:rsid w:val="00305DFC"/>
    <w:rsid w:val="0030747B"/>
    <w:rsid w:val="00307DF6"/>
    <w:rsid w:val="00310425"/>
    <w:rsid w:val="003115FD"/>
    <w:rsid w:val="00311735"/>
    <w:rsid w:val="00313579"/>
    <w:rsid w:val="003151E8"/>
    <w:rsid w:val="0031572E"/>
    <w:rsid w:val="0031609F"/>
    <w:rsid w:val="003164EB"/>
    <w:rsid w:val="0031650D"/>
    <w:rsid w:val="00317259"/>
    <w:rsid w:val="003172F0"/>
    <w:rsid w:val="003210F6"/>
    <w:rsid w:val="003259F5"/>
    <w:rsid w:val="003270FC"/>
    <w:rsid w:val="003300AC"/>
    <w:rsid w:val="003303B3"/>
    <w:rsid w:val="00330865"/>
    <w:rsid w:val="00330EDD"/>
    <w:rsid w:val="00331023"/>
    <w:rsid w:val="003326FA"/>
    <w:rsid w:val="00333314"/>
    <w:rsid w:val="00333A1D"/>
    <w:rsid w:val="00333B83"/>
    <w:rsid w:val="00333CC2"/>
    <w:rsid w:val="00333E05"/>
    <w:rsid w:val="00333E6A"/>
    <w:rsid w:val="00333F5A"/>
    <w:rsid w:val="00333FCB"/>
    <w:rsid w:val="00334421"/>
    <w:rsid w:val="00335BEB"/>
    <w:rsid w:val="00335C3A"/>
    <w:rsid w:val="00335D3E"/>
    <w:rsid w:val="00336285"/>
    <w:rsid w:val="003369FF"/>
    <w:rsid w:val="00337C63"/>
    <w:rsid w:val="00337EF8"/>
    <w:rsid w:val="003403B8"/>
    <w:rsid w:val="00340870"/>
    <w:rsid w:val="00340998"/>
    <w:rsid w:val="00342138"/>
    <w:rsid w:val="00343FEC"/>
    <w:rsid w:val="00344A45"/>
    <w:rsid w:val="0034570B"/>
    <w:rsid w:val="00347553"/>
    <w:rsid w:val="003503F9"/>
    <w:rsid w:val="0035061B"/>
    <w:rsid w:val="00350F5B"/>
    <w:rsid w:val="003516E0"/>
    <w:rsid w:val="00351ACE"/>
    <w:rsid w:val="00351BCA"/>
    <w:rsid w:val="00353826"/>
    <w:rsid w:val="00354AC6"/>
    <w:rsid w:val="00356186"/>
    <w:rsid w:val="0036078D"/>
    <w:rsid w:val="0036195D"/>
    <w:rsid w:val="003622D4"/>
    <w:rsid w:val="00362576"/>
    <w:rsid w:val="00362821"/>
    <w:rsid w:val="00363026"/>
    <w:rsid w:val="003630BA"/>
    <w:rsid w:val="003647A1"/>
    <w:rsid w:val="00365F85"/>
    <w:rsid w:val="00366A55"/>
    <w:rsid w:val="00367639"/>
    <w:rsid w:val="003707C8"/>
    <w:rsid w:val="00370984"/>
    <w:rsid w:val="00371200"/>
    <w:rsid w:val="003720CF"/>
    <w:rsid w:val="00372772"/>
    <w:rsid w:val="003730D0"/>
    <w:rsid w:val="00373E5D"/>
    <w:rsid w:val="00374525"/>
    <w:rsid w:val="00374EC0"/>
    <w:rsid w:val="00374EE1"/>
    <w:rsid w:val="00375819"/>
    <w:rsid w:val="00376242"/>
    <w:rsid w:val="0037639A"/>
    <w:rsid w:val="00377414"/>
    <w:rsid w:val="00380106"/>
    <w:rsid w:val="003806F1"/>
    <w:rsid w:val="00380C91"/>
    <w:rsid w:val="00381426"/>
    <w:rsid w:val="00381CF0"/>
    <w:rsid w:val="00382C10"/>
    <w:rsid w:val="0038331F"/>
    <w:rsid w:val="003846E8"/>
    <w:rsid w:val="00384978"/>
    <w:rsid w:val="00384C8B"/>
    <w:rsid w:val="00385852"/>
    <w:rsid w:val="003860A9"/>
    <w:rsid w:val="00386775"/>
    <w:rsid w:val="0038699B"/>
    <w:rsid w:val="00386D7F"/>
    <w:rsid w:val="00386EEE"/>
    <w:rsid w:val="00387749"/>
    <w:rsid w:val="00390782"/>
    <w:rsid w:val="003918DF"/>
    <w:rsid w:val="00391DF7"/>
    <w:rsid w:val="003921AB"/>
    <w:rsid w:val="00392B28"/>
    <w:rsid w:val="00393310"/>
    <w:rsid w:val="00394017"/>
    <w:rsid w:val="00394184"/>
    <w:rsid w:val="003948C3"/>
    <w:rsid w:val="0039524D"/>
    <w:rsid w:val="00395AE7"/>
    <w:rsid w:val="00396456"/>
    <w:rsid w:val="00396735"/>
    <w:rsid w:val="00396D19"/>
    <w:rsid w:val="003971A8"/>
    <w:rsid w:val="0039734B"/>
    <w:rsid w:val="00397A17"/>
    <w:rsid w:val="003A0F38"/>
    <w:rsid w:val="003A20D9"/>
    <w:rsid w:val="003A3520"/>
    <w:rsid w:val="003A35EA"/>
    <w:rsid w:val="003A43B6"/>
    <w:rsid w:val="003A47AA"/>
    <w:rsid w:val="003A4BC8"/>
    <w:rsid w:val="003A5AB4"/>
    <w:rsid w:val="003A60C9"/>
    <w:rsid w:val="003A6648"/>
    <w:rsid w:val="003A71BE"/>
    <w:rsid w:val="003A76A8"/>
    <w:rsid w:val="003A7832"/>
    <w:rsid w:val="003A7DD3"/>
    <w:rsid w:val="003B0DB4"/>
    <w:rsid w:val="003B0FBF"/>
    <w:rsid w:val="003B13C6"/>
    <w:rsid w:val="003B19AB"/>
    <w:rsid w:val="003B1AC8"/>
    <w:rsid w:val="003B220C"/>
    <w:rsid w:val="003B3AF1"/>
    <w:rsid w:val="003B4955"/>
    <w:rsid w:val="003B4F22"/>
    <w:rsid w:val="003B59BD"/>
    <w:rsid w:val="003B59E4"/>
    <w:rsid w:val="003B5F91"/>
    <w:rsid w:val="003B6797"/>
    <w:rsid w:val="003C1DD3"/>
    <w:rsid w:val="003C2153"/>
    <w:rsid w:val="003C2361"/>
    <w:rsid w:val="003C2625"/>
    <w:rsid w:val="003C38A5"/>
    <w:rsid w:val="003C3B1A"/>
    <w:rsid w:val="003C5032"/>
    <w:rsid w:val="003C573B"/>
    <w:rsid w:val="003C5FC5"/>
    <w:rsid w:val="003C62B6"/>
    <w:rsid w:val="003C6B83"/>
    <w:rsid w:val="003C6C30"/>
    <w:rsid w:val="003C709A"/>
    <w:rsid w:val="003C7262"/>
    <w:rsid w:val="003C74EA"/>
    <w:rsid w:val="003D0E59"/>
    <w:rsid w:val="003D14CD"/>
    <w:rsid w:val="003D1A96"/>
    <w:rsid w:val="003D1C6F"/>
    <w:rsid w:val="003D3666"/>
    <w:rsid w:val="003D3A33"/>
    <w:rsid w:val="003D3A69"/>
    <w:rsid w:val="003D416C"/>
    <w:rsid w:val="003D46E1"/>
    <w:rsid w:val="003D4C33"/>
    <w:rsid w:val="003D528E"/>
    <w:rsid w:val="003D56F2"/>
    <w:rsid w:val="003D5902"/>
    <w:rsid w:val="003E02F4"/>
    <w:rsid w:val="003E038D"/>
    <w:rsid w:val="003E04D7"/>
    <w:rsid w:val="003E12E4"/>
    <w:rsid w:val="003E1FF6"/>
    <w:rsid w:val="003E20B1"/>
    <w:rsid w:val="003E2930"/>
    <w:rsid w:val="003E2BC6"/>
    <w:rsid w:val="003E4B8B"/>
    <w:rsid w:val="003E5310"/>
    <w:rsid w:val="003E6973"/>
    <w:rsid w:val="003E6AAD"/>
    <w:rsid w:val="003E7967"/>
    <w:rsid w:val="003F0288"/>
    <w:rsid w:val="003F0F33"/>
    <w:rsid w:val="003F12DD"/>
    <w:rsid w:val="003F1828"/>
    <w:rsid w:val="003F1C0F"/>
    <w:rsid w:val="003F35D9"/>
    <w:rsid w:val="003F374A"/>
    <w:rsid w:val="003F43BD"/>
    <w:rsid w:val="003F55B3"/>
    <w:rsid w:val="003F5BBC"/>
    <w:rsid w:val="003F613E"/>
    <w:rsid w:val="003F6605"/>
    <w:rsid w:val="003F6B51"/>
    <w:rsid w:val="003F718B"/>
    <w:rsid w:val="003F75DC"/>
    <w:rsid w:val="00401746"/>
    <w:rsid w:val="00401A24"/>
    <w:rsid w:val="00401B5D"/>
    <w:rsid w:val="00402123"/>
    <w:rsid w:val="00402273"/>
    <w:rsid w:val="00402E5E"/>
    <w:rsid w:val="00403340"/>
    <w:rsid w:val="0040343C"/>
    <w:rsid w:val="004035AC"/>
    <w:rsid w:val="00404394"/>
    <w:rsid w:val="004049DE"/>
    <w:rsid w:val="004061A5"/>
    <w:rsid w:val="0040664D"/>
    <w:rsid w:val="004068F7"/>
    <w:rsid w:val="004073AE"/>
    <w:rsid w:val="00407DC9"/>
    <w:rsid w:val="00407E3E"/>
    <w:rsid w:val="004101A7"/>
    <w:rsid w:val="00410AAC"/>
    <w:rsid w:val="00410F17"/>
    <w:rsid w:val="00411DFA"/>
    <w:rsid w:val="004127B5"/>
    <w:rsid w:val="00412CB5"/>
    <w:rsid w:val="00413672"/>
    <w:rsid w:val="00415915"/>
    <w:rsid w:val="00415BE3"/>
    <w:rsid w:val="00416BAE"/>
    <w:rsid w:val="0041742B"/>
    <w:rsid w:val="004175BF"/>
    <w:rsid w:val="004201C3"/>
    <w:rsid w:val="00420BA5"/>
    <w:rsid w:val="00420ED8"/>
    <w:rsid w:val="00421023"/>
    <w:rsid w:val="00421AA1"/>
    <w:rsid w:val="0042245B"/>
    <w:rsid w:val="00422B6A"/>
    <w:rsid w:val="00422E8F"/>
    <w:rsid w:val="00422E90"/>
    <w:rsid w:val="0042400D"/>
    <w:rsid w:val="004243E2"/>
    <w:rsid w:val="00424496"/>
    <w:rsid w:val="00424772"/>
    <w:rsid w:val="004251A8"/>
    <w:rsid w:val="004266CF"/>
    <w:rsid w:val="00426894"/>
    <w:rsid w:val="00427015"/>
    <w:rsid w:val="00427462"/>
    <w:rsid w:val="00427A7C"/>
    <w:rsid w:val="00430B5F"/>
    <w:rsid w:val="00431ECB"/>
    <w:rsid w:val="00431F3F"/>
    <w:rsid w:val="00434668"/>
    <w:rsid w:val="004347CF"/>
    <w:rsid w:val="00434946"/>
    <w:rsid w:val="00435A2C"/>
    <w:rsid w:val="004374BA"/>
    <w:rsid w:val="004379F2"/>
    <w:rsid w:val="0044006F"/>
    <w:rsid w:val="004419D3"/>
    <w:rsid w:val="00442443"/>
    <w:rsid w:val="004426E2"/>
    <w:rsid w:val="00443644"/>
    <w:rsid w:val="00443BE8"/>
    <w:rsid w:val="00443F6F"/>
    <w:rsid w:val="00444D4C"/>
    <w:rsid w:val="004453F0"/>
    <w:rsid w:val="00445766"/>
    <w:rsid w:val="00445783"/>
    <w:rsid w:val="00445A08"/>
    <w:rsid w:val="00446604"/>
    <w:rsid w:val="00446B19"/>
    <w:rsid w:val="00446E10"/>
    <w:rsid w:val="00447723"/>
    <w:rsid w:val="0045127B"/>
    <w:rsid w:val="004521E2"/>
    <w:rsid w:val="00452C21"/>
    <w:rsid w:val="00452EDA"/>
    <w:rsid w:val="004535F6"/>
    <w:rsid w:val="0045657A"/>
    <w:rsid w:val="00457074"/>
    <w:rsid w:val="00457EB6"/>
    <w:rsid w:val="0046029A"/>
    <w:rsid w:val="0046080A"/>
    <w:rsid w:val="00461375"/>
    <w:rsid w:val="004615CA"/>
    <w:rsid w:val="00462AE3"/>
    <w:rsid w:val="00462C66"/>
    <w:rsid w:val="00462DBB"/>
    <w:rsid w:val="004630BD"/>
    <w:rsid w:val="00463EA6"/>
    <w:rsid w:val="00463FD1"/>
    <w:rsid w:val="0046414A"/>
    <w:rsid w:val="00464B71"/>
    <w:rsid w:val="004662EB"/>
    <w:rsid w:val="0046723B"/>
    <w:rsid w:val="004673EA"/>
    <w:rsid w:val="00467556"/>
    <w:rsid w:val="00467716"/>
    <w:rsid w:val="00467FDC"/>
    <w:rsid w:val="00471011"/>
    <w:rsid w:val="00471354"/>
    <w:rsid w:val="004717A5"/>
    <w:rsid w:val="00471A25"/>
    <w:rsid w:val="00471AE8"/>
    <w:rsid w:val="00471D6D"/>
    <w:rsid w:val="00471EFD"/>
    <w:rsid w:val="004720F0"/>
    <w:rsid w:val="004722F7"/>
    <w:rsid w:val="00472741"/>
    <w:rsid w:val="00472EEE"/>
    <w:rsid w:val="0047324D"/>
    <w:rsid w:val="00474E3C"/>
    <w:rsid w:val="0047502D"/>
    <w:rsid w:val="00475496"/>
    <w:rsid w:val="00475AC3"/>
    <w:rsid w:val="00475BE3"/>
    <w:rsid w:val="00475D80"/>
    <w:rsid w:val="00476E50"/>
    <w:rsid w:val="004811C2"/>
    <w:rsid w:val="004820F1"/>
    <w:rsid w:val="0048210B"/>
    <w:rsid w:val="00482A60"/>
    <w:rsid w:val="00482AD6"/>
    <w:rsid w:val="004830AF"/>
    <w:rsid w:val="00484583"/>
    <w:rsid w:val="00484623"/>
    <w:rsid w:val="00484754"/>
    <w:rsid w:val="00485881"/>
    <w:rsid w:val="00486673"/>
    <w:rsid w:val="00486A1C"/>
    <w:rsid w:val="004872D8"/>
    <w:rsid w:val="00487872"/>
    <w:rsid w:val="00487E32"/>
    <w:rsid w:val="004908F8"/>
    <w:rsid w:val="004911CB"/>
    <w:rsid w:val="0049145F"/>
    <w:rsid w:val="004923BA"/>
    <w:rsid w:val="0049244B"/>
    <w:rsid w:val="00492541"/>
    <w:rsid w:val="00492696"/>
    <w:rsid w:val="00492F48"/>
    <w:rsid w:val="00493200"/>
    <w:rsid w:val="00493CB0"/>
    <w:rsid w:val="00495100"/>
    <w:rsid w:val="00495364"/>
    <w:rsid w:val="0049578B"/>
    <w:rsid w:val="0049579E"/>
    <w:rsid w:val="00495B24"/>
    <w:rsid w:val="00495C1C"/>
    <w:rsid w:val="0049648C"/>
    <w:rsid w:val="004965BD"/>
    <w:rsid w:val="00496963"/>
    <w:rsid w:val="0049731E"/>
    <w:rsid w:val="0049756D"/>
    <w:rsid w:val="004A08A3"/>
    <w:rsid w:val="004A0CBC"/>
    <w:rsid w:val="004A0CFB"/>
    <w:rsid w:val="004A107C"/>
    <w:rsid w:val="004A1582"/>
    <w:rsid w:val="004A1889"/>
    <w:rsid w:val="004A1C4A"/>
    <w:rsid w:val="004A2734"/>
    <w:rsid w:val="004A2750"/>
    <w:rsid w:val="004A28D5"/>
    <w:rsid w:val="004A2B69"/>
    <w:rsid w:val="004A2B72"/>
    <w:rsid w:val="004A37E8"/>
    <w:rsid w:val="004A4924"/>
    <w:rsid w:val="004A4C06"/>
    <w:rsid w:val="004A572E"/>
    <w:rsid w:val="004A5C2F"/>
    <w:rsid w:val="004A6AEC"/>
    <w:rsid w:val="004A6C8B"/>
    <w:rsid w:val="004A6E79"/>
    <w:rsid w:val="004A6EE4"/>
    <w:rsid w:val="004B0889"/>
    <w:rsid w:val="004B0E16"/>
    <w:rsid w:val="004B1981"/>
    <w:rsid w:val="004B3275"/>
    <w:rsid w:val="004B3698"/>
    <w:rsid w:val="004B3C45"/>
    <w:rsid w:val="004B4919"/>
    <w:rsid w:val="004B5DCF"/>
    <w:rsid w:val="004B74D8"/>
    <w:rsid w:val="004B74EE"/>
    <w:rsid w:val="004B7E7F"/>
    <w:rsid w:val="004B7E8F"/>
    <w:rsid w:val="004C075B"/>
    <w:rsid w:val="004C0D70"/>
    <w:rsid w:val="004C2737"/>
    <w:rsid w:val="004C2A87"/>
    <w:rsid w:val="004C2C39"/>
    <w:rsid w:val="004C3D22"/>
    <w:rsid w:val="004C4776"/>
    <w:rsid w:val="004C4EB5"/>
    <w:rsid w:val="004C6435"/>
    <w:rsid w:val="004C70CE"/>
    <w:rsid w:val="004C7323"/>
    <w:rsid w:val="004C75CE"/>
    <w:rsid w:val="004C7696"/>
    <w:rsid w:val="004D0148"/>
    <w:rsid w:val="004D01A2"/>
    <w:rsid w:val="004D02E5"/>
    <w:rsid w:val="004D04CF"/>
    <w:rsid w:val="004D1996"/>
    <w:rsid w:val="004D1BEF"/>
    <w:rsid w:val="004D1DFA"/>
    <w:rsid w:val="004D2772"/>
    <w:rsid w:val="004D3000"/>
    <w:rsid w:val="004D3AF3"/>
    <w:rsid w:val="004D4553"/>
    <w:rsid w:val="004D4976"/>
    <w:rsid w:val="004D5F1D"/>
    <w:rsid w:val="004D7015"/>
    <w:rsid w:val="004D76BC"/>
    <w:rsid w:val="004D7C60"/>
    <w:rsid w:val="004D7D08"/>
    <w:rsid w:val="004E1177"/>
    <w:rsid w:val="004E1566"/>
    <w:rsid w:val="004E1BF1"/>
    <w:rsid w:val="004E2443"/>
    <w:rsid w:val="004E2E80"/>
    <w:rsid w:val="004E33BE"/>
    <w:rsid w:val="004E394D"/>
    <w:rsid w:val="004E4899"/>
    <w:rsid w:val="004E4906"/>
    <w:rsid w:val="004E4E28"/>
    <w:rsid w:val="004E58F1"/>
    <w:rsid w:val="004E5984"/>
    <w:rsid w:val="004E59E6"/>
    <w:rsid w:val="004E5F93"/>
    <w:rsid w:val="004E6050"/>
    <w:rsid w:val="004E60C1"/>
    <w:rsid w:val="004E688F"/>
    <w:rsid w:val="004E693F"/>
    <w:rsid w:val="004E72CC"/>
    <w:rsid w:val="004E74AC"/>
    <w:rsid w:val="004E7A71"/>
    <w:rsid w:val="004E7F32"/>
    <w:rsid w:val="004F15B3"/>
    <w:rsid w:val="004F24F7"/>
    <w:rsid w:val="004F31DE"/>
    <w:rsid w:val="004F342F"/>
    <w:rsid w:val="004F414F"/>
    <w:rsid w:val="004F4E31"/>
    <w:rsid w:val="004F5B5C"/>
    <w:rsid w:val="004F60D2"/>
    <w:rsid w:val="004F6540"/>
    <w:rsid w:val="004F6A6B"/>
    <w:rsid w:val="004F721B"/>
    <w:rsid w:val="004F75CE"/>
    <w:rsid w:val="0050040E"/>
    <w:rsid w:val="00501259"/>
    <w:rsid w:val="00502C6D"/>
    <w:rsid w:val="0050315D"/>
    <w:rsid w:val="005037C5"/>
    <w:rsid w:val="005038B7"/>
    <w:rsid w:val="00503DEF"/>
    <w:rsid w:val="005048DD"/>
    <w:rsid w:val="005048E9"/>
    <w:rsid w:val="005049BA"/>
    <w:rsid w:val="00505976"/>
    <w:rsid w:val="00506501"/>
    <w:rsid w:val="00506888"/>
    <w:rsid w:val="00507D89"/>
    <w:rsid w:val="00510318"/>
    <w:rsid w:val="005103CA"/>
    <w:rsid w:val="00510750"/>
    <w:rsid w:val="0051116C"/>
    <w:rsid w:val="005116CF"/>
    <w:rsid w:val="005119B9"/>
    <w:rsid w:val="00512510"/>
    <w:rsid w:val="00512580"/>
    <w:rsid w:val="00512D8F"/>
    <w:rsid w:val="00512F85"/>
    <w:rsid w:val="00513C6B"/>
    <w:rsid w:val="00513E50"/>
    <w:rsid w:val="005153C3"/>
    <w:rsid w:val="005155A0"/>
    <w:rsid w:val="00515C56"/>
    <w:rsid w:val="00515FFC"/>
    <w:rsid w:val="005160B7"/>
    <w:rsid w:val="00520182"/>
    <w:rsid w:val="00520D37"/>
    <w:rsid w:val="005218DD"/>
    <w:rsid w:val="00521A30"/>
    <w:rsid w:val="00521B67"/>
    <w:rsid w:val="00522A1E"/>
    <w:rsid w:val="00522FB2"/>
    <w:rsid w:val="0052363D"/>
    <w:rsid w:val="0052399A"/>
    <w:rsid w:val="00523AE7"/>
    <w:rsid w:val="0052425C"/>
    <w:rsid w:val="00525131"/>
    <w:rsid w:val="00525C69"/>
    <w:rsid w:val="005260D5"/>
    <w:rsid w:val="00526C09"/>
    <w:rsid w:val="00527C77"/>
    <w:rsid w:val="005307E2"/>
    <w:rsid w:val="00531764"/>
    <w:rsid w:val="00531CC2"/>
    <w:rsid w:val="00531FBA"/>
    <w:rsid w:val="00532036"/>
    <w:rsid w:val="0053213A"/>
    <w:rsid w:val="00533B03"/>
    <w:rsid w:val="00534241"/>
    <w:rsid w:val="00534AD9"/>
    <w:rsid w:val="00534F89"/>
    <w:rsid w:val="00535297"/>
    <w:rsid w:val="0053549F"/>
    <w:rsid w:val="005363A9"/>
    <w:rsid w:val="00536D67"/>
    <w:rsid w:val="00536DC1"/>
    <w:rsid w:val="00536E5B"/>
    <w:rsid w:val="0053717E"/>
    <w:rsid w:val="0053721B"/>
    <w:rsid w:val="00537EF3"/>
    <w:rsid w:val="0054023E"/>
    <w:rsid w:val="005410D2"/>
    <w:rsid w:val="0054138F"/>
    <w:rsid w:val="005413B5"/>
    <w:rsid w:val="005417C8"/>
    <w:rsid w:val="0054210B"/>
    <w:rsid w:val="005422F7"/>
    <w:rsid w:val="00542FAA"/>
    <w:rsid w:val="005430CA"/>
    <w:rsid w:val="00543730"/>
    <w:rsid w:val="00543D37"/>
    <w:rsid w:val="005447CC"/>
    <w:rsid w:val="00544B44"/>
    <w:rsid w:val="00545366"/>
    <w:rsid w:val="005462CF"/>
    <w:rsid w:val="00547082"/>
    <w:rsid w:val="0054773E"/>
    <w:rsid w:val="00547D56"/>
    <w:rsid w:val="00551275"/>
    <w:rsid w:val="00551592"/>
    <w:rsid w:val="00551780"/>
    <w:rsid w:val="00552A61"/>
    <w:rsid w:val="00553379"/>
    <w:rsid w:val="005540B3"/>
    <w:rsid w:val="00554896"/>
    <w:rsid w:val="00554F31"/>
    <w:rsid w:val="0055518C"/>
    <w:rsid w:val="005559BF"/>
    <w:rsid w:val="0055664D"/>
    <w:rsid w:val="00556A4B"/>
    <w:rsid w:val="00561166"/>
    <w:rsid w:val="0056226A"/>
    <w:rsid w:val="00562AF4"/>
    <w:rsid w:val="00564A36"/>
    <w:rsid w:val="005654CF"/>
    <w:rsid w:val="00565A50"/>
    <w:rsid w:val="00565EE6"/>
    <w:rsid w:val="0056605B"/>
    <w:rsid w:val="00566224"/>
    <w:rsid w:val="0056647E"/>
    <w:rsid w:val="00566BB4"/>
    <w:rsid w:val="00566C77"/>
    <w:rsid w:val="00567985"/>
    <w:rsid w:val="00567F71"/>
    <w:rsid w:val="0057182F"/>
    <w:rsid w:val="005724F5"/>
    <w:rsid w:val="00573478"/>
    <w:rsid w:val="00573A9D"/>
    <w:rsid w:val="00573D4F"/>
    <w:rsid w:val="005749EA"/>
    <w:rsid w:val="00575674"/>
    <w:rsid w:val="005758C1"/>
    <w:rsid w:val="00575969"/>
    <w:rsid w:val="00575A5A"/>
    <w:rsid w:val="00575F74"/>
    <w:rsid w:val="00576263"/>
    <w:rsid w:val="005767A5"/>
    <w:rsid w:val="0057792E"/>
    <w:rsid w:val="00577AEC"/>
    <w:rsid w:val="00580219"/>
    <w:rsid w:val="00581863"/>
    <w:rsid w:val="00582601"/>
    <w:rsid w:val="005827A9"/>
    <w:rsid w:val="00582EBF"/>
    <w:rsid w:val="005845FF"/>
    <w:rsid w:val="00584B5A"/>
    <w:rsid w:val="00584D09"/>
    <w:rsid w:val="00585C21"/>
    <w:rsid w:val="00585E3D"/>
    <w:rsid w:val="00585FB2"/>
    <w:rsid w:val="005861DD"/>
    <w:rsid w:val="0058738B"/>
    <w:rsid w:val="00587538"/>
    <w:rsid w:val="00587CC5"/>
    <w:rsid w:val="00587E24"/>
    <w:rsid w:val="00587FA0"/>
    <w:rsid w:val="00590379"/>
    <w:rsid w:val="00591015"/>
    <w:rsid w:val="00591556"/>
    <w:rsid w:val="0059212D"/>
    <w:rsid w:val="00592381"/>
    <w:rsid w:val="00592896"/>
    <w:rsid w:val="00592D7B"/>
    <w:rsid w:val="00592DB3"/>
    <w:rsid w:val="00593524"/>
    <w:rsid w:val="005944FE"/>
    <w:rsid w:val="00594D82"/>
    <w:rsid w:val="005952A1"/>
    <w:rsid w:val="005957C6"/>
    <w:rsid w:val="005962C7"/>
    <w:rsid w:val="00596527"/>
    <w:rsid w:val="0059662F"/>
    <w:rsid w:val="005972B2"/>
    <w:rsid w:val="005975DA"/>
    <w:rsid w:val="005A0A82"/>
    <w:rsid w:val="005A0B2B"/>
    <w:rsid w:val="005A2243"/>
    <w:rsid w:val="005A2D13"/>
    <w:rsid w:val="005A44D5"/>
    <w:rsid w:val="005A6770"/>
    <w:rsid w:val="005B0242"/>
    <w:rsid w:val="005B027B"/>
    <w:rsid w:val="005B03DF"/>
    <w:rsid w:val="005B04E2"/>
    <w:rsid w:val="005B1317"/>
    <w:rsid w:val="005B1763"/>
    <w:rsid w:val="005B2288"/>
    <w:rsid w:val="005B2474"/>
    <w:rsid w:val="005B318F"/>
    <w:rsid w:val="005B3950"/>
    <w:rsid w:val="005B3D0F"/>
    <w:rsid w:val="005B4192"/>
    <w:rsid w:val="005B43D0"/>
    <w:rsid w:val="005B4A75"/>
    <w:rsid w:val="005B5467"/>
    <w:rsid w:val="005B591D"/>
    <w:rsid w:val="005B64DA"/>
    <w:rsid w:val="005B711B"/>
    <w:rsid w:val="005B748E"/>
    <w:rsid w:val="005B7F25"/>
    <w:rsid w:val="005C0C96"/>
    <w:rsid w:val="005C0F49"/>
    <w:rsid w:val="005C14A0"/>
    <w:rsid w:val="005C16F3"/>
    <w:rsid w:val="005C1E4B"/>
    <w:rsid w:val="005C231A"/>
    <w:rsid w:val="005C6AC9"/>
    <w:rsid w:val="005D0080"/>
    <w:rsid w:val="005D029B"/>
    <w:rsid w:val="005D0720"/>
    <w:rsid w:val="005D08AD"/>
    <w:rsid w:val="005D0CBC"/>
    <w:rsid w:val="005D0F1B"/>
    <w:rsid w:val="005D13B3"/>
    <w:rsid w:val="005D15EB"/>
    <w:rsid w:val="005D16E2"/>
    <w:rsid w:val="005D234A"/>
    <w:rsid w:val="005D292E"/>
    <w:rsid w:val="005D2DF7"/>
    <w:rsid w:val="005D597F"/>
    <w:rsid w:val="005D5AC7"/>
    <w:rsid w:val="005D5E3F"/>
    <w:rsid w:val="005D6346"/>
    <w:rsid w:val="005D658A"/>
    <w:rsid w:val="005D67ED"/>
    <w:rsid w:val="005D6DB3"/>
    <w:rsid w:val="005D6EEE"/>
    <w:rsid w:val="005D7B5F"/>
    <w:rsid w:val="005E07B3"/>
    <w:rsid w:val="005E0AF1"/>
    <w:rsid w:val="005E0E5D"/>
    <w:rsid w:val="005E14DA"/>
    <w:rsid w:val="005E1CA7"/>
    <w:rsid w:val="005E2339"/>
    <w:rsid w:val="005E2793"/>
    <w:rsid w:val="005E33B2"/>
    <w:rsid w:val="005E3871"/>
    <w:rsid w:val="005E3C96"/>
    <w:rsid w:val="005E47CC"/>
    <w:rsid w:val="005E7EF6"/>
    <w:rsid w:val="005F021A"/>
    <w:rsid w:val="005F0238"/>
    <w:rsid w:val="005F0A29"/>
    <w:rsid w:val="005F0F94"/>
    <w:rsid w:val="005F2199"/>
    <w:rsid w:val="005F231B"/>
    <w:rsid w:val="005F3E59"/>
    <w:rsid w:val="005F434B"/>
    <w:rsid w:val="005F4387"/>
    <w:rsid w:val="005F4438"/>
    <w:rsid w:val="005F4556"/>
    <w:rsid w:val="005F5A83"/>
    <w:rsid w:val="005F7316"/>
    <w:rsid w:val="00600233"/>
    <w:rsid w:val="00603518"/>
    <w:rsid w:val="0060421C"/>
    <w:rsid w:val="006050D9"/>
    <w:rsid w:val="0060651F"/>
    <w:rsid w:val="006107E7"/>
    <w:rsid w:val="006115E9"/>
    <w:rsid w:val="0061169B"/>
    <w:rsid w:val="00611DEB"/>
    <w:rsid w:val="00611F07"/>
    <w:rsid w:val="00611FB3"/>
    <w:rsid w:val="00612391"/>
    <w:rsid w:val="00612744"/>
    <w:rsid w:val="0061286E"/>
    <w:rsid w:val="00612F02"/>
    <w:rsid w:val="0061363D"/>
    <w:rsid w:val="00613D91"/>
    <w:rsid w:val="006158E6"/>
    <w:rsid w:val="00615CC5"/>
    <w:rsid w:val="006178A2"/>
    <w:rsid w:val="00617DFD"/>
    <w:rsid w:val="00621F52"/>
    <w:rsid w:val="00621FD6"/>
    <w:rsid w:val="006232DC"/>
    <w:rsid w:val="006233C2"/>
    <w:rsid w:val="00624C04"/>
    <w:rsid w:val="00624FD7"/>
    <w:rsid w:val="006252A2"/>
    <w:rsid w:val="006253B3"/>
    <w:rsid w:val="006254D3"/>
    <w:rsid w:val="006262CB"/>
    <w:rsid w:val="00627A6E"/>
    <w:rsid w:val="00630E22"/>
    <w:rsid w:val="00631415"/>
    <w:rsid w:val="00631C06"/>
    <w:rsid w:val="00632116"/>
    <w:rsid w:val="00635BB1"/>
    <w:rsid w:val="00635D72"/>
    <w:rsid w:val="00635E7A"/>
    <w:rsid w:val="006366AC"/>
    <w:rsid w:val="0063786F"/>
    <w:rsid w:val="006379FB"/>
    <w:rsid w:val="006405D5"/>
    <w:rsid w:val="0064233E"/>
    <w:rsid w:val="00644250"/>
    <w:rsid w:val="00645CEA"/>
    <w:rsid w:val="00647C00"/>
    <w:rsid w:val="0065072E"/>
    <w:rsid w:val="00651CA2"/>
    <w:rsid w:val="00652F6E"/>
    <w:rsid w:val="0065379C"/>
    <w:rsid w:val="00654009"/>
    <w:rsid w:val="006555E8"/>
    <w:rsid w:val="00655C8A"/>
    <w:rsid w:val="0065628F"/>
    <w:rsid w:val="00657F4C"/>
    <w:rsid w:val="00660D1F"/>
    <w:rsid w:val="00662AE7"/>
    <w:rsid w:val="00663097"/>
    <w:rsid w:val="006638C3"/>
    <w:rsid w:val="006648A4"/>
    <w:rsid w:val="00664CDE"/>
    <w:rsid w:val="00664F00"/>
    <w:rsid w:val="00665070"/>
    <w:rsid w:val="00665110"/>
    <w:rsid w:val="00665133"/>
    <w:rsid w:val="00665140"/>
    <w:rsid w:val="0066617C"/>
    <w:rsid w:val="006662B3"/>
    <w:rsid w:val="006665E3"/>
    <w:rsid w:val="00666959"/>
    <w:rsid w:val="00667394"/>
    <w:rsid w:val="0067065A"/>
    <w:rsid w:val="00670C94"/>
    <w:rsid w:val="00672242"/>
    <w:rsid w:val="0067242E"/>
    <w:rsid w:val="00673113"/>
    <w:rsid w:val="00674261"/>
    <w:rsid w:val="006742E3"/>
    <w:rsid w:val="0067483E"/>
    <w:rsid w:val="00674F39"/>
    <w:rsid w:val="0067528E"/>
    <w:rsid w:val="00675797"/>
    <w:rsid w:val="0067586F"/>
    <w:rsid w:val="006761F6"/>
    <w:rsid w:val="00676219"/>
    <w:rsid w:val="00676580"/>
    <w:rsid w:val="00676968"/>
    <w:rsid w:val="006779C4"/>
    <w:rsid w:val="00677A6C"/>
    <w:rsid w:val="00680ED9"/>
    <w:rsid w:val="006824D8"/>
    <w:rsid w:val="00682749"/>
    <w:rsid w:val="0068376A"/>
    <w:rsid w:val="00683C58"/>
    <w:rsid w:val="00683DD8"/>
    <w:rsid w:val="0068557D"/>
    <w:rsid w:val="006857AF"/>
    <w:rsid w:val="00686051"/>
    <w:rsid w:val="00686D1D"/>
    <w:rsid w:val="00686FB1"/>
    <w:rsid w:val="006902C7"/>
    <w:rsid w:val="00691566"/>
    <w:rsid w:val="006916F3"/>
    <w:rsid w:val="0069209E"/>
    <w:rsid w:val="0069243E"/>
    <w:rsid w:val="006925C1"/>
    <w:rsid w:val="006926E1"/>
    <w:rsid w:val="00692BAC"/>
    <w:rsid w:val="00693983"/>
    <w:rsid w:val="006939CC"/>
    <w:rsid w:val="00693B1B"/>
    <w:rsid w:val="00694188"/>
    <w:rsid w:val="00695E4A"/>
    <w:rsid w:val="006966D6"/>
    <w:rsid w:val="0069726E"/>
    <w:rsid w:val="006973ED"/>
    <w:rsid w:val="006A00F7"/>
    <w:rsid w:val="006A0136"/>
    <w:rsid w:val="006A0894"/>
    <w:rsid w:val="006A2A11"/>
    <w:rsid w:val="006A3732"/>
    <w:rsid w:val="006A39A7"/>
    <w:rsid w:val="006A45D3"/>
    <w:rsid w:val="006A4B7A"/>
    <w:rsid w:val="006A4BE4"/>
    <w:rsid w:val="006A64FE"/>
    <w:rsid w:val="006A6619"/>
    <w:rsid w:val="006A6FF3"/>
    <w:rsid w:val="006A70CD"/>
    <w:rsid w:val="006A7236"/>
    <w:rsid w:val="006A7249"/>
    <w:rsid w:val="006A75C8"/>
    <w:rsid w:val="006A7A66"/>
    <w:rsid w:val="006B0854"/>
    <w:rsid w:val="006B10DD"/>
    <w:rsid w:val="006B11BC"/>
    <w:rsid w:val="006B1BE4"/>
    <w:rsid w:val="006B1EB1"/>
    <w:rsid w:val="006B2049"/>
    <w:rsid w:val="006B2970"/>
    <w:rsid w:val="006B2F89"/>
    <w:rsid w:val="006B32BE"/>
    <w:rsid w:val="006B3797"/>
    <w:rsid w:val="006B3E32"/>
    <w:rsid w:val="006B4B24"/>
    <w:rsid w:val="006B4DCE"/>
    <w:rsid w:val="006B4F4A"/>
    <w:rsid w:val="006B5400"/>
    <w:rsid w:val="006B5B6D"/>
    <w:rsid w:val="006B676A"/>
    <w:rsid w:val="006B7524"/>
    <w:rsid w:val="006B78B8"/>
    <w:rsid w:val="006B7C8E"/>
    <w:rsid w:val="006B7F2E"/>
    <w:rsid w:val="006C01CB"/>
    <w:rsid w:val="006C0B92"/>
    <w:rsid w:val="006C0D2E"/>
    <w:rsid w:val="006C12B9"/>
    <w:rsid w:val="006C158C"/>
    <w:rsid w:val="006C2691"/>
    <w:rsid w:val="006C2A70"/>
    <w:rsid w:val="006C2FDE"/>
    <w:rsid w:val="006C3892"/>
    <w:rsid w:val="006C3D64"/>
    <w:rsid w:val="006C4A3A"/>
    <w:rsid w:val="006C4C00"/>
    <w:rsid w:val="006C5855"/>
    <w:rsid w:val="006C6285"/>
    <w:rsid w:val="006C65FE"/>
    <w:rsid w:val="006C67B0"/>
    <w:rsid w:val="006C6EB0"/>
    <w:rsid w:val="006C7FF8"/>
    <w:rsid w:val="006D02A0"/>
    <w:rsid w:val="006D03DA"/>
    <w:rsid w:val="006D267C"/>
    <w:rsid w:val="006D4066"/>
    <w:rsid w:val="006D479A"/>
    <w:rsid w:val="006D479D"/>
    <w:rsid w:val="006D63EA"/>
    <w:rsid w:val="006D7146"/>
    <w:rsid w:val="006D7E6F"/>
    <w:rsid w:val="006E0C56"/>
    <w:rsid w:val="006E1625"/>
    <w:rsid w:val="006E169E"/>
    <w:rsid w:val="006E2097"/>
    <w:rsid w:val="006E2671"/>
    <w:rsid w:val="006E2C2D"/>
    <w:rsid w:val="006E31A9"/>
    <w:rsid w:val="006E488D"/>
    <w:rsid w:val="006E4A0D"/>
    <w:rsid w:val="006E4B6D"/>
    <w:rsid w:val="006E4CB3"/>
    <w:rsid w:val="006E5A2C"/>
    <w:rsid w:val="006E6A29"/>
    <w:rsid w:val="006E6B99"/>
    <w:rsid w:val="006E7295"/>
    <w:rsid w:val="006E77E9"/>
    <w:rsid w:val="006E798C"/>
    <w:rsid w:val="006F0149"/>
    <w:rsid w:val="006F12DC"/>
    <w:rsid w:val="006F1CDE"/>
    <w:rsid w:val="006F299F"/>
    <w:rsid w:val="006F2CC0"/>
    <w:rsid w:val="006F2EE5"/>
    <w:rsid w:val="006F3595"/>
    <w:rsid w:val="006F36C8"/>
    <w:rsid w:val="006F3E32"/>
    <w:rsid w:val="006F460A"/>
    <w:rsid w:val="006F5DAE"/>
    <w:rsid w:val="006F5F1F"/>
    <w:rsid w:val="006F659E"/>
    <w:rsid w:val="006F6890"/>
    <w:rsid w:val="006F765E"/>
    <w:rsid w:val="00700F0C"/>
    <w:rsid w:val="0070102C"/>
    <w:rsid w:val="007018F4"/>
    <w:rsid w:val="00701EDC"/>
    <w:rsid w:val="00702763"/>
    <w:rsid w:val="00702CAD"/>
    <w:rsid w:val="0070316F"/>
    <w:rsid w:val="0070388E"/>
    <w:rsid w:val="00704A55"/>
    <w:rsid w:val="00704CFA"/>
    <w:rsid w:val="007057CB"/>
    <w:rsid w:val="00710239"/>
    <w:rsid w:val="00710A24"/>
    <w:rsid w:val="00711107"/>
    <w:rsid w:val="0071222B"/>
    <w:rsid w:val="00712FDC"/>
    <w:rsid w:val="0071307C"/>
    <w:rsid w:val="007130B7"/>
    <w:rsid w:val="00714A1C"/>
    <w:rsid w:val="00714D3F"/>
    <w:rsid w:val="00716EF8"/>
    <w:rsid w:val="00717C12"/>
    <w:rsid w:val="007203BD"/>
    <w:rsid w:val="007212B6"/>
    <w:rsid w:val="00721B42"/>
    <w:rsid w:val="007226EF"/>
    <w:rsid w:val="007228EF"/>
    <w:rsid w:val="007236B4"/>
    <w:rsid w:val="007249BC"/>
    <w:rsid w:val="0072676D"/>
    <w:rsid w:val="00726904"/>
    <w:rsid w:val="00726E9E"/>
    <w:rsid w:val="0072754F"/>
    <w:rsid w:val="00727D9C"/>
    <w:rsid w:val="007301AD"/>
    <w:rsid w:val="0073027B"/>
    <w:rsid w:val="00730A7B"/>
    <w:rsid w:val="007326F3"/>
    <w:rsid w:val="007329A2"/>
    <w:rsid w:val="00732BCC"/>
    <w:rsid w:val="00733631"/>
    <w:rsid w:val="00733A41"/>
    <w:rsid w:val="007340AC"/>
    <w:rsid w:val="0073439F"/>
    <w:rsid w:val="00734BF6"/>
    <w:rsid w:val="00735017"/>
    <w:rsid w:val="00736030"/>
    <w:rsid w:val="007372E4"/>
    <w:rsid w:val="007407C1"/>
    <w:rsid w:val="0074089D"/>
    <w:rsid w:val="00740B05"/>
    <w:rsid w:val="00742C11"/>
    <w:rsid w:val="0074341B"/>
    <w:rsid w:val="00743426"/>
    <w:rsid w:val="0074452B"/>
    <w:rsid w:val="007448C4"/>
    <w:rsid w:val="0074568C"/>
    <w:rsid w:val="00745974"/>
    <w:rsid w:val="00745A63"/>
    <w:rsid w:val="00745F67"/>
    <w:rsid w:val="007464B9"/>
    <w:rsid w:val="0074700D"/>
    <w:rsid w:val="0074741D"/>
    <w:rsid w:val="007474C5"/>
    <w:rsid w:val="00747A86"/>
    <w:rsid w:val="007501D4"/>
    <w:rsid w:val="007504B9"/>
    <w:rsid w:val="0075162B"/>
    <w:rsid w:val="00751B39"/>
    <w:rsid w:val="00752FED"/>
    <w:rsid w:val="0075389D"/>
    <w:rsid w:val="00753C2F"/>
    <w:rsid w:val="00755019"/>
    <w:rsid w:val="00755AF9"/>
    <w:rsid w:val="00755C7F"/>
    <w:rsid w:val="00755F1C"/>
    <w:rsid w:val="007568FE"/>
    <w:rsid w:val="00757607"/>
    <w:rsid w:val="00760A91"/>
    <w:rsid w:val="0076113B"/>
    <w:rsid w:val="007617D9"/>
    <w:rsid w:val="00761835"/>
    <w:rsid w:val="00761B6E"/>
    <w:rsid w:val="00761C20"/>
    <w:rsid w:val="00762FA9"/>
    <w:rsid w:val="0076337C"/>
    <w:rsid w:val="00763744"/>
    <w:rsid w:val="00763909"/>
    <w:rsid w:val="007645A8"/>
    <w:rsid w:val="00765BF5"/>
    <w:rsid w:val="00765F0F"/>
    <w:rsid w:val="00766099"/>
    <w:rsid w:val="0076634B"/>
    <w:rsid w:val="007664A2"/>
    <w:rsid w:val="0076678C"/>
    <w:rsid w:val="00767678"/>
    <w:rsid w:val="007678A6"/>
    <w:rsid w:val="007678D8"/>
    <w:rsid w:val="00767FEC"/>
    <w:rsid w:val="00770BA5"/>
    <w:rsid w:val="0077102C"/>
    <w:rsid w:val="007714DE"/>
    <w:rsid w:val="00771EAD"/>
    <w:rsid w:val="007725AD"/>
    <w:rsid w:val="00772786"/>
    <w:rsid w:val="00773086"/>
    <w:rsid w:val="007762C6"/>
    <w:rsid w:val="00776C19"/>
    <w:rsid w:val="00777446"/>
    <w:rsid w:val="0077767B"/>
    <w:rsid w:val="00777D3D"/>
    <w:rsid w:val="007800A6"/>
    <w:rsid w:val="00780F86"/>
    <w:rsid w:val="0078357C"/>
    <w:rsid w:val="00783AFE"/>
    <w:rsid w:val="00783EA5"/>
    <w:rsid w:val="0078484C"/>
    <w:rsid w:val="00787E04"/>
    <w:rsid w:val="00787E50"/>
    <w:rsid w:val="00787F31"/>
    <w:rsid w:val="00790614"/>
    <w:rsid w:val="00790B10"/>
    <w:rsid w:val="00791BD8"/>
    <w:rsid w:val="00793D34"/>
    <w:rsid w:val="007948A6"/>
    <w:rsid w:val="0079492B"/>
    <w:rsid w:val="00795AA3"/>
    <w:rsid w:val="007979E8"/>
    <w:rsid w:val="007A0B41"/>
    <w:rsid w:val="007A2649"/>
    <w:rsid w:val="007A3468"/>
    <w:rsid w:val="007A4389"/>
    <w:rsid w:val="007A4661"/>
    <w:rsid w:val="007A5672"/>
    <w:rsid w:val="007B0792"/>
    <w:rsid w:val="007B1378"/>
    <w:rsid w:val="007B18BB"/>
    <w:rsid w:val="007B2313"/>
    <w:rsid w:val="007B2402"/>
    <w:rsid w:val="007B276E"/>
    <w:rsid w:val="007B3DD0"/>
    <w:rsid w:val="007B4E70"/>
    <w:rsid w:val="007B5901"/>
    <w:rsid w:val="007B5C25"/>
    <w:rsid w:val="007B61FE"/>
    <w:rsid w:val="007B6548"/>
    <w:rsid w:val="007B6AE8"/>
    <w:rsid w:val="007B7662"/>
    <w:rsid w:val="007B7FA2"/>
    <w:rsid w:val="007C08F7"/>
    <w:rsid w:val="007C0C8C"/>
    <w:rsid w:val="007C1128"/>
    <w:rsid w:val="007C13B1"/>
    <w:rsid w:val="007C1675"/>
    <w:rsid w:val="007C25AE"/>
    <w:rsid w:val="007C2867"/>
    <w:rsid w:val="007C2CC0"/>
    <w:rsid w:val="007C4023"/>
    <w:rsid w:val="007C4DE8"/>
    <w:rsid w:val="007C5187"/>
    <w:rsid w:val="007C5402"/>
    <w:rsid w:val="007C5E3D"/>
    <w:rsid w:val="007C6684"/>
    <w:rsid w:val="007C69B9"/>
    <w:rsid w:val="007C6A81"/>
    <w:rsid w:val="007C7188"/>
    <w:rsid w:val="007C71FA"/>
    <w:rsid w:val="007C7D1D"/>
    <w:rsid w:val="007C7F4B"/>
    <w:rsid w:val="007D0046"/>
    <w:rsid w:val="007D03EE"/>
    <w:rsid w:val="007D0AD7"/>
    <w:rsid w:val="007D1D1E"/>
    <w:rsid w:val="007D20E1"/>
    <w:rsid w:val="007D23CC"/>
    <w:rsid w:val="007D3B10"/>
    <w:rsid w:val="007D462D"/>
    <w:rsid w:val="007D46FC"/>
    <w:rsid w:val="007D4903"/>
    <w:rsid w:val="007D5963"/>
    <w:rsid w:val="007D5C66"/>
    <w:rsid w:val="007D5FE7"/>
    <w:rsid w:val="007D7772"/>
    <w:rsid w:val="007E05CA"/>
    <w:rsid w:val="007E0BDA"/>
    <w:rsid w:val="007E25AD"/>
    <w:rsid w:val="007E25EB"/>
    <w:rsid w:val="007E312D"/>
    <w:rsid w:val="007E3AF4"/>
    <w:rsid w:val="007E4880"/>
    <w:rsid w:val="007E4D0D"/>
    <w:rsid w:val="007E4EFC"/>
    <w:rsid w:val="007E5594"/>
    <w:rsid w:val="007E5BA9"/>
    <w:rsid w:val="007E637C"/>
    <w:rsid w:val="007E6A18"/>
    <w:rsid w:val="007E72DE"/>
    <w:rsid w:val="007E7AFD"/>
    <w:rsid w:val="007F09F4"/>
    <w:rsid w:val="007F1364"/>
    <w:rsid w:val="007F3BAA"/>
    <w:rsid w:val="007F40C2"/>
    <w:rsid w:val="007F47C9"/>
    <w:rsid w:val="007F4A04"/>
    <w:rsid w:val="007F5B54"/>
    <w:rsid w:val="007F5BDF"/>
    <w:rsid w:val="007F647C"/>
    <w:rsid w:val="007F693F"/>
    <w:rsid w:val="007F73EE"/>
    <w:rsid w:val="007F74C1"/>
    <w:rsid w:val="0080041B"/>
    <w:rsid w:val="00800A0B"/>
    <w:rsid w:val="00802101"/>
    <w:rsid w:val="008025AC"/>
    <w:rsid w:val="0080275B"/>
    <w:rsid w:val="00802BD8"/>
    <w:rsid w:val="00802F81"/>
    <w:rsid w:val="00803C81"/>
    <w:rsid w:val="00803FAC"/>
    <w:rsid w:val="00804E3D"/>
    <w:rsid w:val="00804F01"/>
    <w:rsid w:val="00804F0A"/>
    <w:rsid w:val="00804F0F"/>
    <w:rsid w:val="00804FAD"/>
    <w:rsid w:val="00805039"/>
    <w:rsid w:val="00805079"/>
    <w:rsid w:val="008062BE"/>
    <w:rsid w:val="00806F39"/>
    <w:rsid w:val="00807C6E"/>
    <w:rsid w:val="00810F42"/>
    <w:rsid w:val="00810FD1"/>
    <w:rsid w:val="00811C80"/>
    <w:rsid w:val="00812759"/>
    <w:rsid w:val="00812927"/>
    <w:rsid w:val="00813446"/>
    <w:rsid w:val="008137B3"/>
    <w:rsid w:val="008138A9"/>
    <w:rsid w:val="008138BE"/>
    <w:rsid w:val="00814055"/>
    <w:rsid w:val="008141D7"/>
    <w:rsid w:val="00814574"/>
    <w:rsid w:val="0081496C"/>
    <w:rsid w:val="008159E9"/>
    <w:rsid w:val="00816211"/>
    <w:rsid w:val="008165D4"/>
    <w:rsid w:val="008165ED"/>
    <w:rsid w:val="00817089"/>
    <w:rsid w:val="0082088B"/>
    <w:rsid w:val="008218CD"/>
    <w:rsid w:val="00821E00"/>
    <w:rsid w:val="008228B8"/>
    <w:rsid w:val="008249AC"/>
    <w:rsid w:val="00824D62"/>
    <w:rsid w:val="00825299"/>
    <w:rsid w:val="008254C8"/>
    <w:rsid w:val="00826219"/>
    <w:rsid w:val="00827233"/>
    <w:rsid w:val="0082768B"/>
    <w:rsid w:val="0083008B"/>
    <w:rsid w:val="008310E9"/>
    <w:rsid w:val="008318BA"/>
    <w:rsid w:val="00831C17"/>
    <w:rsid w:val="0083222F"/>
    <w:rsid w:val="00832EBC"/>
    <w:rsid w:val="008334C2"/>
    <w:rsid w:val="008343A0"/>
    <w:rsid w:val="008347DC"/>
    <w:rsid w:val="00834C65"/>
    <w:rsid w:val="00834F0D"/>
    <w:rsid w:val="00835237"/>
    <w:rsid w:val="0083541D"/>
    <w:rsid w:val="0083595C"/>
    <w:rsid w:val="00835F09"/>
    <w:rsid w:val="0083634B"/>
    <w:rsid w:val="00840116"/>
    <w:rsid w:val="00840D3F"/>
    <w:rsid w:val="00843211"/>
    <w:rsid w:val="00844186"/>
    <w:rsid w:val="00844ECF"/>
    <w:rsid w:val="00845A92"/>
    <w:rsid w:val="00846541"/>
    <w:rsid w:val="00846DE6"/>
    <w:rsid w:val="008470E3"/>
    <w:rsid w:val="00847523"/>
    <w:rsid w:val="00850D45"/>
    <w:rsid w:val="0085217C"/>
    <w:rsid w:val="00852352"/>
    <w:rsid w:val="008523C2"/>
    <w:rsid w:val="0085269A"/>
    <w:rsid w:val="00852BA0"/>
    <w:rsid w:val="008539A7"/>
    <w:rsid w:val="00855077"/>
    <w:rsid w:val="0085560B"/>
    <w:rsid w:val="00856069"/>
    <w:rsid w:val="008562F1"/>
    <w:rsid w:val="00857B0A"/>
    <w:rsid w:val="00857B3D"/>
    <w:rsid w:val="008603AC"/>
    <w:rsid w:val="00860E32"/>
    <w:rsid w:val="00862276"/>
    <w:rsid w:val="008623F8"/>
    <w:rsid w:val="00862BEF"/>
    <w:rsid w:val="00863576"/>
    <w:rsid w:val="00863FC5"/>
    <w:rsid w:val="00863FF7"/>
    <w:rsid w:val="00864E69"/>
    <w:rsid w:val="00865932"/>
    <w:rsid w:val="00866174"/>
    <w:rsid w:val="008664F7"/>
    <w:rsid w:val="0086662D"/>
    <w:rsid w:val="008669C1"/>
    <w:rsid w:val="00866B10"/>
    <w:rsid w:val="0086767A"/>
    <w:rsid w:val="0086787C"/>
    <w:rsid w:val="00867DDF"/>
    <w:rsid w:val="0087226A"/>
    <w:rsid w:val="00872CFA"/>
    <w:rsid w:val="0087302C"/>
    <w:rsid w:val="0087367C"/>
    <w:rsid w:val="00874271"/>
    <w:rsid w:val="008742E2"/>
    <w:rsid w:val="0087527D"/>
    <w:rsid w:val="00875774"/>
    <w:rsid w:val="00875858"/>
    <w:rsid w:val="00876BC7"/>
    <w:rsid w:val="008775A6"/>
    <w:rsid w:val="008776DA"/>
    <w:rsid w:val="00877A72"/>
    <w:rsid w:val="00877BBA"/>
    <w:rsid w:val="00877C31"/>
    <w:rsid w:val="0088057C"/>
    <w:rsid w:val="00880C07"/>
    <w:rsid w:val="00880D9A"/>
    <w:rsid w:val="008814CC"/>
    <w:rsid w:val="00882144"/>
    <w:rsid w:val="00882EB5"/>
    <w:rsid w:val="00883585"/>
    <w:rsid w:val="00885A90"/>
    <w:rsid w:val="00885D68"/>
    <w:rsid w:val="00886773"/>
    <w:rsid w:val="00886ABD"/>
    <w:rsid w:val="00887103"/>
    <w:rsid w:val="00887597"/>
    <w:rsid w:val="00887959"/>
    <w:rsid w:val="0089090A"/>
    <w:rsid w:val="00890D28"/>
    <w:rsid w:val="00891058"/>
    <w:rsid w:val="008923B8"/>
    <w:rsid w:val="008926E8"/>
    <w:rsid w:val="0089337C"/>
    <w:rsid w:val="00893528"/>
    <w:rsid w:val="008945F4"/>
    <w:rsid w:val="008966BC"/>
    <w:rsid w:val="008969AF"/>
    <w:rsid w:val="008A1575"/>
    <w:rsid w:val="008A175C"/>
    <w:rsid w:val="008A1A4E"/>
    <w:rsid w:val="008A1D1E"/>
    <w:rsid w:val="008A259A"/>
    <w:rsid w:val="008A3AF4"/>
    <w:rsid w:val="008A3F11"/>
    <w:rsid w:val="008A4131"/>
    <w:rsid w:val="008A4280"/>
    <w:rsid w:val="008A4F3E"/>
    <w:rsid w:val="008A67BC"/>
    <w:rsid w:val="008A7D7F"/>
    <w:rsid w:val="008B048D"/>
    <w:rsid w:val="008B07A6"/>
    <w:rsid w:val="008B3D24"/>
    <w:rsid w:val="008B4E45"/>
    <w:rsid w:val="008B4E63"/>
    <w:rsid w:val="008B53C4"/>
    <w:rsid w:val="008B5647"/>
    <w:rsid w:val="008B5BAF"/>
    <w:rsid w:val="008B6477"/>
    <w:rsid w:val="008B7F46"/>
    <w:rsid w:val="008C06BD"/>
    <w:rsid w:val="008C111A"/>
    <w:rsid w:val="008C11AE"/>
    <w:rsid w:val="008C14AA"/>
    <w:rsid w:val="008C183A"/>
    <w:rsid w:val="008C1E16"/>
    <w:rsid w:val="008C1ECD"/>
    <w:rsid w:val="008C28E6"/>
    <w:rsid w:val="008C366B"/>
    <w:rsid w:val="008C48A8"/>
    <w:rsid w:val="008C5B46"/>
    <w:rsid w:val="008C63D6"/>
    <w:rsid w:val="008C70A1"/>
    <w:rsid w:val="008C7699"/>
    <w:rsid w:val="008C7E65"/>
    <w:rsid w:val="008D0705"/>
    <w:rsid w:val="008D0CE5"/>
    <w:rsid w:val="008D143A"/>
    <w:rsid w:val="008D230C"/>
    <w:rsid w:val="008D2DF1"/>
    <w:rsid w:val="008D30DB"/>
    <w:rsid w:val="008D36DB"/>
    <w:rsid w:val="008D4094"/>
    <w:rsid w:val="008D46D2"/>
    <w:rsid w:val="008D4B4F"/>
    <w:rsid w:val="008D7304"/>
    <w:rsid w:val="008D7F41"/>
    <w:rsid w:val="008E05B0"/>
    <w:rsid w:val="008E0C3D"/>
    <w:rsid w:val="008E0D8D"/>
    <w:rsid w:val="008E2295"/>
    <w:rsid w:val="008E24E4"/>
    <w:rsid w:val="008E2D1D"/>
    <w:rsid w:val="008E328E"/>
    <w:rsid w:val="008E33D2"/>
    <w:rsid w:val="008E3806"/>
    <w:rsid w:val="008E389C"/>
    <w:rsid w:val="008E463A"/>
    <w:rsid w:val="008E4B7B"/>
    <w:rsid w:val="008E5A0E"/>
    <w:rsid w:val="008E6109"/>
    <w:rsid w:val="008E667F"/>
    <w:rsid w:val="008E6D4B"/>
    <w:rsid w:val="008E7F2D"/>
    <w:rsid w:val="008F0E80"/>
    <w:rsid w:val="008F151F"/>
    <w:rsid w:val="008F18CE"/>
    <w:rsid w:val="008F1AA4"/>
    <w:rsid w:val="008F2C43"/>
    <w:rsid w:val="008F2D02"/>
    <w:rsid w:val="008F2FD6"/>
    <w:rsid w:val="008F31DC"/>
    <w:rsid w:val="008F435A"/>
    <w:rsid w:val="008F5353"/>
    <w:rsid w:val="008F6291"/>
    <w:rsid w:val="008F63B2"/>
    <w:rsid w:val="008F6D39"/>
    <w:rsid w:val="008F7BF9"/>
    <w:rsid w:val="008F7D90"/>
    <w:rsid w:val="009006D0"/>
    <w:rsid w:val="0090084D"/>
    <w:rsid w:val="00900CDB"/>
    <w:rsid w:val="009023F1"/>
    <w:rsid w:val="009023F5"/>
    <w:rsid w:val="00902DDB"/>
    <w:rsid w:val="009034EF"/>
    <w:rsid w:val="009035A4"/>
    <w:rsid w:val="00903835"/>
    <w:rsid w:val="00903B85"/>
    <w:rsid w:val="0090415B"/>
    <w:rsid w:val="00904C56"/>
    <w:rsid w:val="00906159"/>
    <w:rsid w:val="009062D9"/>
    <w:rsid w:val="0090769B"/>
    <w:rsid w:val="00907B98"/>
    <w:rsid w:val="00907C6B"/>
    <w:rsid w:val="00910195"/>
    <w:rsid w:val="009106A5"/>
    <w:rsid w:val="009117C9"/>
    <w:rsid w:val="0091302A"/>
    <w:rsid w:val="00913134"/>
    <w:rsid w:val="00913879"/>
    <w:rsid w:val="009140A9"/>
    <w:rsid w:val="009146B1"/>
    <w:rsid w:val="009150B8"/>
    <w:rsid w:val="009158EE"/>
    <w:rsid w:val="009164A3"/>
    <w:rsid w:val="00916646"/>
    <w:rsid w:val="009167DC"/>
    <w:rsid w:val="0092008F"/>
    <w:rsid w:val="009204A3"/>
    <w:rsid w:val="00920B67"/>
    <w:rsid w:val="00921311"/>
    <w:rsid w:val="009217A2"/>
    <w:rsid w:val="009226DE"/>
    <w:rsid w:val="009233BF"/>
    <w:rsid w:val="009234A3"/>
    <w:rsid w:val="00923626"/>
    <w:rsid w:val="00923B2C"/>
    <w:rsid w:val="00923B85"/>
    <w:rsid w:val="0092403D"/>
    <w:rsid w:val="009241D2"/>
    <w:rsid w:val="009254D5"/>
    <w:rsid w:val="00925BD0"/>
    <w:rsid w:val="009261F3"/>
    <w:rsid w:val="00931A53"/>
    <w:rsid w:val="00932A5A"/>
    <w:rsid w:val="009333AF"/>
    <w:rsid w:val="00933DC5"/>
    <w:rsid w:val="00933E07"/>
    <w:rsid w:val="00934204"/>
    <w:rsid w:val="009344AD"/>
    <w:rsid w:val="00934DDC"/>
    <w:rsid w:val="00935071"/>
    <w:rsid w:val="00935551"/>
    <w:rsid w:val="0093674E"/>
    <w:rsid w:val="00936D98"/>
    <w:rsid w:val="0093739E"/>
    <w:rsid w:val="00937AE3"/>
    <w:rsid w:val="0094038C"/>
    <w:rsid w:val="00940901"/>
    <w:rsid w:val="00940A41"/>
    <w:rsid w:val="00940AF2"/>
    <w:rsid w:val="00941B7D"/>
    <w:rsid w:val="00941C8F"/>
    <w:rsid w:val="0094380E"/>
    <w:rsid w:val="00943FAB"/>
    <w:rsid w:val="0094454B"/>
    <w:rsid w:val="00944B45"/>
    <w:rsid w:val="0094509E"/>
    <w:rsid w:val="009459BB"/>
    <w:rsid w:val="009464A1"/>
    <w:rsid w:val="0094687A"/>
    <w:rsid w:val="00946991"/>
    <w:rsid w:val="00947E6D"/>
    <w:rsid w:val="009502F8"/>
    <w:rsid w:val="00950743"/>
    <w:rsid w:val="00950F0A"/>
    <w:rsid w:val="00951A12"/>
    <w:rsid w:val="00953157"/>
    <w:rsid w:val="00953AF7"/>
    <w:rsid w:val="00953B5B"/>
    <w:rsid w:val="00953EE8"/>
    <w:rsid w:val="009542AD"/>
    <w:rsid w:val="009550E9"/>
    <w:rsid w:val="0095647F"/>
    <w:rsid w:val="009566B0"/>
    <w:rsid w:val="0095677C"/>
    <w:rsid w:val="00956992"/>
    <w:rsid w:val="00956A94"/>
    <w:rsid w:val="009572FF"/>
    <w:rsid w:val="009604D1"/>
    <w:rsid w:val="00960550"/>
    <w:rsid w:val="00961197"/>
    <w:rsid w:val="009613A0"/>
    <w:rsid w:val="0096179E"/>
    <w:rsid w:val="00962A97"/>
    <w:rsid w:val="00962D26"/>
    <w:rsid w:val="00963125"/>
    <w:rsid w:val="009633D1"/>
    <w:rsid w:val="009637BF"/>
    <w:rsid w:val="009640EF"/>
    <w:rsid w:val="009664F9"/>
    <w:rsid w:val="00970943"/>
    <w:rsid w:val="0097190B"/>
    <w:rsid w:val="00971AB5"/>
    <w:rsid w:val="00971ABA"/>
    <w:rsid w:val="00971E05"/>
    <w:rsid w:val="00972103"/>
    <w:rsid w:val="00972CB1"/>
    <w:rsid w:val="00973A8C"/>
    <w:rsid w:val="009743BF"/>
    <w:rsid w:val="009749D5"/>
    <w:rsid w:val="00975937"/>
    <w:rsid w:val="00975A61"/>
    <w:rsid w:val="0097656D"/>
    <w:rsid w:val="00976836"/>
    <w:rsid w:val="00976846"/>
    <w:rsid w:val="009777FF"/>
    <w:rsid w:val="00977EAE"/>
    <w:rsid w:val="00981156"/>
    <w:rsid w:val="00981C60"/>
    <w:rsid w:val="0098315B"/>
    <w:rsid w:val="00983602"/>
    <w:rsid w:val="00983924"/>
    <w:rsid w:val="00984145"/>
    <w:rsid w:val="00985175"/>
    <w:rsid w:val="00985EAF"/>
    <w:rsid w:val="009869EA"/>
    <w:rsid w:val="0098755F"/>
    <w:rsid w:val="009905C5"/>
    <w:rsid w:val="0099088E"/>
    <w:rsid w:val="00990C0A"/>
    <w:rsid w:val="0099169E"/>
    <w:rsid w:val="00992196"/>
    <w:rsid w:val="009931D8"/>
    <w:rsid w:val="00993215"/>
    <w:rsid w:val="009937F0"/>
    <w:rsid w:val="00993807"/>
    <w:rsid w:val="00993A28"/>
    <w:rsid w:val="00993BF5"/>
    <w:rsid w:val="0099434E"/>
    <w:rsid w:val="00994987"/>
    <w:rsid w:val="009950CF"/>
    <w:rsid w:val="00996103"/>
    <w:rsid w:val="009A0F10"/>
    <w:rsid w:val="009A28D0"/>
    <w:rsid w:val="009A3EAE"/>
    <w:rsid w:val="009A418E"/>
    <w:rsid w:val="009A43A0"/>
    <w:rsid w:val="009A498B"/>
    <w:rsid w:val="009A4BF3"/>
    <w:rsid w:val="009A50E4"/>
    <w:rsid w:val="009A523A"/>
    <w:rsid w:val="009A536A"/>
    <w:rsid w:val="009A56E7"/>
    <w:rsid w:val="009A5801"/>
    <w:rsid w:val="009A6714"/>
    <w:rsid w:val="009A6FCF"/>
    <w:rsid w:val="009A7778"/>
    <w:rsid w:val="009B0356"/>
    <w:rsid w:val="009B2F77"/>
    <w:rsid w:val="009B5B49"/>
    <w:rsid w:val="009B6116"/>
    <w:rsid w:val="009B6197"/>
    <w:rsid w:val="009B67EF"/>
    <w:rsid w:val="009B6842"/>
    <w:rsid w:val="009B6ABE"/>
    <w:rsid w:val="009B6F24"/>
    <w:rsid w:val="009B712C"/>
    <w:rsid w:val="009B774B"/>
    <w:rsid w:val="009C09FF"/>
    <w:rsid w:val="009C0FEB"/>
    <w:rsid w:val="009C133D"/>
    <w:rsid w:val="009C1FEB"/>
    <w:rsid w:val="009C25D6"/>
    <w:rsid w:val="009C3661"/>
    <w:rsid w:val="009C3F89"/>
    <w:rsid w:val="009C4BC7"/>
    <w:rsid w:val="009C5B0C"/>
    <w:rsid w:val="009C6439"/>
    <w:rsid w:val="009C6AF8"/>
    <w:rsid w:val="009C7BDE"/>
    <w:rsid w:val="009C7D6E"/>
    <w:rsid w:val="009D0274"/>
    <w:rsid w:val="009D0C54"/>
    <w:rsid w:val="009D132C"/>
    <w:rsid w:val="009D1745"/>
    <w:rsid w:val="009D2162"/>
    <w:rsid w:val="009D281B"/>
    <w:rsid w:val="009D2A16"/>
    <w:rsid w:val="009D2B9C"/>
    <w:rsid w:val="009D2EFB"/>
    <w:rsid w:val="009D329E"/>
    <w:rsid w:val="009D3585"/>
    <w:rsid w:val="009D42CF"/>
    <w:rsid w:val="009D48F9"/>
    <w:rsid w:val="009D4986"/>
    <w:rsid w:val="009D5360"/>
    <w:rsid w:val="009D5B3F"/>
    <w:rsid w:val="009D6CC6"/>
    <w:rsid w:val="009D7EFD"/>
    <w:rsid w:val="009E037F"/>
    <w:rsid w:val="009E0718"/>
    <w:rsid w:val="009E1007"/>
    <w:rsid w:val="009E11DA"/>
    <w:rsid w:val="009E18AD"/>
    <w:rsid w:val="009E1EBE"/>
    <w:rsid w:val="009E2156"/>
    <w:rsid w:val="009E25CE"/>
    <w:rsid w:val="009E2DFB"/>
    <w:rsid w:val="009E31AF"/>
    <w:rsid w:val="009E4120"/>
    <w:rsid w:val="009E41DB"/>
    <w:rsid w:val="009E4271"/>
    <w:rsid w:val="009E4425"/>
    <w:rsid w:val="009E488E"/>
    <w:rsid w:val="009E48B7"/>
    <w:rsid w:val="009E49E3"/>
    <w:rsid w:val="009E5914"/>
    <w:rsid w:val="009E5AAA"/>
    <w:rsid w:val="009E5CA4"/>
    <w:rsid w:val="009E5DA0"/>
    <w:rsid w:val="009E6E7E"/>
    <w:rsid w:val="009E7C35"/>
    <w:rsid w:val="009F06BD"/>
    <w:rsid w:val="009F0D9B"/>
    <w:rsid w:val="009F2CA0"/>
    <w:rsid w:val="009F2FA5"/>
    <w:rsid w:val="009F366F"/>
    <w:rsid w:val="009F41F3"/>
    <w:rsid w:val="009F4693"/>
    <w:rsid w:val="009F4A35"/>
    <w:rsid w:val="009F56D8"/>
    <w:rsid w:val="009F64F9"/>
    <w:rsid w:val="009F65FB"/>
    <w:rsid w:val="009F6C1F"/>
    <w:rsid w:val="009F6C9E"/>
    <w:rsid w:val="009F6E24"/>
    <w:rsid w:val="009F7401"/>
    <w:rsid w:val="009F79E6"/>
    <w:rsid w:val="00A000DE"/>
    <w:rsid w:val="00A01109"/>
    <w:rsid w:val="00A021F9"/>
    <w:rsid w:val="00A03197"/>
    <w:rsid w:val="00A032BE"/>
    <w:rsid w:val="00A03334"/>
    <w:rsid w:val="00A03FB6"/>
    <w:rsid w:val="00A04265"/>
    <w:rsid w:val="00A06ECB"/>
    <w:rsid w:val="00A0793B"/>
    <w:rsid w:val="00A1056E"/>
    <w:rsid w:val="00A11891"/>
    <w:rsid w:val="00A119D5"/>
    <w:rsid w:val="00A11B1D"/>
    <w:rsid w:val="00A12AF1"/>
    <w:rsid w:val="00A13F42"/>
    <w:rsid w:val="00A14625"/>
    <w:rsid w:val="00A1464D"/>
    <w:rsid w:val="00A14EFB"/>
    <w:rsid w:val="00A151D5"/>
    <w:rsid w:val="00A1528B"/>
    <w:rsid w:val="00A16520"/>
    <w:rsid w:val="00A17999"/>
    <w:rsid w:val="00A17AA6"/>
    <w:rsid w:val="00A17BA4"/>
    <w:rsid w:val="00A17C84"/>
    <w:rsid w:val="00A219D8"/>
    <w:rsid w:val="00A21ADA"/>
    <w:rsid w:val="00A22DD2"/>
    <w:rsid w:val="00A22F99"/>
    <w:rsid w:val="00A2373F"/>
    <w:rsid w:val="00A25D90"/>
    <w:rsid w:val="00A25E39"/>
    <w:rsid w:val="00A26D12"/>
    <w:rsid w:val="00A27053"/>
    <w:rsid w:val="00A27640"/>
    <w:rsid w:val="00A27723"/>
    <w:rsid w:val="00A30001"/>
    <w:rsid w:val="00A309DB"/>
    <w:rsid w:val="00A30DA9"/>
    <w:rsid w:val="00A30E66"/>
    <w:rsid w:val="00A31568"/>
    <w:rsid w:val="00A32F48"/>
    <w:rsid w:val="00A3338A"/>
    <w:rsid w:val="00A3353B"/>
    <w:rsid w:val="00A33B93"/>
    <w:rsid w:val="00A340DA"/>
    <w:rsid w:val="00A358BF"/>
    <w:rsid w:val="00A360C3"/>
    <w:rsid w:val="00A365DA"/>
    <w:rsid w:val="00A36A9D"/>
    <w:rsid w:val="00A36B2E"/>
    <w:rsid w:val="00A36CA5"/>
    <w:rsid w:val="00A3722E"/>
    <w:rsid w:val="00A37E71"/>
    <w:rsid w:val="00A37FCB"/>
    <w:rsid w:val="00A40060"/>
    <w:rsid w:val="00A40285"/>
    <w:rsid w:val="00A4095E"/>
    <w:rsid w:val="00A40FC6"/>
    <w:rsid w:val="00A41BBA"/>
    <w:rsid w:val="00A41C17"/>
    <w:rsid w:val="00A4212D"/>
    <w:rsid w:val="00A429F9"/>
    <w:rsid w:val="00A42F6D"/>
    <w:rsid w:val="00A43442"/>
    <w:rsid w:val="00A43BF1"/>
    <w:rsid w:val="00A44689"/>
    <w:rsid w:val="00A44A41"/>
    <w:rsid w:val="00A456A8"/>
    <w:rsid w:val="00A45F71"/>
    <w:rsid w:val="00A46722"/>
    <w:rsid w:val="00A4683E"/>
    <w:rsid w:val="00A46FF9"/>
    <w:rsid w:val="00A5003F"/>
    <w:rsid w:val="00A5054F"/>
    <w:rsid w:val="00A50E1E"/>
    <w:rsid w:val="00A510D2"/>
    <w:rsid w:val="00A51141"/>
    <w:rsid w:val="00A51C69"/>
    <w:rsid w:val="00A51EA3"/>
    <w:rsid w:val="00A52D4B"/>
    <w:rsid w:val="00A5349B"/>
    <w:rsid w:val="00A542CF"/>
    <w:rsid w:val="00A54D2B"/>
    <w:rsid w:val="00A553A7"/>
    <w:rsid w:val="00A556E5"/>
    <w:rsid w:val="00A56231"/>
    <w:rsid w:val="00A56B3D"/>
    <w:rsid w:val="00A57FC6"/>
    <w:rsid w:val="00A600C3"/>
    <w:rsid w:val="00A60B37"/>
    <w:rsid w:val="00A61F9A"/>
    <w:rsid w:val="00A624D3"/>
    <w:rsid w:val="00A62650"/>
    <w:rsid w:val="00A62C08"/>
    <w:rsid w:val="00A6347E"/>
    <w:rsid w:val="00A63E37"/>
    <w:rsid w:val="00A64797"/>
    <w:rsid w:val="00A64AE7"/>
    <w:rsid w:val="00A651D4"/>
    <w:rsid w:val="00A6532C"/>
    <w:rsid w:val="00A6539F"/>
    <w:rsid w:val="00A65D6C"/>
    <w:rsid w:val="00A65FE6"/>
    <w:rsid w:val="00A66AF2"/>
    <w:rsid w:val="00A66D92"/>
    <w:rsid w:val="00A67352"/>
    <w:rsid w:val="00A6767D"/>
    <w:rsid w:val="00A67781"/>
    <w:rsid w:val="00A67A1E"/>
    <w:rsid w:val="00A707DF"/>
    <w:rsid w:val="00A71933"/>
    <w:rsid w:val="00A71C97"/>
    <w:rsid w:val="00A71F84"/>
    <w:rsid w:val="00A726F5"/>
    <w:rsid w:val="00A73AAD"/>
    <w:rsid w:val="00A76468"/>
    <w:rsid w:val="00A80335"/>
    <w:rsid w:val="00A80373"/>
    <w:rsid w:val="00A80F47"/>
    <w:rsid w:val="00A81FB7"/>
    <w:rsid w:val="00A8270C"/>
    <w:rsid w:val="00A82E1A"/>
    <w:rsid w:val="00A83B49"/>
    <w:rsid w:val="00A83BAF"/>
    <w:rsid w:val="00A868DE"/>
    <w:rsid w:val="00A86E31"/>
    <w:rsid w:val="00A87808"/>
    <w:rsid w:val="00A87F61"/>
    <w:rsid w:val="00A908D0"/>
    <w:rsid w:val="00A91406"/>
    <w:rsid w:val="00A92223"/>
    <w:rsid w:val="00A927E3"/>
    <w:rsid w:val="00A93790"/>
    <w:rsid w:val="00A939EF"/>
    <w:rsid w:val="00A95AF7"/>
    <w:rsid w:val="00A95BC4"/>
    <w:rsid w:val="00A9683D"/>
    <w:rsid w:val="00A9734F"/>
    <w:rsid w:val="00A97A97"/>
    <w:rsid w:val="00AA1EF9"/>
    <w:rsid w:val="00AA34D3"/>
    <w:rsid w:val="00AA459C"/>
    <w:rsid w:val="00AA464B"/>
    <w:rsid w:val="00AA5D42"/>
    <w:rsid w:val="00AA5F1E"/>
    <w:rsid w:val="00AA6973"/>
    <w:rsid w:val="00AA6B04"/>
    <w:rsid w:val="00AA6B7F"/>
    <w:rsid w:val="00AA7A2E"/>
    <w:rsid w:val="00AB047C"/>
    <w:rsid w:val="00AB1140"/>
    <w:rsid w:val="00AB1640"/>
    <w:rsid w:val="00AB272A"/>
    <w:rsid w:val="00AB2819"/>
    <w:rsid w:val="00AB2B43"/>
    <w:rsid w:val="00AB367D"/>
    <w:rsid w:val="00AB4540"/>
    <w:rsid w:val="00AB4719"/>
    <w:rsid w:val="00AB4B6A"/>
    <w:rsid w:val="00AB52F4"/>
    <w:rsid w:val="00AB6AD0"/>
    <w:rsid w:val="00AB7A1E"/>
    <w:rsid w:val="00AC050E"/>
    <w:rsid w:val="00AC0C74"/>
    <w:rsid w:val="00AC0FAE"/>
    <w:rsid w:val="00AC1820"/>
    <w:rsid w:val="00AC194B"/>
    <w:rsid w:val="00AC1F41"/>
    <w:rsid w:val="00AC20A8"/>
    <w:rsid w:val="00AC21DD"/>
    <w:rsid w:val="00AC2EC1"/>
    <w:rsid w:val="00AC3D25"/>
    <w:rsid w:val="00AC40A3"/>
    <w:rsid w:val="00AC5833"/>
    <w:rsid w:val="00AC65AD"/>
    <w:rsid w:val="00AC6D83"/>
    <w:rsid w:val="00AD0135"/>
    <w:rsid w:val="00AD01EB"/>
    <w:rsid w:val="00AD082D"/>
    <w:rsid w:val="00AD14FC"/>
    <w:rsid w:val="00AD1BDF"/>
    <w:rsid w:val="00AD1D64"/>
    <w:rsid w:val="00AD2601"/>
    <w:rsid w:val="00AD27B7"/>
    <w:rsid w:val="00AD4374"/>
    <w:rsid w:val="00AD4502"/>
    <w:rsid w:val="00AD4873"/>
    <w:rsid w:val="00AD766B"/>
    <w:rsid w:val="00AD7BDB"/>
    <w:rsid w:val="00AD7CC0"/>
    <w:rsid w:val="00AE19DB"/>
    <w:rsid w:val="00AE345D"/>
    <w:rsid w:val="00AE346E"/>
    <w:rsid w:val="00AE410D"/>
    <w:rsid w:val="00AE45F6"/>
    <w:rsid w:val="00AE4968"/>
    <w:rsid w:val="00AE5B71"/>
    <w:rsid w:val="00AE6695"/>
    <w:rsid w:val="00AE7627"/>
    <w:rsid w:val="00AE7D18"/>
    <w:rsid w:val="00AF098D"/>
    <w:rsid w:val="00AF138F"/>
    <w:rsid w:val="00AF1FDC"/>
    <w:rsid w:val="00AF44FD"/>
    <w:rsid w:val="00AF4981"/>
    <w:rsid w:val="00AF4B41"/>
    <w:rsid w:val="00AF52A3"/>
    <w:rsid w:val="00AF6993"/>
    <w:rsid w:val="00AF69BC"/>
    <w:rsid w:val="00AF7386"/>
    <w:rsid w:val="00AF7531"/>
    <w:rsid w:val="00AF7786"/>
    <w:rsid w:val="00B00CF7"/>
    <w:rsid w:val="00B00D2D"/>
    <w:rsid w:val="00B00F25"/>
    <w:rsid w:val="00B01C1C"/>
    <w:rsid w:val="00B0258B"/>
    <w:rsid w:val="00B027CA"/>
    <w:rsid w:val="00B02B42"/>
    <w:rsid w:val="00B04150"/>
    <w:rsid w:val="00B041CF"/>
    <w:rsid w:val="00B04C0F"/>
    <w:rsid w:val="00B052DD"/>
    <w:rsid w:val="00B05495"/>
    <w:rsid w:val="00B05544"/>
    <w:rsid w:val="00B05C7C"/>
    <w:rsid w:val="00B05CC4"/>
    <w:rsid w:val="00B0724D"/>
    <w:rsid w:val="00B07545"/>
    <w:rsid w:val="00B07ADD"/>
    <w:rsid w:val="00B10489"/>
    <w:rsid w:val="00B1130E"/>
    <w:rsid w:val="00B113EF"/>
    <w:rsid w:val="00B11706"/>
    <w:rsid w:val="00B11BB2"/>
    <w:rsid w:val="00B12792"/>
    <w:rsid w:val="00B12B40"/>
    <w:rsid w:val="00B1343B"/>
    <w:rsid w:val="00B13AC9"/>
    <w:rsid w:val="00B13B12"/>
    <w:rsid w:val="00B13F3B"/>
    <w:rsid w:val="00B1412B"/>
    <w:rsid w:val="00B153C4"/>
    <w:rsid w:val="00B1568A"/>
    <w:rsid w:val="00B161AB"/>
    <w:rsid w:val="00B163B9"/>
    <w:rsid w:val="00B16BB7"/>
    <w:rsid w:val="00B175AC"/>
    <w:rsid w:val="00B2003B"/>
    <w:rsid w:val="00B214E4"/>
    <w:rsid w:val="00B2156F"/>
    <w:rsid w:val="00B2192D"/>
    <w:rsid w:val="00B2196D"/>
    <w:rsid w:val="00B22057"/>
    <w:rsid w:val="00B223A3"/>
    <w:rsid w:val="00B23136"/>
    <w:rsid w:val="00B257B5"/>
    <w:rsid w:val="00B25A5D"/>
    <w:rsid w:val="00B268BF"/>
    <w:rsid w:val="00B26900"/>
    <w:rsid w:val="00B26B02"/>
    <w:rsid w:val="00B26CA2"/>
    <w:rsid w:val="00B27EE6"/>
    <w:rsid w:val="00B30108"/>
    <w:rsid w:val="00B310F8"/>
    <w:rsid w:val="00B3119D"/>
    <w:rsid w:val="00B31697"/>
    <w:rsid w:val="00B32435"/>
    <w:rsid w:val="00B3302D"/>
    <w:rsid w:val="00B33D58"/>
    <w:rsid w:val="00B3419C"/>
    <w:rsid w:val="00B34649"/>
    <w:rsid w:val="00B34B94"/>
    <w:rsid w:val="00B35329"/>
    <w:rsid w:val="00B362BA"/>
    <w:rsid w:val="00B36F4E"/>
    <w:rsid w:val="00B401BC"/>
    <w:rsid w:val="00B4030F"/>
    <w:rsid w:val="00B404CC"/>
    <w:rsid w:val="00B4063E"/>
    <w:rsid w:val="00B41669"/>
    <w:rsid w:val="00B41AB2"/>
    <w:rsid w:val="00B41D02"/>
    <w:rsid w:val="00B4232A"/>
    <w:rsid w:val="00B43442"/>
    <w:rsid w:val="00B436E7"/>
    <w:rsid w:val="00B442D5"/>
    <w:rsid w:val="00B44F6C"/>
    <w:rsid w:val="00B45484"/>
    <w:rsid w:val="00B4594E"/>
    <w:rsid w:val="00B45E71"/>
    <w:rsid w:val="00B46BDC"/>
    <w:rsid w:val="00B47F5D"/>
    <w:rsid w:val="00B506F2"/>
    <w:rsid w:val="00B5114D"/>
    <w:rsid w:val="00B516C7"/>
    <w:rsid w:val="00B51CF6"/>
    <w:rsid w:val="00B52C06"/>
    <w:rsid w:val="00B52D13"/>
    <w:rsid w:val="00B541A0"/>
    <w:rsid w:val="00B56438"/>
    <w:rsid w:val="00B5683C"/>
    <w:rsid w:val="00B569D7"/>
    <w:rsid w:val="00B56A44"/>
    <w:rsid w:val="00B57704"/>
    <w:rsid w:val="00B61112"/>
    <w:rsid w:val="00B61EBD"/>
    <w:rsid w:val="00B62479"/>
    <w:rsid w:val="00B62FB4"/>
    <w:rsid w:val="00B6349B"/>
    <w:rsid w:val="00B647BB"/>
    <w:rsid w:val="00B649A1"/>
    <w:rsid w:val="00B649BA"/>
    <w:rsid w:val="00B64AE2"/>
    <w:rsid w:val="00B64DF8"/>
    <w:rsid w:val="00B66332"/>
    <w:rsid w:val="00B67BAF"/>
    <w:rsid w:val="00B67DEA"/>
    <w:rsid w:val="00B7081A"/>
    <w:rsid w:val="00B711CC"/>
    <w:rsid w:val="00B714E2"/>
    <w:rsid w:val="00B7190C"/>
    <w:rsid w:val="00B71B55"/>
    <w:rsid w:val="00B71EB6"/>
    <w:rsid w:val="00B7238E"/>
    <w:rsid w:val="00B72458"/>
    <w:rsid w:val="00B736EA"/>
    <w:rsid w:val="00B73C17"/>
    <w:rsid w:val="00B74328"/>
    <w:rsid w:val="00B744F1"/>
    <w:rsid w:val="00B75242"/>
    <w:rsid w:val="00B754C4"/>
    <w:rsid w:val="00B75F07"/>
    <w:rsid w:val="00B75F5D"/>
    <w:rsid w:val="00B7637F"/>
    <w:rsid w:val="00B779C4"/>
    <w:rsid w:val="00B77D16"/>
    <w:rsid w:val="00B8088D"/>
    <w:rsid w:val="00B8124B"/>
    <w:rsid w:val="00B81C2E"/>
    <w:rsid w:val="00B81E14"/>
    <w:rsid w:val="00B822A1"/>
    <w:rsid w:val="00B82745"/>
    <w:rsid w:val="00B82CCB"/>
    <w:rsid w:val="00B84610"/>
    <w:rsid w:val="00B848F9"/>
    <w:rsid w:val="00B854AD"/>
    <w:rsid w:val="00B854E5"/>
    <w:rsid w:val="00B85BEE"/>
    <w:rsid w:val="00B85E51"/>
    <w:rsid w:val="00B86346"/>
    <w:rsid w:val="00B86BA3"/>
    <w:rsid w:val="00B86E3B"/>
    <w:rsid w:val="00B873DE"/>
    <w:rsid w:val="00B87451"/>
    <w:rsid w:val="00B8750D"/>
    <w:rsid w:val="00B909C2"/>
    <w:rsid w:val="00B90BF6"/>
    <w:rsid w:val="00B91C95"/>
    <w:rsid w:val="00B922FB"/>
    <w:rsid w:val="00B94447"/>
    <w:rsid w:val="00B948AA"/>
    <w:rsid w:val="00B950EB"/>
    <w:rsid w:val="00B951ED"/>
    <w:rsid w:val="00B953F0"/>
    <w:rsid w:val="00B95948"/>
    <w:rsid w:val="00B96122"/>
    <w:rsid w:val="00BA28EF"/>
    <w:rsid w:val="00BA3216"/>
    <w:rsid w:val="00BA3BAD"/>
    <w:rsid w:val="00BA425B"/>
    <w:rsid w:val="00BA4A7B"/>
    <w:rsid w:val="00BA62ED"/>
    <w:rsid w:val="00BA6358"/>
    <w:rsid w:val="00BA6CF3"/>
    <w:rsid w:val="00BA6D32"/>
    <w:rsid w:val="00BA6FE7"/>
    <w:rsid w:val="00BA7510"/>
    <w:rsid w:val="00BA79D9"/>
    <w:rsid w:val="00BA7CD1"/>
    <w:rsid w:val="00BB08D8"/>
    <w:rsid w:val="00BB0902"/>
    <w:rsid w:val="00BB0BAC"/>
    <w:rsid w:val="00BB0FD7"/>
    <w:rsid w:val="00BB2BDC"/>
    <w:rsid w:val="00BB3E58"/>
    <w:rsid w:val="00BB407A"/>
    <w:rsid w:val="00BB4A9E"/>
    <w:rsid w:val="00BB4CBE"/>
    <w:rsid w:val="00BB58AF"/>
    <w:rsid w:val="00BB600E"/>
    <w:rsid w:val="00BB6A31"/>
    <w:rsid w:val="00BB6B6F"/>
    <w:rsid w:val="00BB7CA6"/>
    <w:rsid w:val="00BC04D8"/>
    <w:rsid w:val="00BC0812"/>
    <w:rsid w:val="00BC0C9C"/>
    <w:rsid w:val="00BC179C"/>
    <w:rsid w:val="00BC187D"/>
    <w:rsid w:val="00BC34E2"/>
    <w:rsid w:val="00BC39F2"/>
    <w:rsid w:val="00BC3C18"/>
    <w:rsid w:val="00BC3C52"/>
    <w:rsid w:val="00BC41AB"/>
    <w:rsid w:val="00BC4D5F"/>
    <w:rsid w:val="00BC57BD"/>
    <w:rsid w:val="00BC60FE"/>
    <w:rsid w:val="00BC6377"/>
    <w:rsid w:val="00BD034A"/>
    <w:rsid w:val="00BD0C21"/>
    <w:rsid w:val="00BD2379"/>
    <w:rsid w:val="00BD2969"/>
    <w:rsid w:val="00BD2993"/>
    <w:rsid w:val="00BD2EBC"/>
    <w:rsid w:val="00BD3305"/>
    <w:rsid w:val="00BD34BD"/>
    <w:rsid w:val="00BD3DD4"/>
    <w:rsid w:val="00BD4835"/>
    <w:rsid w:val="00BD49C4"/>
    <w:rsid w:val="00BD52DD"/>
    <w:rsid w:val="00BD759C"/>
    <w:rsid w:val="00BD75F1"/>
    <w:rsid w:val="00BD77B2"/>
    <w:rsid w:val="00BD7BA9"/>
    <w:rsid w:val="00BD7C09"/>
    <w:rsid w:val="00BE05AE"/>
    <w:rsid w:val="00BE0C7E"/>
    <w:rsid w:val="00BE220D"/>
    <w:rsid w:val="00BE24A3"/>
    <w:rsid w:val="00BE25FE"/>
    <w:rsid w:val="00BE345F"/>
    <w:rsid w:val="00BE37E0"/>
    <w:rsid w:val="00BE3DE9"/>
    <w:rsid w:val="00BE4FEB"/>
    <w:rsid w:val="00BE561B"/>
    <w:rsid w:val="00BE596D"/>
    <w:rsid w:val="00BE5D64"/>
    <w:rsid w:val="00BE5EBB"/>
    <w:rsid w:val="00BF102A"/>
    <w:rsid w:val="00BF17F8"/>
    <w:rsid w:val="00BF1A84"/>
    <w:rsid w:val="00BF1F7C"/>
    <w:rsid w:val="00BF236E"/>
    <w:rsid w:val="00BF259D"/>
    <w:rsid w:val="00BF37F3"/>
    <w:rsid w:val="00BF40BB"/>
    <w:rsid w:val="00BF4517"/>
    <w:rsid w:val="00BF4C93"/>
    <w:rsid w:val="00BF60C1"/>
    <w:rsid w:val="00BF7B07"/>
    <w:rsid w:val="00C002ED"/>
    <w:rsid w:val="00C005F7"/>
    <w:rsid w:val="00C010DE"/>
    <w:rsid w:val="00C0234F"/>
    <w:rsid w:val="00C02C4A"/>
    <w:rsid w:val="00C031A9"/>
    <w:rsid w:val="00C03581"/>
    <w:rsid w:val="00C03EC5"/>
    <w:rsid w:val="00C04DCB"/>
    <w:rsid w:val="00C0560B"/>
    <w:rsid w:val="00C058C3"/>
    <w:rsid w:val="00C05C40"/>
    <w:rsid w:val="00C05D09"/>
    <w:rsid w:val="00C074D5"/>
    <w:rsid w:val="00C075CA"/>
    <w:rsid w:val="00C07D49"/>
    <w:rsid w:val="00C104FE"/>
    <w:rsid w:val="00C10660"/>
    <w:rsid w:val="00C1084D"/>
    <w:rsid w:val="00C10A0A"/>
    <w:rsid w:val="00C10DF0"/>
    <w:rsid w:val="00C1358B"/>
    <w:rsid w:val="00C1451D"/>
    <w:rsid w:val="00C14780"/>
    <w:rsid w:val="00C15D9E"/>
    <w:rsid w:val="00C164FD"/>
    <w:rsid w:val="00C174C9"/>
    <w:rsid w:val="00C177EF"/>
    <w:rsid w:val="00C17C7C"/>
    <w:rsid w:val="00C17F98"/>
    <w:rsid w:val="00C201C3"/>
    <w:rsid w:val="00C2081A"/>
    <w:rsid w:val="00C208AD"/>
    <w:rsid w:val="00C2094E"/>
    <w:rsid w:val="00C20EED"/>
    <w:rsid w:val="00C21383"/>
    <w:rsid w:val="00C217A7"/>
    <w:rsid w:val="00C223AC"/>
    <w:rsid w:val="00C230C3"/>
    <w:rsid w:val="00C23D07"/>
    <w:rsid w:val="00C23E95"/>
    <w:rsid w:val="00C25099"/>
    <w:rsid w:val="00C253F0"/>
    <w:rsid w:val="00C269F2"/>
    <w:rsid w:val="00C26F53"/>
    <w:rsid w:val="00C270EA"/>
    <w:rsid w:val="00C27B69"/>
    <w:rsid w:val="00C30481"/>
    <w:rsid w:val="00C30551"/>
    <w:rsid w:val="00C312CF"/>
    <w:rsid w:val="00C31C1D"/>
    <w:rsid w:val="00C328C1"/>
    <w:rsid w:val="00C32B94"/>
    <w:rsid w:val="00C33352"/>
    <w:rsid w:val="00C33E8C"/>
    <w:rsid w:val="00C34525"/>
    <w:rsid w:val="00C35ED8"/>
    <w:rsid w:val="00C3620B"/>
    <w:rsid w:val="00C36AE4"/>
    <w:rsid w:val="00C372B5"/>
    <w:rsid w:val="00C379C2"/>
    <w:rsid w:val="00C37BF0"/>
    <w:rsid w:val="00C40BB2"/>
    <w:rsid w:val="00C40F6F"/>
    <w:rsid w:val="00C413F3"/>
    <w:rsid w:val="00C426BF"/>
    <w:rsid w:val="00C429D1"/>
    <w:rsid w:val="00C42FEE"/>
    <w:rsid w:val="00C44497"/>
    <w:rsid w:val="00C44580"/>
    <w:rsid w:val="00C44753"/>
    <w:rsid w:val="00C45690"/>
    <w:rsid w:val="00C46ECF"/>
    <w:rsid w:val="00C47009"/>
    <w:rsid w:val="00C4738C"/>
    <w:rsid w:val="00C47B08"/>
    <w:rsid w:val="00C51DAA"/>
    <w:rsid w:val="00C5279A"/>
    <w:rsid w:val="00C528E3"/>
    <w:rsid w:val="00C52D45"/>
    <w:rsid w:val="00C52D97"/>
    <w:rsid w:val="00C53A1D"/>
    <w:rsid w:val="00C53E6A"/>
    <w:rsid w:val="00C54B8E"/>
    <w:rsid w:val="00C5512A"/>
    <w:rsid w:val="00C55D37"/>
    <w:rsid w:val="00C561D9"/>
    <w:rsid w:val="00C565F3"/>
    <w:rsid w:val="00C56DB1"/>
    <w:rsid w:val="00C5733B"/>
    <w:rsid w:val="00C57BE8"/>
    <w:rsid w:val="00C600E3"/>
    <w:rsid w:val="00C61283"/>
    <w:rsid w:val="00C61992"/>
    <w:rsid w:val="00C61AF3"/>
    <w:rsid w:val="00C6262C"/>
    <w:rsid w:val="00C645F2"/>
    <w:rsid w:val="00C6525C"/>
    <w:rsid w:val="00C6575B"/>
    <w:rsid w:val="00C669A2"/>
    <w:rsid w:val="00C66A06"/>
    <w:rsid w:val="00C66DD5"/>
    <w:rsid w:val="00C671F2"/>
    <w:rsid w:val="00C6723F"/>
    <w:rsid w:val="00C67B3B"/>
    <w:rsid w:val="00C7041C"/>
    <w:rsid w:val="00C7113E"/>
    <w:rsid w:val="00C71215"/>
    <w:rsid w:val="00C7151E"/>
    <w:rsid w:val="00C718A1"/>
    <w:rsid w:val="00C718BC"/>
    <w:rsid w:val="00C72295"/>
    <w:rsid w:val="00C74651"/>
    <w:rsid w:val="00C755C9"/>
    <w:rsid w:val="00C756F4"/>
    <w:rsid w:val="00C75848"/>
    <w:rsid w:val="00C77077"/>
    <w:rsid w:val="00C771AB"/>
    <w:rsid w:val="00C77776"/>
    <w:rsid w:val="00C77792"/>
    <w:rsid w:val="00C77A60"/>
    <w:rsid w:val="00C81769"/>
    <w:rsid w:val="00C824B0"/>
    <w:rsid w:val="00C82791"/>
    <w:rsid w:val="00C840B8"/>
    <w:rsid w:val="00C84DB8"/>
    <w:rsid w:val="00C85027"/>
    <w:rsid w:val="00C852BB"/>
    <w:rsid w:val="00C8611F"/>
    <w:rsid w:val="00C8612B"/>
    <w:rsid w:val="00C911A3"/>
    <w:rsid w:val="00C91C52"/>
    <w:rsid w:val="00C923B6"/>
    <w:rsid w:val="00C932AB"/>
    <w:rsid w:val="00C93A69"/>
    <w:rsid w:val="00C9546A"/>
    <w:rsid w:val="00C954E7"/>
    <w:rsid w:val="00C95619"/>
    <w:rsid w:val="00C95C6B"/>
    <w:rsid w:val="00C95DD4"/>
    <w:rsid w:val="00C97109"/>
    <w:rsid w:val="00C97E77"/>
    <w:rsid w:val="00CA003F"/>
    <w:rsid w:val="00CA1F3E"/>
    <w:rsid w:val="00CA2733"/>
    <w:rsid w:val="00CA4BBB"/>
    <w:rsid w:val="00CA4EF2"/>
    <w:rsid w:val="00CA699C"/>
    <w:rsid w:val="00CA6A31"/>
    <w:rsid w:val="00CA6BF3"/>
    <w:rsid w:val="00CA7142"/>
    <w:rsid w:val="00CB30A4"/>
    <w:rsid w:val="00CB441B"/>
    <w:rsid w:val="00CB471C"/>
    <w:rsid w:val="00CB4B08"/>
    <w:rsid w:val="00CB510E"/>
    <w:rsid w:val="00CB6202"/>
    <w:rsid w:val="00CB7181"/>
    <w:rsid w:val="00CB73F4"/>
    <w:rsid w:val="00CB7FF8"/>
    <w:rsid w:val="00CC0AC1"/>
    <w:rsid w:val="00CC1ACD"/>
    <w:rsid w:val="00CC1BE9"/>
    <w:rsid w:val="00CC311D"/>
    <w:rsid w:val="00CC3647"/>
    <w:rsid w:val="00CC3C9D"/>
    <w:rsid w:val="00CC43DE"/>
    <w:rsid w:val="00CC50BF"/>
    <w:rsid w:val="00CC572F"/>
    <w:rsid w:val="00CC7023"/>
    <w:rsid w:val="00CC7316"/>
    <w:rsid w:val="00CC760E"/>
    <w:rsid w:val="00CC7A26"/>
    <w:rsid w:val="00CC7A2C"/>
    <w:rsid w:val="00CC7B47"/>
    <w:rsid w:val="00CC7C87"/>
    <w:rsid w:val="00CC7E85"/>
    <w:rsid w:val="00CD00FF"/>
    <w:rsid w:val="00CD0CE3"/>
    <w:rsid w:val="00CD1A38"/>
    <w:rsid w:val="00CD2049"/>
    <w:rsid w:val="00CD2079"/>
    <w:rsid w:val="00CD2605"/>
    <w:rsid w:val="00CD3BFB"/>
    <w:rsid w:val="00CD477B"/>
    <w:rsid w:val="00CD4EC7"/>
    <w:rsid w:val="00CD687F"/>
    <w:rsid w:val="00CD7D6B"/>
    <w:rsid w:val="00CE1B4E"/>
    <w:rsid w:val="00CE1B72"/>
    <w:rsid w:val="00CE1EDD"/>
    <w:rsid w:val="00CE228A"/>
    <w:rsid w:val="00CE2D82"/>
    <w:rsid w:val="00CE555F"/>
    <w:rsid w:val="00CE5880"/>
    <w:rsid w:val="00CE654A"/>
    <w:rsid w:val="00CE687C"/>
    <w:rsid w:val="00CE7433"/>
    <w:rsid w:val="00CF1586"/>
    <w:rsid w:val="00CF158E"/>
    <w:rsid w:val="00CF1A7F"/>
    <w:rsid w:val="00CF1B54"/>
    <w:rsid w:val="00CF338D"/>
    <w:rsid w:val="00CF376E"/>
    <w:rsid w:val="00CF49C0"/>
    <w:rsid w:val="00CF4A7D"/>
    <w:rsid w:val="00CF4BA0"/>
    <w:rsid w:val="00CF51B3"/>
    <w:rsid w:val="00CF52F3"/>
    <w:rsid w:val="00CF54D5"/>
    <w:rsid w:val="00CF582C"/>
    <w:rsid w:val="00CF5CA7"/>
    <w:rsid w:val="00CF5F97"/>
    <w:rsid w:val="00CF6256"/>
    <w:rsid w:val="00CF78D3"/>
    <w:rsid w:val="00CF7C76"/>
    <w:rsid w:val="00CF7E95"/>
    <w:rsid w:val="00CF7F2F"/>
    <w:rsid w:val="00CF7F4C"/>
    <w:rsid w:val="00CF7F7A"/>
    <w:rsid w:val="00D00674"/>
    <w:rsid w:val="00D00F9C"/>
    <w:rsid w:val="00D012F1"/>
    <w:rsid w:val="00D018E0"/>
    <w:rsid w:val="00D01A2A"/>
    <w:rsid w:val="00D01A43"/>
    <w:rsid w:val="00D01B57"/>
    <w:rsid w:val="00D029DA"/>
    <w:rsid w:val="00D03C60"/>
    <w:rsid w:val="00D05CE4"/>
    <w:rsid w:val="00D06490"/>
    <w:rsid w:val="00D06744"/>
    <w:rsid w:val="00D06FF7"/>
    <w:rsid w:val="00D106C0"/>
    <w:rsid w:val="00D10879"/>
    <w:rsid w:val="00D11E96"/>
    <w:rsid w:val="00D12488"/>
    <w:rsid w:val="00D12AB5"/>
    <w:rsid w:val="00D139E0"/>
    <w:rsid w:val="00D140D9"/>
    <w:rsid w:val="00D14950"/>
    <w:rsid w:val="00D1530E"/>
    <w:rsid w:val="00D15F99"/>
    <w:rsid w:val="00D16ED3"/>
    <w:rsid w:val="00D175C6"/>
    <w:rsid w:val="00D17776"/>
    <w:rsid w:val="00D1781D"/>
    <w:rsid w:val="00D17A5D"/>
    <w:rsid w:val="00D20594"/>
    <w:rsid w:val="00D21319"/>
    <w:rsid w:val="00D21322"/>
    <w:rsid w:val="00D2186E"/>
    <w:rsid w:val="00D226F8"/>
    <w:rsid w:val="00D23945"/>
    <w:rsid w:val="00D245A1"/>
    <w:rsid w:val="00D25F0E"/>
    <w:rsid w:val="00D25F14"/>
    <w:rsid w:val="00D2611D"/>
    <w:rsid w:val="00D26EFC"/>
    <w:rsid w:val="00D26F7B"/>
    <w:rsid w:val="00D27A83"/>
    <w:rsid w:val="00D300E6"/>
    <w:rsid w:val="00D30E1F"/>
    <w:rsid w:val="00D30EA9"/>
    <w:rsid w:val="00D30F03"/>
    <w:rsid w:val="00D312DD"/>
    <w:rsid w:val="00D31500"/>
    <w:rsid w:val="00D31980"/>
    <w:rsid w:val="00D31EA4"/>
    <w:rsid w:val="00D32503"/>
    <w:rsid w:val="00D32CF5"/>
    <w:rsid w:val="00D3308E"/>
    <w:rsid w:val="00D333FF"/>
    <w:rsid w:val="00D33EA9"/>
    <w:rsid w:val="00D3477A"/>
    <w:rsid w:val="00D3487D"/>
    <w:rsid w:val="00D34EF6"/>
    <w:rsid w:val="00D350B1"/>
    <w:rsid w:val="00D354E0"/>
    <w:rsid w:val="00D359D2"/>
    <w:rsid w:val="00D3676F"/>
    <w:rsid w:val="00D36E3E"/>
    <w:rsid w:val="00D36FBE"/>
    <w:rsid w:val="00D3739F"/>
    <w:rsid w:val="00D378B9"/>
    <w:rsid w:val="00D37E87"/>
    <w:rsid w:val="00D408BB"/>
    <w:rsid w:val="00D4183D"/>
    <w:rsid w:val="00D41C3A"/>
    <w:rsid w:val="00D42730"/>
    <w:rsid w:val="00D43095"/>
    <w:rsid w:val="00D4313D"/>
    <w:rsid w:val="00D432C1"/>
    <w:rsid w:val="00D43803"/>
    <w:rsid w:val="00D43BE8"/>
    <w:rsid w:val="00D44072"/>
    <w:rsid w:val="00D44217"/>
    <w:rsid w:val="00D44ADA"/>
    <w:rsid w:val="00D44B65"/>
    <w:rsid w:val="00D4532D"/>
    <w:rsid w:val="00D45518"/>
    <w:rsid w:val="00D45937"/>
    <w:rsid w:val="00D45C86"/>
    <w:rsid w:val="00D46531"/>
    <w:rsid w:val="00D46C2D"/>
    <w:rsid w:val="00D47009"/>
    <w:rsid w:val="00D47509"/>
    <w:rsid w:val="00D47840"/>
    <w:rsid w:val="00D50D2A"/>
    <w:rsid w:val="00D5106F"/>
    <w:rsid w:val="00D513CC"/>
    <w:rsid w:val="00D51BEA"/>
    <w:rsid w:val="00D51D4A"/>
    <w:rsid w:val="00D52515"/>
    <w:rsid w:val="00D52705"/>
    <w:rsid w:val="00D527A5"/>
    <w:rsid w:val="00D53157"/>
    <w:rsid w:val="00D5373B"/>
    <w:rsid w:val="00D53B4F"/>
    <w:rsid w:val="00D53FCD"/>
    <w:rsid w:val="00D54688"/>
    <w:rsid w:val="00D5503C"/>
    <w:rsid w:val="00D550F3"/>
    <w:rsid w:val="00D55221"/>
    <w:rsid w:val="00D55DD7"/>
    <w:rsid w:val="00D5622B"/>
    <w:rsid w:val="00D56736"/>
    <w:rsid w:val="00D56E7F"/>
    <w:rsid w:val="00D56FF7"/>
    <w:rsid w:val="00D57203"/>
    <w:rsid w:val="00D57CE8"/>
    <w:rsid w:val="00D602CF"/>
    <w:rsid w:val="00D60C5A"/>
    <w:rsid w:val="00D60EC2"/>
    <w:rsid w:val="00D614EC"/>
    <w:rsid w:val="00D61892"/>
    <w:rsid w:val="00D62199"/>
    <w:rsid w:val="00D6227C"/>
    <w:rsid w:val="00D639EA"/>
    <w:rsid w:val="00D63AAD"/>
    <w:rsid w:val="00D64DFC"/>
    <w:rsid w:val="00D64E40"/>
    <w:rsid w:val="00D650F2"/>
    <w:rsid w:val="00D65157"/>
    <w:rsid w:val="00D65BAE"/>
    <w:rsid w:val="00D65DBA"/>
    <w:rsid w:val="00D66284"/>
    <w:rsid w:val="00D66ACF"/>
    <w:rsid w:val="00D66AEB"/>
    <w:rsid w:val="00D66D0C"/>
    <w:rsid w:val="00D678D0"/>
    <w:rsid w:val="00D67C70"/>
    <w:rsid w:val="00D700D5"/>
    <w:rsid w:val="00D70279"/>
    <w:rsid w:val="00D709F7"/>
    <w:rsid w:val="00D70DA7"/>
    <w:rsid w:val="00D70F1A"/>
    <w:rsid w:val="00D714A5"/>
    <w:rsid w:val="00D7279E"/>
    <w:rsid w:val="00D72E8F"/>
    <w:rsid w:val="00D73548"/>
    <w:rsid w:val="00D739F2"/>
    <w:rsid w:val="00D73EA7"/>
    <w:rsid w:val="00D7410E"/>
    <w:rsid w:val="00D7468D"/>
    <w:rsid w:val="00D75387"/>
    <w:rsid w:val="00D75F8E"/>
    <w:rsid w:val="00D762DF"/>
    <w:rsid w:val="00D77774"/>
    <w:rsid w:val="00D77941"/>
    <w:rsid w:val="00D77B62"/>
    <w:rsid w:val="00D77B8F"/>
    <w:rsid w:val="00D80551"/>
    <w:rsid w:val="00D80FAB"/>
    <w:rsid w:val="00D81343"/>
    <w:rsid w:val="00D81608"/>
    <w:rsid w:val="00D81612"/>
    <w:rsid w:val="00D818D4"/>
    <w:rsid w:val="00D81D51"/>
    <w:rsid w:val="00D82F31"/>
    <w:rsid w:val="00D8323F"/>
    <w:rsid w:val="00D83C2C"/>
    <w:rsid w:val="00D8654D"/>
    <w:rsid w:val="00D86666"/>
    <w:rsid w:val="00D86FE9"/>
    <w:rsid w:val="00D87AAD"/>
    <w:rsid w:val="00D90B98"/>
    <w:rsid w:val="00D90F52"/>
    <w:rsid w:val="00D91777"/>
    <w:rsid w:val="00D91AE0"/>
    <w:rsid w:val="00D92402"/>
    <w:rsid w:val="00D9244F"/>
    <w:rsid w:val="00D92984"/>
    <w:rsid w:val="00D9343A"/>
    <w:rsid w:val="00D93948"/>
    <w:rsid w:val="00D93AA7"/>
    <w:rsid w:val="00D943D6"/>
    <w:rsid w:val="00D9479B"/>
    <w:rsid w:val="00D9529F"/>
    <w:rsid w:val="00D9549C"/>
    <w:rsid w:val="00D954B2"/>
    <w:rsid w:val="00D956F0"/>
    <w:rsid w:val="00D963BF"/>
    <w:rsid w:val="00D97FDC"/>
    <w:rsid w:val="00DA0D53"/>
    <w:rsid w:val="00DA0EC0"/>
    <w:rsid w:val="00DA141C"/>
    <w:rsid w:val="00DA1A54"/>
    <w:rsid w:val="00DA2122"/>
    <w:rsid w:val="00DA2B09"/>
    <w:rsid w:val="00DA319B"/>
    <w:rsid w:val="00DA34E3"/>
    <w:rsid w:val="00DA3648"/>
    <w:rsid w:val="00DA3C6C"/>
    <w:rsid w:val="00DA3EC8"/>
    <w:rsid w:val="00DA5832"/>
    <w:rsid w:val="00DA5DAE"/>
    <w:rsid w:val="00DA6965"/>
    <w:rsid w:val="00DA72A3"/>
    <w:rsid w:val="00DB0DE8"/>
    <w:rsid w:val="00DB13E1"/>
    <w:rsid w:val="00DB5D3D"/>
    <w:rsid w:val="00DB5E62"/>
    <w:rsid w:val="00DC1040"/>
    <w:rsid w:val="00DC1202"/>
    <w:rsid w:val="00DC17A0"/>
    <w:rsid w:val="00DC2610"/>
    <w:rsid w:val="00DC290A"/>
    <w:rsid w:val="00DC2A6C"/>
    <w:rsid w:val="00DC2B03"/>
    <w:rsid w:val="00DC3F3B"/>
    <w:rsid w:val="00DC590F"/>
    <w:rsid w:val="00DC6B23"/>
    <w:rsid w:val="00DC6E6F"/>
    <w:rsid w:val="00DD12C3"/>
    <w:rsid w:val="00DD1A4A"/>
    <w:rsid w:val="00DD1C46"/>
    <w:rsid w:val="00DD1F8F"/>
    <w:rsid w:val="00DD3001"/>
    <w:rsid w:val="00DD3667"/>
    <w:rsid w:val="00DD52B1"/>
    <w:rsid w:val="00DD6602"/>
    <w:rsid w:val="00DE0614"/>
    <w:rsid w:val="00DE212A"/>
    <w:rsid w:val="00DE267B"/>
    <w:rsid w:val="00DE2818"/>
    <w:rsid w:val="00DE32B4"/>
    <w:rsid w:val="00DE361B"/>
    <w:rsid w:val="00DE376A"/>
    <w:rsid w:val="00DE3D1D"/>
    <w:rsid w:val="00DE5146"/>
    <w:rsid w:val="00DE5ED2"/>
    <w:rsid w:val="00DE64C4"/>
    <w:rsid w:val="00DE703B"/>
    <w:rsid w:val="00DF02F2"/>
    <w:rsid w:val="00DF2612"/>
    <w:rsid w:val="00DF2EB7"/>
    <w:rsid w:val="00DF32FA"/>
    <w:rsid w:val="00DF3355"/>
    <w:rsid w:val="00DF385E"/>
    <w:rsid w:val="00DF39FB"/>
    <w:rsid w:val="00DF4AC5"/>
    <w:rsid w:val="00DF50CC"/>
    <w:rsid w:val="00DF7787"/>
    <w:rsid w:val="00E011C0"/>
    <w:rsid w:val="00E012E6"/>
    <w:rsid w:val="00E0169C"/>
    <w:rsid w:val="00E01736"/>
    <w:rsid w:val="00E03D11"/>
    <w:rsid w:val="00E0406B"/>
    <w:rsid w:val="00E049E7"/>
    <w:rsid w:val="00E05038"/>
    <w:rsid w:val="00E052A6"/>
    <w:rsid w:val="00E05339"/>
    <w:rsid w:val="00E06119"/>
    <w:rsid w:val="00E068CD"/>
    <w:rsid w:val="00E06A32"/>
    <w:rsid w:val="00E07D5A"/>
    <w:rsid w:val="00E107ED"/>
    <w:rsid w:val="00E10D3A"/>
    <w:rsid w:val="00E1150D"/>
    <w:rsid w:val="00E11596"/>
    <w:rsid w:val="00E11CB6"/>
    <w:rsid w:val="00E11DA4"/>
    <w:rsid w:val="00E12DE3"/>
    <w:rsid w:val="00E13A2F"/>
    <w:rsid w:val="00E15863"/>
    <w:rsid w:val="00E159FC"/>
    <w:rsid w:val="00E164FE"/>
    <w:rsid w:val="00E17B74"/>
    <w:rsid w:val="00E20CC0"/>
    <w:rsid w:val="00E22618"/>
    <w:rsid w:val="00E226C6"/>
    <w:rsid w:val="00E227DB"/>
    <w:rsid w:val="00E22AEF"/>
    <w:rsid w:val="00E23DFA"/>
    <w:rsid w:val="00E24520"/>
    <w:rsid w:val="00E26CC4"/>
    <w:rsid w:val="00E27021"/>
    <w:rsid w:val="00E2740F"/>
    <w:rsid w:val="00E277A3"/>
    <w:rsid w:val="00E277F9"/>
    <w:rsid w:val="00E3063E"/>
    <w:rsid w:val="00E3075A"/>
    <w:rsid w:val="00E3085A"/>
    <w:rsid w:val="00E32717"/>
    <w:rsid w:val="00E32BA5"/>
    <w:rsid w:val="00E32D6E"/>
    <w:rsid w:val="00E33832"/>
    <w:rsid w:val="00E3521D"/>
    <w:rsid w:val="00E35D59"/>
    <w:rsid w:val="00E40895"/>
    <w:rsid w:val="00E41A08"/>
    <w:rsid w:val="00E42F89"/>
    <w:rsid w:val="00E4320F"/>
    <w:rsid w:val="00E433F5"/>
    <w:rsid w:val="00E4380A"/>
    <w:rsid w:val="00E442D9"/>
    <w:rsid w:val="00E4559F"/>
    <w:rsid w:val="00E456F5"/>
    <w:rsid w:val="00E460DA"/>
    <w:rsid w:val="00E46295"/>
    <w:rsid w:val="00E471E3"/>
    <w:rsid w:val="00E5049E"/>
    <w:rsid w:val="00E515C7"/>
    <w:rsid w:val="00E53364"/>
    <w:rsid w:val="00E53CF4"/>
    <w:rsid w:val="00E53EF8"/>
    <w:rsid w:val="00E54FB7"/>
    <w:rsid w:val="00E550BF"/>
    <w:rsid w:val="00E56312"/>
    <w:rsid w:val="00E56B92"/>
    <w:rsid w:val="00E56BB2"/>
    <w:rsid w:val="00E56E28"/>
    <w:rsid w:val="00E5762D"/>
    <w:rsid w:val="00E60391"/>
    <w:rsid w:val="00E60806"/>
    <w:rsid w:val="00E616F3"/>
    <w:rsid w:val="00E6323B"/>
    <w:rsid w:val="00E63F44"/>
    <w:rsid w:val="00E64DEC"/>
    <w:rsid w:val="00E65288"/>
    <w:rsid w:val="00E65721"/>
    <w:rsid w:val="00E66BD9"/>
    <w:rsid w:val="00E67593"/>
    <w:rsid w:val="00E6793A"/>
    <w:rsid w:val="00E71187"/>
    <w:rsid w:val="00E716DD"/>
    <w:rsid w:val="00E716FF"/>
    <w:rsid w:val="00E71D2C"/>
    <w:rsid w:val="00E72AD1"/>
    <w:rsid w:val="00E735E6"/>
    <w:rsid w:val="00E744C7"/>
    <w:rsid w:val="00E7532A"/>
    <w:rsid w:val="00E75871"/>
    <w:rsid w:val="00E76049"/>
    <w:rsid w:val="00E76815"/>
    <w:rsid w:val="00E76DD8"/>
    <w:rsid w:val="00E8041B"/>
    <w:rsid w:val="00E80E34"/>
    <w:rsid w:val="00E81A95"/>
    <w:rsid w:val="00E81AC8"/>
    <w:rsid w:val="00E81BE8"/>
    <w:rsid w:val="00E82C5D"/>
    <w:rsid w:val="00E83A34"/>
    <w:rsid w:val="00E83B00"/>
    <w:rsid w:val="00E83D63"/>
    <w:rsid w:val="00E84CBC"/>
    <w:rsid w:val="00E8529A"/>
    <w:rsid w:val="00E856ED"/>
    <w:rsid w:val="00E85CCA"/>
    <w:rsid w:val="00E8686C"/>
    <w:rsid w:val="00E87981"/>
    <w:rsid w:val="00E90836"/>
    <w:rsid w:val="00E90AE8"/>
    <w:rsid w:val="00E90C17"/>
    <w:rsid w:val="00E91787"/>
    <w:rsid w:val="00E91994"/>
    <w:rsid w:val="00E91E0E"/>
    <w:rsid w:val="00E9361F"/>
    <w:rsid w:val="00E949C1"/>
    <w:rsid w:val="00E94A80"/>
    <w:rsid w:val="00E9529B"/>
    <w:rsid w:val="00E95BB4"/>
    <w:rsid w:val="00E95C55"/>
    <w:rsid w:val="00E95D8A"/>
    <w:rsid w:val="00E97FF4"/>
    <w:rsid w:val="00EA03BA"/>
    <w:rsid w:val="00EA2709"/>
    <w:rsid w:val="00EA2E1A"/>
    <w:rsid w:val="00EA3157"/>
    <w:rsid w:val="00EA3C61"/>
    <w:rsid w:val="00EA41F7"/>
    <w:rsid w:val="00EA4665"/>
    <w:rsid w:val="00EA48C6"/>
    <w:rsid w:val="00EA4E0B"/>
    <w:rsid w:val="00EA5CEC"/>
    <w:rsid w:val="00EA608D"/>
    <w:rsid w:val="00EA6146"/>
    <w:rsid w:val="00EA7AD2"/>
    <w:rsid w:val="00EA7F0C"/>
    <w:rsid w:val="00EB030A"/>
    <w:rsid w:val="00EB0424"/>
    <w:rsid w:val="00EB070C"/>
    <w:rsid w:val="00EB164A"/>
    <w:rsid w:val="00EB1B16"/>
    <w:rsid w:val="00EB229B"/>
    <w:rsid w:val="00EB2FF4"/>
    <w:rsid w:val="00EB31E9"/>
    <w:rsid w:val="00EB3F3E"/>
    <w:rsid w:val="00EB4048"/>
    <w:rsid w:val="00EB4DED"/>
    <w:rsid w:val="00EB4EFD"/>
    <w:rsid w:val="00EB5ED1"/>
    <w:rsid w:val="00EB6051"/>
    <w:rsid w:val="00EB65B6"/>
    <w:rsid w:val="00EB69CD"/>
    <w:rsid w:val="00EC0797"/>
    <w:rsid w:val="00EC07A9"/>
    <w:rsid w:val="00EC0A0E"/>
    <w:rsid w:val="00EC2A4E"/>
    <w:rsid w:val="00EC42CC"/>
    <w:rsid w:val="00EC42E9"/>
    <w:rsid w:val="00EC46CB"/>
    <w:rsid w:val="00EC5A3D"/>
    <w:rsid w:val="00EC6AAE"/>
    <w:rsid w:val="00EC706B"/>
    <w:rsid w:val="00EC78D4"/>
    <w:rsid w:val="00ED0031"/>
    <w:rsid w:val="00ED0498"/>
    <w:rsid w:val="00ED0975"/>
    <w:rsid w:val="00ED1011"/>
    <w:rsid w:val="00ED1418"/>
    <w:rsid w:val="00ED19DB"/>
    <w:rsid w:val="00ED1FC1"/>
    <w:rsid w:val="00ED29E1"/>
    <w:rsid w:val="00ED507A"/>
    <w:rsid w:val="00ED52C3"/>
    <w:rsid w:val="00ED548B"/>
    <w:rsid w:val="00ED6676"/>
    <w:rsid w:val="00ED6747"/>
    <w:rsid w:val="00ED6790"/>
    <w:rsid w:val="00ED6D04"/>
    <w:rsid w:val="00ED702E"/>
    <w:rsid w:val="00ED7A58"/>
    <w:rsid w:val="00EE00F4"/>
    <w:rsid w:val="00EE11BE"/>
    <w:rsid w:val="00EE13BE"/>
    <w:rsid w:val="00EE1C4D"/>
    <w:rsid w:val="00EE2103"/>
    <w:rsid w:val="00EE26FB"/>
    <w:rsid w:val="00EE2A58"/>
    <w:rsid w:val="00EE3ADF"/>
    <w:rsid w:val="00EE3EB3"/>
    <w:rsid w:val="00EE44A2"/>
    <w:rsid w:val="00EE4558"/>
    <w:rsid w:val="00EE490B"/>
    <w:rsid w:val="00EE534F"/>
    <w:rsid w:val="00EE57CB"/>
    <w:rsid w:val="00EE62DC"/>
    <w:rsid w:val="00EE6465"/>
    <w:rsid w:val="00EE6650"/>
    <w:rsid w:val="00EE7444"/>
    <w:rsid w:val="00EF040C"/>
    <w:rsid w:val="00EF041B"/>
    <w:rsid w:val="00EF0779"/>
    <w:rsid w:val="00EF0860"/>
    <w:rsid w:val="00EF0AA3"/>
    <w:rsid w:val="00EF1114"/>
    <w:rsid w:val="00EF2957"/>
    <w:rsid w:val="00EF4597"/>
    <w:rsid w:val="00EF5501"/>
    <w:rsid w:val="00EF56E7"/>
    <w:rsid w:val="00EF5AA6"/>
    <w:rsid w:val="00EF5D27"/>
    <w:rsid w:val="00EF5EAD"/>
    <w:rsid w:val="00EF61CF"/>
    <w:rsid w:val="00EF64DB"/>
    <w:rsid w:val="00EF650A"/>
    <w:rsid w:val="00EF75B3"/>
    <w:rsid w:val="00F000F0"/>
    <w:rsid w:val="00F0248A"/>
    <w:rsid w:val="00F03236"/>
    <w:rsid w:val="00F03AB0"/>
    <w:rsid w:val="00F042C9"/>
    <w:rsid w:val="00F04E4D"/>
    <w:rsid w:val="00F05A60"/>
    <w:rsid w:val="00F069A7"/>
    <w:rsid w:val="00F06AF7"/>
    <w:rsid w:val="00F07E86"/>
    <w:rsid w:val="00F101A8"/>
    <w:rsid w:val="00F1068B"/>
    <w:rsid w:val="00F120ED"/>
    <w:rsid w:val="00F12952"/>
    <w:rsid w:val="00F15BAC"/>
    <w:rsid w:val="00F16BDA"/>
    <w:rsid w:val="00F16C7A"/>
    <w:rsid w:val="00F16E73"/>
    <w:rsid w:val="00F20B33"/>
    <w:rsid w:val="00F211A2"/>
    <w:rsid w:val="00F213F7"/>
    <w:rsid w:val="00F2173E"/>
    <w:rsid w:val="00F22398"/>
    <w:rsid w:val="00F223C1"/>
    <w:rsid w:val="00F2270B"/>
    <w:rsid w:val="00F22D55"/>
    <w:rsid w:val="00F259F0"/>
    <w:rsid w:val="00F2744C"/>
    <w:rsid w:val="00F27C69"/>
    <w:rsid w:val="00F301D2"/>
    <w:rsid w:val="00F303B9"/>
    <w:rsid w:val="00F30441"/>
    <w:rsid w:val="00F320FC"/>
    <w:rsid w:val="00F32700"/>
    <w:rsid w:val="00F33045"/>
    <w:rsid w:val="00F3402B"/>
    <w:rsid w:val="00F344E2"/>
    <w:rsid w:val="00F3474A"/>
    <w:rsid w:val="00F3480B"/>
    <w:rsid w:val="00F35208"/>
    <w:rsid w:val="00F359E0"/>
    <w:rsid w:val="00F37F2E"/>
    <w:rsid w:val="00F4012A"/>
    <w:rsid w:val="00F40E10"/>
    <w:rsid w:val="00F41304"/>
    <w:rsid w:val="00F4137D"/>
    <w:rsid w:val="00F41416"/>
    <w:rsid w:val="00F42848"/>
    <w:rsid w:val="00F42E45"/>
    <w:rsid w:val="00F44BF8"/>
    <w:rsid w:val="00F453BB"/>
    <w:rsid w:val="00F47060"/>
    <w:rsid w:val="00F4759B"/>
    <w:rsid w:val="00F500D2"/>
    <w:rsid w:val="00F50169"/>
    <w:rsid w:val="00F50892"/>
    <w:rsid w:val="00F50DBF"/>
    <w:rsid w:val="00F50EFF"/>
    <w:rsid w:val="00F5190C"/>
    <w:rsid w:val="00F5214D"/>
    <w:rsid w:val="00F5215C"/>
    <w:rsid w:val="00F525BF"/>
    <w:rsid w:val="00F5427A"/>
    <w:rsid w:val="00F54BB3"/>
    <w:rsid w:val="00F56874"/>
    <w:rsid w:val="00F569C6"/>
    <w:rsid w:val="00F60C05"/>
    <w:rsid w:val="00F612CA"/>
    <w:rsid w:val="00F6165C"/>
    <w:rsid w:val="00F61B21"/>
    <w:rsid w:val="00F62963"/>
    <w:rsid w:val="00F62E13"/>
    <w:rsid w:val="00F634C8"/>
    <w:rsid w:val="00F636ED"/>
    <w:rsid w:val="00F63D80"/>
    <w:rsid w:val="00F643EB"/>
    <w:rsid w:val="00F64885"/>
    <w:rsid w:val="00F652B2"/>
    <w:rsid w:val="00F65584"/>
    <w:rsid w:val="00F655BE"/>
    <w:rsid w:val="00F66F1C"/>
    <w:rsid w:val="00F67337"/>
    <w:rsid w:val="00F673B1"/>
    <w:rsid w:val="00F67905"/>
    <w:rsid w:val="00F713C0"/>
    <w:rsid w:val="00F74820"/>
    <w:rsid w:val="00F759B2"/>
    <w:rsid w:val="00F761CC"/>
    <w:rsid w:val="00F76AC5"/>
    <w:rsid w:val="00F76E04"/>
    <w:rsid w:val="00F76E3C"/>
    <w:rsid w:val="00F770ED"/>
    <w:rsid w:val="00F80261"/>
    <w:rsid w:val="00F80EA3"/>
    <w:rsid w:val="00F824C9"/>
    <w:rsid w:val="00F83730"/>
    <w:rsid w:val="00F84478"/>
    <w:rsid w:val="00F8580A"/>
    <w:rsid w:val="00F85B3B"/>
    <w:rsid w:val="00F861FB"/>
    <w:rsid w:val="00F86382"/>
    <w:rsid w:val="00F864A0"/>
    <w:rsid w:val="00F86637"/>
    <w:rsid w:val="00F86F11"/>
    <w:rsid w:val="00F9065D"/>
    <w:rsid w:val="00F90B1B"/>
    <w:rsid w:val="00F919CE"/>
    <w:rsid w:val="00F93FC8"/>
    <w:rsid w:val="00F95340"/>
    <w:rsid w:val="00F954BD"/>
    <w:rsid w:val="00F96330"/>
    <w:rsid w:val="00F96696"/>
    <w:rsid w:val="00F96739"/>
    <w:rsid w:val="00F96841"/>
    <w:rsid w:val="00F96FD0"/>
    <w:rsid w:val="00F9769A"/>
    <w:rsid w:val="00FA0706"/>
    <w:rsid w:val="00FA1879"/>
    <w:rsid w:val="00FA1C54"/>
    <w:rsid w:val="00FA26DF"/>
    <w:rsid w:val="00FA2DFE"/>
    <w:rsid w:val="00FA37E2"/>
    <w:rsid w:val="00FA481A"/>
    <w:rsid w:val="00FA5E13"/>
    <w:rsid w:val="00FB0264"/>
    <w:rsid w:val="00FB050B"/>
    <w:rsid w:val="00FB12B5"/>
    <w:rsid w:val="00FB17FE"/>
    <w:rsid w:val="00FB19AD"/>
    <w:rsid w:val="00FB219C"/>
    <w:rsid w:val="00FB4359"/>
    <w:rsid w:val="00FB4FA0"/>
    <w:rsid w:val="00FB50EF"/>
    <w:rsid w:val="00FB52E3"/>
    <w:rsid w:val="00FB747D"/>
    <w:rsid w:val="00FB7D06"/>
    <w:rsid w:val="00FC064D"/>
    <w:rsid w:val="00FC0EF1"/>
    <w:rsid w:val="00FC1E3F"/>
    <w:rsid w:val="00FC3A8F"/>
    <w:rsid w:val="00FC402E"/>
    <w:rsid w:val="00FC4AD5"/>
    <w:rsid w:val="00FC4BF0"/>
    <w:rsid w:val="00FC4EE1"/>
    <w:rsid w:val="00FC5078"/>
    <w:rsid w:val="00FC5837"/>
    <w:rsid w:val="00FC5C7F"/>
    <w:rsid w:val="00FC707A"/>
    <w:rsid w:val="00FC76B9"/>
    <w:rsid w:val="00FD0398"/>
    <w:rsid w:val="00FD0AFD"/>
    <w:rsid w:val="00FD1435"/>
    <w:rsid w:val="00FD1A63"/>
    <w:rsid w:val="00FD3097"/>
    <w:rsid w:val="00FD53BC"/>
    <w:rsid w:val="00FD5FDF"/>
    <w:rsid w:val="00FD6E58"/>
    <w:rsid w:val="00FD7082"/>
    <w:rsid w:val="00FE07CB"/>
    <w:rsid w:val="00FE08E3"/>
    <w:rsid w:val="00FE09FD"/>
    <w:rsid w:val="00FE0C9E"/>
    <w:rsid w:val="00FE0EDA"/>
    <w:rsid w:val="00FE271C"/>
    <w:rsid w:val="00FE4FB5"/>
    <w:rsid w:val="00FE5118"/>
    <w:rsid w:val="00FE53E8"/>
    <w:rsid w:val="00FE5C76"/>
    <w:rsid w:val="00FE5DAD"/>
    <w:rsid w:val="00FE6C83"/>
    <w:rsid w:val="00FE71B2"/>
    <w:rsid w:val="00FF1F90"/>
    <w:rsid w:val="00FF2109"/>
    <w:rsid w:val="00FF215B"/>
    <w:rsid w:val="00FF2C47"/>
    <w:rsid w:val="00FF3117"/>
    <w:rsid w:val="00FF46C4"/>
    <w:rsid w:val="00FF4A50"/>
    <w:rsid w:val="00FF59EB"/>
    <w:rsid w:val="00FF5EE6"/>
    <w:rsid w:val="00FF6BD1"/>
    <w:rsid w:val="00FF734C"/>
    <w:rsid w:val="00FF7F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rules v:ext="edit">
        <o:r id="V:Rule3"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List 3"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468"/>
    <w:rPr>
      <w:rFonts w:ascii="Times New Roman" w:eastAsia="Times New Roman" w:hAnsi="Times New Roman"/>
      <w:sz w:val="28"/>
      <w:szCs w:val="28"/>
    </w:rPr>
  </w:style>
  <w:style w:type="paragraph" w:styleId="Heading1">
    <w:name w:val="heading 1"/>
    <w:basedOn w:val="Normal"/>
    <w:next w:val="Normal"/>
    <w:link w:val="Heading1Char"/>
    <w:qFormat/>
    <w:locked/>
    <w:rsid w:val="00D5622B"/>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6468"/>
    <w:pPr>
      <w:autoSpaceDE w:val="0"/>
      <w:autoSpaceDN w:val="0"/>
      <w:adjustRightInd w:val="0"/>
    </w:pPr>
    <w:rPr>
      <w:rFonts w:ascii="Times New Roman" w:eastAsia="Times New Roman" w:hAnsi="Times New Roman"/>
      <w:color w:val="000000"/>
      <w:sz w:val="24"/>
      <w:szCs w:val="24"/>
    </w:rPr>
  </w:style>
  <w:style w:type="paragraph" w:customStyle="1" w:styleId="normal0">
    <w:name w:val="normal"/>
    <w:basedOn w:val="Normal"/>
    <w:rsid w:val="0067242E"/>
    <w:pPr>
      <w:spacing w:before="100" w:beforeAutospacing="1" w:after="100" w:afterAutospacing="1"/>
    </w:pPr>
    <w:rPr>
      <w:sz w:val="24"/>
      <w:szCs w:val="24"/>
    </w:rPr>
  </w:style>
  <w:style w:type="character" w:customStyle="1" w:styleId="BodyTextChar1">
    <w:name w:val="Body Text Char1"/>
    <w:basedOn w:val="DefaultParagraphFont"/>
    <w:link w:val="BodyText"/>
    <w:uiPriority w:val="99"/>
    <w:locked/>
    <w:rsid w:val="008D4094"/>
    <w:rPr>
      <w:sz w:val="24"/>
      <w:szCs w:val="24"/>
    </w:rPr>
  </w:style>
  <w:style w:type="paragraph" w:styleId="BodyText">
    <w:name w:val="Body Text"/>
    <w:basedOn w:val="Normal"/>
    <w:link w:val="BodyTextChar1"/>
    <w:uiPriority w:val="99"/>
    <w:rsid w:val="008D4094"/>
    <w:pPr>
      <w:spacing w:after="120"/>
    </w:pPr>
    <w:rPr>
      <w:rFonts w:ascii="Calibri" w:eastAsia="Calibri" w:hAnsi="Calibri" w:cs="Calibri"/>
      <w:sz w:val="24"/>
      <w:szCs w:val="24"/>
    </w:rPr>
  </w:style>
  <w:style w:type="character" w:customStyle="1" w:styleId="BodyTextChar">
    <w:name w:val="Body Text Char"/>
    <w:basedOn w:val="DefaultParagraphFont"/>
    <w:link w:val="BodyText"/>
    <w:uiPriority w:val="99"/>
    <w:semiHidden/>
    <w:locked/>
    <w:rsid w:val="008D4094"/>
    <w:rPr>
      <w:rFonts w:ascii="Times New Roman" w:hAnsi="Times New Roman" w:cs="Times New Roman"/>
      <w:sz w:val="28"/>
      <w:szCs w:val="28"/>
    </w:rPr>
  </w:style>
  <w:style w:type="character" w:styleId="Strong">
    <w:name w:val="Strong"/>
    <w:basedOn w:val="DefaultParagraphFont"/>
    <w:qFormat/>
    <w:rsid w:val="00A021F9"/>
    <w:rPr>
      <w:b/>
      <w:bCs/>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
    <w:basedOn w:val="Normal"/>
    <w:link w:val="FootnoteTextChar"/>
    <w:uiPriority w:val="99"/>
    <w:qFormat/>
    <w:rsid w:val="001A07A9"/>
    <w:rPr>
      <w:rFonts w:eastAsia="Calibri"/>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locked/>
    <w:rsid w:val="001A07A9"/>
    <w:rPr>
      <w:rFonts w:ascii="Times New Roman" w:hAnsi="Times New Roman"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
    <w:basedOn w:val="DefaultParagraphFont"/>
    <w:uiPriority w:val="99"/>
    <w:qFormat/>
    <w:rsid w:val="001A07A9"/>
    <w:rPr>
      <w:vertAlign w:val="superscript"/>
    </w:rPr>
  </w:style>
  <w:style w:type="paragraph" w:styleId="NormalWeb">
    <w:name w:val="Normal (Web)"/>
    <w:basedOn w:val="Normal"/>
    <w:link w:val="NormalWebChar"/>
    <w:uiPriority w:val="99"/>
    <w:rsid w:val="00B90BF6"/>
    <w:pPr>
      <w:spacing w:before="100" w:beforeAutospacing="1" w:after="100" w:afterAutospacing="1"/>
    </w:pPr>
    <w:rPr>
      <w:rFonts w:eastAsia="Calibri"/>
      <w:sz w:val="24"/>
      <w:szCs w:val="24"/>
    </w:rPr>
  </w:style>
  <w:style w:type="character" w:customStyle="1" w:styleId="normalchar">
    <w:name w:val="normal__char"/>
    <w:basedOn w:val="DefaultParagraphFont"/>
    <w:rsid w:val="00B90BF6"/>
  </w:style>
  <w:style w:type="paragraph" w:styleId="Header">
    <w:name w:val="header"/>
    <w:basedOn w:val="Normal"/>
    <w:link w:val="HeaderChar"/>
    <w:uiPriority w:val="99"/>
    <w:rsid w:val="0016207C"/>
    <w:pPr>
      <w:tabs>
        <w:tab w:val="center" w:pos="4680"/>
        <w:tab w:val="right" w:pos="9360"/>
      </w:tabs>
    </w:pPr>
  </w:style>
  <w:style w:type="character" w:customStyle="1" w:styleId="HeaderChar">
    <w:name w:val="Header Char"/>
    <w:basedOn w:val="DefaultParagraphFont"/>
    <w:link w:val="Header"/>
    <w:uiPriority w:val="99"/>
    <w:locked/>
    <w:rsid w:val="0016207C"/>
    <w:rPr>
      <w:rFonts w:ascii="Times New Roman" w:hAnsi="Times New Roman" w:cs="Times New Roman"/>
      <w:sz w:val="28"/>
      <w:szCs w:val="28"/>
    </w:rPr>
  </w:style>
  <w:style w:type="paragraph" w:styleId="Footer">
    <w:name w:val="footer"/>
    <w:basedOn w:val="Normal"/>
    <w:link w:val="FooterChar"/>
    <w:uiPriority w:val="99"/>
    <w:semiHidden/>
    <w:rsid w:val="0016207C"/>
    <w:pPr>
      <w:tabs>
        <w:tab w:val="center" w:pos="4680"/>
        <w:tab w:val="right" w:pos="9360"/>
      </w:tabs>
    </w:pPr>
  </w:style>
  <w:style w:type="character" w:customStyle="1" w:styleId="FooterChar">
    <w:name w:val="Footer Char"/>
    <w:basedOn w:val="DefaultParagraphFont"/>
    <w:link w:val="Footer"/>
    <w:uiPriority w:val="99"/>
    <w:semiHidden/>
    <w:locked/>
    <w:rsid w:val="0016207C"/>
    <w:rPr>
      <w:rFonts w:ascii="Times New Roman" w:hAnsi="Times New Roman" w:cs="Times New Roman"/>
      <w:sz w:val="28"/>
      <w:szCs w:val="28"/>
    </w:rPr>
  </w:style>
  <w:style w:type="paragraph" w:customStyle="1" w:styleId="BodyTextTimesNewRoman">
    <w:name w:val="Body Text + Times New Roman"/>
    <w:aliases w:val="14 pt,Bold,First line:  1,27 cm,Before:  4,5 ...,5 ... ...,Normal + Justified,First line:  0,99 cm,Right:  0,2 cm,Before:  2 pt,Afte...,Normal + Times New Roman,Justified,First line:  1 cm,..."/>
    <w:basedOn w:val="Normal"/>
    <w:link w:val="BodyTextTimesNewRomanChar"/>
    <w:uiPriority w:val="99"/>
    <w:rsid w:val="00CA6A31"/>
    <w:pPr>
      <w:spacing w:before="90" w:after="90" w:line="300" w:lineRule="exact"/>
      <w:ind w:firstLine="720"/>
      <w:jc w:val="both"/>
    </w:pPr>
    <w:rPr>
      <w:b/>
      <w:bCs/>
      <w:lang w:val="nl-NL"/>
    </w:rPr>
  </w:style>
  <w:style w:type="character" w:customStyle="1" w:styleId="BodyTextTimesNewRomanChar">
    <w:name w:val="Body Text + Times New Roman Char"/>
    <w:aliases w:val="14 pt Char,Bold Char,First line:  1 Char,27 cm Char,Before:  4 Char,5 ... Char,5 ... ... Char"/>
    <w:basedOn w:val="BodyTextChar"/>
    <w:link w:val="BodyTextTimesNewRoman"/>
    <w:uiPriority w:val="99"/>
    <w:locked/>
    <w:rsid w:val="00CA6A31"/>
    <w:rPr>
      <w:b/>
      <w:bCs/>
      <w:lang w:val="nl-NL"/>
    </w:rPr>
  </w:style>
  <w:style w:type="paragraph" w:styleId="BalloonText">
    <w:name w:val="Balloon Text"/>
    <w:basedOn w:val="Normal"/>
    <w:link w:val="BalloonTextChar"/>
    <w:uiPriority w:val="99"/>
    <w:semiHidden/>
    <w:rsid w:val="006A70C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44F6C"/>
    <w:rPr>
      <w:rFonts w:ascii="Times New Roman" w:hAnsi="Times New Roman" w:cs="Times New Roman"/>
      <w:sz w:val="2"/>
      <w:szCs w:val="2"/>
    </w:rPr>
  </w:style>
  <w:style w:type="paragraph" w:styleId="ListParagraph">
    <w:name w:val="List Paragraph"/>
    <w:basedOn w:val="Normal"/>
    <w:uiPriority w:val="34"/>
    <w:qFormat/>
    <w:rsid w:val="000F6092"/>
    <w:pPr>
      <w:spacing w:after="200" w:line="276" w:lineRule="auto"/>
      <w:ind w:left="720"/>
      <w:contextualSpacing/>
    </w:pPr>
    <w:rPr>
      <w:rFonts w:eastAsia="Calibri"/>
    </w:rPr>
  </w:style>
  <w:style w:type="character" w:customStyle="1" w:styleId="normalchar0">
    <w:name w:val="normalchar"/>
    <w:basedOn w:val="DefaultParagraphFont"/>
    <w:rsid w:val="00B223A3"/>
  </w:style>
  <w:style w:type="character" w:customStyle="1" w:styleId="apple-converted-space">
    <w:name w:val="apple-converted-space"/>
    <w:basedOn w:val="DefaultParagraphFont"/>
    <w:rsid w:val="00C771AB"/>
  </w:style>
  <w:style w:type="paragraph" w:styleId="Title">
    <w:name w:val="Title"/>
    <w:basedOn w:val="Normal"/>
    <w:link w:val="TitleChar"/>
    <w:qFormat/>
    <w:locked/>
    <w:rsid w:val="0085217C"/>
    <w:pPr>
      <w:jc w:val="center"/>
    </w:pPr>
    <w:rPr>
      <w:rFonts w:ascii=".VnTimeH" w:hAnsi=".VnTimeH"/>
      <w:b/>
      <w:bCs/>
      <w:szCs w:val="24"/>
    </w:rPr>
  </w:style>
  <w:style w:type="character" w:customStyle="1" w:styleId="TitleChar">
    <w:name w:val="Title Char"/>
    <w:basedOn w:val="DefaultParagraphFont"/>
    <w:link w:val="Title"/>
    <w:rsid w:val="0085217C"/>
    <w:rPr>
      <w:rFonts w:ascii=".VnTimeH" w:eastAsia="Times New Roman" w:hAnsi=".VnTimeH"/>
      <w:b/>
      <w:bCs/>
      <w:sz w:val="28"/>
      <w:szCs w:val="24"/>
    </w:rPr>
  </w:style>
  <w:style w:type="paragraph" w:customStyle="1" w:styleId="msotitlecxspmiddle">
    <w:name w:val="msotitlecxspmiddle"/>
    <w:basedOn w:val="Normal"/>
    <w:rsid w:val="0085217C"/>
    <w:pPr>
      <w:spacing w:before="100" w:beforeAutospacing="1" w:after="100" w:afterAutospacing="1"/>
    </w:pPr>
    <w:rPr>
      <w:sz w:val="24"/>
      <w:szCs w:val="24"/>
    </w:rPr>
  </w:style>
  <w:style w:type="paragraph" w:customStyle="1" w:styleId="Normal1">
    <w:name w:val="Normal1"/>
    <w:basedOn w:val="Normal"/>
    <w:uiPriority w:val="99"/>
    <w:rsid w:val="000E6961"/>
    <w:pPr>
      <w:spacing w:before="100" w:beforeAutospacing="1" w:after="100" w:afterAutospacing="1"/>
    </w:pPr>
    <w:rPr>
      <w:rFonts w:ascii="Calibri" w:hAnsi="Calibri" w:cs="Calibri"/>
      <w:sz w:val="24"/>
      <w:szCs w:val="24"/>
    </w:rPr>
  </w:style>
  <w:style w:type="paragraph" w:styleId="List3">
    <w:name w:val="List 3"/>
    <w:basedOn w:val="Normal"/>
    <w:rsid w:val="00EC42CC"/>
    <w:pPr>
      <w:spacing w:before="100" w:beforeAutospacing="1" w:after="100" w:afterAutospacing="1"/>
    </w:pPr>
    <w:rPr>
      <w:rFonts w:eastAsia="MS Mincho"/>
      <w:sz w:val="24"/>
      <w:szCs w:val="24"/>
    </w:rPr>
  </w:style>
  <w:style w:type="paragraph" w:styleId="BodyTextIndent">
    <w:name w:val="Body Text Indent"/>
    <w:basedOn w:val="Normal"/>
    <w:link w:val="BodyTextIndentChar"/>
    <w:uiPriority w:val="99"/>
    <w:semiHidden/>
    <w:unhideWhenUsed/>
    <w:rsid w:val="005B43D0"/>
    <w:pPr>
      <w:spacing w:after="120"/>
      <w:ind w:left="360"/>
    </w:pPr>
  </w:style>
  <w:style w:type="character" w:customStyle="1" w:styleId="BodyTextIndentChar">
    <w:name w:val="Body Text Indent Char"/>
    <w:basedOn w:val="DefaultParagraphFont"/>
    <w:link w:val="BodyTextIndent"/>
    <w:uiPriority w:val="99"/>
    <w:semiHidden/>
    <w:rsid w:val="005B43D0"/>
    <w:rPr>
      <w:rFonts w:ascii="Times New Roman" w:eastAsia="Times New Roman" w:hAnsi="Times New Roman"/>
      <w:sz w:val="28"/>
      <w:szCs w:val="28"/>
    </w:rPr>
  </w:style>
  <w:style w:type="paragraph" w:styleId="BodyTextIndent2">
    <w:name w:val="Body Text Indent 2"/>
    <w:basedOn w:val="Normal"/>
    <w:link w:val="BodyTextIndent2Char"/>
    <w:uiPriority w:val="99"/>
    <w:semiHidden/>
    <w:unhideWhenUsed/>
    <w:rsid w:val="00BB4A9E"/>
    <w:pPr>
      <w:spacing w:after="120" w:line="480" w:lineRule="auto"/>
      <w:ind w:left="360"/>
    </w:pPr>
  </w:style>
  <w:style w:type="character" w:customStyle="1" w:styleId="BodyTextIndent2Char">
    <w:name w:val="Body Text Indent 2 Char"/>
    <w:basedOn w:val="DefaultParagraphFont"/>
    <w:link w:val="BodyTextIndent2"/>
    <w:uiPriority w:val="99"/>
    <w:semiHidden/>
    <w:rsid w:val="00BB4A9E"/>
    <w:rPr>
      <w:rFonts w:ascii="Times New Roman" w:eastAsia="Times New Roman" w:hAnsi="Times New Roman"/>
      <w:sz w:val="28"/>
      <w:szCs w:val="28"/>
    </w:rPr>
  </w:style>
  <w:style w:type="character" w:styleId="Emphasis">
    <w:name w:val="Emphasis"/>
    <w:basedOn w:val="DefaultParagraphFont"/>
    <w:uiPriority w:val="20"/>
    <w:qFormat/>
    <w:locked/>
    <w:rsid w:val="00C372B5"/>
    <w:rPr>
      <w:i/>
      <w:iCs/>
    </w:rPr>
  </w:style>
  <w:style w:type="character" w:customStyle="1" w:styleId="body0020textchar">
    <w:name w:val="body_0020text__char"/>
    <w:basedOn w:val="DefaultParagraphFont"/>
    <w:rsid w:val="006379FB"/>
    <w:rPr>
      <w:rFonts w:cs="Times New Roman"/>
    </w:rPr>
  </w:style>
  <w:style w:type="paragraph" w:styleId="EndnoteText">
    <w:name w:val="endnote text"/>
    <w:basedOn w:val="Normal"/>
    <w:link w:val="EndnoteTextChar"/>
    <w:uiPriority w:val="99"/>
    <w:semiHidden/>
    <w:unhideWhenUsed/>
    <w:rsid w:val="00416BAE"/>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416BAE"/>
    <w:rPr>
      <w:rFonts w:ascii="Calibri" w:eastAsia="Calibri" w:hAnsi="Calibri" w:cs="Times New Roman"/>
    </w:rPr>
  </w:style>
  <w:style w:type="character" w:styleId="EndnoteReference">
    <w:name w:val="endnote reference"/>
    <w:basedOn w:val="DefaultParagraphFont"/>
    <w:uiPriority w:val="99"/>
    <w:semiHidden/>
    <w:unhideWhenUsed/>
    <w:rsid w:val="00416BAE"/>
    <w:rPr>
      <w:vertAlign w:val="superscript"/>
    </w:rPr>
  </w:style>
  <w:style w:type="character" w:customStyle="1" w:styleId="Heading1Char">
    <w:name w:val="Heading 1 Char"/>
    <w:basedOn w:val="DefaultParagraphFont"/>
    <w:link w:val="Heading1"/>
    <w:rsid w:val="00D5622B"/>
    <w:rPr>
      <w:rFonts w:ascii="Cambria" w:eastAsia="Times New Roman" w:hAnsi="Cambria" w:cs="Times New Roman"/>
      <w:b/>
      <w:bCs/>
      <w:kern w:val="32"/>
      <w:sz w:val="32"/>
      <w:szCs w:val="32"/>
    </w:rPr>
  </w:style>
  <w:style w:type="character" w:customStyle="1" w:styleId="apple-style-span">
    <w:name w:val="apple-style-span"/>
    <w:basedOn w:val="DefaultParagraphFont"/>
    <w:rsid w:val="001B34BB"/>
  </w:style>
  <w:style w:type="paragraph" w:styleId="BodyTextIndent3">
    <w:name w:val="Body Text Indent 3"/>
    <w:basedOn w:val="Normal"/>
    <w:link w:val="BodyTextIndent3Char"/>
    <w:uiPriority w:val="99"/>
    <w:semiHidden/>
    <w:unhideWhenUsed/>
    <w:rsid w:val="000B250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B2507"/>
    <w:rPr>
      <w:rFonts w:ascii="Times New Roman" w:eastAsia="Times New Roman" w:hAnsi="Times New Roman"/>
      <w:sz w:val="16"/>
      <w:szCs w:val="16"/>
      <w:lang w:val="en-US" w:eastAsia="en-US"/>
    </w:rPr>
  </w:style>
  <w:style w:type="character" w:customStyle="1" w:styleId="NormalWebChar">
    <w:name w:val="Normal (Web) Char"/>
    <w:link w:val="NormalWeb"/>
    <w:rsid w:val="00EE6465"/>
    <w:rPr>
      <w:rFonts w:ascii="Times New Roman" w:hAnsi="Times New Roman"/>
      <w:sz w:val="24"/>
      <w:szCs w:val="24"/>
    </w:rPr>
  </w:style>
  <w:style w:type="paragraph" w:styleId="HTMLPreformatted">
    <w:name w:val="HTML Preformatted"/>
    <w:basedOn w:val="Normal"/>
    <w:link w:val="HTMLPreformattedChar"/>
    <w:uiPriority w:val="99"/>
    <w:unhideWhenUsed/>
    <w:rsid w:val="00E71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716FF"/>
    <w:rPr>
      <w:rFonts w:ascii="Courier New" w:eastAsia="Times New Roman" w:hAnsi="Courier New" w:cs="Courier New"/>
    </w:rPr>
  </w:style>
  <w:style w:type="character" w:customStyle="1" w:styleId="notranslate">
    <w:name w:val="notranslate"/>
    <w:basedOn w:val="DefaultParagraphFont"/>
    <w:rsid w:val="003918DF"/>
  </w:style>
</w:styles>
</file>

<file path=word/webSettings.xml><?xml version="1.0" encoding="utf-8"?>
<w:webSettings xmlns:r="http://schemas.openxmlformats.org/officeDocument/2006/relationships" xmlns:w="http://schemas.openxmlformats.org/wordprocessingml/2006/main">
  <w:divs>
    <w:div w:id="953942521">
      <w:bodyDiv w:val="1"/>
      <w:marLeft w:val="0"/>
      <w:marRight w:val="0"/>
      <w:marTop w:val="0"/>
      <w:marBottom w:val="0"/>
      <w:divBdr>
        <w:top w:val="none" w:sz="0" w:space="0" w:color="auto"/>
        <w:left w:val="none" w:sz="0" w:space="0" w:color="auto"/>
        <w:bottom w:val="none" w:sz="0" w:space="0" w:color="auto"/>
        <w:right w:val="none" w:sz="0" w:space="0" w:color="auto"/>
      </w:divBdr>
    </w:div>
    <w:div w:id="1510873738">
      <w:bodyDiv w:val="1"/>
      <w:marLeft w:val="0"/>
      <w:marRight w:val="0"/>
      <w:marTop w:val="0"/>
      <w:marBottom w:val="0"/>
      <w:divBdr>
        <w:top w:val="none" w:sz="0" w:space="0" w:color="auto"/>
        <w:left w:val="none" w:sz="0" w:space="0" w:color="auto"/>
        <w:bottom w:val="none" w:sz="0" w:space="0" w:color="auto"/>
        <w:right w:val="none" w:sz="0" w:space="0" w:color="auto"/>
      </w:divBdr>
    </w:div>
    <w:div w:id="185834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12523-6BAA-4285-9D06-2BED80C8A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7768</Words>
  <Characters>44281</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TKTH-TCTK</Company>
  <LinksUpToDate>false</LinksUpToDate>
  <CharactersWithSpaces>51946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dtthuy</dc:creator>
  <cp:lastModifiedBy>ltthuyen</cp:lastModifiedBy>
  <cp:revision>3</cp:revision>
  <cp:lastPrinted>2018-11-28T01:56:00Z</cp:lastPrinted>
  <dcterms:created xsi:type="dcterms:W3CDTF">2019-04-08T04:42:00Z</dcterms:created>
  <dcterms:modified xsi:type="dcterms:W3CDTF">2019-04-08T04:49:00Z</dcterms:modified>
</cp:coreProperties>
</file>