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17" w:type="dxa"/>
        <w:tblInd w:w="-459" w:type="dxa"/>
        <w:tblLayout w:type="fixed"/>
        <w:tblLook w:val="0000"/>
      </w:tblPr>
      <w:tblGrid>
        <w:gridCol w:w="4395"/>
        <w:gridCol w:w="5622"/>
      </w:tblGrid>
      <w:tr w:rsidR="00DF77C7" w:rsidRPr="002A5269" w:rsidTr="009E6F37">
        <w:tc>
          <w:tcPr>
            <w:tcW w:w="4395" w:type="dxa"/>
          </w:tcPr>
          <w:p w:rsidR="00DF77C7" w:rsidRPr="00475585" w:rsidRDefault="00DF77C7" w:rsidP="009E6F37">
            <w:pPr>
              <w:ind w:left="-558" w:right="-115" w:firstLine="360"/>
              <w:jc w:val="center"/>
              <w:rPr>
                <w:spacing w:val="-6"/>
              </w:rPr>
            </w:pPr>
            <w:r>
              <w:rPr>
                <w:sz w:val="26"/>
              </w:rPr>
              <w:t>MINISTRY OF PLANNING AND INVESTMENT</w:t>
            </w:r>
          </w:p>
          <w:p w:rsidR="00DF77C7" w:rsidRPr="00F85F9A" w:rsidRDefault="00DF77C7" w:rsidP="009E6F37">
            <w:pPr>
              <w:ind w:right="-115"/>
              <w:jc w:val="center"/>
              <w:rPr>
                <w:b/>
                <w:bCs/>
                <w:spacing w:val="-6"/>
                <w:sz w:val="26"/>
              </w:rPr>
            </w:pPr>
            <w:r>
              <w:rPr>
                <w:b/>
                <w:bCs/>
                <w:sz w:val="26"/>
              </w:rPr>
              <w:t>GENERAL STATISTICS OFFICE</w:t>
            </w:r>
          </w:p>
          <w:p w:rsidR="00DF77C7" w:rsidRPr="00475585" w:rsidRDefault="00DF77C7" w:rsidP="009E6F37">
            <w:pPr>
              <w:ind w:right="-115"/>
              <w:jc w:val="center"/>
              <w:rPr>
                <w:b/>
                <w:bCs/>
                <w:spacing w:val="-6"/>
                <w:vertAlign w:val="superscript"/>
              </w:rPr>
            </w:pPr>
            <w:r>
              <w:rPr>
                <w:b/>
                <w:bCs/>
                <w:vertAlign w:val="superscript"/>
              </w:rPr>
              <w:t>______________________________________________</w:t>
            </w:r>
          </w:p>
          <w:p w:rsidR="00DF77C7" w:rsidRPr="00475585" w:rsidRDefault="00DF77C7" w:rsidP="009E6F37">
            <w:pPr>
              <w:ind w:left="14" w:right="-14"/>
              <w:jc w:val="center"/>
            </w:pPr>
            <w:r>
              <w:t>No.: 07/BC-TCTK</w:t>
            </w:r>
          </w:p>
          <w:p w:rsidR="00DF77C7" w:rsidRPr="002A5269" w:rsidRDefault="00DF77C7" w:rsidP="009E6F37">
            <w:pPr>
              <w:ind w:left="14" w:right="-14"/>
              <w:jc w:val="center"/>
            </w:pPr>
          </w:p>
        </w:tc>
        <w:tc>
          <w:tcPr>
            <w:tcW w:w="5622" w:type="dxa"/>
          </w:tcPr>
          <w:p w:rsidR="00DF77C7" w:rsidRPr="00475585" w:rsidRDefault="00DF77C7" w:rsidP="009E6F37">
            <w:pPr>
              <w:jc w:val="center"/>
              <w:rPr>
                <w:b/>
                <w:bCs/>
              </w:rPr>
            </w:pPr>
            <w:r>
              <w:rPr>
                <w:b/>
                <w:bCs/>
              </w:rPr>
              <w:t>SOCIALIST REPUBLIC OF VIET NAM</w:t>
            </w:r>
          </w:p>
          <w:p w:rsidR="00DF77C7" w:rsidRPr="00475585" w:rsidRDefault="00DF77C7" w:rsidP="009E6F37">
            <w:pPr>
              <w:jc w:val="center"/>
              <w:rPr>
                <w:b/>
                <w:bCs/>
              </w:rPr>
            </w:pPr>
            <w:r>
              <w:rPr>
                <w:b/>
                <w:bCs/>
              </w:rPr>
              <w:t>Independence-Freedom-Happiness</w:t>
            </w:r>
          </w:p>
          <w:p w:rsidR="00DF77C7" w:rsidRPr="00475585" w:rsidRDefault="00DF77C7" w:rsidP="009E6F37">
            <w:pPr>
              <w:jc w:val="center"/>
              <w:rPr>
                <w:b/>
                <w:bCs/>
                <w:vertAlign w:val="superscript"/>
              </w:rPr>
            </w:pPr>
            <w:r>
              <w:rPr>
                <w:b/>
                <w:bCs/>
                <w:vertAlign w:val="superscript"/>
              </w:rPr>
              <w:t>_______________________________________________________</w:t>
            </w:r>
          </w:p>
          <w:p w:rsidR="00DF77C7" w:rsidRPr="002A5269" w:rsidRDefault="00DF77C7" w:rsidP="009E6F37">
            <w:pPr>
              <w:ind w:left="72"/>
              <w:jc w:val="center"/>
              <w:rPr>
                <w:rFonts w:ascii=".VnTime" w:hAnsi=".VnTime" w:cs=".VnTime"/>
                <w:b/>
                <w:bCs/>
                <w:i/>
                <w:iCs/>
              </w:rPr>
            </w:pPr>
            <w:r>
              <w:rPr>
                <w:i/>
                <w:iCs/>
              </w:rPr>
              <w:t>Ha Noi, 29</w:t>
            </w:r>
            <w:r>
              <w:rPr>
                <w:i/>
                <w:iCs/>
                <w:vertAlign w:val="superscript"/>
              </w:rPr>
              <w:t>th</w:t>
            </w:r>
            <w:r>
              <w:rPr>
                <w:i/>
                <w:iCs/>
              </w:rPr>
              <w:t xml:space="preserve"> January, 2018</w:t>
            </w:r>
          </w:p>
        </w:tc>
      </w:tr>
    </w:tbl>
    <w:p w:rsidR="00DF77C7" w:rsidRPr="002A5269" w:rsidRDefault="00DF77C7" w:rsidP="00DF77C7">
      <w:pPr>
        <w:spacing w:line="276" w:lineRule="auto"/>
        <w:jc w:val="center"/>
        <w:rPr>
          <w:rFonts w:ascii=".VnArialH" w:hAnsi=".VnArialH" w:cs=".VnArialH"/>
          <w:b/>
          <w:bCs/>
          <w:sz w:val="2"/>
          <w:szCs w:val="2"/>
        </w:rPr>
      </w:pPr>
    </w:p>
    <w:p w:rsidR="00DF77C7" w:rsidRPr="00984B96" w:rsidRDefault="00DF77C7" w:rsidP="00DF77C7">
      <w:pPr>
        <w:jc w:val="center"/>
        <w:rPr>
          <w:b/>
          <w:bCs/>
          <w:sz w:val="38"/>
          <w:szCs w:val="48"/>
        </w:rPr>
      </w:pPr>
    </w:p>
    <w:p w:rsidR="00DF77C7" w:rsidRPr="00DA366C" w:rsidRDefault="00DF77C7" w:rsidP="00DF77C7">
      <w:pPr>
        <w:spacing w:before="120"/>
        <w:jc w:val="center"/>
        <w:rPr>
          <w:b/>
          <w:bCs/>
          <w:sz w:val="34"/>
          <w:szCs w:val="34"/>
        </w:rPr>
      </w:pPr>
      <w:r>
        <w:rPr>
          <w:b/>
          <w:bCs/>
          <w:sz w:val="34"/>
          <w:szCs w:val="34"/>
        </w:rPr>
        <w:t>REPORT</w:t>
      </w:r>
    </w:p>
    <w:p w:rsidR="00DF77C7" w:rsidRPr="00DA366C" w:rsidRDefault="00DF77C7" w:rsidP="00DF77C7">
      <w:pPr>
        <w:jc w:val="center"/>
        <w:rPr>
          <w:b/>
          <w:bCs/>
          <w:sz w:val="34"/>
          <w:szCs w:val="34"/>
        </w:rPr>
      </w:pPr>
      <w:r>
        <w:rPr>
          <w:b/>
          <w:bCs/>
          <w:sz w:val="34"/>
          <w:szCs w:val="34"/>
        </w:rPr>
        <w:t>SOCI</w:t>
      </w:r>
      <w:r w:rsidR="00385D92">
        <w:rPr>
          <w:b/>
          <w:bCs/>
          <w:sz w:val="34"/>
          <w:szCs w:val="34"/>
        </w:rPr>
        <w:t>O-</w:t>
      </w:r>
      <w:r>
        <w:rPr>
          <w:b/>
          <w:bCs/>
          <w:sz w:val="34"/>
          <w:szCs w:val="34"/>
        </w:rPr>
        <w:t xml:space="preserve">ECONOMIC SITUATION </w:t>
      </w:r>
    </w:p>
    <w:p w:rsidR="00DF77C7" w:rsidRPr="00DA366C" w:rsidRDefault="00DF77C7" w:rsidP="00DF77C7">
      <w:pPr>
        <w:jc w:val="center"/>
        <w:rPr>
          <w:b/>
          <w:bCs/>
          <w:sz w:val="34"/>
          <w:szCs w:val="34"/>
        </w:rPr>
      </w:pPr>
      <w:r>
        <w:rPr>
          <w:b/>
          <w:bCs/>
          <w:sz w:val="34"/>
          <w:szCs w:val="34"/>
        </w:rPr>
        <w:t>IN FEBRUARY 2018</w:t>
      </w:r>
    </w:p>
    <w:p w:rsidR="00DF77C7" w:rsidRPr="009C3F89" w:rsidRDefault="00E85741" w:rsidP="00DF77C7">
      <w:pPr>
        <w:spacing w:before="20"/>
        <w:jc w:val="center"/>
        <w:rPr>
          <w:rFonts w:ascii="Arial" w:hAnsi="Arial" w:cs="Arial"/>
          <w:b/>
          <w:bCs/>
          <w:sz w:val="38"/>
          <w:szCs w:val="52"/>
        </w:rPr>
      </w:pPr>
      <w:r w:rsidRPr="00E85741">
        <w:rPr>
          <w:rFonts w:ascii="Arial" w:hAnsi="Arial"/>
          <w:b/>
          <w:bCs/>
          <w:sz w:val="50"/>
          <w:szCs w:val="52"/>
        </w:rPr>
        <w:pict>
          <v:shapetype id="_x0000_t32" coordsize="21600,21600" o:spt="32" o:oned="t" path="m,l21600,21600e" filled="f">
            <v:path arrowok="t" fillok="f" o:connecttype="none"/>
            <o:lock v:ext="edit" shapetype="t"/>
          </v:shapetype>
          <v:shape id="_x0000_s1029" type="#_x0000_t32" style="position:absolute;left:0;text-align:left;margin-left:168.2pt;margin-top:2.05pt;width:111.25pt;height:0;z-index:251657728" o:connectortype="straight"/>
        </w:pict>
      </w:r>
    </w:p>
    <w:p w:rsidR="00DF77C7" w:rsidRPr="0029679B" w:rsidRDefault="00DF77C7" w:rsidP="00DF77C7">
      <w:pPr>
        <w:spacing w:before="40" w:after="40" w:line="288" w:lineRule="auto"/>
        <w:ind w:firstLine="567"/>
        <w:jc w:val="both"/>
        <w:rPr>
          <w:b/>
          <w:bCs/>
          <w:sz w:val="8"/>
          <w:lang w:val="pt-BR"/>
        </w:rPr>
      </w:pPr>
    </w:p>
    <w:p w:rsidR="00DF77C7" w:rsidRPr="006A5EAC" w:rsidRDefault="00DF77C7" w:rsidP="00DF77C7">
      <w:pPr>
        <w:spacing w:before="40" w:after="40" w:line="300" w:lineRule="auto"/>
        <w:ind w:firstLine="567"/>
        <w:jc w:val="both"/>
        <w:rPr>
          <w:b/>
          <w:bCs/>
        </w:rPr>
      </w:pPr>
      <w:r>
        <w:rPr>
          <w:b/>
          <w:bCs/>
        </w:rPr>
        <w:t>1. Agriculture, forestry and fishery</w:t>
      </w:r>
    </w:p>
    <w:p w:rsidR="00DF77C7" w:rsidRPr="006A5EAC" w:rsidRDefault="00DF77C7" w:rsidP="00DF77C7">
      <w:pPr>
        <w:pStyle w:val="ListParagraph"/>
        <w:tabs>
          <w:tab w:val="left" w:pos="1080"/>
          <w:tab w:val="left" w:pos="1134"/>
        </w:tabs>
        <w:spacing w:before="40" w:after="40" w:line="300" w:lineRule="auto"/>
        <w:ind w:left="0" w:firstLine="567"/>
        <w:contextualSpacing w:val="0"/>
        <w:jc w:val="both"/>
        <w:rPr>
          <w:b/>
          <w:bCs/>
          <w:i/>
          <w:iCs/>
        </w:rPr>
      </w:pPr>
      <w:r>
        <w:rPr>
          <w:b/>
          <w:bCs/>
          <w:i/>
          <w:iCs/>
        </w:rPr>
        <w:t>a) Agriculture</w:t>
      </w:r>
    </w:p>
    <w:p w:rsidR="00DF77C7" w:rsidRDefault="00DF77C7" w:rsidP="00DF77C7">
      <w:pPr>
        <w:spacing w:before="40" w:after="40" w:line="300" w:lineRule="auto"/>
        <w:ind w:firstLine="567"/>
        <w:jc w:val="both"/>
      </w:pPr>
      <w:r>
        <w:t>Agricultural production in the month focused mainly on cultivation and tending winter-spring paddy and planted annual crops in the country. As of January 15, 2018, the country cultivated 1,807.1 thousand hectares of winter-spring paddy, an equal to 99% compared with the same period last year, of which Northern provinces reached 56.7 thousand hectares, an equal to 73.4 %; southern provinces reached 1,750.4 thousand hectares, an equal to 100.2%,  in particular Mekong River Delta reached 1,444.5 thousand hectares, equaled to 99.4%.  Progress of cultivation of winter-spring paddy in Northern provinces was low because this year the crop calendar arranged slower than the previous year and effects of long lasting cold weather in the first half of January. Currently, winter-spring paddy was growing steadily, of which more than 73.2 thousand hectares of paddy in Mekong River Delta harvested, a decrease of 43.7% compared with the same period in 2017 due to high flood waters that affected to the crop calendar.</w:t>
      </w:r>
    </w:p>
    <w:p w:rsidR="00DF77C7" w:rsidRDefault="00DF77C7" w:rsidP="00DF77C7">
      <w:pPr>
        <w:spacing w:before="40" w:after="40" w:line="300" w:lineRule="auto"/>
        <w:ind w:firstLine="567"/>
        <w:jc w:val="both"/>
      </w:pPr>
      <w:r>
        <w:t>Along with the cultivation of winter-spring paddy, in middle of January, localities in the country cultivated 152.9 thousand hectares of maize, an equal to 89.1% compared with the same period last year; 38 thousand hectares of sweet potatoes, equaled to 92.9%; 7.4 thousand hectares of soybean, equaled to 49.7%; 25.5 thousand hectares of groundnut, equaled to 108.1%; 346.3 thousand hectares of vegetables and beans, equaled to 106.4%. The cultivated area of ​​some winter crops decreased due to high production costs and low economic efficiency, which did not attract farmers to invest in production.</w:t>
      </w:r>
    </w:p>
    <w:p w:rsidR="00DF77C7" w:rsidRDefault="00DF77C7" w:rsidP="00DF77C7">
      <w:pPr>
        <w:spacing w:before="40" w:after="40" w:line="300" w:lineRule="auto"/>
        <w:ind w:firstLine="567"/>
        <w:jc w:val="both"/>
      </w:pPr>
      <w:r>
        <w:lastRenderedPageBreak/>
        <w:t>Buffaloes and cattle’s husbandry in the month generally witnessed stability; poultry farming was good, ensured supply to meet consumption demand during the Lunar New Year. Particularly pig farming, although price of pig living weight in the month of Tet holiday tended to increase slightly, but due to the cost reduction, producer was afraid to repopulation; farms and enterprises continued farming but tended to develop moderately, not increased the size of population. Estimated in January, buffalo population in the country decreased by 0.1% compared with the same period last year; cattle population increased by 2.5%; poultry population increased by 6.8%; pigs population decreased by 5.4%. As of January 25, 2018, there were no epidemics in the country in cattle and poultry.</w:t>
      </w:r>
    </w:p>
    <w:p w:rsidR="00DF77C7" w:rsidRDefault="00DF77C7" w:rsidP="00DF77C7">
      <w:pPr>
        <w:spacing w:before="40" w:after="40" w:line="300" w:lineRule="auto"/>
        <w:ind w:firstLine="567"/>
        <w:jc w:val="both"/>
        <w:rPr>
          <w:b/>
          <w:bCs/>
          <w:i/>
          <w:iCs/>
        </w:rPr>
      </w:pPr>
      <w:r>
        <w:rPr>
          <w:b/>
          <w:bCs/>
          <w:i/>
          <w:iCs/>
        </w:rPr>
        <w:t>b) Forestry</w:t>
      </w:r>
    </w:p>
    <w:p w:rsidR="00DF77C7" w:rsidRPr="00913CE1" w:rsidRDefault="00DF77C7" w:rsidP="00DF77C7">
      <w:pPr>
        <w:spacing w:before="40" w:after="40" w:line="300" w:lineRule="auto"/>
        <w:ind w:firstLine="567"/>
        <w:jc w:val="both"/>
        <w:rPr>
          <w:bCs/>
          <w:iCs/>
        </w:rPr>
      </w:pPr>
      <w:r>
        <w:t>Forestry production in the month focused mainly on tending, regenerating and protecting forests and prepared for the movement of tree planting in lunar New Year. In January, area of ​​concentrated forests in the country was estimated at 2,845 hectares, an increase of 3.5% compared with the same period last year; number of scattered trees reached 715 thousand trees, fell 0.4%; wood production reached 620 thousand m3, rose by 5.6%. Wood production in some localities was high compared with the same period last year: Quang Ngai reached 54 thousand m3, an increase of 9.1%; Quang Nam reached 45 thousand m3, rose by 7.1%; Thua Thien - Hue reached 23.8 thousand m3, rose by 8.7%. Production of firewood reached 1.5 million ste, decreased by 0.6% compared with the same period last year.</w:t>
      </w:r>
    </w:p>
    <w:p w:rsidR="00DF77C7" w:rsidRPr="00913CE1" w:rsidRDefault="00DF77C7" w:rsidP="00DF77C7">
      <w:pPr>
        <w:spacing w:before="40" w:after="40" w:line="300" w:lineRule="auto"/>
        <w:ind w:firstLine="567"/>
        <w:jc w:val="both"/>
        <w:rPr>
          <w:bCs/>
          <w:iCs/>
        </w:rPr>
      </w:pPr>
      <w:r>
        <w:t>The damaged forest area in January was 27.6 hectares, fell 34.7% compared with the same period in 2017, of which the area of ​​forest fire was 4.3 hectares, fell 80.1%; area of ​​deforested forest was 23.3 hectares, an increase of 12.8%, of which: Phu Yen was 11.5 hectares; Dak Nong was 6.9 ha.</w:t>
      </w:r>
    </w:p>
    <w:p w:rsidR="00DF77C7" w:rsidRDefault="00DF77C7" w:rsidP="00DF77C7">
      <w:pPr>
        <w:spacing w:before="40" w:after="40" w:line="300" w:lineRule="auto"/>
        <w:ind w:firstLine="567"/>
        <w:jc w:val="both"/>
        <w:rPr>
          <w:b/>
          <w:bCs/>
          <w:i/>
          <w:iCs/>
        </w:rPr>
      </w:pPr>
      <w:r>
        <w:rPr>
          <w:b/>
          <w:bCs/>
          <w:i/>
          <w:iCs/>
        </w:rPr>
        <w:t>c) Fishery</w:t>
      </w:r>
    </w:p>
    <w:p w:rsidR="00DF77C7" w:rsidRDefault="00DF77C7" w:rsidP="00DF77C7">
      <w:pPr>
        <w:spacing w:before="40" w:after="40" w:line="300" w:lineRule="auto"/>
        <w:ind w:firstLine="567"/>
        <w:jc w:val="both"/>
      </w:pPr>
      <w:r>
        <w:t>Fishery production in January was estimated at 525.7 thousand tons, rose by 4.1% compared with the same period last year, of which fish reached 391.5 thousand tons, grew up 4.5%; shrimp reached 47.1 thousand tons, grew up 6.8%; other fisheries reached 87.1 thousand tons, grew up 0.9%.</w:t>
      </w:r>
    </w:p>
    <w:p w:rsidR="00DF77C7" w:rsidRDefault="00DF77C7" w:rsidP="00DF77C7">
      <w:pPr>
        <w:spacing w:before="40" w:after="40" w:line="300" w:lineRule="auto"/>
        <w:ind w:firstLine="567"/>
        <w:jc w:val="both"/>
      </w:pPr>
      <w:r>
        <w:t xml:space="preserve">Aquaculture production in the month was estimated at 274.3 thousand tons, rose by 4.3% compared with the same period last year, of which fish reached 208.3 thousand tons, rose by 4.2%; shrimp reached 34.7 thousand tons, </w:t>
      </w:r>
      <w:r>
        <w:lastRenderedPageBreak/>
        <w:t>rose by 8.1%. Pangasius farming was favorable due to the need of preparation of goods for the Lunar New Year and the increase of orders from fishery processing factories. Price of commercial pangasius was stable</w:t>
      </w:r>
      <w:r w:rsidRPr="00AD6969">
        <w:rPr>
          <w:rStyle w:val="FootnoteReference"/>
          <w:lang w:val="pl-PL"/>
        </w:rPr>
        <w:footnoteReference w:id="1"/>
      </w:r>
      <w:r>
        <w:t xml:space="preserve"> but the supply was not much because at this time, producer was in stage of improving and preparing farming ponds. Production of Pangasius in January 2018 was estimated at 91.5 thousand tons, rose by 5.9% compared with the same period last year, of which An Giang reached 24.5 thousand tons, rose by 1.2%; Dong Thap reached 32.2 thousand tons, rose by 3.7%; Can Tho reached 7.2 thousand tons, rose by 7%. Brackish shrimp farming was good, super farming rotation model was developing strongly in many localities. Production of tiger shrimp in January was estimated at 13.7 thousand tons, grew up 3% compared with the same period last year; production of white leg shrimp reached 17.6 thousand tons, increased by 10%.</w:t>
      </w:r>
    </w:p>
    <w:p w:rsidR="000C7688" w:rsidRPr="00AD6969" w:rsidRDefault="00DF77C7" w:rsidP="00DF77C7">
      <w:pPr>
        <w:spacing w:before="40" w:after="40" w:line="286" w:lineRule="auto"/>
        <w:ind w:firstLine="567"/>
        <w:jc w:val="both"/>
        <w:rPr>
          <w:b/>
          <w:i/>
        </w:rPr>
      </w:pPr>
      <w:r>
        <w:t>Production of fishery catching in January was estimated at 251.4 thousand tons, grew up 3.8% compared with the same period last year, of which fish reached 183.2 thousand tons, rose by 4.8%; shrimp reached 12.4 thousand tons, rose by 3.3%. Particularly, production of marine catching in January was estimated at 236 thousand tons, increased by 4%, of which 172.9 thousand tons of fish rose by 5%; shrimp reached 11.2 thousand tons, rose by 3.7%.</w:t>
      </w:r>
    </w:p>
    <w:p w:rsidR="003A35EA" w:rsidRPr="00AD6969" w:rsidRDefault="00050417" w:rsidP="00AD6969">
      <w:pPr>
        <w:spacing w:before="40" w:after="40" w:line="276" w:lineRule="auto"/>
        <w:ind w:firstLine="567"/>
        <w:jc w:val="both"/>
        <w:rPr>
          <w:b/>
          <w:bCs/>
        </w:rPr>
      </w:pPr>
      <w:r>
        <w:rPr>
          <w:b/>
          <w:bCs/>
        </w:rPr>
        <w:t>2. Industrial production</w:t>
      </w:r>
    </w:p>
    <w:p w:rsidR="00521890" w:rsidRPr="00AD6969" w:rsidRDefault="00521890" w:rsidP="00CD7BD4">
      <w:pPr>
        <w:spacing w:before="40" w:after="40" w:line="288" w:lineRule="auto"/>
        <w:ind w:right="94" w:firstLine="567"/>
        <w:jc w:val="both"/>
      </w:pPr>
      <w:r>
        <w:t>The index of industrial production (IIP) in January 2019</w:t>
      </w:r>
      <w:r>
        <w:rPr>
          <w:vertAlign w:val="superscript"/>
        </w:rPr>
        <w:t xml:space="preserve"> </w:t>
      </w:r>
      <w:r w:rsidR="007C578F">
        <w:t>estimated to witness</w:t>
      </w:r>
      <w:r>
        <w:t xml:space="preserve"> a sharp increase of 20.9% compared with that in 2017</w:t>
      </w:r>
      <w:r w:rsidR="00DB1B67" w:rsidRPr="00AD6969">
        <w:rPr>
          <w:rStyle w:val="FootnoteReference"/>
          <w:lang w:val="pl-PL"/>
        </w:rPr>
        <w:footnoteReference w:id="2"/>
      </w:r>
      <w:r>
        <w:t>, mainly due to the Lunar New Year holiday this year did not coincide with January as 2017 and it was the time for enterprises to focus on producing goods to serve consumer demand during Tet holiday. The manufacturing increased by 23.8%, contributed 17.5 percentage points into general growth; the production and distribution of electricity rose by 15.4%, contributed  1 percentage point; the mining and quarrying increased by 10.5%, contributed 2.3 percentage points; the water supply, waste management and treatment went up by 6.8%, contributed 0.1 percentage points.</w:t>
      </w:r>
    </w:p>
    <w:p w:rsidR="00521890" w:rsidRPr="00AD6969" w:rsidRDefault="00521890" w:rsidP="00CD7BD4">
      <w:pPr>
        <w:spacing w:before="40" w:after="40" w:line="288" w:lineRule="auto"/>
        <w:ind w:right="94" w:firstLine="567"/>
        <w:jc w:val="both"/>
      </w:pPr>
      <w:r>
        <w:t xml:space="preserve">In Januray, some industrial activities gained a sharp rise year-on-year compared to the same period last year: Quarrying of metal ores increased by 52.5%;manufacture of electronics, computers and optical products increased by 38%; mining of coal and lignite increased by 29.1%; metal manufacture </w:t>
      </w:r>
      <w:r>
        <w:lastRenderedPageBreak/>
        <w:t>soared 27.1%; costume production increased by 25.8%; textiles and garments went up 23%. Some industrial activities recorded a low increase or even decrease: Water exploitation, treatment and supply increased by 6.3%; waste collection, treatment and disposal went up 4.7%; repair, maintenance and installation of machinery and equipment went down 0.9%; Production of coke and refined petroleum products decreased by 3%; mining and ore support services went down 22.4%.</w:t>
      </w:r>
    </w:p>
    <w:p w:rsidR="00521890" w:rsidRPr="00AD6969" w:rsidRDefault="00521890" w:rsidP="00CD7BD4">
      <w:pPr>
        <w:spacing w:before="40" w:after="40" w:line="288" w:lineRule="auto"/>
        <w:ind w:right="94" w:firstLine="567"/>
        <w:jc w:val="both"/>
      </w:pPr>
      <w:r>
        <w:t xml:space="preserve">Some main industrial products in January witnessed a sharp increase </w:t>
      </w:r>
      <w:r w:rsidR="007C578F">
        <w:t>compared to</w:t>
      </w:r>
      <w:r>
        <w:t xml:space="preserve"> those in the same time point of last year: TV soared by 62.9%; powdered milk increased by 51%; Shower cream, facial cleansing foam went up 34.1%; fabric made of artificial fibers increased by 33.8%; cement rose by 29.7%; crude iron and steel increased by 28.4%; coal went up 27.1%; chemical paint jumped by 24.6%;  steel bar, angle steel increased by 24.1%; natural gas went up 22.1%; beer increased by 21.5%; cigarettes rose by 21.2%. Some products recorded a slight increase or even decrease: Monosodium glutamate (MSG) increased by 4.3%; leather shoes, sandals, boots rose by 3.9%; Textile from natural cotton yarn went up 3.4%; shampoo, hair conditioner increased by 1.9%; animal feed  was unchanged; urea fertilizer decreased by 8.6%; extracted crude oil dropped 10.6%.</w:t>
      </w:r>
    </w:p>
    <w:p w:rsidR="00521890" w:rsidRPr="00AD6969" w:rsidRDefault="00521890" w:rsidP="00CD7BD4">
      <w:pPr>
        <w:shd w:val="clear" w:color="auto" w:fill="FFFFFF"/>
        <w:spacing w:before="40" w:after="40" w:line="288" w:lineRule="auto"/>
        <w:ind w:right="187" w:firstLine="567"/>
        <w:jc w:val="both"/>
      </w:pPr>
      <w:r>
        <w:t>The IIP in January 2018 compared with the same period last year of some provinces with large industrial scale were as follows: Da Nang increased by 48.7%; Bac Ninh increased by 47.2% (mainly on manufacturing electronic products and components for global export); Hai Phong increased by 31.3%; Quang Ninh increased by 29%; Quang Nam increased by 26.3%; Vinh Phuc increased by 24.5%; Binh Duong increased by 24.2%; Hai Duong increased by 19.5%; Thai Nguyen increased by 15.8%; Ho Chi Minh City increased by 15%; Hanoi increased by 14.7%; Ba Ria - Vung Tau increased 9.1%; Dong Nai increased by 8.8%; Can Tho increased by 8.7%.</w:t>
      </w:r>
    </w:p>
    <w:p w:rsidR="00521890" w:rsidRPr="00AD6969" w:rsidRDefault="00521890" w:rsidP="00AD6969">
      <w:pPr>
        <w:shd w:val="clear" w:color="auto" w:fill="FFFFFF"/>
        <w:spacing w:before="40" w:after="40" w:line="257" w:lineRule="auto"/>
        <w:ind w:right="187" w:firstLine="567"/>
        <w:jc w:val="both"/>
      </w:pPr>
      <w:r>
        <w:t>Employees working in industrial enterprises at the time of</w:t>
      </w:r>
      <w:r w:rsidR="0067291F">
        <w:t xml:space="preserve"> 1st January 2018 increased by </w:t>
      </w:r>
      <w:bookmarkStart w:id="0" w:name="_GoBack"/>
      <w:bookmarkEnd w:id="0"/>
      <w:r>
        <w:t>4.2% compared to the corresponding period of the preceding year, of which employees in the state-owned enterprises fell by 1.3%; non-state enterprises increased by 2.4%; enterprises with foreign direct investment increased by 5.8%. At this time, employees working in mining enterprises decreased by 3% compared to the same period last year; manufacturing increased by 4.5%; production and distribution of electricity fell by 0.4%; water supply, waste management and treatment went up 0.7%.</w:t>
      </w:r>
    </w:p>
    <w:p w:rsidR="00D1530E" w:rsidRPr="00AD6969" w:rsidRDefault="00521890" w:rsidP="00AD6969">
      <w:pPr>
        <w:spacing w:before="40" w:after="40" w:line="257" w:lineRule="auto"/>
        <w:ind w:right="96" w:firstLine="567"/>
        <w:jc w:val="both"/>
      </w:pPr>
      <w:r>
        <w:t xml:space="preserve">Employees in industrial enterprises at the time of 1st January 2018 compared with the same period last year of some provinces with large </w:t>
      </w:r>
      <w:r>
        <w:lastRenderedPageBreak/>
        <w:t>industrial scale were as follows: Bac Ninh increased by 20.3%; Thai Nguyen increased by 10.2%; Hai Phong increased by 9.9%; Vinh Phuc increased by 8.8%; Can Tho increased by 8.1%; Binh Duong increased by 6.8%; Hai Duong increased by 6%; Quang Nam increased by 3.4%; Dong Nai increased by 3%; Da Nang increased by 2%; Hanoi increased by 1%; Ho Chi Minh City increased by 0.8%; Ba Ria - Vung Tau increased 0.4%; Quang Ninh decreased by 3%.</w:t>
      </w:r>
    </w:p>
    <w:p w:rsidR="005B7066" w:rsidRPr="00F572BC" w:rsidRDefault="00050417" w:rsidP="005B7066">
      <w:pPr>
        <w:ind w:firstLine="459"/>
        <w:jc w:val="both"/>
        <w:rPr>
          <w:rStyle w:val="tlid-translation"/>
          <w:b/>
        </w:rPr>
      </w:pPr>
      <w:r>
        <w:rPr>
          <w:b/>
          <w:bCs/>
        </w:rPr>
        <w:t xml:space="preserve">3. </w:t>
      </w:r>
      <w:r w:rsidR="005B7066" w:rsidRPr="00722287">
        <w:rPr>
          <w:rStyle w:val="tlid-translation"/>
          <w:b/>
        </w:rPr>
        <w:t xml:space="preserve">The situation of </w:t>
      </w:r>
      <w:r w:rsidR="005B7066" w:rsidRPr="00F572BC">
        <w:rPr>
          <w:rStyle w:val="tlid-translation"/>
          <w:b/>
        </w:rPr>
        <w:t>enterprises registration</w:t>
      </w:r>
      <w:r w:rsidR="005B7066" w:rsidRPr="00F572BC">
        <w:rPr>
          <w:rStyle w:val="FootnoteReference"/>
          <w:b/>
        </w:rPr>
        <w:footnoteReference w:id="3"/>
      </w:r>
    </w:p>
    <w:p w:rsidR="005B7066" w:rsidRDefault="005B7066" w:rsidP="005B7066">
      <w:pPr>
        <w:spacing w:before="40" w:after="40" w:line="257" w:lineRule="auto"/>
        <w:ind w:firstLine="567"/>
        <w:jc w:val="both"/>
        <w:rPr>
          <w:spacing w:val="-2"/>
          <w:lang w:val="it-IT"/>
        </w:rPr>
      </w:pPr>
      <w:r w:rsidRPr="00F572BC">
        <w:rPr>
          <w:spacing w:val="-2"/>
          <w:lang w:val="it-IT"/>
        </w:rPr>
        <w:t>In January 2018, there were 10,839 newly registered enterprises nationwide with a registered capital of 98.3 trillion VND, an increase of 20.6% in number of enterprises and 8.9% in registered capital compared with the same period in 2017; the average registered capital of a newly established enterprise reached 9.1 billion VND, went down 9.7%</w:t>
      </w:r>
      <w:r w:rsidRPr="00F572BC">
        <w:rPr>
          <w:rStyle w:val="FootnoteReference"/>
          <w:spacing w:val="-2"/>
          <w:lang w:val="it-IT"/>
        </w:rPr>
        <w:footnoteReference w:id="4"/>
      </w:r>
      <w:r w:rsidRPr="00F572BC">
        <w:rPr>
          <w:spacing w:val="-2"/>
          <w:lang w:val="it-IT"/>
        </w:rPr>
        <w:t>. If including 218</w:t>
      </w:r>
      <w:r w:rsidRPr="00B8536E">
        <w:rPr>
          <w:color w:val="000000" w:themeColor="text1"/>
          <w:spacing w:val="-2"/>
          <w:lang w:val="it-IT"/>
        </w:rPr>
        <w:t>.1 trillion VND of additional registered capital of enterprises that saw upward adjustment of capital, the total additional registered capital in the economy in January was 316</w:t>
      </w:r>
      <w:r w:rsidRPr="00722287">
        <w:rPr>
          <w:spacing w:val="-2"/>
          <w:lang w:val="it-IT"/>
        </w:rPr>
        <w:t xml:space="preserve">.4 trillion VND. In addition, there </w:t>
      </w:r>
      <w:r>
        <w:rPr>
          <w:spacing w:val="-2"/>
          <w:lang w:val="it-IT"/>
        </w:rPr>
        <w:t>were</w:t>
      </w:r>
      <w:r w:rsidRPr="00722287">
        <w:rPr>
          <w:spacing w:val="-2"/>
          <w:lang w:val="it-IT"/>
        </w:rPr>
        <w:t xml:space="preserve"> 4,587 </w:t>
      </w:r>
      <w:r>
        <w:rPr>
          <w:spacing w:val="-2"/>
          <w:lang w:val="it-IT"/>
        </w:rPr>
        <w:t>re-operated enterprises</w:t>
      </w:r>
      <w:r w:rsidRPr="00722287">
        <w:rPr>
          <w:spacing w:val="-2"/>
          <w:lang w:val="it-IT"/>
        </w:rPr>
        <w:t xml:space="preserve">, </w:t>
      </w:r>
      <w:r>
        <w:rPr>
          <w:spacing w:val="-2"/>
          <w:lang w:val="it-IT"/>
        </w:rPr>
        <w:t>fell</w:t>
      </w:r>
      <w:r w:rsidRPr="00722287">
        <w:rPr>
          <w:spacing w:val="-2"/>
          <w:lang w:val="it-IT"/>
        </w:rPr>
        <w:t xml:space="preserve"> 17.6% compared to the same period last year, bringing the total number of newly registered enterprises and </w:t>
      </w:r>
      <w:r>
        <w:rPr>
          <w:spacing w:val="-2"/>
          <w:lang w:val="it-IT"/>
        </w:rPr>
        <w:t xml:space="preserve">re-operated </w:t>
      </w:r>
      <w:r w:rsidRPr="00722287">
        <w:rPr>
          <w:spacing w:val="-2"/>
          <w:lang w:val="it-IT"/>
        </w:rPr>
        <w:t>enterprises in Ja</w:t>
      </w:r>
      <w:r>
        <w:rPr>
          <w:spacing w:val="-2"/>
          <w:lang w:val="it-IT"/>
        </w:rPr>
        <w:t xml:space="preserve">nuary this </w:t>
      </w:r>
      <w:r w:rsidRPr="0096286C">
        <w:rPr>
          <w:spacing w:val="-2"/>
          <w:lang w:val="it-IT"/>
        </w:rPr>
        <w:t>year up to 15.4</w:t>
      </w:r>
      <w:r w:rsidRPr="00722287">
        <w:rPr>
          <w:spacing w:val="-2"/>
          <w:lang w:val="it-IT"/>
        </w:rPr>
        <w:t xml:space="preserve"> thousand enterprises. The total number of registered </w:t>
      </w:r>
      <w:r>
        <w:rPr>
          <w:spacing w:val="-2"/>
          <w:lang w:val="it-IT"/>
        </w:rPr>
        <w:t>employees</w:t>
      </w:r>
      <w:r w:rsidRPr="00722287">
        <w:rPr>
          <w:spacing w:val="-2"/>
          <w:lang w:val="it-IT"/>
        </w:rPr>
        <w:t xml:space="preserve"> of newly established enterprises in the month was 85.3 thousand pe</w:t>
      </w:r>
      <w:r>
        <w:rPr>
          <w:spacing w:val="-2"/>
          <w:lang w:val="it-IT"/>
        </w:rPr>
        <w:t>rsons</w:t>
      </w:r>
      <w:r w:rsidRPr="00722287">
        <w:rPr>
          <w:spacing w:val="-2"/>
          <w:lang w:val="it-IT"/>
        </w:rPr>
        <w:t>, equaling 82% of the same period in 2017.</w:t>
      </w:r>
    </w:p>
    <w:p w:rsidR="005B7066" w:rsidRDefault="005B7066" w:rsidP="005B7066">
      <w:pPr>
        <w:spacing w:before="40" w:after="40" w:line="257" w:lineRule="auto"/>
        <w:ind w:firstLine="567"/>
        <w:jc w:val="both"/>
        <w:rPr>
          <w:spacing w:val="-2"/>
          <w:lang w:val="it-IT"/>
        </w:rPr>
      </w:pPr>
      <w:r>
        <w:rPr>
          <w:spacing w:val="-2"/>
          <w:lang w:val="it-IT"/>
        </w:rPr>
        <w:t>By economic activities</w:t>
      </w:r>
      <w:r w:rsidRPr="00722287">
        <w:rPr>
          <w:spacing w:val="-2"/>
          <w:lang w:val="it-IT"/>
        </w:rPr>
        <w:t>, in January this year there were 3.8 thousand newly established enterprises in the wholesale and retail (accounting for 35.1% of the total number of newly established enterprises), an increase of 24.1% compared to in the same period last year; 1.4 thousand construction enterprises (</w:t>
      </w:r>
      <w:r>
        <w:rPr>
          <w:spacing w:val="-2"/>
          <w:lang w:val="it-IT"/>
        </w:rPr>
        <w:t>sharing</w:t>
      </w:r>
      <w:r w:rsidRPr="00722287">
        <w:rPr>
          <w:spacing w:val="-2"/>
          <w:lang w:val="it-IT"/>
        </w:rPr>
        <w:t xml:space="preserve"> 12.7%), </w:t>
      </w:r>
      <w:r>
        <w:rPr>
          <w:spacing w:val="-2"/>
          <w:lang w:val="it-IT"/>
        </w:rPr>
        <w:t xml:space="preserve">going </w:t>
      </w:r>
      <w:r w:rsidRPr="00722287">
        <w:rPr>
          <w:spacing w:val="-2"/>
          <w:lang w:val="it-IT"/>
        </w:rPr>
        <w:t>up</w:t>
      </w:r>
      <w:r>
        <w:rPr>
          <w:spacing w:val="-2"/>
          <w:lang w:val="it-IT"/>
        </w:rPr>
        <w:t xml:space="preserve"> by</w:t>
      </w:r>
      <w:r w:rsidRPr="00722287">
        <w:rPr>
          <w:spacing w:val="-2"/>
          <w:lang w:val="it-IT"/>
        </w:rPr>
        <w:t xml:space="preserve"> 21.1%; 1.3 thousand manufacturing enterprises (accounting for 12.2%), </w:t>
      </w:r>
      <w:r>
        <w:rPr>
          <w:bCs/>
        </w:rPr>
        <w:t xml:space="preserve">an </w:t>
      </w:r>
      <w:r w:rsidRPr="002137DD">
        <w:rPr>
          <w:bCs/>
          <w:lang w:val="vi-VN"/>
        </w:rPr>
        <w:t>up</w:t>
      </w:r>
      <w:r>
        <w:rPr>
          <w:bCs/>
        </w:rPr>
        <w:t xml:space="preserve">turn of </w:t>
      </w:r>
      <w:r w:rsidRPr="002137DD">
        <w:rPr>
          <w:bCs/>
          <w:lang w:val="vi-VN"/>
        </w:rPr>
        <w:t xml:space="preserve"> </w:t>
      </w:r>
      <w:r w:rsidRPr="00722287">
        <w:rPr>
          <w:spacing w:val="-2"/>
          <w:lang w:val="it-IT"/>
        </w:rPr>
        <w:t>6.2%; 799 enterprises</w:t>
      </w:r>
      <w:r>
        <w:rPr>
          <w:spacing w:val="-2"/>
          <w:lang w:val="it-IT"/>
        </w:rPr>
        <w:t xml:space="preserve"> in the </w:t>
      </w:r>
      <w:r w:rsidRPr="0097059D">
        <w:rPr>
          <w:lang w:val="it-IT"/>
        </w:rPr>
        <w:t xml:space="preserve"> science, technology, consult</w:t>
      </w:r>
      <w:r>
        <w:rPr>
          <w:lang w:val="it-IT"/>
        </w:rPr>
        <w:t>ation</w:t>
      </w:r>
      <w:r w:rsidRPr="0097059D">
        <w:rPr>
          <w:lang w:val="it-IT"/>
        </w:rPr>
        <w:t xml:space="preserve"> </w:t>
      </w:r>
      <w:r>
        <w:rPr>
          <w:lang w:val="it-IT"/>
        </w:rPr>
        <w:t xml:space="preserve">service, </w:t>
      </w:r>
      <w:r w:rsidRPr="0097059D">
        <w:rPr>
          <w:lang w:val="it-IT"/>
        </w:rPr>
        <w:t>design</w:t>
      </w:r>
      <w:r>
        <w:rPr>
          <w:lang w:val="it-IT"/>
        </w:rPr>
        <w:t>ing</w:t>
      </w:r>
      <w:r w:rsidRPr="0097059D">
        <w:rPr>
          <w:lang w:val="it-IT"/>
        </w:rPr>
        <w:t>, advertis</w:t>
      </w:r>
      <w:r>
        <w:rPr>
          <w:lang w:val="it-IT"/>
        </w:rPr>
        <w:t>ement</w:t>
      </w:r>
      <w:r w:rsidRPr="0097059D">
        <w:rPr>
          <w:lang w:val="it-IT"/>
        </w:rPr>
        <w:t xml:space="preserve"> and other</w:t>
      </w:r>
      <w:r>
        <w:rPr>
          <w:lang w:val="it-IT"/>
        </w:rPr>
        <w:t>s</w:t>
      </w:r>
      <w:r w:rsidRPr="00722287">
        <w:rPr>
          <w:spacing w:val="-2"/>
          <w:lang w:val="it-IT"/>
        </w:rPr>
        <w:t xml:space="preserve"> (</w:t>
      </w:r>
      <w:r>
        <w:rPr>
          <w:spacing w:val="-2"/>
          <w:lang w:val="it-IT"/>
        </w:rPr>
        <w:t>representing</w:t>
      </w:r>
      <w:r w:rsidRPr="00722287">
        <w:rPr>
          <w:spacing w:val="-2"/>
          <w:lang w:val="it-IT"/>
        </w:rPr>
        <w:t xml:space="preserve"> 7.4%), </w:t>
      </w:r>
      <w:r>
        <w:rPr>
          <w:spacing w:val="-2"/>
          <w:lang w:val="it-IT"/>
        </w:rPr>
        <w:t xml:space="preserve">a growth of </w:t>
      </w:r>
      <w:r w:rsidRPr="00722287">
        <w:rPr>
          <w:spacing w:val="-2"/>
          <w:lang w:val="it-IT"/>
        </w:rPr>
        <w:t xml:space="preserve">6.3%; 643 enterprises </w:t>
      </w:r>
      <w:r>
        <w:rPr>
          <w:spacing w:val="-2"/>
          <w:lang w:val="it-IT"/>
        </w:rPr>
        <w:t xml:space="preserve">in the </w:t>
      </w:r>
      <w:r w:rsidRPr="0097059D">
        <w:rPr>
          <w:lang w:val="it-IT"/>
        </w:rPr>
        <w:t xml:space="preserve">employment services, </w:t>
      </w:r>
      <w:r>
        <w:rPr>
          <w:lang w:val="it-IT"/>
        </w:rPr>
        <w:t>travel</w:t>
      </w:r>
      <w:r w:rsidRPr="0097059D">
        <w:rPr>
          <w:lang w:val="it-IT"/>
        </w:rPr>
        <w:t xml:space="preserve">, </w:t>
      </w:r>
      <w:r>
        <w:rPr>
          <w:lang w:val="it-IT"/>
        </w:rPr>
        <w:t xml:space="preserve">renting and </w:t>
      </w:r>
      <w:r w:rsidRPr="0097059D">
        <w:rPr>
          <w:lang w:val="it-IT"/>
        </w:rPr>
        <w:t xml:space="preserve">leasing </w:t>
      </w:r>
      <w:r>
        <w:rPr>
          <w:lang w:val="it-IT"/>
        </w:rPr>
        <w:t xml:space="preserve">of </w:t>
      </w:r>
      <w:r w:rsidRPr="0097059D">
        <w:rPr>
          <w:lang w:val="it-IT"/>
        </w:rPr>
        <w:t>machinery, equipment and other support services</w:t>
      </w:r>
      <w:r w:rsidRPr="00722287">
        <w:rPr>
          <w:spacing w:val="-2"/>
          <w:lang w:val="it-IT"/>
        </w:rPr>
        <w:t xml:space="preserve"> (accounting for 5.9%), </w:t>
      </w:r>
      <w:r>
        <w:rPr>
          <w:spacing w:val="-2"/>
          <w:lang w:val="it-IT"/>
        </w:rPr>
        <w:t>going up by</w:t>
      </w:r>
      <w:r w:rsidRPr="00722287">
        <w:rPr>
          <w:spacing w:val="-2"/>
          <w:lang w:val="it-IT"/>
        </w:rPr>
        <w:t xml:space="preserve"> 42.3%; 608 enterprises</w:t>
      </w:r>
      <w:r>
        <w:rPr>
          <w:spacing w:val="-2"/>
          <w:lang w:val="it-IT"/>
        </w:rPr>
        <w:t xml:space="preserve"> in the</w:t>
      </w:r>
      <w:r w:rsidRPr="00722287">
        <w:rPr>
          <w:spacing w:val="-2"/>
          <w:lang w:val="it-IT"/>
        </w:rPr>
        <w:t xml:space="preserve"> accommodation and catering service (</w:t>
      </w:r>
      <w:r>
        <w:rPr>
          <w:spacing w:val="-2"/>
          <w:lang w:val="it-IT"/>
        </w:rPr>
        <w:t xml:space="preserve">making </w:t>
      </w:r>
      <w:r w:rsidRPr="00722287">
        <w:rPr>
          <w:spacing w:val="-2"/>
          <w:lang w:val="it-IT"/>
        </w:rPr>
        <w:t xml:space="preserve">up 5.6%), </w:t>
      </w:r>
      <w:r>
        <w:rPr>
          <w:spacing w:val="-2"/>
          <w:lang w:val="it-IT"/>
        </w:rPr>
        <w:t xml:space="preserve">a rise of </w:t>
      </w:r>
      <w:r w:rsidRPr="00722287">
        <w:rPr>
          <w:spacing w:val="-2"/>
          <w:lang w:val="it-IT"/>
        </w:rPr>
        <w:t xml:space="preserve">34.2%; 461 enterprises </w:t>
      </w:r>
      <w:r>
        <w:rPr>
          <w:spacing w:val="-2"/>
          <w:lang w:val="it-IT"/>
        </w:rPr>
        <w:t xml:space="preserve">in the </w:t>
      </w:r>
      <w:r w:rsidRPr="00722287">
        <w:rPr>
          <w:spacing w:val="-2"/>
          <w:lang w:val="it-IT"/>
        </w:rPr>
        <w:t>real estate</w:t>
      </w:r>
      <w:r>
        <w:rPr>
          <w:spacing w:val="-2"/>
          <w:lang w:val="it-IT"/>
        </w:rPr>
        <w:t xml:space="preserve"> activities </w:t>
      </w:r>
      <w:r w:rsidRPr="00722287">
        <w:rPr>
          <w:spacing w:val="-2"/>
          <w:lang w:val="it-IT"/>
        </w:rPr>
        <w:t xml:space="preserve">(accounting for 4.3%), </w:t>
      </w:r>
      <w:r>
        <w:rPr>
          <w:spacing w:val="-2"/>
          <w:lang w:val="it-IT"/>
        </w:rPr>
        <w:t>jumping by</w:t>
      </w:r>
      <w:r w:rsidRPr="00722287">
        <w:rPr>
          <w:spacing w:val="-2"/>
          <w:lang w:val="it-IT"/>
        </w:rPr>
        <w:t xml:space="preserve"> 47.8%; 283 enterprises </w:t>
      </w:r>
      <w:r>
        <w:rPr>
          <w:spacing w:val="-2"/>
          <w:lang w:val="it-IT"/>
        </w:rPr>
        <w:t>in the</w:t>
      </w:r>
      <w:r w:rsidRPr="00722287">
        <w:rPr>
          <w:spacing w:val="-2"/>
          <w:lang w:val="it-IT"/>
        </w:rPr>
        <w:t xml:space="preserve"> education and training (accounting for 2.6%), </w:t>
      </w:r>
      <w:r>
        <w:rPr>
          <w:spacing w:val="-2"/>
          <w:lang w:val="it-IT"/>
        </w:rPr>
        <w:t xml:space="preserve">rising by </w:t>
      </w:r>
      <w:r w:rsidRPr="00722287">
        <w:rPr>
          <w:spacing w:val="-2"/>
          <w:lang w:val="it-IT"/>
        </w:rPr>
        <w:t>48.2%.</w:t>
      </w:r>
    </w:p>
    <w:p w:rsidR="005B7066" w:rsidRDefault="005B7066" w:rsidP="005B7066">
      <w:pPr>
        <w:spacing w:before="40" w:after="40" w:line="257" w:lineRule="auto"/>
        <w:ind w:firstLine="567"/>
        <w:jc w:val="both"/>
        <w:rPr>
          <w:spacing w:val="-2"/>
          <w:lang w:val="it-IT"/>
        </w:rPr>
      </w:pPr>
      <w:r w:rsidRPr="00722287">
        <w:rPr>
          <w:spacing w:val="-2"/>
          <w:lang w:val="it-IT"/>
        </w:rPr>
        <w:t>The number of newly established enterprises in January this year increased compared to the same period last year. In which:</w:t>
      </w:r>
      <w:r>
        <w:rPr>
          <w:spacing w:val="-2"/>
          <w:lang w:val="it-IT"/>
        </w:rPr>
        <w:t xml:space="preserve"> The Southeast had</w:t>
      </w:r>
      <w:r w:rsidRPr="00722287">
        <w:rPr>
          <w:spacing w:val="-2"/>
          <w:lang w:val="it-IT"/>
        </w:rPr>
        <w:t xml:space="preserve"> 4.6 thousand enterprises, </w:t>
      </w:r>
      <w:r>
        <w:rPr>
          <w:spacing w:val="-2"/>
          <w:lang w:val="it-IT"/>
        </w:rPr>
        <w:t>rose by</w:t>
      </w:r>
      <w:r w:rsidRPr="00722287">
        <w:rPr>
          <w:spacing w:val="-2"/>
          <w:lang w:val="it-IT"/>
        </w:rPr>
        <w:t xml:space="preserve"> 18% (registered capital of 35.9 trillion</w:t>
      </w:r>
      <w:r>
        <w:rPr>
          <w:spacing w:val="-2"/>
          <w:lang w:val="it-IT"/>
        </w:rPr>
        <w:t xml:space="preserve"> VND</w:t>
      </w:r>
      <w:r w:rsidRPr="00722287">
        <w:rPr>
          <w:spacing w:val="-2"/>
          <w:lang w:val="it-IT"/>
        </w:rPr>
        <w:t xml:space="preserve">, </w:t>
      </w:r>
      <w:r>
        <w:rPr>
          <w:spacing w:val="-2"/>
          <w:lang w:val="it-IT"/>
        </w:rPr>
        <w:t xml:space="preserve">went </w:t>
      </w:r>
      <w:r w:rsidRPr="00722287">
        <w:rPr>
          <w:spacing w:val="-2"/>
          <w:lang w:val="it-IT"/>
        </w:rPr>
        <w:t xml:space="preserve">down 12.8%); Red River Delta </w:t>
      </w:r>
      <w:r>
        <w:rPr>
          <w:spacing w:val="-2"/>
          <w:lang w:val="it-IT"/>
        </w:rPr>
        <w:t xml:space="preserve">was </w:t>
      </w:r>
      <w:r w:rsidRPr="00722287">
        <w:rPr>
          <w:spacing w:val="-2"/>
          <w:lang w:val="it-IT"/>
        </w:rPr>
        <w:t xml:space="preserve">3.1 thousand enterprises, </w:t>
      </w:r>
      <w:r>
        <w:rPr>
          <w:spacing w:val="-2"/>
          <w:lang w:val="it-IT"/>
        </w:rPr>
        <w:t>grew up</w:t>
      </w:r>
      <w:r w:rsidRPr="00722287">
        <w:rPr>
          <w:spacing w:val="-2"/>
          <w:lang w:val="it-IT"/>
        </w:rPr>
        <w:t xml:space="preserve"> 18.7% </w:t>
      </w:r>
      <w:r w:rsidRPr="00722287">
        <w:rPr>
          <w:spacing w:val="-2"/>
          <w:lang w:val="it-IT"/>
        </w:rPr>
        <w:lastRenderedPageBreak/>
        <w:t xml:space="preserve">(registered capital of 32 trillion VND, </w:t>
      </w:r>
      <w:r>
        <w:rPr>
          <w:spacing w:val="-2"/>
          <w:lang w:val="it-IT"/>
        </w:rPr>
        <w:t xml:space="preserve">made </w:t>
      </w:r>
      <w:r w:rsidRPr="00722287">
        <w:rPr>
          <w:spacing w:val="-2"/>
          <w:lang w:val="it-IT"/>
        </w:rPr>
        <w:t xml:space="preserve">up 18.5%); North Central and Central Coast </w:t>
      </w:r>
      <w:r>
        <w:rPr>
          <w:spacing w:val="-2"/>
          <w:lang w:val="it-IT"/>
        </w:rPr>
        <w:t xml:space="preserve">areas were </w:t>
      </w:r>
      <w:r w:rsidRPr="00722287">
        <w:rPr>
          <w:spacing w:val="-2"/>
          <w:lang w:val="it-IT"/>
        </w:rPr>
        <w:t xml:space="preserve">1.5 thousand enterprises, </w:t>
      </w:r>
      <w:r>
        <w:rPr>
          <w:spacing w:val="-2"/>
          <w:lang w:val="it-IT"/>
        </w:rPr>
        <w:t>expanded</w:t>
      </w:r>
      <w:r w:rsidRPr="00722287">
        <w:rPr>
          <w:spacing w:val="-2"/>
          <w:lang w:val="it-IT"/>
        </w:rPr>
        <w:t xml:space="preserve"> 30.6% (registered capital of 15.5 trillion VND, up 112.1%); Mekong </w:t>
      </w:r>
      <w:r>
        <w:rPr>
          <w:spacing w:val="-2"/>
          <w:lang w:val="it-IT"/>
        </w:rPr>
        <w:t xml:space="preserve">River </w:t>
      </w:r>
      <w:r w:rsidRPr="00722287">
        <w:rPr>
          <w:spacing w:val="-2"/>
          <w:lang w:val="it-IT"/>
        </w:rPr>
        <w:t xml:space="preserve">Delta </w:t>
      </w:r>
      <w:r>
        <w:rPr>
          <w:spacing w:val="-2"/>
          <w:lang w:val="it-IT"/>
        </w:rPr>
        <w:t xml:space="preserve">was </w:t>
      </w:r>
      <w:r w:rsidRPr="00722287">
        <w:rPr>
          <w:spacing w:val="-2"/>
          <w:lang w:val="it-IT"/>
        </w:rPr>
        <w:t xml:space="preserve">860 enterprises, </w:t>
      </w:r>
      <w:r>
        <w:rPr>
          <w:spacing w:val="-2"/>
          <w:lang w:val="it-IT"/>
        </w:rPr>
        <w:t>rose by</w:t>
      </w:r>
      <w:r w:rsidRPr="00722287">
        <w:rPr>
          <w:spacing w:val="-2"/>
          <w:lang w:val="it-IT"/>
        </w:rPr>
        <w:t xml:space="preserve"> 17.6% (registered capital</w:t>
      </w:r>
      <w:r>
        <w:rPr>
          <w:spacing w:val="-2"/>
          <w:lang w:val="it-IT"/>
        </w:rPr>
        <w:t xml:space="preserve"> of</w:t>
      </w:r>
      <w:r w:rsidRPr="00722287">
        <w:rPr>
          <w:spacing w:val="-2"/>
          <w:lang w:val="it-IT"/>
        </w:rPr>
        <w:t xml:space="preserve"> 7.7 trillion VND, </w:t>
      </w:r>
      <w:r>
        <w:rPr>
          <w:spacing w:val="-2"/>
          <w:lang w:val="it-IT"/>
        </w:rPr>
        <w:t xml:space="preserve">went </w:t>
      </w:r>
      <w:r w:rsidRPr="00722287">
        <w:rPr>
          <w:spacing w:val="-2"/>
          <w:lang w:val="it-IT"/>
        </w:rPr>
        <w:t>up 40.3%); Northern Midlands and Mountains</w:t>
      </w:r>
      <w:r>
        <w:rPr>
          <w:spacing w:val="-2"/>
          <w:lang w:val="it-IT"/>
        </w:rPr>
        <w:t xml:space="preserve"> areas gained</w:t>
      </w:r>
      <w:r w:rsidRPr="00722287">
        <w:rPr>
          <w:spacing w:val="-2"/>
          <w:lang w:val="it-IT"/>
        </w:rPr>
        <w:t xml:space="preserve"> 497 </w:t>
      </w:r>
      <w:r>
        <w:rPr>
          <w:spacing w:val="-2"/>
          <w:lang w:val="it-IT"/>
        </w:rPr>
        <w:t>enterprises,</w:t>
      </w:r>
      <w:r w:rsidRPr="00722287">
        <w:rPr>
          <w:spacing w:val="-2"/>
          <w:lang w:val="it-IT"/>
        </w:rPr>
        <w:t xml:space="preserve"> </w:t>
      </w:r>
      <w:r>
        <w:rPr>
          <w:spacing w:val="-2"/>
          <w:lang w:val="it-IT"/>
        </w:rPr>
        <w:t>jumped up</w:t>
      </w:r>
      <w:r w:rsidRPr="00722287">
        <w:rPr>
          <w:spacing w:val="-2"/>
          <w:lang w:val="it-IT"/>
        </w:rPr>
        <w:t xml:space="preserve"> 38.4% (registered capital of 5.7 trillion VND, </w:t>
      </w:r>
      <w:r>
        <w:rPr>
          <w:spacing w:val="-2"/>
          <w:lang w:val="it-IT"/>
        </w:rPr>
        <w:t xml:space="preserve">went </w:t>
      </w:r>
      <w:r w:rsidRPr="00722287">
        <w:rPr>
          <w:spacing w:val="-2"/>
          <w:lang w:val="it-IT"/>
        </w:rPr>
        <w:t xml:space="preserve">down 4.3%); Western Highlands </w:t>
      </w:r>
      <w:r>
        <w:rPr>
          <w:spacing w:val="-2"/>
          <w:lang w:val="it-IT"/>
        </w:rPr>
        <w:t xml:space="preserve">was </w:t>
      </w:r>
      <w:r w:rsidRPr="00722287">
        <w:rPr>
          <w:spacing w:val="-2"/>
          <w:lang w:val="it-IT"/>
        </w:rPr>
        <w:t>288 enterprises, increase</w:t>
      </w:r>
      <w:r>
        <w:rPr>
          <w:spacing w:val="-2"/>
          <w:lang w:val="it-IT"/>
        </w:rPr>
        <w:t>d by</w:t>
      </w:r>
      <w:r w:rsidRPr="00722287">
        <w:rPr>
          <w:spacing w:val="-2"/>
          <w:lang w:val="it-IT"/>
        </w:rPr>
        <w:t xml:space="preserve"> 15.2% (registered capital of 1.4 trillion</w:t>
      </w:r>
      <w:r>
        <w:rPr>
          <w:spacing w:val="-2"/>
          <w:lang w:val="it-IT"/>
        </w:rPr>
        <w:t xml:space="preserve"> VND</w:t>
      </w:r>
      <w:r w:rsidRPr="00722287">
        <w:rPr>
          <w:spacing w:val="-2"/>
          <w:lang w:val="it-IT"/>
        </w:rPr>
        <w:t xml:space="preserve">, </w:t>
      </w:r>
      <w:r>
        <w:rPr>
          <w:spacing w:val="-2"/>
          <w:lang w:val="it-IT"/>
        </w:rPr>
        <w:t>reduced</w:t>
      </w:r>
      <w:r w:rsidRPr="00722287">
        <w:rPr>
          <w:spacing w:val="-2"/>
          <w:lang w:val="it-IT"/>
        </w:rPr>
        <w:t xml:space="preserve"> 56.7%).</w:t>
      </w:r>
    </w:p>
    <w:p w:rsidR="005B7066" w:rsidRDefault="005B7066" w:rsidP="005B7066">
      <w:pPr>
        <w:spacing w:before="40" w:after="40" w:line="257" w:lineRule="auto"/>
        <w:ind w:firstLine="567"/>
        <w:jc w:val="both"/>
        <w:rPr>
          <w:spacing w:val="-2"/>
          <w:lang w:val="it-IT"/>
        </w:rPr>
      </w:pPr>
      <w:r w:rsidRPr="00722287">
        <w:rPr>
          <w:spacing w:val="-2"/>
          <w:lang w:val="it-IT"/>
        </w:rPr>
        <w:t xml:space="preserve">The number of </w:t>
      </w:r>
      <w:r>
        <w:rPr>
          <w:spacing w:val="-2"/>
          <w:lang w:val="it-IT"/>
        </w:rPr>
        <w:t xml:space="preserve">temporarily ceased </w:t>
      </w:r>
      <w:r w:rsidRPr="00722287">
        <w:rPr>
          <w:spacing w:val="-2"/>
          <w:lang w:val="it-IT"/>
        </w:rPr>
        <w:t>enterprises in the month was 13,300</w:t>
      </w:r>
      <w:r>
        <w:rPr>
          <w:spacing w:val="-2"/>
          <w:lang w:val="it-IT"/>
        </w:rPr>
        <w:t xml:space="preserve"> </w:t>
      </w:r>
      <w:r w:rsidRPr="00722287">
        <w:rPr>
          <w:spacing w:val="-2"/>
          <w:lang w:val="it-IT"/>
        </w:rPr>
        <w:t xml:space="preserve"> enterprises, an increase of 0.1% compared to the same period last year, including 8,622 enterprises </w:t>
      </w:r>
      <w:r w:rsidRPr="00D657BC">
        <w:rPr>
          <w:spacing w:val="-2"/>
          <w:lang w:val="it-IT"/>
        </w:rPr>
        <w:t>registered to</w:t>
      </w:r>
      <w:r>
        <w:rPr>
          <w:spacing w:val="-2"/>
          <w:lang w:val="it-IT"/>
        </w:rPr>
        <w:t xml:space="preserve"> cease for a certain period of time</w:t>
      </w:r>
      <w:r w:rsidRPr="00722287">
        <w:rPr>
          <w:spacing w:val="-2"/>
          <w:lang w:val="it-IT"/>
        </w:rPr>
        <w:t xml:space="preserve">, increasing by 26.4% and 4,678 enterprises </w:t>
      </w:r>
      <w:r>
        <w:rPr>
          <w:spacing w:val="-2"/>
          <w:lang w:val="it-IT"/>
        </w:rPr>
        <w:t>temporarily ceased</w:t>
      </w:r>
      <w:r w:rsidRPr="00722287">
        <w:rPr>
          <w:spacing w:val="-2"/>
          <w:lang w:val="it-IT"/>
        </w:rPr>
        <w:t xml:space="preserve"> without regist</w:t>
      </w:r>
      <w:r>
        <w:rPr>
          <w:spacing w:val="-2"/>
          <w:lang w:val="it-IT"/>
        </w:rPr>
        <w:t xml:space="preserve">ration </w:t>
      </w:r>
      <w:r w:rsidRPr="00722287">
        <w:rPr>
          <w:spacing w:val="-2"/>
          <w:lang w:val="it-IT"/>
        </w:rPr>
        <w:t xml:space="preserve">or </w:t>
      </w:r>
      <w:r>
        <w:rPr>
          <w:spacing w:val="-2"/>
          <w:lang w:val="it-IT"/>
        </w:rPr>
        <w:t>a</w:t>
      </w:r>
      <w:r w:rsidRPr="00722287">
        <w:rPr>
          <w:spacing w:val="-2"/>
          <w:lang w:val="it-IT"/>
        </w:rPr>
        <w:t>wait</w:t>
      </w:r>
      <w:r>
        <w:rPr>
          <w:spacing w:val="-2"/>
          <w:lang w:val="it-IT"/>
        </w:rPr>
        <w:t>ed</w:t>
      </w:r>
      <w:r w:rsidRPr="00722287">
        <w:rPr>
          <w:spacing w:val="-2"/>
          <w:lang w:val="it-IT"/>
        </w:rPr>
        <w:t xml:space="preserve"> for dissolution, reducing 27.7%. </w:t>
      </w:r>
      <w:r>
        <w:rPr>
          <w:spacing w:val="-2"/>
          <w:lang w:val="it-IT"/>
        </w:rPr>
        <w:t>T</w:t>
      </w:r>
      <w:r w:rsidRPr="00722287">
        <w:rPr>
          <w:spacing w:val="-2"/>
          <w:lang w:val="it-IT"/>
        </w:rPr>
        <w:t xml:space="preserve">he total number of enterprises </w:t>
      </w:r>
      <w:r w:rsidR="00D657BC">
        <w:rPr>
          <w:spacing w:val="-2"/>
          <w:lang w:val="it-IT"/>
        </w:rPr>
        <w:t>registered to</w:t>
      </w:r>
      <w:r>
        <w:rPr>
          <w:spacing w:val="-2"/>
          <w:lang w:val="it-IT"/>
        </w:rPr>
        <w:t xml:space="preserve"> cease for a certain period of time</w:t>
      </w:r>
      <w:r w:rsidRPr="00722287">
        <w:rPr>
          <w:spacing w:val="-2"/>
          <w:lang w:val="it-IT"/>
        </w:rPr>
        <w:t xml:space="preserve">, </w:t>
      </w:r>
      <w:r>
        <w:rPr>
          <w:spacing w:val="-2"/>
          <w:lang w:val="it-IT"/>
        </w:rPr>
        <w:t xml:space="preserve">there were </w:t>
      </w:r>
      <w:r w:rsidRPr="00722287">
        <w:rPr>
          <w:spacing w:val="-2"/>
          <w:lang w:val="it-IT"/>
        </w:rPr>
        <w:t xml:space="preserve">3,857 one-member limited liability companies (accounting for 44.7%); 2,622 </w:t>
      </w:r>
      <w:r>
        <w:rPr>
          <w:spacing w:val="-2"/>
          <w:lang w:val="it-IT"/>
        </w:rPr>
        <w:t>two</w:t>
      </w:r>
      <w:r w:rsidRPr="00722287">
        <w:rPr>
          <w:spacing w:val="-2"/>
          <w:lang w:val="it-IT"/>
        </w:rPr>
        <w:t>-member limited liability companies (</w:t>
      </w:r>
      <w:r>
        <w:rPr>
          <w:spacing w:val="-2"/>
          <w:lang w:val="it-IT"/>
        </w:rPr>
        <w:t>sharing</w:t>
      </w:r>
      <w:r w:rsidRPr="00722287">
        <w:rPr>
          <w:spacing w:val="-2"/>
          <w:lang w:val="it-IT"/>
        </w:rPr>
        <w:t xml:space="preserve"> 30.4%); 1,387 joint stock companies (accounting for 16.2%); 754 private enterprises (</w:t>
      </w:r>
      <w:r>
        <w:rPr>
          <w:spacing w:val="-2"/>
          <w:lang w:val="it-IT"/>
        </w:rPr>
        <w:t>making up 8.7%) and 2 partnership companies</w:t>
      </w:r>
      <w:r w:rsidRPr="00722287">
        <w:rPr>
          <w:spacing w:val="-2"/>
          <w:lang w:val="it-IT"/>
        </w:rPr>
        <w:t xml:space="preserve">. </w:t>
      </w:r>
      <w:r>
        <w:rPr>
          <w:spacing w:val="-2"/>
          <w:lang w:val="it-IT"/>
        </w:rPr>
        <w:t>By economic activities</w:t>
      </w:r>
      <w:r w:rsidRPr="00722287">
        <w:rPr>
          <w:spacing w:val="-2"/>
          <w:lang w:val="it-IT"/>
        </w:rPr>
        <w:t xml:space="preserve">, the number of enterprises </w:t>
      </w:r>
      <w:r w:rsidRPr="00D657BC">
        <w:rPr>
          <w:spacing w:val="-2"/>
          <w:lang w:val="it-IT"/>
        </w:rPr>
        <w:t>registered to</w:t>
      </w:r>
      <w:r>
        <w:rPr>
          <w:spacing w:val="-2"/>
          <w:lang w:val="it-IT"/>
        </w:rPr>
        <w:t xml:space="preserve"> cease for a certain period of time, there were</w:t>
      </w:r>
      <w:r w:rsidRPr="00722287">
        <w:rPr>
          <w:spacing w:val="-2"/>
          <w:lang w:val="it-IT"/>
        </w:rPr>
        <w:t xml:space="preserve"> 3.3 thousand enterprises </w:t>
      </w:r>
      <w:r>
        <w:rPr>
          <w:spacing w:val="-2"/>
          <w:lang w:val="it-IT"/>
        </w:rPr>
        <w:t>in the wholesale and retail</w:t>
      </w:r>
      <w:r w:rsidRPr="00722287">
        <w:rPr>
          <w:spacing w:val="-2"/>
          <w:lang w:val="it-IT"/>
        </w:rPr>
        <w:t xml:space="preserve"> (accounting for 38.4%), </w:t>
      </w:r>
      <w:r>
        <w:rPr>
          <w:spacing w:val="-2"/>
          <w:lang w:val="it-IT"/>
        </w:rPr>
        <w:t>rising by</w:t>
      </w:r>
      <w:r w:rsidRPr="00722287">
        <w:rPr>
          <w:spacing w:val="-2"/>
          <w:lang w:val="it-IT"/>
        </w:rPr>
        <w:t xml:space="preserve"> 24.4% over the same </w:t>
      </w:r>
      <w:r>
        <w:rPr>
          <w:spacing w:val="-2"/>
          <w:lang w:val="it-IT"/>
        </w:rPr>
        <w:t>period last year</w:t>
      </w:r>
      <w:r w:rsidRPr="00722287">
        <w:rPr>
          <w:spacing w:val="-2"/>
          <w:lang w:val="it-IT"/>
        </w:rPr>
        <w:t>; 1.3 thousand construction enterprises (</w:t>
      </w:r>
      <w:r>
        <w:rPr>
          <w:spacing w:val="-2"/>
          <w:lang w:val="it-IT"/>
        </w:rPr>
        <w:t>forming</w:t>
      </w:r>
      <w:r w:rsidRPr="00722287">
        <w:rPr>
          <w:spacing w:val="-2"/>
          <w:lang w:val="it-IT"/>
        </w:rPr>
        <w:t xml:space="preserve"> 15.3%), </w:t>
      </w:r>
      <w:r>
        <w:rPr>
          <w:spacing w:val="-2"/>
          <w:lang w:val="it-IT"/>
        </w:rPr>
        <w:t>a growth of</w:t>
      </w:r>
      <w:r w:rsidRPr="00722287">
        <w:rPr>
          <w:spacing w:val="-2"/>
          <w:lang w:val="it-IT"/>
        </w:rPr>
        <w:t xml:space="preserve"> 21.6%; 1.1 thousand manufacturing enterprises (accounting for 13.1%), </w:t>
      </w:r>
      <w:r>
        <w:rPr>
          <w:spacing w:val="-2"/>
          <w:lang w:val="it-IT"/>
        </w:rPr>
        <w:t xml:space="preserve">grow </w:t>
      </w:r>
      <w:r w:rsidRPr="00722287">
        <w:rPr>
          <w:spacing w:val="-2"/>
          <w:lang w:val="it-IT"/>
        </w:rPr>
        <w:t>up 23%; 433 enterprises</w:t>
      </w:r>
      <w:r>
        <w:rPr>
          <w:spacing w:val="-2"/>
          <w:lang w:val="it-IT"/>
        </w:rPr>
        <w:t xml:space="preserve"> in the</w:t>
      </w:r>
      <w:r w:rsidRPr="00722287">
        <w:rPr>
          <w:spacing w:val="-2"/>
          <w:lang w:val="it-IT"/>
        </w:rPr>
        <w:t xml:space="preserve"> accommodation and catering service (accounting for 5%)</w:t>
      </w:r>
      <w:r>
        <w:rPr>
          <w:spacing w:val="-2"/>
          <w:lang w:val="it-IT"/>
        </w:rPr>
        <w:t xml:space="preserve">, up 45.3%... For enterprises </w:t>
      </w:r>
      <w:r w:rsidRPr="00722287">
        <w:rPr>
          <w:spacing w:val="-2"/>
          <w:lang w:val="it-IT"/>
        </w:rPr>
        <w:t xml:space="preserve">temporarily </w:t>
      </w:r>
      <w:r>
        <w:rPr>
          <w:spacing w:val="-2"/>
          <w:lang w:val="it-IT"/>
        </w:rPr>
        <w:t>ceased</w:t>
      </w:r>
      <w:r w:rsidRPr="00722287">
        <w:rPr>
          <w:spacing w:val="-2"/>
          <w:lang w:val="it-IT"/>
        </w:rPr>
        <w:t xml:space="preserve"> without regist</w:t>
      </w:r>
      <w:r>
        <w:rPr>
          <w:spacing w:val="-2"/>
          <w:lang w:val="it-IT"/>
        </w:rPr>
        <w:t>ration</w:t>
      </w:r>
      <w:r w:rsidRPr="00722287">
        <w:rPr>
          <w:spacing w:val="-2"/>
          <w:lang w:val="it-IT"/>
        </w:rPr>
        <w:t xml:space="preserve"> or </w:t>
      </w:r>
      <w:r>
        <w:rPr>
          <w:spacing w:val="-2"/>
          <w:lang w:val="it-IT"/>
        </w:rPr>
        <w:t>a</w:t>
      </w:r>
      <w:r w:rsidRPr="00722287">
        <w:rPr>
          <w:spacing w:val="-2"/>
          <w:lang w:val="it-IT"/>
        </w:rPr>
        <w:t>wait</w:t>
      </w:r>
      <w:r>
        <w:rPr>
          <w:spacing w:val="-2"/>
          <w:lang w:val="it-IT"/>
        </w:rPr>
        <w:t xml:space="preserve">ed </w:t>
      </w:r>
      <w:r w:rsidRPr="00722287">
        <w:rPr>
          <w:spacing w:val="-2"/>
          <w:lang w:val="it-IT"/>
        </w:rPr>
        <w:t xml:space="preserve">dissolution, there </w:t>
      </w:r>
      <w:r>
        <w:rPr>
          <w:spacing w:val="-2"/>
          <w:lang w:val="it-IT"/>
        </w:rPr>
        <w:t>were</w:t>
      </w:r>
      <w:r w:rsidRPr="00722287">
        <w:rPr>
          <w:spacing w:val="-2"/>
          <w:lang w:val="it-IT"/>
        </w:rPr>
        <w:t xml:space="preserve"> 2,369 </w:t>
      </w:r>
      <w:r>
        <w:rPr>
          <w:spacing w:val="-2"/>
          <w:lang w:val="it-IT"/>
        </w:rPr>
        <w:t>one</w:t>
      </w:r>
      <w:r w:rsidRPr="00722287">
        <w:rPr>
          <w:spacing w:val="-2"/>
          <w:lang w:val="it-IT"/>
        </w:rPr>
        <w:t>-memb</w:t>
      </w:r>
      <w:r>
        <w:rPr>
          <w:spacing w:val="-2"/>
          <w:lang w:val="it-IT"/>
        </w:rPr>
        <w:t xml:space="preserve">er limited liability companies </w:t>
      </w:r>
      <w:r w:rsidRPr="00722287">
        <w:rPr>
          <w:spacing w:val="-2"/>
          <w:lang w:val="it-IT"/>
        </w:rPr>
        <w:t>(</w:t>
      </w:r>
      <w:r>
        <w:t>representing</w:t>
      </w:r>
      <w:r w:rsidRPr="00722287">
        <w:rPr>
          <w:spacing w:val="-2"/>
          <w:lang w:val="it-IT"/>
        </w:rPr>
        <w:t xml:space="preserve"> 50.6%); 1,247 </w:t>
      </w:r>
      <w:r>
        <w:rPr>
          <w:spacing w:val="-2"/>
          <w:lang w:val="it-IT"/>
        </w:rPr>
        <w:t>two</w:t>
      </w:r>
      <w:r w:rsidRPr="00722287">
        <w:rPr>
          <w:spacing w:val="-2"/>
          <w:lang w:val="it-IT"/>
        </w:rPr>
        <w:t>-member limited liability companies (accounting for 26.7%); 780 joint stock companies (</w:t>
      </w:r>
      <w:r>
        <w:rPr>
          <w:spacing w:val="-2"/>
          <w:lang w:val="it-IT"/>
        </w:rPr>
        <w:t>making up</w:t>
      </w:r>
      <w:r w:rsidRPr="00722287">
        <w:rPr>
          <w:spacing w:val="-2"/>
          <w:lang w:val="it-IT"/>
        </w:rPr>
        <w:t xml:space="preserve"> 16.7%) and 282 private enterprises (</w:t>
      </w:r>
      <w:r>
        <w:rPr>
          <w:spacing w:val="-2"/>
          <w:lang w:val="it-IT"/>
        </w:rPr>
        <w:t xml:space="preserve">sharing </w:t>
      </w:r>
      <w:r w:rsidRPr="00722287">
        <w:rPr>
          <w:spacing w:val="-2"/>
          <w:lang w:val="it-IT"/>
        </w:rPr>
        <w:t>6%).</w:t>
      </w:r>
    </w:p>
    <w:p w:rsidR="002700EC" w:rsidRPr="00AD6969" w:rsidRDefault="005B7066" w:rsidP="005B7066">
      <w:pPr>
        <w:spacing w:before="40" w:after="40" w:line="257" w:lineRule="auto"/>
        <w:ind w:right="-11" w:firstLine="567"/>
        <w:jc w:val="both"/>
      </w:pPr>
      <w:r w:rsidRPr="00722287">
        <w:rPr>
          <w:spacing w:val="-2"/>
          <w:lang w:val="it-IT"/>
        </w:rPr>
        <w:t>Number of enterprises complet</w:t>
      </w:r>
      <w:r>
        <w:rPr>
          <w:spacing w:val="-2"/>
          <w:lang w:val="it-IT"/>
        </w:rPr>
        <w:t xml:space="preserve">ed </w:t>
      </w:r>
      <w:r w:rsidRPr="00722287">
        <w:rPr>
          <w:spacing w:val="-2"/>
          <w:lang w:val="it-IT"/>
        </w:rPr>
        <w:t xml:space="preserve">dissolution procedures in January 2018 </w:t>
      </w:r>
      <w:r>
        <w:rPr>
          <w:spacing w:val="-2"/>
          <w:lang w:val="it-IT"/>
        </w:rPr>
        <w:t>was</w:t>
      </w:r>
      <w:r w:rsidRPr="00722287">
        <w:rPr>
          <w:spacing w:val="-2"/>
          <w:lang w:val="it-IT"/>
        </w:rPr>
        <w:t xml:space="preserve"> 1,554 enterprises, </w:t>
      </w:r>
      <w:r>
        <w:rPr>
          <w:spacing w:val="-2"/>
          <w:lang w:val="it-IT"/>
        </w:rPr>
        <w:t xml:space="preserve">went </w:t>
      </w:r>
      <w:r w:rsidRPr="00722287">
        <w:rPr>
          <w:spacing w:val="-2"/>
          <w:lang w:val="it-IT"/>
        </w:rPr>
        <w:t xml:space="preserve">down 1.8% compared to the same period last year, of which 1,425 enterprises </w:t>
      </w:r>
      <w:r>
        <w:rPr>
          <w:spacing w:val="-2"/>
          <w:lang w:val="it-IT"/>
        </w:rPr>
        <w:t>with</w:t>
      </w:r>
      <w:r w:rsidRPr="00722287">
        <w:rPr>
          <w:spacing w:val="-2"/>
          <w:lang w:val="it-IT"/>
        </w:rPr>
        <w:t xml:space="preserve"> capital</w:t>
      </w:r>
      <w:r>
        <w:rPr>
          <w:spacing w:val="-2"/>
          <w:lang w:val="it-IT"/>
        </w:rPr>
        <w:t xml:space="preserve"> size</w:t>
      </w:r>
      <w:r w:rsidRPr="00722287">
        <w:rPr>
          <w:spacing w:val="-2"/>
          <w:lang w:val="it-IT"/>
        </w:rPr>
        <w:t xml:space="preserve"> of less than 10 b</w:t>
      </w:r>
      <w:r>
        <w:rPr>
          <w:spacing w:val="-2"/>
          <w:lang w:val="it-IT"/>
        </w:rPr>
        <w:t>illion VND, accounting for 91.7</w:t>
      </w:r>
      <w:r w:rsidRPr="00722287">
        <w:rPr>
          <w:spacing w:val="-2"/>
          <w:lang w:val="it-IT"/>
        </w:rPr>
        <w:t>%</w:t>
      </w:r>
      <w:r>
        <w:rPr>
          <w:spacing w:val="-2"/>
          <w:lang w:val="it-IT"/>
        </w:rPr>
        <w:t>.</w:t>
      </w:r>
      <w:r w:rsidRPr="00722287">
        <w:rPr>
          <w:spacing w:val="-2"/>
          <w:lang w:val="it-IT"/>
        </w:rPr>
        <w:t xml:space="preserve"> </w:t>
      </w:r>
      <w:r>
        <w:rPr>
          <w:spacing w:val="-2"/>
          <w:lang w:val="it-IT"/>
        </w:rPr>
        <w:t>B</w:t>
      </w:r>
      <w:r w:rsidRPr="00722287">
        <w:rPr>
          <w:spacing w:val="-2"/>
          <w:lang w:val="it-IT"/>
        </w:rPr>
        <w:t>y type of enterprise, the total number of enterprises complet</w:t>
      </w:r>
      <w:r>
        <w:rPr>
          <w:spacing w:val="-2"/>
          <w:lang w:val="it-IT"/>
        </w:rPr>
        <w:t>ed</w:t>
      </w:r>
      <w:r w:rsidRPr="00722287">
        <w:rPr>
          <w:spacing w:val="-2"/>
          <w:lang w:val="it-IT"/>
        </w:rPr>
        <w:t xml:space="preserve"> dissolution procedures, there </w:t>
      </w:r>
      <w:r>
        <w:rPr>
          <w:spacing w:val="-2"/>
          <w:lang w:val="it-IT"/>
        </w:rPr>
        <w:t>were</w:t>
      </w:r>
      <w:r w:rsidRPr="00722287">
        <w:rPr>
          <w:spacing w:val="-2"/>
          <w:lang w:val="it-IT"/>
        </w:rPr>
        <w:t xml:space="preserve"> 718 </w:t>
      </w:r>
      <w:r>
        <w:rPr>
          <w:spacing w:val="-2"/>
          <w:lang w:val="it-IT"/>
        </w:rPr>
        <w:t>one-</w:t>
      </w:r>
      <w:r w:rsidRPr="00722287">
        <w:rPr>
          <w:spacing w:val="-2"/>
          <w:lang w:val="it-IT"/>
        </w:rPr>
        <w:t xml:space="preserve">member limited liability companies (accounting for 46.2%); 422 </w:t>
      </w:r>
      <w:r>
        <w:rPr>
          <w:spacing w:val="-2"/>
          <w:lang w:val="it-IT"/>
        </w:rPr>
        <w:t>two-</w:t>
      </w:r>
      <w:r w:rsidRPr="00722287">
        <w:rPr>
          <w:spacing w:val="-2"/>
          <w:lang w:val="it-IT"/>
        </w:rPr>
        <w:t>member limited liability companies (</w:t>
      </w:r>
      <w:r>
        <w:rPr>
          <w:spacing w:val="-2"/>
          <w:lang w:val="it-IT"/>
        </w:rPr>
        <w:t>making up</w:t>
      </w:r>
      <w:r w:rsidRPr="00722287">
        <w:rPr>
          <w:spacing w:val="-2"/>
          <w:lang w:val="it-IT"/>
        </w:rPr>
        <w:t xml:space="preserve"> 27.2%); 218 private enterprises (accounting for 14%) and 196 joint stock companies (</w:t>
      </w:r>
      <w:r>
        <w:rPr>
          <w:spacing w:val="-2"/>
          <w:lang w:val="it-IT"/>
        </w:rPr>
        <w:t>sharing</w:t>
      </w:r>
      <w:r w:rsidRPr="00722287">
        <w:rPr>
          <w:spacing w:val="-2"/>
          <w:lang w:val="it-IT"/>
        </w:rPr>
        <w:t xml:space="preserve"> 12.6%).</w:t>
      </w:r>
    </w:p>
    <w:p w:rsidR="001E35B6" w:rsidRPr="00AD6969" w:rsidRDefault="00050417" w:rsidP="001E35B6">
      <w:pPr>
        <w:spacing w:before="40" w:after="40" w:line="288" w:lineRule="auto"/>
        <w:ind w:right="-11" w:firstLine="567"/>
        <w:jc w:val="both"/>
        <w:rPr>
          <w:b/>
          <w:bCs/>
        </w:rPr>
      </w:pPr>
      <w:r>
        <w:rPr>
          <w:b/>
          <w:bCs/>
        </w:rPr>
        <w:t>4. Investment</w:t>
      </w:r>
    </w:p>
    <w:p w:rsidR="001E35B6" w:rsidRDefault="001E35B6" w:rsidP="001E35B6">
      <w:pPr>
        <w:spacing w:before="40" w:after="40" w:line="269" w:lineRule="auto"/>
        <w:ind w:firstLine="567"/>
        <w:jc w:val="both"/>
      </w:pPr>
      <w:r>
        <w:t>In January, the realized investment of State budget was estimated at 16,175 billion VND, equaling 4.9% of the yearly plan and increasing by 13.9% over the same period in 2017, including:</w:t>
      </w:r>
    </w:p>
    <w:p w:rsidR="001E35B6" w:rsidRPr="009D79BB" w:rsidRDefault="001E35B6" w:rsidP="001E35B6">
      <w:pPr>
        <w:spacing w:before="40" w:after="40" w:line="269" w:lineRule="auto"/>
        <w:ind w:firstLine="567"/>
        <w:jc w:val="both"/>
      </w:pPr>
      <w:r>
        <w:lastRenderedPageBreak/>
        <w:t>- The capital under central management reached 3,192 billion VND, equaling 4.8% of the yearly plan and increasing 9.2% compared to the same period last year, of which the investment of the Ministry of Transportation was 1,158 billion VND, equaling 6.3% and going down 9.9%; Ministry of Agriculture and Rural Development 323 billion VND, equaling 4% and increasing by 14.2%; Ministry of Health 216 billion VND, equaling 6.5% and going up 2.7%; Ministry of Natural Resources and Environment 62 billion VND, equaling 4.2% and rising by 78.6%; Ministry of Education and Training 62 billion VND, making up 4.5% and rising by 35.8%; Ministry of Culture, Sports and Tourism 46 billion VND, equaling 6.1% and increasing by 44.2%; Ministry of Construction 16 billion VND, equaling 5.9% and going down 16.5%; Ministry of Industry and Trade 11 billion VND, equaling 5% and decreasing by 2.7%; Ministry of Science and Technology 9 billion VND, equaling 3.5% and increasing by 60.4%; Ministry of Information and Communications 5 billion VND, equaling 3.8% and going up 24.4%.</w:t>
      </w:r>
    </w:p>
    <w:p w:rsidR="001E35B6" w:rsidRDefault="001E35B6" w:rsidP="001E35B6">
      <w:pPr>
        <w:spacing w:before="40" w:after="40" w:line="269" w:lineRule="auto"/>
        <w:ind w:firstLine="567"/>
        <w:jc w:val="both"/>
        <w:rPr>
          <w:spacing w:val="-2"/>
        </w:rPr>
      </w:pPr>
      <w:r>
        <w:t>- The capital under local management recorded at 12,983 billion VND, equaling 4.9% of the yearly plan and increasing by 15.1% compared to the same period of 2017. Of which, the state budget capital at provincial level reached 8,905 billion VND, equaling 4 4% and going up 16.6%; the state budget capital at district level reached 3,368 billion VND, equaling 5.9% and increasing by 12.5%; the state budget capital at commune level reached 710 billion VND, equaling 7.6% and increasing by 9.5%. The realized investment of the State budget of some provinces and cities directly under the Central Government was as follows: Ha Noi reached 2,096 billion VND, equaling 5.5% of the yearly plan and jumping up 18.8% over the same period last year; Ho Chi Minh City 603 billion VND, equaling 1.5% and increasing by 14.4%; Nghe An 504 billion VND, equaling 8.6% and going up 5.1%; Vinh Phuc 493 billion VND, equaling 8.3% and increasing by 4.2%; Hai Phong 467 billion VND, equaling 5.1% and rising by 77%; Thanh Hoa 460 billion VND, equaling 7.3% and increasing by 46.6%; Ba Ria - Vung Tau 436 billion VND, equaling 6.7% and decreasing by 12.5%; Kien Giang 375 billion VND, equaling 8.4% and increasing by 20.7%.</w:t>
      </w:r>
    </w:p>
    <w:p w:rsidR="001E35B6" w:rsidRDefault="001E35B6" w:rsidP="001E35B6">
      <w:pPr>
        <w:spacing w:before="40" w:after="40" w:line="264" w:lineRule="auto"/>
        <w:ind w:firstLine="567"/>
        <w:jc w:val="both"/>
      </w:pPr>
      <w:r>
        <w:t>Foreign direct investment from the beginning of the year to 20</w:t>
      </w:r>
      <w:r>
        <w:rPr>
          <w:vertAlign w:val="superscript"/>
        </w:rPr>
        <w:t>th</w:t>
      </w:r>
      <w:r>
        <w:t xml:space="preserve"> January, 2018 attracted 166 newly licensed projects with a registered capital of 442.6 million USD, a decrease of 5.1% in number of projects and a decrease of 64.4% of registered capital compared to the same period in 2017. Besides, 61 licensed projects which were lisenced in the previous years registered to adjust investment capital with an additional capital of 456.8 million USD, up 155% over the same period last year. Thus, the total newly registered and supplementary capital reached 899.4 million USD, going down 36.8% </w:t>
      </w:r>
      <w:r>
        <w:lastRenderedPageBreak/>
        <w:t>compared to the same period of 2017. The realized FDI capital in January 2018 was estimated at 1,050 million USD, up 10.5% compared to January 2017. In the month, there were 415 turns of capital contribution, share purchase of foreign investors with a total capital contribution of 356 million USD, an increase of 54.7% compared to the same period in 2017, of which 212 turns of contribution capital, share purchases increased the charter capital of enterprises with a value of 199.1 million USD and 203 foreign investors repurchased domestic shares without increasing charter capital with a value of 156.9 million USD.</w:t>
      </w:r>
    </w:p>
    <w:p w:rsidR="001E35B6" w:rsidRDefault="001E35B6" w:rsidP="001E35B6">
      <w:pPr>
        <w:spacing w:before="40" w:after="40" w:line="259" w:lineRule="auto"/>
        <w:ind w:firstLine="567"/>
        <w:jc w:val="both"/>
      </w:pPr>
      <w:r>
        <w:t xml:space="preserve">In the month, the manufacturing activity attracted the most FDI with capital of newly licensed projects reaching 330.6 million USD, accounted for 74.7% of the total newly registered capital; the electricity, gas, steam and air conditioning supply reached 60 million USD, accounting for 13.5%; the other sectors reached 52 million USD, accounting for 11.8%. If including the supplementary registered capital of licensed projects in previous years, </w:t>
      </w:r>
      <w:r>
        <w:rPr>
          <w:color w:val="FF0000"/>
        </w:rPr>
        <w:t xml:space="preserve">FDI </w:t>
      </w:r>
      <w:r>
        <w:t>in the manufacturing activity in January 2018 reached 746.8 million USD, accounting for 83 % of total registered capital; the electricity, gas, steam and air conditioning supply reached 60 million USD, accounting for 6.7%; the other sectors reached 92.6 million USD, accounting for 10.3%. For the capital contribution, buying shares of foreign investors, capital invested in the manufacturing activity reached 162.2 million USD, accounting for 45.6% of the total value of capital contribution; wholesale and retail trade; repair of motor vehicles and motorcycles with 60.7 million USD, accounting for 17%; the other sectors reached 133.1 million USD, accounting for 37.4%.</w:t>
      </w:r>
    </w:p>
    <w:p w:rsidR="001E35B6" w:rsidRDefault="001E35B6" w:rsidP="001E35B6">
      <w:pPr>
        <w:spacing w:before="40" w:after="40" w:line="259" w:lineRule="auto"/>
        <w:ind w:firstLine="567"/>
        <w:jc w:val="both"/>
      </w:pPr>
      <w:r>
        <w:t>In the whole country, 24 provinces and cities directly run under the Central Government had new FDI projects licensed in January 2018, of which Ho Chi Minh City had the largest registered capital with 86.2 million USD, accounting for 19.5% of total newly registered capital; followed by Nam Dinh with 80.2 million USD, accounting for 18.1%; Ninh Thuan 60 million USD, accounting for 13.6%; Binh Duong 36.7 million USD, accounting for 8.3%; Long An with 35.2 million USD, accounting for 7.9%; Bac Giang with 27.3 million USD, accounting for 6.2%; Ha Noi 25.7 million USD, accounting for 5.8%.</w:t>
      </w:r>
    </w:p>
    <w:p w:rsidR="001E35B6" w:rsidRDefault="001E35B6" w:rsidP="001E35B6">
      <w:pPr>
        <w:spacing w:before="40" w:after="40" w:line="259" w:lineRule="auto"/>
        <w:ind w:firstLine="567"/>
        <w:jc w:val="both"/>
      </w:pPr>
      <w:r>
        <w:t>Among the 23 countries and territories with newly licensed investment projects in Viet Nam in January of this year, Singapore was the largest investor with 147.7 million USD, accounting for 33.4% of total newly registered capital; followed by Korea with 70.4 million USD, accounting for 15.9%; Norway 70.1 million USD, accounting for 15.8%; British Vigin Islands 51.4 million USD, accounting for 11.6%; China 20.1 million USD, accounting for 4.5%; Indonesia 20 million USD, accounting for 4.5%; Hong Kong Special Administrative Region (China) 16.5 million USD, accounting for 3.7%.</w:t>
      </w:r>
    </w:p>
    <w:p w:rsidR="001E35B6" w:rsidRPr="00F15AF0" w:rsidRDefault="001E35B6" w:rsidP="001E35B6">
      <w:pPr>
        <w:spacing w:before="40" w:after="40" w:line="259" w:lineRule="auto"/>
        <w:ind w:firstLine="567"/>
        <w:jc w:val="both"/>
        <w:rPr>
          <w:b/>
          <w:bCs/>
        </w:rPr>
      </w:pPr>
      <w:r>
        <w:rPr>
          <w:b/>
          <w:bCs/>
        </w:rPr>
        <w:lastRenderedPageBreak/>
        <w:t>5. State budget revenue and expenditure</w:t>
      </w:r>
    </w:p>
    <w:p w:rsidR="001E35B6" w:rsidRDefault="001E35B6" w:rsidP="001E35B6">
      <w:pPr>
        <w:spacing w:before="40" w:after="40" w:line="259" w:lineRule="auto"/>
        <w:ind w:firstLine="567"/>
        <w:jc w:val="both"/>
      </w:pPr>
      <w:r>
        <w:t>The total state budget revenue of the firs 15 days of January 2018 was estimated at 19.9 trillion VND, equaling 1.5% of the yearly estimate, of which domestic revenue was 13 trillion VND, equaling 1.2%; revenue from crude oil reached 1.2 trillion VND, equaling 3.4%; budget balance revenue from export and import activities reached 5.7 trillion VND, equaling 3.2%. In domestic revenue, revenue from state-owned enterprises reached 447 billion VND, equaling 0.3% of the yearly estimate; revenue from FDI enterprises (excluding crude oil) was 688 billion VND, equaling 0.3%; tax on trade and non-state service</w:t>
      </w:r>
      <w:r>
        <w:rPr>
          <w:color w:val="FF0000"/>
        </w:rPr>
        <w:t xml:space="preserve"> </w:t>
      </w:r>
      <w:r>
        <w:t>gained</w:t>
      </w:r>
      <w:r>
        <w:rPr>
          <w:color w:val="FF0000"/>
        </w:rPr>
        <w:t xml:space="preserve"> </w:t>
      </w:r>
      <w:r>
        <w:t>2.5 trillion VND, equaling 1.1%; personal income tax was 1.2 trillion VND, equaling 1.2%; environmental protection tax achieved 100 billion VND, equaling 0.2%; revenue from land use fee was 3.3 trillion VND, equaling 3.8%.</w:t>
      </w:r>
    </w:p>
    <w:p w:rsidR="00D5622B" w:rsidRPr="00AD6969" w:rsidRDefault="001E35B6" w:rsidP="001E35B6">
      <w:pPr>
        <w:spacing w:before="40" w:after="40" w:line="288" w:lineRule="auto"/>
        <w:ind w:right="-11" w:firstLine="567"/>
        <w:jc w:val="both"/>
        <w:rPr>
          <w:b/>
        </w:rPr>
      </w:pPr>
      <w:r>
        <w:t>Total state budget expenditure the firs 15 days of January 2018 was estimated at 38.3 trillion VND, equaling 2.5% of the yearly estimate, of which expenditure for development investment was 2.5 trillion VND, equaling 0.6%; interest payment was 5 trillion VND, equaling 4.4%; recurrent expenditure was 30.8 trillion VND, equaling 3.3%.</w:t>
      </w:r>
    </w:p>
    <w:p w:rsidR="003A35EA" w:rsidRPr="00AD6969" w:rsidRDefault="00050417" w:rsidP="00AD6969">
      <w:pPr>
        <w:pStyle w:val="Normal1"/>
        <w:spacing w:before="40" w:beforeAutospacing="0" w:after="40" w:afterAutospacing="0" w:line="274" w:lineRule="auto"/>
        <w:ind w:firstLine="567"/>
        <w:jc w:val="both"/>
        <w:rPr>
          <w:b/>
          <w:bCs/>
          <w:sz w:val="28"/>
          <w:szCs w:val="28"/>
        </w:rPr>
      </w:pPr>
      <w:r>
        <w:rPr>
          <w:b/>
          <w:bCs/>
          <w:sz w:val="28"/>
          <w:szCs w:val="28"/>
        </w:rPr>
        <w:t xml:space="preserve">6. </w:t>
      </w:r>
      <w:r w:rsidR="00B85129">
        <w:rPr>
          <w:b/>
          <w:bCs/>
          <w:sz w:val="28"/>
          <w:szCs w:val="28"/>
        </w:rPr>
        <w:t xml:space="preserve">Trade, prices, transport and tourism </w:t>
      </w:r>
    </w:p>
    <w:p w:rsidR="003A35EA" w:rsidRPr="00AD6969" w:rsidRDefault="003A35EA" w:rsidP="00AD6969">
      <w:pPr>
        <w:spacing w:before="40" w:after="40" w:line="274" w:lineRule="auto"/>
        <w:ind w:firstLine="567"/>
        <w:jc w:val="both"/>
        <w:rPr>
          <w:b/>
          <w:bCs/>
          <w:i/>
          <w:iCs/>
        </w:rPr>
      </w:pPr>
      <w:r>
        <w:rPr>
          <w:b/>
          <w:bCs/>
          <w:i/>
          <w:iCs/>
        </w:rPr>
        <w:t xml:space="preserve">a. Retail sales of consumer goods and services </w:t>
      </w:r>
    </w:p>
    <w:p w:rsidR="00FD6428" w:rsidRPr="00AD6969" w:rsidRDefault="00D26DD0" w:rsidP="00442806">
      <w:pPr>
        <w:spacing w:before="40" w:after="40" w:line="264" w:lineRule="auto"/>
        <w:ind w:firstLine="567"/>
        <w:jc w:val="both"/>
        <w:rPr>
          <w:bCs/>
        </w:rPr>
      </w:pPr>
      <w:r>
        <w:t xml:space="preserve">Retail and service business activities in the month adjacent to the Lunar New Year were exciting, the shopping needs of the people increased. Businesses and supermarkets had proactively stocked up goods and materials to ensure the consumption needs during the Lunar New Year. Gross retail sales of consumer goods and services in January 2018 were estimated at 361.1 trillion VND, up 3% from the previous month and up 9.5% over the same period last year, if excluding price factor, increased by 8.38%. </w:t>
      </w:r>
    </w:p>
    <w:p w:rsidR="00D26DD0" w:rsidRPr="00AD6969" w:rsidRDefault="00D26DD0" w:rsidP="00442806">
      <w:pPr>
        <w:spacing w:before="40" w:after="40" w:line="264" w:lineRule="auto"/>
        <w:ind w:firstLine="567"/>
        <w:jc w:val="both"/>
      </w:pPr>
      <w:r>
        <w:t>In terms of economic activities, retail sales in January were estimated at 272 trillion VND, up 3.5% over the previous month and 8.3% over the same period last year, of which: Food, foodstuff increased by 4.1% and by 7.5%; apparel increased by 4.4% and by 7.5%; vehicles increased by 2.9% and by 5.6%; cultural and educational items by 1.9% and by 8.7%; household appliances, tools and equipment increased by 4.7% and by 8%. Some provinces saw a significant increase compared to the same period last year: Hanoi increased by 16.2%; Hai Phong expanded by 13.6%; Bac Ninh rose by 13.1%; Da Nang grew by 13%; Can Tho went up by 12.9%; Khanh Hoa jumped by 12.4%.</w:t>
      </w:r>
    </w:p>
    <w:p w:rsidR="00D26DD0" w:rsidRPr="00AD6969" w:rsidRDefault="00D26DD0" w:rsidP="00442806">
      <w:pPr>
        <w:tabs>
          <w:tab w:val="left" w:pos="0"/>
        </w:tabs>
        <w:spacing w:before="40" w:after="40" w:line="264" w:lineRule="auto"/>
        <w:ind w:firstLine="567"/>
        <w:jc w:val="both"/>
        <w:rPr>
          <w:bCs/>
          <w:color w:val="000000"/>
          <w:spacing w:val="-2"/>
        </w:rPr>
      </w:pPr>
      <w:r>
        <w:rPr>
          <w:bCs/>
          <w:color w:val="000000"/>
        </w:rPr>
        <w:t xml:space="preserve">Sales of accommodation and catering services in January 2018 were estimated at 45.1 trillion VND, an increase of 0.5% over the previous month and 14.7% over the same period last year. The revenue of some provinces </w:t>
      </w:r>
      <w:r>
        <w:rPr>
          <w:bCs/>
          <w:color w:val="000000"/>
        </w:rPr>
        <w:lastRenderedPageBreak/>
        <w:t>gained a quite good increase compared to the same period last year, particularly: Quang Ninh increased by 29.9%; Thanh Hoa expanded by 15.2%; Ho Chi Minh City rose by 8.9%; Hanoi climbed by 8.5%. Revenue from accommodation and catering services increased significantly compared to the same period last year due to the increase in foreign and domestic tourist arrivals, while the out-of-home catering service tended to increase in the first days of the New Year.</w:t>
      </w:r>
    </w:p>
    <w:p w:rsidR="00FA2B25" w:rsidRPr="00AD6969" w:rsidRDefault="00ED2DE0" w:rsidP="00442806">
      <w:pPr>
        <w:tabs>
          <w:tab w:val="left" w:pos="0"/>
        </w:tabs>
        <w:spacing w:before="40" w:after="40" w:line="264" w:lineRule="auto"/>
        <w:ind w:firstLine="567"/>
        <w:jc w:val="both"/>
        <w:rPr>
          <w:color w:val="000000"/>
          <w:spacing w:val="-2"/>
        </w:rPr>
      </w:pPr>
      <w:r>
        <w:rPr>
          <w:color w:val="000000"/>
        </w:rPr>
        <w:t>Revenue from tourism and traveling services in the month was estimated at 3.9 trillion, up 3.9% over the previous month and 39.3% over the same period last year, of which the revenue of some provinces increased sharply: Ninh Binh increased by 75.7% compared to the same period last year; Quang Ninh rose by 45.8%; Ho Chi Minh City expanded by 44.1%; Bac Ninh jumped up by 34.2%; Hanoi climbed up by 33.2%. Tourism and traveling service revenue in the month was quite good mainly due to the positive impact of tourist policies and measures as well as strategies to promote advocacy and introduce Vietnamese tourism.</w:t>
      </w:r>
    </w:p>
    <w:p w:rsidR="00FA2B25" w:rsidRPr="00FA2B25" w:rsidRDefault="00776995" w:rsidP="00442806">
      <w:pPr>
        <w:spacing w:before="40" w:after="40" w:line="264" w:lineRule="auto"/>
        <w:ind w:firstLine="567"/>
        <w:jc w:val="both"/>
        <w:rPr>
          <w:bCs/>
          <w:color w:val="000000"/>
        </w:rPr>
      </w:pPr>
      <w:r>
        <w:rPr>
          <w:bCs/>
          <w:color w:val="000000"/>
        </w:rPr>
        <w:t>Revenue from other services in January was estimated at 40.1 trillion VND, up 1.8% over the previous month and up 9.9% over the same period last year, of which some provinces achieved a good growth in revenue compared with the same period last year: Cao Bang rose by 18.8%; Ho Chi Minh City increased by 17.1%; Ninh Thuan expanded by 11.7%.</w:t>
      </w:r>
    </w:p>
    <w:p w:rsidR="00D745DA" w:rsidRPr="00AD6969" w:rsidRDefault="000518A3" w:rsidP="00D745DA">
      <w:pPr>
        <w:tabs>
          <w:tab w:val="num" w:pos="0"/>
        </w:tabs>
        <w:spacing w:before="40" w:after="40" w:line="264" w:lineRule="auto"/>
        <w:ind w:firstLine="567"/>
        <w:jc w:val="both"/>
        <w:rPr>
          <w:rStyle w:val="Strong"/>
          <w:i/>
          <w:iCs/>
        </w:rPr>
      </w:pPr>
      <w:r>
        <w:rPr>
          <w:rStyle w:val="Strong"/>
          <w:i/>
          <w:iCs/>
        </w:rPr>
        <w:t xml:space="preserve"> b</w:t>
      </w:r>
      <w:r w:rsidR="00050417">
        <w:rPr>
          <w:rStyle w:val="Strong"/>
          <w:i/>
          <w:iCs/>
        </w:rPr>
        <w:t>. Export and import of goods</w:t>
      </w:r>
    </w:p>
    <w:p w:rsidR="00D745DA" w:rsidRPr="00AD6969" w:rsidRDefault="00D745DA" w:rsidP="00D745DA">
      <w:pPr>
        <w:spacing w:before="40" w:after="40" w:line="264" w:lineRule="auto"/>
        <w:ind w:firstLine="567"/>
        <w:jc w:val="both"/>
        <w:rPr>
          <w:bCs/>
          <w:color w:val="000000"/>
        </w:rPr>
      </w:pPr>
      <w:r>
        <w:rPr>
          <w:bCs/>
          <w:color w:val="000000"/>
        </w:rPr>
        <w:t>Export turnover of goods in December 2017 reached 19,654 million USD, 354 million USD higher than the estimated figure, of which: phones and their parts were 199 million USD higher; textiles and garments were 128 million USD higher; electronic goods, computers and their parts were 64 million USD higher; iron and steel were 51 million USD higher; vegetables and fruits were 16 million USD lower; rice was 22 million USD lower; chemicals were 30 million less than estimated. Export turnover in 2017 reached 214 billion USD, 249 million USD higher than the estimated figure</w:t>
      </w:r>
      <w:r>
        <w:rPr>
          <w:rStyle w:val="FootnoteReference"/>
          <w:bCs/>
          <w:color w:val="000000"/>
        </w:rPr>
        <w:footnoteReference w:id="5"/>
      </w:r>
      <w:r>
        <w:rPr>
          <w:bCs/>
          <w:color w:val="000000"/>
        </w:rPr>
        <w:t>.</w:t>
      </w:r>
    </w:p>
    <w:p w:rsidR="00D745DA" w:rsidRPr="00476304" w:rsidRDefault="00D745DA" w:rsidP="00D745DA">
      <w:pPr>
        <w:spacing w:before="40" w:after="40" w:line="254" w:lineRule="auto"/>
        <w:ind w:firstLine="567"/>
        <w:jc w:val="both"/>
        <w:rPr>
          <w:bCs/>
          <w:color w:val="000000"/>
        </w:rPr>
      </w:pPr>
      <w:r>
        <w:rPr>
          <w:bCs/>
          <w:color w:val="000000"/>
        </w:rPr>
        <w:t>Export turnover in January 2018 was estimated at 19.0 billion USD, went down by 3.3% over the previous month, of which: the domestic sector gained 5.41 billion USD, fell by 5.2%; FDI sector (including crude oil) reached 13.59 billion USD, dropped 2.6%. Export turnover of some products decreased compared to the previous month such as: Iron and steel decreased by 28.3%; footwear fell by 11.5%; textiles and garments decreased by 7.2%. Besides that, some valuable export products increased: Rice increased by 30.3%; phones and their parts grew by 7.7%; coffee rose by 6.8%.</w:t>
      </w:r>
    </w:p>
    <w:p w:rsidR="00D745DA" w:rsidRPr="00AD6969" w:rsidRDefault="00D745DA" w:rsidP="00D745DA">
      <w:pPr>
        <w:spacing w:before="40" w:after="40" w:line="254" w:lineRule="auto"/>
        <w:ind w:firstLine="567"/>
        <w:jc w:val="both"/>
        <w:rPr>
          <w:bCs/>
          <w:color w:val="000000"/>
        </w:rPr>
      </w:pPr>
      <w:r>
        <w:rPr>
          <w:bCs/>
          <w:color w:val="000000"/>
        </w:rPr>
        <w:lastRenderedPageBreak/>
        <w:t> Compared to the same period last year, export turnover in January 2018 increased sharply by 33.1%</w:t>
      </w:r>
      <w:r w:rsidRPr="00AD6969">
        <w:rPr>
          <w:rStyle w:val="FootnoteReference"/>
          <w:bCs/>
          <w:color w:val="000000"/>
        </w:rPr>
        <w:footnoteReference w:id="6"/>
      </w:r>
      <w:r>
        <w:rPr>
          <w:bCs/>
          <w:color w:val="000000"/>
        </w:rPr>
        <w:t>, of which: the domestic economic sector grew by 31.6%; FDI sector (including crude oil) edge up by 33.7%. Some products had increased export turnover over the same period last year: Phones and their parts reached 4.2 billion USD, surged up by 80.7%; textiles and garments gained 2.3 billion USD, an increase of 7.6%; electronic goods, computers and their parts reached 2.2 billion USD, went up by 37.9%; footwear achieved 1.3 billion USD, climbed up by 11.5%; machinery, instrument and accessory reached 1.1 billion USD, grew by 18.2%; wood and wooden products gained 730 million USD, jumped up by 22%; means of transport and spare parts attained 620 million USD, edged up by 3.5%; coffee gained 340 million USD, went up by 7.7%; vegetables and fruits reached 320 million USD, rose by 36.4%. Some export products had decreased turnover compared to the same period last year: Rubber reached 169 million USD, reduced by 5.7% (volume surged up by 60.9%); pepper gained 51 million USD, declined by 17.9% (volume soared by 43.5%).</w:t>
      </w:r>
    </w:p>
    <w:p w:rsidR="00D745DA" w:rsidRPr="00AD6969" w:rsidRDefault="00D745DA" w:rsidP="00D745DA">
      <w:pPr>
        <w:spacing w:before="40" w:after="40" w:line="254" w:lineRule="auto"/>
        <w:ind w:firstLine="567"/>
        <w:jc w:val="both"/>
        <w:rPr>
          <w:bCs/>
          <w:color w:val="000000"/>
        </w:rPr>
      </w:pPr>
      <w:r>
        <w:rPr>
          <w:bCs/>
          <w:color w:val="000000"/>
        </w:rPr>
        <w:t>Regarding the exported goods market, China was Vietnam's largest export market in January 2018 with a turnover of 4.5 billion USD, 2.5 times as much as the turnover of the same period last year</w:t>
      </w:r>
      <w:r>
        <w:rPr>
          <w:rStyle w:val="FootnoteReference"/>
          <w:bCs/>
          <w:color w:val="000000"/>
        </w:rPr>
        <w:footnoteReference w:id="7"/>
      </w:r>
      <w:r>
        <w:rPr>
          <w:bCs/>
          <w:color w:val="000000"/>
        </w:rPr>
        <w:t>; the following was the United States with 3.5 billion USD, grew by 17%; EU gained 3 billion USD, rose by 6.6%; ASEAN reached 1.7 billion USD, edged up by 15.7%; Japan gained 1.5 billion USD, jumped up by 18.6%; South Korea attained 1.3 billion USD, went up by 28%.</w:t>
      </w:r>
    </w:p>
    <w:p w:rsidR="00D745DA" w:rsidRPr="00AD6969" w:rsidRDefault="00D745DA" w:rsidP="00D745DA">
      <w:pPr>
        <w:spacing w:before="40" w:after="40" w:line="257" w:lineRule="auto"/>
        <w:ind w:firstLine="567"/>
        <w:jc w:val="both"/>
        <w:rPr>
          <w:bCs/>
          <w:color w:val="000000"/>
        </w:rPr>
      </w:pPr>
      <w:r>
        <w:rPr>
          <w:bCs/>
          <w:color w:val="000000"/>
        </w:rPr>
        <w:t>Import turnover in December 2017 reached 19,888 million USD, 88 million USD higher than the estimated figure, of which: electronic goods, computers and their parts were 203 million USD higher; phones and their parts were 163 million USD higher; petroleum was 61 million USD higher; machinery, instrument and accessory were 38 million USD higher; plastic was 38 million USD lower; materials for textile, garment and footwear were 44 million USD lower; fabric was 76 million USD lower; iron and steel were 84 million USD less than estimated. Import turnover in 2017 reached 211.1 billion USD, 8 million USD higher than the estimated figure</w:t>
      </w:r>
      <w:r>
        <w:rPr>
          <w:rStyle w:val="FootnoteReference"/>
          <w:bCs/>
          <w:color w:val="000000"/>
        </w:rPr>
        <w:footnoteReference w:id="8"/>
      </w:r>
      <w:r>
        <w:rPr>
          <w:bCs/>
          <w:color w:val="000000"/>
        </w:rPr>
        <w:t>.</w:t>
      </w:r>
    </w:p>
    <w:p w:rsidR="00D745DA" w:rsidRPr="00476304" w:rsidRDefault="00D745DA" w:rsidP="00D745DA">
      <w:pPr>
        <w:spacing w:before="40" w:after="40" w:line="274" w:lineRule="auto"/>
        <w:ind w:firstLine="567"/>
        <w:jc w:val="both"/>
        <w:rPr>
          <w:bCs/>
          <w:color w:val="000000"/>
        </w:rPr>
      </w:pPr>
      <w:r>
        <w:rPr>
          <w:bCs/>
          <w:color w:val="000000"/>
        </w:rPr>
        <w:t xml:space="preserve">Import turnover in January 2018 was estimated at 19.3 billion USD, went down by 3% over the previous month, of which: the domestic economic sector gained 7.8 billion USD, fell by 4.7%; FDI sector reached 11.5 billion USD, </w:t>
      </w:r>
      <w:r>
        <w:rPr>
          <w:bCs/>
          <w:color w:val="000000"/>
        </w:rPr>
        <w:lastRenderedPageBreak/>
        <w:t>dropped 1.7%. Turnover of some products fell sharply compared to the previous month: Automobiles reached 304 million USD, went down by 52.1%; petroleum gained 552 million USD, fell by 27.2%.</w:t>
      </w:r>
    </w:p>
    <w:p w:rsidR="00D745DA" w:rsidRPr="00AD6969" w:rsidRDefault="00D745DA" w:rsidP="00D745DA">
      <w:pPr>
        <w:spacing w:before="40" w:after="40" w:line="274" w:lineRule="auto"/>
        <w:ind w:firstLine="567"/>
        <w:jc w:val="both"/>
        <w:rPr>
          <w:bCs/>
          <w:color w:val="000000"/>
          <w:spacing w:val="-2"/>
        </w:rPr>
      </w:pPr>
      <w:r>
        <w:rPr>
          <w:bCs/>
          <w:color w:val="000000"/>
        </w:rPr>
        <w:t> Compared to the same period last year, the estimated import turnover of goods in January 2018 increased sharply by 47.4%, mainly due to the high demand for imported goods for production and consumption in the month adjacent to Lunar New Year, of which: the domestic economic sector increased by 43.2%; FDI sector rose by 50.4%. Some items had increased import turnover: Phones and their parts soared by 115.8%; electronic goods, computers and their parts surged up by 72.3%; machinery, instrument and accessory grew by 25.4%; petroleum increased by 10.8% (volume grew by 3.5%). Some products had decreased import turnover: Automobiles decreased by 17.9%, of which: CBU cars fell by 38%; milk and dairy products decreased by 6.2%.</w:t>
      </w:r>
    </w:p>
    <w:p w:rsidR="00D745DA" w:rsidRPr="00AD6969" w:rsidRDefault="00D745DA" w:rsidP="00D745DA">
      <w:pPr>
        <w:spacing w:before="40" w:after="40" w:line="274" w:lineRule="auto"/>
        <w:ind w:firstLine="567"/>
        <w:jc w:val="both"/>
        <w:rPr>
          <w:bCs/>
          <w:color w:val="000000"/>
        </w:rPr>
      </w:pPr>
      <w:r>
        <w:rPr>
          <w:bCs/>
          <w:color w:val="000000"/>
        </w:rPr>
        <w:t xml:space="preserve">Regarding the imported market in the month, China was Vietnam's largest imported market with an estimated turnover of 5.7 billion USD, went up by 45.6% over the same period in 2017; South Korea gained 4.2 billion USD, grew by 54.2%; ASEAN reached 2.6 billion USD, rose by 46.3%; Japan attained 1.7 billion USD, soared by 93.1%; EU gained 1.1 billion USD, went up by 34.1%; United States reached 780 million, jumped up by 15.4%. </w:t>
      </w:r>
    </w:p>
    <w:p w:rsidR="00D5622B" w:rsidRPr="00AD6969" w:rsidRDefault="00D745DA" w:rsidP="00D745DA">
      <w:pPr>
        <w:tabs>
          <w:tab w:val="num" w:pos="0"/>
        </w:tabs>
        <w:spacing w:before="40" w:after="40" w:line="264" w:lineRule="auto"/>
        <w:ind w:firstLine="567"/>
        <w:jc w:val="both"/>
        <w:rPr>
          <w:bCs/>
          <w:color w:val="000000"/>
        </w:rPr>
      </w:pPr>
      <w:r>
        <w:rPr>
          <w:bCs/>
          <w:color w:val="000000"/>
        </w:rPr>
        <w:t>Trade balance of goods in 2017 witnessed a trade surplus of 2.9 billion USD, equivalent to 1.4% of export turnover. In January 2018, trade deficit was estimated at 300 million USD, of which: the domestic economic sector saw a trade deficit of 2.4 billion USD; FDI sector (including crude oil) witnessed a trade surplus of 2.1 billion USD.</w:t>
      </w:r>
    </w:p>
    <w:p w:rsidR="00132AB4" w:rsidRPr="00AD6969" w:rsidRDefault="00050417" w:rsidP="00B76E14">
      <w:pPr>
        <w:spacing w:before="40" w:after="40" w:line="274" w:lineRule="auto"/>
        <w:ind w:firstLine="567"/>
        <w:jc w:val="both"/>
        <w:rPr>
          <w:b/>
          <w:bCs/>
          <w:i/>
          <w:iCs/>
        </w:rPr>
      </w:pPr>
      <w:r>
        <w:rPr>
          <w:b/>
          <w:bCs/>
          <w:i/>
          <w:iCs/>
        </w:rPr>
        <w:t xml:space="preserve">c. </w:t>
      </w:r>
      <w:r>
        <w:rPr>
          <w:b/>
          <w:i/>
        </w:rPr>
        <w:t>Consumer price index, gold price index and USD price index</w:t>
      </w:r>
    </w:p>
    <w:p w:rsidR="00E02767" w:rsidRPr="00AD6969" w:rsidRDefault="00E02767" w:rsidP="00B76E14">
      <w:pPr>
        <w:pStyle w:val="FootnoteText"/>
        <w:spacing w:before="40" w:after="40" w:line="274" w:lineRule="auto"/>
        <w:ind w:firstLine="567"/>
        <w:jc w:val="both"/>
        <w:rPr>
          <w:rStyle w:val="normalchar"/>
          <w:spacing w:val="-2"/>
          <w:sz w:val="28"/>
          <w:szCs w:val="28"/>
        </w:rPr>
      </w:pPr>
      <w:r>
        <w:rPr>
          <w:rStyle w:val="normalchar"/>
          <w:sz w:val="28"/>
          <w:szCs w:val="28"/>
        </w:rPr>
        <w:t xml:space="preserve">Consumer price index (CPI) in January 2018 increased by 0.51% compared to the previous month, of which medicine and medical services rose the highest with 1.83% (health service increased by 2.34%) because there were 9 provinces and cities directly under the Central Government adjusted the price of medical services for those who did not have health insurance cards (caused the overall CPI to increase by 0.09%). Transportation group increased remarkably with 1.17%, mainly due to the impact of the upward adjustment of gasoline price at the time of January 4, 2018 and January 19, 2018 and the increase in railway fare on Mau Tuat Lunar New Year. Housing and construction materials increased by 0.55% because of the increase in electricity price and oil price, along with high demand for housing repair in the last month of the year. The remaining groups of goods and services had lower price index than the overall increase: Food and catering services increased by 0.44% (food increased by 0.47%, foodstuff rose by 0.56%); drinks and cigarettes by 0.35%; </w:t>
      </w:r>
      <w:r>
        <w:rPr>
          <w:rStyle w:val="normalchar"/>
          <w:sz w:val="28"/>
          <w:szCs w:val="28"/>
        </w:rPr>
        <w:lastRenderedPageBreak/>
        <w:t>apparel, hats and footwear by 0.34%; household equipment and appliances by 0.16%; culture, entertainment and tourism by 0.07%; education by 0.03% (education service by 0.04%); other goods and services by 0.40%. In contrast, the group of post and telecommunication decreased by 0.09% compared to the previous month. In comparison to the same period last year, CPI of January 2018 increased by 2.65%.</w:t>
      </w:r>
    </w:p>
    <w:p w:rsidR="00E02767" w:rsidRPr="00E02767" w:rsidRDefault="00E02767" w:rsidP="00E02767">
      <w:pPr>
        <w:spacing w:before="40" w:after="40" w:line="262" w:lineRule="auto"/>
        <w:ind w:firstLine="567"/>
        <w:jc w:val="both"/>
        <w:rPr>
          <w:rStyle w:val="normalchar"/>
        </w:rPr>
      </w:pPr>
      <w:r>
        <w:rPr>
          <w:rStyle w:val="normalchar"/>
        </w:rPr>
        <w:t xml:space="preserve">The gold price index of January 2018 increased by 1.69% compared to the previous month and by 6.70% over the same period in 2017. </w:t>
      </w:r>
      <w:r w:rsidRPr="006562A5">
        <w:rPr>
          <w:rStyle w:val="normalchar"/>
        </w:rPr>
        <w:t>The US dollar price index in January 2018 decreased by 0.04% compared to the previous month and declined by 0.02% against the same period in 2017.</w:t>
      </w:r>
    </w:p>
    <w:p w:rsidR="00E02767" w:rsidRPr="00AD6969" w:rsidRDefault="00AB5BD1" w:rsidP="00E02767">
      <w:pPr>
        <w:spacing w:before="40" w:after="40" w:line="262" w:lineRule="auto"/>
        <w:ind w:firstLine="567"/>
        <w:jc w:val="both"/>
        <w:rPr>
          <w:rStyle w:val="normalchar"/>
        </w:rPr>
      </w:pPr>
      <w:r>
        <w:rPr>
          <w:rStyle w:val="normalchar"/>
        </w:rPr>
        <w:t>Core inflation in January 2018 increased by 0.18% over the previous month and went up by 1.18% against the same period last year.</w:t>
      </w:r>
    </w:p>
    <w:p w:rsidR="00EA7AD2" w:rsidRPr="00AD6969" w:rsidRDefault="003A35EA" w:rsidP="009630EE">
      <w:pPr>
        <w:tabs>
          <w:tab w:val="left" w:pos="5244"/>
        </w:tabs>
        <w:spacing w:before="40" w:after="40" w:line="262" w:lineRule="auto"/>
        <w:ind w:firstLine="567"/>
        <w:jc w:val="both"/>
        <w:rPr>
          <w:b/>
          <w:bCs/>
          <w:i/>
          <w:iCs/>
        </w:rPr>
      </w:pPr>
      <w:r>
        <w:rPr>
          <w:b/>
          <w:bCs/>
          <w:i/>
          <w:iCs/>
        </w:rPr>
        <w:t>d. Passenger and freight transport</w:t>
      </w:r>
    </w:p>
    <w:p w:rsidR="00E02767" w:rsidRPr="00E02767" w:rsidRDefault="00AB5BD1" w:rsidP="009630EE">
      <w:pPr>
        <w:spacing w:before="40" w:after="40" w:line="262" w:lineRule="auto"/>
        <w:ind w:firstLine="567"/>
        <w:jc w:val="both"/>
      </w:pPr>
      <w:r>
        <w:t>Passenger carriage in January was estimated at 369.3 million passengers, going up by 9.4% over the same period in 2017 and 16.1 billion passengers.kilometers, up by 9.2%, mainly due to a high rise in traveling demand of the people during the long vacation in the beginning of the calendar year. Passenger carried by the road reached 348.6 million passengers, an increase of 9.7% over the same period last year and 11.3 billion passengers-kilometers, an increase of 10.1%; inland waterways reached 15.6 million passengers, a growth of 5.2% and 293.7 million passengers-kilometers, a rise of 5.9%; Seaways gained 599.9 thousand passengers, an increase of 7.9% and 35.3 million passengers.km, an increase of 8.1%. Airways was relatively good with 3.9 million passengers, an acceleration of 11.2% and 4.2 billion passengers-kilometers, an expansion of 12.8% because domestic airlines increased their flights. Railway reached 0.6 million passengers, decreased by 33.3% and 0.2 billion passengers.kilometers, declined by 45.7% compared to the same period in 2017.</w:t>
      </w:r>
    </w:p>
    <w:p w:rsidR="00E02767" w:rsidRPr="00AD6969" w:rsidRDefault="00E02767" w:rsidP="009630EE">
      <w:pPr>
        <w:spacing w:before="40" w:after="40" w:line="262" w:lineRule="auto"/>
        <w:ind w:firstLine="567"/>
        <w:jc w:val="both"/>
        <w:rPr>
          <w:color w:val="000000"/>
          <w:spacing w:val="-2"/>
        </w:rPr>
      </w:pPr>
      <w:r>
        <w:rPr>
          <w:color w:val="000000"/>
        </w:rPr>
        <w:t>Freight carriage in January was estimated at 130.6 million tons, up 8.4% over the same period last year and 24.4 billion tons-kilometers, up 6.1%, of which domestic transport reached 127.9 million tons, up 8.6% and 13.2 billion tons.km, up 10.8%; overseas transport achieved 2.8 million tons, up 0.7% and 11.2 billion tons.km, up 1.1%. By kinds of transport, the road reached 100.9 million tons, up 8.9% and 6.7 billion tons.km, up 9.2% over the same period last year; inland waterways gained 22.9 million tons, up 7.1% and 4.9 billion tons.km, up 6.9%; seaway reached 6.3 million tons, up 3.7% and 12.3 billion tons.km, up 3.3%; railways was 0.5 million tons, up 23.5% and 0.4 billion tons.km, up 57.4%; airway reached 30.2 thousand tons, up 5.6% and 79.4 million tons.km, up 3.8%.</w:t>
      </w:r>
    </w:p>
    <w:p w:rsidR="00A51EA3" w:rsidRPr="00AD6969" w:rsidRDefault="00A219D8" w:rsidP="009630EE">
      <w:pPr>
        <w:spacing w:before="40" w:after="40" w:line="262" w:lineRule="auto"/>
        <w:ind w:firstLine="567"/>
        <w:jc w:val="both"/>
        <w:rPr>
          <w:b/>
          <w:bCs/>
          <w:i/>
          <w:iCs/>
        </w:rPr>
      </w:pPr>
      <w:r>
        <w:rPr>
          <w:b/>
          <w:bCs/>
          <w:i/>
          <w:iCs/>
        </w:rPr>
        <w:t>e. Foreign visitors to Viet Nam</w:t>
      </w:r>
    </w:p>
    <w:p w:rsidR="00E02767" w:rsidRPr="00AD6969" w:rsidRDefault="00011F96" w:rsidP="009630EE">
      <w:pPr>
        <w:spacing w:before="40" w:after="40" w:line="262" w:lineRule="auto"/>
        <w:ind w:firstLine="567"/>
        <w:jc w:val="both"/>
      </w:pPr>
      <w:r>
        <w:lastRenderedPageBreak/>
        <w:t>Foreign visitors to the country in January 2018 were estimated at 1,430.2 thousand people, an increase of 42% over the same period last year, of which: arrivals by air increased by 37.8% (up 315.7 thousand persons); by road increased by 58.9% (up 90.6 thousand persons); by sea expanded 89.5% (up 16.4 thousand persons). Compared to the previous month, foreign visitors to Viet Nam increased by 12.1%, in which visitors from Europe, Americas and Oceania increased sharply</w:t>
      </w:r>
      <w:r w:rsidR="001C0E36" w:rsidRPr="00AD6969">
        <w:rPr>
          <w:rStyle w:val="FootnoteReference"/>
        </w:rPr>
        <w:footnoteReference w:id="9"/>
      </w:r>
      <w:r>
        <w:t xml:space="preserve"> because the overseas Vietnamese came home to celebrate Mau Tuat Lunar New Year, at the same time it was winter holidays in countries in Europe and America, so the demand of traveling abroad was quite large.</w:t>
      </w:r>
    </w:p>
    <w:p w:rsidR="00E67D57" w:rsidRPr="00AD6969" w:rsidRDefault="00E67D57" w:rsidP="009630EE">
      <w:pPr>
        <w:spacing w:before="40" w:after="40" w:line="281" w:lineRule="auto"/>
        <w:ind w:firstLine="567"/>
        <w:jc w:val="both"/>
      </w:pPr>
      <w:r>
        <w:t>In January, visitors to Vietnam from Asia were estimated at 1,046.7 thousand, increasing by 53.9% compared to the same period last year, of which arrivals from most major markets increased: China reached 418.5 thousand persons, an increase of 69%; South Korea 316.3 thousand persons, an increase of 84%; Japan 71.8 thousand persons, an increase of 8.2%; Taiwan 48.5 thousand persons, an increase of 22.9%; Malaysia 44 thousand persons, an increase of 35.5%; Thailand 32.3 thousand persons, an increase of 11.3%; Singapore 25.8 thousand persons, an increase of 16%; Cambodia 24.6 thousand persons, an increase of 36.6%.</w:t>
      </w:r>
    </w:p>
    <w:p w:rsidR="00E67D57" w:rsidRPr="00AD6969" w:rsidRDefault="00E67D57" w:rsidP="009630EE">
      <w:pPr>
        <w:spacing w:before="40" w:after="40" w:line="281" w:lineRule="auto"/>
        <w:ind w:firstLine="567"/>
        <w:jc w:val="both"/>
      </w:pPr>
      <w:r>
        <w:t>European arrivals were estimated at 225.5 thousand, increasing by 22.8% compared to the same period last year, of which: visitors from the Russian Federation reached 74.3 thousand, increasing by 26.9%; United Kingdom 28.4 thousand persons, rising by 18.1%; France 26.7 thousand, increasing by 23.4%; Germany 21 thousand, up 14.2%; Sweden 10.6 thousand, growing by 23.7%; Italy 8.4 thousand, expanding by 23.5%; Netherlands 7 thousand, up 7.5%; Finland 5.3 thousand, going up by 47.5%.</w:t>
      </w:r>
    </w:p>
    <w:p w:rsidR="00E67D57" w:rsidRPr="00AD6969" w:rsidRDefault="00E67D57" w:rsidP="009630EE">
      <w:pPr>
        <w:spacing w:before="40" w:after="40" w:line="281" w:lineRule="auto"/>
        <w:ind w:right="-11" w:firstLine="567"/>
        <w:jc w:val="both"/>
      </w:pPr>
      <w:r>
        <w:t>Visitors from the Americas reached 97.7 thousand, an increase of 7.7% compared to the same period last year, of which visitors from the United States reached 72.6 thousand, an increase of 8%. Visitors from Australia reached 55.3 thousand, a rise of 13.5%, of which visitors from Australia gained 50.1 thousand, an increase of 13.5%. Visitors from Africa reached 5 thousand, up 25.8% over the same period in 2017.</w:t>
      </w:r>
    </w:p>
    <w:p w:rsidR="00DF77C7" w:rsidRPr="00AD6969" w:rsidRDefault="00050417" w:rsidP="00DF77C7">
      <w:pPr>
        <w:spacing w:before="40" w:after="40" w:line="281" w:lineRule="auto"/>
        <w:ind w:firstLine="567"/>
        <w:jc w:val="both"/>
        <w:rPr>
          <w:b/>
          <w:bCs/>
        </w:rPr>
      </w:pPr>
      <w:r>
        <w:rPr>
          <w:b/>
          <w:bCs/>
        </w:rPr>
        <w:t>7. SOCIAL ISSUES</w:t>
      </w:r>
    </w:p>
    <w:p w:rsidR="00DF77C7" w:rsidRPr="00AD6969" w:rsidRDefault="00DF77C7" w:rsidP="00DF77C7">
      <w:pPr>
        <w:tabs>
          <w:tab w:val="left" w:pos="709"/>
          <w:tab w:val="left" w:pos="1134"/>
        </w:tabs>
        <w:spacing w:before="40" w:after="40" w:line="281" w:lineRule="auto"/>
        <w:ind w:right="-14" w:firstLine="567"/>
        <w:jc w:val="both"/>
        <w:rPr>
          <w:b/>
          <w:i/>
        </w:rPr>
      </w:pPr>
      <w:r>
        <w:rPr>
          <w:b/>
          <w:i/>
        </w:rPr>
        <w:t>a. Food shortage among farmers</w:t>
      </w:r>
    </w:p>
    <w:p w:rsidR="00DF77C7" w:rsidRPr="00AD6969" w:rsidRDefault="00DF77C7" w:rsidP="00DF77C7">
      <w:pPr>
        <w:spacing w:before="40" w:after="40" w:line="281" w:lineRule="auto"/>
        <w:ind w:right="-11" w:firstLine="567"/>
        <w:jc w:val="both"/>
      </w:pPr>
      <w:r>
        <w:rPr>
          <w:rStyle w:val="apple-style-span"/>
        </w:rPr>
        <w:t xml:space="preserve">In January (as of 18 January, 2018), the whole country witnessed 5.7 thousand households suffering from food shortage, equivalent to 19.7 thousand persons suffering from food shortage, of which Dak Lak recorded 2.1 thousand </w:t>
      </w:r>
      <w:r>
        <w:rPr>
          <w:rStyle w:val="apple-style-span"/>
        </w:rPr>
        <w:lastRenderedPageBreak/>
        <w:t xml:space="preserve">households, equivalent to 5.3 thousand persons; Lang Son 1.4 thousand households, equivalent to 5,000 persons; Gia Lai 966 households, equivalent to 4.3 thousand persons. According to preliminary reports, </w:t>
      </w:r>
      <w:r>
        <w:t>to overcome this problem, all administrative levels, sectors and organizations from central to local level supported these households with about 135 thousand tons of rice.</w:t>
      </w:r>
    </w:p>
    <w:p w:rsidR="00DF77C7" w:rsidRPr="00AD6969" w:rsidRDefault="00DF77C7" w:rsidP="00DF77C7">
      <w:pPr>
        <w:tabs>
          <w:tab w:val="left" w:pos="-3780"/>
          <w:tab w:val="left" w:pos="-2880"/>
        </w:tabs>
        <w:spacing w:before="40" w:after="40" w:line="281" w:lineRule="auto"/>
        <w:ind w:right="-11" w:firstLine="567"/>
        <w:jc w:val="both"/>
        <w:rPr>
          <w:b/>
          <w:i/>
        </w:rPr>
      </w:pPr>
      <w:r>
        <w:rPr>
          <w:b/>
          <w:i/>
        </w:rPr>
        <w:t>b. Epidemic diseases and food poisoning</w:t>
      </w:r>
    </w:p>
    <w:p w:rsidR="00DF77C7" w:rsidRPr="00AD6969" w:rsidRDefault="00DF77C7" w:rsidP="00DF77C7">
      <w:pPr>
        <w:tabs>
          <w:tab w:val="left" w:pos="426"/>
          <w:tab w:val="left" w:pos="709"/>
        </w:tabs>
        <w:spacing w:before="40" w:after="40" w:line="281" w:lineRule="auto"/>
        <w:ind w:right="-11" w:firstLine="567"/>
        <w:jc w:val="both"/>
        <w:rPr>
          <w:spacing w:val="-2"/>
        </w:rPr>
      </w:pPr>
      <w:r>
        <w:t>In January 2018 the whole country witnessed 2.9 thousand cases of hemorrhagic fever, a year on year fall of 20.6%; nearly 1.1 thousand cases of hand, foot, mouth disease, dropped 35.2%; 14</w:t>
      </w:r>
      <w:r>
        <w:rPr>
          <w:rStyle w:val="normalchar"/>
        </w:rPr>
        <w:t xml:space="preserve"> </w:t>
      </w:r>
      <w:r>
        <w:t>cases of virus encephalitis; 3  cases of typhoid; 2 cases of meningococcal meningitis; 1 case of Zika virus infection and 145 cases of food poisoning.</w:t>
      </w:r>
    </w:p>
    <w:p w:rsidR="00DF77C7" w:rsidRPr="00AD6969" w:rsidRDefault="00DF77C7" w:rsidP="00DF77C7">
      <w:pPr>
        <w:spacing w:before="40" w:after="40" w:line="281" w:lineRule="auto"/>
        <w:ind w:right="-11" w:firstLine="567"/>
        <w:jc w:val="both"/>
      </w:pPr>
      <w:r>
        <w:t>As of 17 January 2018, the total number of alive HIV-infected persons over the country was 209.2 thousand persons and the number of cases turned to AIDS was 90.3 thousand persons; the number of persons died of HIV/AIDS nationwide was 95.4 thousand persons.</w:t>
      </w:r>
    </w:p>
    <w:p w:rsidR="00DF77C7" w:rsidRPr="00AD6969" w:rsidRDefault="00DF77C7" w:rsidP="00DF77C7">
      <w:pPr>
        <w:spacing w:before="40" w:after="40" w:line="288" w:lineRule="auto"/>
        <w:ind w:firstLine="567"/>
        <w:jc w:val="both"/>
        <w:rPr>
          <w:b/>
          <w:i/>
        </w:rPr>
      </w:pPr>
      <w:r>
        <w:rPr>
          <w:b/>
          <w:i/>
        </w:rPr>
        <w:t>c. Traffic accidents</w:t>
      </w:r>
    </w:p>
    <w:p w:rsidR="00DF77C7" w:rsidRPr="00AD6969" w:rsidRDefault="00DF77C7" w:rsidP="00DF77C7">
      <w:pPr>
        <w:pStyle w:val="BodyText"/>
        <w:tabs>
          <w:tab w:val="left" w:pos="-2340"/>
          <w:tab w:val="left" w:pos="709"/>
        </w:tabs>
        <w:spacing w:before="40" w:after="40" w:line="288" w:lineRule="auto"/>
        <w:ind w:firstLine="567"/>
        <w:jc w:val="both"/>
        <w:rPr>
          <w:rFonts w:ascii="Times New Roman" w:hAnsi="Times New Roman"/>
          <w:sz w:val="28"/>
          <w:szCs w:val="28"/>
        </w:rPr>
      </w:pPr>
      <w:r>
        <w:rPr>
          <w:rFonts w:ascii="Times New Roman" w:hAnsi="Times New Roman"/>
          <w:sz w:val="28"/>
          <w:szCs w:val="28"/>
        </w:rPr>
        <w:t>From 16 December 2017 to 15 January 2018, there were 1,762 traffic accidents occurred nationwide, including 890 traffic accidents from less serious to more and 872 traffic collisions, causing 780 deaths, 426 injuries and 922 slight injuries. Compared to the same period last year, the number of traffic accidents in this month increased by 3.5% (the number of traffic accidents from less serious to more increased by 4.5% and the number of traffic collisions went down by 2.6%); the number of deaths rose by 4.8%; the number of injuries increased by 161.3% and the number of slight injuries decreased by 9.2%. On average 57 traffic accidents occurred a day in this month nationwide, including 29 traffic accidents from less serious to more and 28 traffic collisions, caused 25 deaths, 14 injuries and 30 slight injuries.</w:t>
      </w:r>
    </w:p>
    <w:p w:rsidR="00DF77C7" w:rsidRPr="00AD6969" w:rsidRDefault="00DF77C7" w:rsidP="00DF77C7">
      <w:pPr>
        <w:tabs>
          <w:tab w:val="left" w:pos="709"/>
        </w:tabs>
        <w:spacing w:before="40" w:after="40" w:line="288" w:lineRule="auto"/>
        <w:ind w:firstLine="567"/>
        <w:jc w:val="both"/>
        <w:rPr>
          <w:b/>
          <w:i/>
        </w:rPr>
      </w:pPr>
      <w:r>
        <w:rPr>
          <w:b/>
          <w:i/>
        </w:rPr>
        <w:t>d. Damages caused by natural disasters, environment protection, fire and explosion prevention</w:t>
      </w:r>
    </w:p>
    <w:p w:rsidR="00DF77C7" w:rsidRPr="00AD6969" w:rsidRDefault="00DF77C7" w:rsidP="00DF77C7">
      <w:pPr>
        <w:tabs>
          <w:tab w:val="left" w:pos="709"/>
        </w:tabs>
        <w:spacing w:before="40" w:after="40" w:line="288" w:lineRule="auto"/>
        <w:ind w:firstLine="567"/>
        <w:jc w:val="both"/>
        <w:rPr>
          <w:b/>
          <w:i/>
        </w:rPr>
      </w:pPr>
      <w:r>
        <w:t>Natural disasters in this month mainly included bitterly cold, damaging cold, rain and landslides occurred in some localities that damaged 3.5 thousand hectares of paddy and arable crop, killed hundreds of cattle heads, total value of loss was over  14.7 billion VND. In particular, damage caused by heavy rain and floods in Binh Dinh in late December 2017 and early January 2018 was over 7 billion VND; losses in the three northern mountainous provinces (Lao Cai, Yen Bai and Son La) due to bitterly cold, damaging cold, were 5.4 billion VND.</w:t>
      </w:r>
    </w:p>
    <w:p w:rsidR="00DF77C7" w:rsidRPr="00AD6969" w:rsidRDefault="00DF77C7" w:rsidP="00DF77C7">
      <w:pPr>
        <w:tabs>
          <w:tab w:val="left" w:pos="709"/>
        </w:tabs>
        <w:spacing w:before="40" w:after="40" w:line="288" w:lineRule="auto"/>
        <w:ind w:firstLine="567"/>
        <w:jc w:val="both"/>
      </w:pPr>
      <w:r>
        <w:lastRenderedPageBreak/>
        <w:t>In January 2018, 865 cases of violating regulations of environment protection were found, of which 780 cases were addressed with total fine of 15.3 billion VND. In this month, there were 399 cases of fire and explosion across the country, causing 13 deaths and 32 injuries, with an estimated damage of over 177.5 billion VND.</w:t>
      </w:r>
    </w:p>
    <w:p w:rsidR="00DF77C7" w:rsidRPr="00AD6969" w:rsidRDefault="00DF77C7" w:rsidP="00DF77C7">
      <w:pPr>
        <w:pStyle w:val="NormalWeb"/>
        <w:shd w:val="clear" w:color="auto" w:fill="FFFFFF"/>
        <w:tabs>
          <w:tab w:val="left" w:pos="6540"/>
        </w:tabs>
        <w:spacing w:before="40" w:beforeAutospacing="0" w:after="40" w:afterAutospacing="0" w:line="264" w:lineRule="auto"/>
        <w:ind w:firstLine="567"/>
        <w:jc w:val="center"/>
        <w:rPr>
          <w:b/>
          <w:bCs/>
          <w:sz w:val="28"/>
          <w:szCs w:val="28"/>
          <w:lang w:val="pt-BR"/>
        </w:rPr>
      </w:pPr>
    </w:p>
    <w:p w:rsidR="003A35EA" w:rsidRPr="00AD6969" w:rsidRDefault="00DF77C7" w:rsidP="00DF77C7">
      <w:pPr>
        <w:spacing w:before="40" w:after="40" w:line="281" w:lineRule="auto"/>
        <w:ind w:firstLine="567"/>
        <w:jc w:val="right"/>
        <w:rPr>
          <w:b/>
          <w:bCs/>
        </w:rPr>
      </w:pPr>
      <w:r>
        <w:rPr>
          <w:b/>
          <w:bCs/>
        </w:rPr>
        <w:t>DIRECTOR GENERAL</w:t>
      </w:r>
    </w:p>
    <w:p w:rsidR="00591556" w:rsidRPr="00AD6969" w:rsidRDefault="00591556" w:rsidP="00AD6969">
      <w:pPr>
        <w:spacing w:before="40" w:after="40" w:line="264" w:lineRule="auto"/>
        <w:ind w:firstLine="5387"/>
        <w:jc w:val="center"/>
        <w:rPr>
          <w:b/>
          <w:bCs/>
        </w:rPr>
      </w:pPr>
    </w:p>
    <w:p w:rsidR="00591556" w:rsidRPr="00AD6969" w:rsidRDefault="00591556" w:rsidP="00AD6969">
      <w:pPr>
        <w:spacing w:before="40" w:after="40" w:line="264" w:lineRule="auto"/>
        <w:ind w:firstLine="5387"/>
        <w:jc w:val="center"/>
        <w:rPr>
          <w:b/>
          <w:bCs/>
        </w:rPr>
      </w:pPr>
    </w:p>
    <w:p w:rsidR="00591556" w:rsidRDefault="00591556" w:rsidP="00AD6969">
      <w:pPr>
        <w:spacing w:before="40" w:after="40" w:line="264" w:lineRule="auto"/>
        <w:ind w:firstLine="5387"/>
        <w:jc w:val="center"/>
        <w:rPr>
          <w:b/>
          <w:bCs/>
        </w:rPr>
      </w:pPr>
    </w:p>
    <w:p w:rsidR="00CF3B6B" w:rsidRPr="00AD6969" w:rsidRDefault="00CF3B6B" w:rsidP="00AD6969">
      <w:pPr>
        <w:spacing w:before="40" w:after="40" w:line="264" w:lineRule="auto"/>
        <w:ind w:firstLine="5387"/>
        <w:jc w:val="center"/>
        <w:rPr>
          <w:b/>
          <w:bCs/>
        </w:rPr>
      </w:pPr>
    </w:p>
    <w:p w:rsidR="00591556" w:rsidRPr="00AD6969" w:rsidRDefault="00591556" w:rsidP="00AD6969">
      <w:pPr>
        <w:spacing w:before="40" w:after="40" w:line="264" w:lineRule="auto"/>
        <w:ind w:firstLine="5387"/>
        <w:jc w:val="center"/>
        <w:rPr>
          <w:b/>
          <w:bCs/>
        </w:rPr>
      </w:pPr>
    </w:p>
    <w:p w:rsidR="002646C7" w:rsidRPr="00610535" w:rsidRDefault="00591556" w:rsidP="00610535">
      <w:pPr>
        <w:spacing w:before="40" w:after="40" w:line="264" w:lineRule="auto"/>
        <w:ind w:firstLine="5387"/>
        <w:jc w:val="center"/>
        <w:rPr>
          <w:b/>
          <w:bCs/>
        </w:rPr>
      </w:pPr>
      <w:r>
        <w:rPr>
          <w:b/>
          <w:bCs/>
        </w:rPr>
        <w:t>Nguyễn Bích Lâm</w:t>
      </w:r>
    </w:p>
    <w:sectPr w:rsidR="002646C7" w:rsidRPr="00610535" w:rsidSect="009C3F89">
      <w:headerReference w:type="default" r:id="rId8"/>
      <w:pgSz w:w="11907" w:h="16840" w:code="9"/>
      <w:pgMar w:top="1077" w:right="1134" w:bottom="1134" w:left="1797" w:header="505"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B35" w:rsidRDefault="00581B35" w:rsidP="001A07A9">
      <w:r>
        <w:separator/>
      </w:r>
    </w:p>
  </w:endnote>
  <w:endnote w:type="continuationSeparator" w:id="0">
    <w:p w:rsidR="00581B35" w:rsidRDefault="00581B35" w:rsidP="001A0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VnTime">
    <w:altName w:val="Times New Roman"/>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B35" w:rsidRDefault="00581B35" w:rsidP="001A07A9">
      <w:r>
        <w:separator/>
      </w:r>
    </w:p>
  </w:footnote>
  <w:footnote w:type="continuationSeparator" w:id="0">
    <w:p w:rsidR="00581B35" w:rsidRDefault="00581B35" w:rsidP="001A07A9">
      <w:r>
        <w:continuationSeparator/>
      </w:r>
    </w:p>
  </w:footnote>
  <w:footnote w:id="1">
    <w:p w:rsidR="00DF77C7" w:rsidRDefault="00DF77C7" w:rsidP="00DF77C7">
      <w:pPr>
        <w:pStyle w:val="FootnoteText"/>
      </w:pPr>
      <w:r>
        <w:rPr>
          <w:rStyle w:val="FootnoteReference"/>
        </w:rPr>
        <w:footnoteRef/>
      </w:r>
      <w:r>
        <w:t>Price of pangasius was at 28,000-30,000 VND/kg, rose by 5,000-7,000 VND/kg compared with the same period last year.</w:t>
      </w:r>
    </w:p>
  </w:footnote>
  <w:footnote w:id="2">
    <w:p w:rsidR="003B5E50" w:rsidRPr="0086637F" w:rsidRDefault="003B5E50" w:rsidP="00DB1B67">
      <w:pPr>
        <w:pStyle w:val="FootnoteText"/>
      </w:pPr>
      <w:r>
        <w:rPr>
          <w:rStyle w:val="FootnoteReference"/>
        </w:rPr>
        <w:footnoteRef/>
      </w:r>
      <w:r>
        <w:t xml:space="preserve"> Since January 2018, the IIP was calculated and published according to the base year of 2015.</w:t>
      </w:r>
    </w:p>
  </w:footnote>
  <w:footnote w:id="3">
    <w:p w:rsidR="005B7066" w:rsidRDefault="005B7066" w:rsidP="005B7066">
      <w:pPr>
        <w:pStyle w:val="FootnoteText"/>
        <w:jc w:val="both"/>
        <w:rPr>
          <w:rStyle w:val="tlid-translation"/>
        </w:rPr>
      </w:pPr>
      <w:r>
        <w:rPr>
          <w:rStyle w:val="FootnoteReference"/>
        </w:rPr>
        <w:footnoteRef/>
      </w:r>
      <w:r>
        <w:t xml:space="preserve"> </w:t>
      </w:r>
      <w:r>
        <w:rPr>
          <w:rStyle w:val="tlid-translation"/>
        </w:rPr>
        <w:t>Source: National business registration information system, Business Registration Management Agency, Ministry of Planning and Investment.</w:t>
      </w:r>
    </w:p>
    <w:p w:rsidR="005B7066" w:rsidRDefault="005B7066" w:rsidP="005B7066">
      <w:pPr>
        <w:pStyle w:val="FootnoteText"/>
      </w:pPr>
    </w:p>
  </w:footnote>
  <w:footnote w:id="4">
    <w:p w:rsidR="005B7066" w:rsidRDefault="005B7066" w:rsidP="005B7066">
      <w:pPr>
        <w:jc w:val="both"/>
      </w:pPr>
      <w:r w:rsidRPr="00F572BC">
        <w:rPr>
          <w:rStyle w:val="FootnoteReference"/>
          <w:sz w:val="20"/>
          <w:szCs w:val="20"/>
        </w:rPr>
        <w:footnoteRef/>
      </w:r>
      <w:r>
        <w:t xml:space="preserve"> </w:t>
      </w:r>
      <w:r w:rsidRPr="00F572BC">
        <w:rPr>
          <w:rStyle w:val="tlid-translation"/>
          <w:sz w:val="20"/>
          <w:szCs w:val="20"/>
        </w:rPr>
        <w:t>In January 2017, there were 8,990 newly registered enterprises with a total registered capital of 90.3 trillion VND</w:t>
      </w:r>
      <w:r>
        <w:rPr>
          <w:rStyle w:val="tlid-translation"/>
          <w:sz w:val="20"/>
          <w:szCs w:val="20"/>
        </w:rPr>
        <w:t>,</w:t>
      </w:r>
      <w:r w:rsidRPr="00F572BC">
        <w:rPr>
          <w:rStyle w:val="tlid-translation"/>
          <w:sz w:val="20"/>
          <w:szCs w:val="20"/>
        </w:rPr>
        <w:t xml:space="preserve"> </w:t>
      </w:r>
      <w:r>
        <w:rPr>
          <w:rStyle w:val="tlid-translation"/>
          <w:sz w:val="20"/>
          <w:szCs w:val="20"/>
        </w:rPr>
        <w:t xml:space="preserve">the </w:t>
      </w:r>
      <w:r w:rsidRPr="00F572BC">
        <w:rPr>
          <w:rStyle w:val="tlid-translation"/>
          <w:sz w:val="20"/>
          <w:szCs w:val="20"/>
        </w:rPr>
        <w:t xml:space="preserve">average registered capital of an enterprise </w:t>
      </w:r>
      <w:r>
        <w:rPr>
          <w:rStyle w:val="tlid-translation"/>
          <w:sz w:val="20"/>
          <w:szCs w:val="20"/>
        </w:rPr>
        <w:t xml:space="preserve">gained </w:t>
      </w:r>
      <w:r w:rsidRPr="00F572BC">
        <w:rPr>
          <w:rStyle w:val="tlid-translation"/>
          <w:sz w:val="20"/>
          <w:szCs w:val="20"/>
        </w:rPr>
        <w:t>10 billion VND.</w:t>
      </w:r>
    </w:p>
  </w:footnote>
  <w:footnote w:id="5">
    <w:p w:rsidR="00D745DA" w:rsidRDefault="00D745DA" w:rsidP="00D745DA">
      <w:pPr>
        <w:pStyle w:val="FootnoteText"/>
        <w:ind w:left="142" w:hanging="142"/>
        <w:jc w:val="both"/>
      </w:pPr>
      <w:r>
        <w:rPr>
          <w:rStyle w:val="FootnoteReference"/>
        </w:rPr>
        <w:footnoteRef/>
      </w:r>
      <w:r>
        <w:t xml:space="preserve"> According to the data of the General Department of Customs as of 12/1/2018, the export turnover of goods in 11 months of 2017 reached 194.4 billion USD.</w:t>
      </w:r>
    </w:p>
  </w:footnote>
  <w:footnote w:id="6">
    <w:p w:rsidR="00D745DA" w:rsidRPr="00AD6969" w:rsidRDefault="00D745DA" w:rsidP="00D745DA">
      <w:pPr>
        <w:pStyle w:val="FootnoteText"/>
        <w:ind w:left="142" w:hanging="142"/>
        <w:jc w:val="both"/>
        <w:rPr>
          <w:spacing w:val="-6"/>
        </w:rPr>
      </w:pPr>
      <w:r>
        <w:rPr>
          <w:rStyle w:val="FootnoteReference"/>
          <w:spacing w:val="-6"/>
        </w:rPr>
        <w:footnoteRef/>
      </w:r>
      <w:r>
        <w:t xml:space="preserve"> The number of working days in January this year was higher than the number in the previous year because the Lunar New Year holiday in 2017 was mainly in January.</w:t>
      </w:r>
    </w:p>
  </w:footnote>
  <w:footnote w:id="7">
    <w:p w:rsidR="00D745DA" w:rsidRDefault="00D745DA" w:rsidP="00D745DA">
      <w:pPr>
        <w:pStyle w:val="FootnoteText"/>
        <w:ind w:left="142" w:hanging="142"/>
        <w:jc w:val="both"/>
      </w:pPr>
      <w:r>
        <w:rPr>
          <w:rStyle w:val="FootnoteReference"/>
        </w:rPr>
        <w:footnoteRef/>
      </w:r>
      <w:r>
        <w:t xml:space="preserve"> Some export products to the Chinese market in January 2018 had a high growth rate over the same period last year: phones and their parts reached 1.4 billion USD, were 32 times as much as the turnover of the same period last year; computers and their parts gained 650 million USD, an increase of 69%; vegetables and fruits reached 240 million USD, went up by 37%.</w:t>
      </w:r>
    </w:p>
  </w:footnote>
  <w:footnote w:id="8">
    <w:p w:rsidR="00D745DA" w:rsidRDefault="00D745DA" w:rsidP="00D745DA">
      <w:pPr>
        <w:pStyle w:val="FootnoteText"/>
        <w:ind w:left="142" w:hanging="142"/>
        <w:jc w:val="both"/>
      </w:pPr>
      <w:r>
        <w:rPr>
          <w:rStyle w:val="FootnoteReference"/>
        </w:rPr>
        <w:footnoteRef/>
      </w:r>
      <w:r>
        <w:t xml:space="preserve"> According to data of the General Department of Customs as of 12/1/2018, import of goods turnover in 11 months of 2017 reached 191.2 billion USD.</w:t>
      </w:r>
    </w:p>
  </w:footnote>
  <w:footnote w:id="9">
    <w:p w:rsidR="001C0E36" w:rsidRPr="007F5BDF" w:rsidRDefault="001C0E36" w:rsidP="001C0E36">
      <w:pPr>
        <w:pStyle w:val="FootnoteText"/>
      </w:pPr>
      <w:r>
        <w:rPr>
          <w:rStyle w:val="FootnoteReference"/>
        </w:rPr>
        <w:footnoteRef/>
      </w:r>
      <w:r>
        <w:t xml:space="preserve"> Visitors from Europe rose by 34.9%, from Americas up by 36.6% and from Oceania up by 53.6%.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E50" w:rsidRPr="002E2E79" w:rsidRDefault="00E85741">
    <w:pPr>
      <w:pStyle w:val="Header"/>
      <w:jc w:val="center"/>
      <w:rPr>
        <w:sz w:val="24"/>
        <w:szCs w:val="24"/>
      </w:rPr>
    </w:pPr>
    <w:r w:rsidRPr="002E2E79">
      <w:rPr>
        <w:sz w:val="24"/>
        <w:szCs w:val="24"/>
      </w:rPr>
      <w:fldChar w:fldCharType="begin"/>
    </w:r>
    <w:r w:rsidR="003B5E50" w:rsidRPr="002E2E79">
      <w:rPr>
        <w:sz w:val="24"/>
        <w:szCs w:val="24"/>
      </w:rPr>
      <w:instrText xml:space="preserve"> PAGE   \* MERGEFORMAT </w:instrText>
    </w:r>
    <w:r w:rsidRPr="002E2E79">
      <w:rPr>
        <w:sz w:val="24"/>
        <w:szCs w:val="24"/>
      </w:rPr>
      <w:fldChar w:fldCharType="separate"/>
    </w:r>
    <w:r w:rsidR="00FB7FE0">
      <w:rPr>
        <w:noProof/>
        <w:sz w:val="24"/>
        <w:szCs w:val="24"/>
      </w:rPr>
      <w:t>16</w:t>
    </w:r>
    <w:r w:rsidRPr="002E2E79">
      <w:rPr>
        <w:sz w:val="24"/>
        <w:szCs w:val="24"/>
      </w:rPr>
      <w:fldChar w:fldCharType="end"/>
    </w:r>
  </w:p>
  <w:p w:rsidR="003B5E50" w:rsidRDefault="003B5E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2">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doNotTrackMoves/>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6468"/>
    <w:rsid w:val="0000060A"/>
    <w:rsid w:val="0000106D"/>
    <w:rsid w:val="00001C22"/>
    <w:rsid w:val="000036C2"/>
    <w:rsid w:val="0000461D"/>
    <w:rsid w:val="00005622"/>
    <w:rsid w:val="0000631B"/>
    <w:rsid w:val="000071F9"/>
    <w:rsid w:val="000111B7"/>
    <w:rsid w:val="00011F96"/>
    <w:rsid w:val="00011FBD"/>
    <w:rsid w:val="00012187"/>
    <w:rsid w:val="00012976"/>
    <w:rsid w:val="00012C2C"/>
    <w:rsid w:val="00013D33"/>
    <w:rsid w:val="00014846"/>
    <w:rsid w:val="00014AB2"/>
    <w:rsid w:val="000154AA"/>
    <w:rsid w:val="00016203"/>
    <w:rsid w:val="0001752D"/>
    <w:rsid w:val="00020671"/>
    <w:rsid w:val="00024AC9"/>
    <w:rsid w:val="00025359"/>
    <w:rsid w:val="0002579C"/>
    <w:rsid w:val="000277B8"/>
    <w:rsid w:val="0003027A"/>
    <w:rsid w:val="00030AF3"/>
    <w:rsid w:val="00030D8A"/>
    <w:rsid w:val="000319D7"/>
    <w:rsid w:val="0003230D"/>
    <w:rsid w:val="00034406"/>
    <w:rsid w:val="00036452"/>
    <w:rsid w:val="00040137"/>
    <w:rsid w:val="000420D5"/>
    <w:rsid w:val="00042223"/>
    <w:rsid w:val="00042EB9"/>
    <w:rsid w:val="00044A7D"/>
    <w:rsid w:val="00045745"/>
    <w:rsid w:val="000461E1"/>
    <w:rsid w:val="000463F1"/>
    <w:rsid w:val="00046EB2"/>
    <w:rsid w:val="00050417"/>
    <w:rsid w:val="000506B5"/>
    <w:rsid w:val="00050839"/>
    <w:rsid w:val="00050A08"/>
    <w:rsid w:val="000518A3"/>
    <w:rsid w:val="00051916"/>
    <w:rsid w:val="00055398"/>
    <w:rsid w:val="0005565B"/>
    <w:rsid w:val="00055C58"/>
    <w:rsid w:val="00056734"/>
    <w:rsid w:val="000601AD"/>
    <w:rsid w:val="00060A18"/>
    <w:rsid w:val="00060EF3"/>
    <w:rsid w:val="00061C45"/>
    <w:rsid w:val="00062BEB"/>
    <w:rsid w:val="00062D3D"/>
    <w:rsid w:val="00062EB5"/>
    <w:rsid w:val="00062FE7"/>
    <w:rsid w:val="00063509"/>
    <w:rsid w:val="0006483F"/>
    <w:rsid w:val="0006495B"/>
    <w:rsid w:val="00065158"/>
    <w:rsid w:val="0006555A"/>
    <w:rsid w:val="000658A7"/>
    <w:rsid w:val="00065CCF"/>
    <w:rsid w:val="000712EE"/>
    <w:rsid w:val="00072295"/>
    <w:rsid w:val="00072810"/>
    <w:rsid w:val="00072A12"/>
    <w:rsid w:val="00074861"/>
    <w:rsid w:val="0007509B"/>
    <w:rsid w:val="0007626A"/>
    <w:rsid w:val="00076466"/>
    <w:rsid w:val="00076F40"/>
    <w:rsid w:val="0007721A"/>
    <w:rsid w:val="00077553"/>
    <w:rsid w:val="0007787D"/>
    <w:rsid w:val="00077957"/>
    <w:rsid w:val="000809AB"/>
    <w:rsid w:val="00083FA5"/>
    <w:rsid w:val="000851C7"/>
    <w:rsid w:val="000906F5"/>
    <w:rsid w:val="000909CE"/>
    <w:rsid w:val="0009196E"/>
    <w:rsid w:val="00092A06"/>
    <w:rsid w:val="00092C77"/>
    <w:rsid w:val="00092E0E"/>
    <w:rsid w:val="000930DA"/>
    <w:rsid w:val="000937B1"/>
    <w:rsid w:val="00095257"/>
    <w:rsid w:val="00095F89"/>
    <w:rsid w:val="00096C40"/>
    <w:rsid w:val="00097770"/>
    <w:rsid w:val="000A0827"/>
    <w:rsid w:val="000A0849"/>
    <w:rsid w:val="000A1186"/>
    <w:rsid w:val="000A173F"/>
    <w:rsid w:val="000A192B"/>
    <w:rsid w:val="000A1CCE"/>
    <w:rsid w:val="000A3467"/>
    <w:rsid w:val="000A39E0"/>
    <w:rsid w:val="000A4A08"/>
    <w:rsid w:val="000A58E0"/>
    <w:rsid w:val="000A6278"/>
    <w:rsid w:val="000B1DBB"/>
    <w:rsid w:val="000B2181"/>
    <w:rsid w:val="000B3A76"/>
    <w:rsid w:val="000B3B84"/>
    <w:rsid w:val="000B4674"/>
    <w:rsid w:val="000B46CF"/>
    <w:rsid w:val="000B481F"/>
    <w:rsid w:val="000B49D3"/>
    <w:rsid w:val="000B56FF"/>
    <w:rsid w:val="000C006C"/>
    <w:rsid w:val="000C0548"/>
    <w:rsid w:val="000C1A58"/>
    <w:rsid w:val="000C1AEE"/>
    <w:rsid w:val="000C27E6"/>
    <w:rsid w:val="000C5209"/>
    <w:rsid w:val="000C53E9"/>
    <w:rsid w:val="000C5829"/>
    <w:rsid w:val="000C6AB4"/>
    <w:rsid w:val="000C6F18"/>
    <w:rsid w:val="000C7688"/>
    <w:rsid w:val="000C7F9F"/>
    <w:rsid w:val="000D0051"/>
    <w:rsid w:val="000D3A06"/>
    <w:rsid w:val="000D4CC8"/>
    <w:rsid w:val="000D53AB"/>
    <w:rsid w:val="000D573D"/>
    <w:rsid w:val="000D58AA"/>
    <w:rsid w:val="000D713B"/>
    <w:rsid w:val="000D71B7"/>
    <w:rsid w:val="000D76D0"/>
    <w:rsid w:val="000E0006"/>
    <w:rsid w:val="000E0C6F"/>
    <w:rsid w:val="000E4E3C"/>
    <w:rsid w:val="000E535D"/>
    <w:rsid w:val="000E6165"/>
    <w:rsid w:val="000E689F"/>
    <w:rsid w:val="000E6961"/>
    <w:rsid w:val="000E780A"/>
    <w:rsid w:val="000F0084"/>
    <w:rsid w:val="000F394F"/>
    <w:rsid w:val="000F3CA3"/>
    <w:rsid w:val="000F423F"/>
    <w:rsid w:val="000F4742"/>
    <w:rsid w:val="000F4AC9"/>
    <w:rsid w:val="000F4C5A"/>
    <w:rsid w:val="000F4DEC"/>
    <w:rsid w:val="000F6092"/>
    <w:rsid w:val="000F74AD"/>
    <w:rsid w:val="000F7BC2"/>
    <w:rsid w:val="00100DF0"/>
    <w:rsid w:val="00100EB4"/>
    <w:rsid w:val="00101826"/>
    <w:rsid w:val="0010196B"/>
    <w:rsid w:val="0010267B"/>
    <w:rsid w:val="00103A80"/>
    <w:rsid w:val="00103B7E"/>
    <w:rsid w:val="001053C0"/>
    <w:rsid w:val="001067DB"/>
    <w:rsid w:val="00107927"/>
    <w:rsid w:val="00110D60"/>
    <w:rsid w:val="001111A4"/>
    <w:rsid w:val="00111673"/>
    <w:rsid w:val="00112582"/>
    <w:rsid w:val="0011328C"/>
    <w:rsid w:val="00113542"/>
    <w:rsid w:val="0011450B"/>
    <w:rsid w:val="001145F4"/>
    <w:rsid w:val="001156CE"/>
    <w:rsid w:val="001163E2"/>
    <w:rsid w:val="0011728C"/>
    <w:rsid w:val="00117732"/>
    <w:rsid w:val="00117781"/>
    <w:rsid w:val="00120AA1"/>
    <w:rsid w:val="00120DCB"/>
    <w:rsid w:val="001219F9"/>
    <w:rsid w:val="00124496"/>
    <w:rsid w:val="00124520"/>
    <w:rsid w:val="00124AE1"/>
    <w:rsid w:val="00124D0A"/>
    <w:rsid w:val="00124F5E"/>
    <w:rsid w:val="00126B64"/>
    <w:rsid w:val="00126BCD"/>
    <w:rsid w:val="00127476"/>
    <w:rsid w:val="00127893"/>
    <w:rsid w:val="00132327"/>
    <w:rsid w:val="00132AB4"/>
    <w:rsid w:val="00132C6D"/>
    <w:rsid w:val="00132F80"/>
    <w:rsid w:val="0013362F"/>
    <w:rsid w:val="00134829"/>
    <w:rsid w:val="0013560B"/>
    <w:rsid w:val="00135708"/>
    <w:rsid w:val="00136657"/>
    <w:rsid w:val="00137F3E"/>
    <w:rsid w:val="00140121"/>
    <w:rsid w:val="0014056F"/>
    <w:rsid w:val="001409C2"/>
    <w:rsid w:val="00141006"/>
    <w:rsid w:val="001413DD"/>
    <w:rsid w:val="00141744"/>
    <w:rsid w:val="00141BCE"/>
    <w:rsid w:val="00142019"/>
    <w:rsid w:val="001426FE"/>
    <w:rsid w:val="00142D28"/>
    <w:rsid w:val="0014472B"/>
    <w:rsid w:val="00144921"/>
    <w:rsid w:val="00147FE6"/>
    <w:rsid w:val="00150717"/>
    <w:rsid w:val="001507DD"/>
    <w:rsid w:val="00150E8C"/>
    <w:rsid w:val="00151028"/>
    <w:rsid w:val="0015190E"/>
    <w:rsid w:val="0015299C"/>
    <w:rsid w:val="0015336C"/>
    <w:rsid w:val="00155547"/>
    <w:rsid w:val="001573FD"/>
    <w:rsid w:val="00160722"/>
    <w:rsid w:val="0016093E"/>
    <w:rsid w:val="0016098B"/>
    <w:rsid w:val="001609D3"/>
    <w:rsid w:val="00161BCD"/>
    <w:rsid w:val="0016207C"/>
    <w:rsid w:val="00162689"/>
    <w:rsid w:val="001631CA"/>
    <w:rsid w:val="00164709"/>
    <w:rsid w:val="00164CDE"/>
    <w:rsid w:val="001655F8"/>
    <w:rsid w:val="001665C1"/>
    <w:rsid w:val="00166711"/>
    <w:rsid w:val="00166F19"/>
    <w:rsid w:val="00170E86"/>
    <w:rsid w:val="00171A4B"/>
    <w:rsid w:val="00173B22"/>
    <w:rsid w:val="00174088"/>
    <w:rsid w:val="00174CD4"/>
    <w:rsid w:val="00175126"/>
    <w:rsid w:val="0017608F"/>
    <w:rsid w:val="00176E13"/>
    <w:rsid w:val="0017716A"/>
    <w:rsid w:val="00177248"/>
    <w:rsid w:val="00180A37"/>
    <w:rsid w:val="00180D47"/>
    <w:rsid w:val="0018214D"/>
    <w:rsid w:val="00182AE3"/>
    <w:rsid w:val="001842C2"/>
    <w:rsid w:val="0018448B"/>
    <w:rsid w:val="00184CDD"/>
    <w:rsid w:val="00185B08"/>
    <w:rsid w:val="00185C7C"/>
    <w:rsid w:val="00185CEB"/>
    <w:rsid w:val="001867C2"/>
    <w:rsid w:val="001909BC"/>
    <w:rsid w:val="00190AEB"/>
    <w:rsid w:val="0019155E"/>
    <w:rsid w:val="00191B9D"/>
    <w:rsid w:val="00193B56"/>
    <w:rsid w:val="0019426B"/>
    <w:rsid w:val="00194ABE"/>
    <w:rsid w:val="00195284"/>
    <w:rsid w:val="0019559C"/>
    <w:rsid w:val="0019657C"/>
    <w:rsid w:val="0019666F"/>
    <w:rsid w:val="001967B1"/>
    <w:rsid w:val="001A02E3"/>
    <w:rsid w:val="001A07A9"/>
    <w:rsid w:val="001A1D48"/>
    <w:rsid w:val="001A1DE3"/>
    <w:rsid w:val="001A1F71"/>
    <w:rsid w:val="001A24A0"/>
    <w:rsid w:val="001A307B"/>
    <w:rsid w:val="001A5466"/>
    <w:rsid w:val="001A6265"/>
    <w:rsid w:val="001A632D"/>
    <w:rsid w:val="001A7B87"/>
    <w:rsid w:val="001A7D38"/>
    <w:rsid w:val="001B0377"/>
    <w:rsid w:val="001B05F7"/>
    <w:rsid w:val="001B0A32"/>
    <w:rsid w:val="001B1245"/>
    <w:rsid w:val="001B17CD"/>
    <w:rsid w:val="001B1F8B"/>
    <w:rsid w:val="001B2DC9"/>
    <w:rsid w:val="001B31A8"/>
    <w:rsid w:val="001B34BB"/>
    <w:rsid w:val="001B37A2"/>
    <w:rsid w:val="001B3974"/>
    <w:rsid w:val="001B46A1"/>
    <w:rsid w:val="001B471E"/>
    <w:rsid w:val="001B47EE"/>
    <w:rsid w:val="001B5F6C"/>
    <w:rsid w:val="001B7A79"/>
    <w:rsid w:val="001B7CA1"/>
    <w:rsid w:val="001B7D2D"/>
    <w:rsid w:val="001C07D6"/>
    <w:rsid w:val="001C0E36"/>
    <w:rsid w:val="001C0EAD"/>
    <w:rsid w:val="001C1B98"/>
    <w:rsid w:val="001C26B0"/>
    <w:rsid w:val="001C2E28"/>
    <w:rsid w:val="001C3319"/>
    <w:rsid w:val="001C43F7"/>
    <w:rsid w:val="001C4575"/>
    <w:rsid w:val="001C76B1"/>
    <w:rsid w:val="001D13CD"/>
    <w:rsid w:val="001D3772"/>
    <w:rsid w:val="001D49F4"/>
    <w:rsid w:val="001D4C5F"/>
    <w:rsid w:val="001D5CA2"/>
    <w:rsid w:val="001D6579"/>
    <w:rsid w:val="001D7E5A"/>
    <w:rsid w:val="001E014E"/>
    <w:rsid w:val="001E07EA"/>
    <w:rsid w:val="001E0EF9"/>
    <w:rsid w:val="001E2999"/>
    <w:rsid w:val="001E342B"/>
    <w:rsid w:val="001E3544"/>
    <w:rsid w:val="001E35B6"/>
    <w:rsid w:val="001E375D"/>
    <w:rsid w:val="001E39D0"/>
    <w:rsid w:val="001E4032"/>
    <w:rsid w:val="001E4A2C"/>
    <w:rsid w:val="001E5C74"/>
    <w:rsid w:val="001E6570"/>
    <w:rsid w:val="001E6760"/>
    <w:rsid w:val="001E6957"/>
    <w:rsid w:val="001E6C19"/>
    <w:rsid w:val="001E76A4"/>
    <w:rsid w:val="001E7B07"/>
    <w:rsid w:val="001F016A"/>
    <w:rsid w:val="001F1CBC"/>
    <w:rsid w:val="001F39ED"/>
    <w:rsid w:val="001F3C7C"/>
    <w:rsid w:val="001F402B"/>
    <w:rsid w:val="001F4845"/>
    <w:rsid w:val="001F4A1C"/>
    <w:rsid w:val="001F508E"/>
    <w:rsid w:val="001F55D6"/>
    <w:rsid w:val="001F716C"/>
    <w:rsid w:val="001F76F2"/>
    <w:rsid w:val="002001DC"/>
    <w:rsid w:val="00201470"/>
    <w:rsid w:val="0020207F"/>
    <w:rsid w:val="00204E46"/>
    <w:rsid w:val="00205E9D"/>
    <w:rsid w:val="00206E2F"/>
    <w:rsid w:val="00207B86"/>
    <w:rsid w:val="002109E7"/>
    <w:rsid w:val="002119D4"/>
    <w:rsid w:val="00213504"/>
    <w:rsid w:val="00213741"/>
    <w:rsid w:val="00215A08"/>
    <w:rsid w:val="00216288"/>
    <w:rsid w:val="00216F88"/>
    <w:rsid w:val="0022111F"/>
    <w:rsid w:val="00222603"/>
    <w:rsid w:val="0022390D"/>
    <w:rsid w:val="00224B8D"/>
    <w:rsid w:val="002254DC"/>
    <w:rsid w:val="002255B4"/>
    <w:rsid w:val="002260F3"/>
    <w:rsid w:val="0022663B"/>
    <w:rsid w:val="0022689D"/>
    <w:rsid w:val="00227769"/>
    <w:rsid w:val="00227FAD"/>
    <w:rsid w:val="00230622"/>
    <w:rsid w:val="00230997"/>
    <w:rsid w:val="00230D3B"/>
    <w:rsid w:val="00232402"/>
    <w:rsid w:val="0023258A"/>
    <w:rsid w:val="00232811"/>
    <w:rsid w:val="002331DD"/>
    <w:rsid w:val="00233480"/>
    <w:rsid w:val="00233CFF"/>
    <w:rsid w:val="00234AEA"/>
    <w:rsid w:val="00234E05"/>
    <w:rsid w:val="00234FB7"/>
    <w:rsid w:val="00235F70"/>
    <w:rsid w:val="00235F8C"/>
    <w:rsid w:val="002360BA"/>
    <w:rsid w:val="002362A4"/>
    <w:rsid w:val="00237434"/>
    <w:rsid w:val="002374E8"/>
    <w:rsid w:val="00237CFC"/>
    <w:rsid w:val="00240415"/>
    <w:rsid w:val="002410E5"/>
    <w:rsid w:val="002411CF"/>
    <w:rsid w:val="00241982"/>
    <w:rsid w:val="00241FA7"/>
    <w:rsid w:val="002424B1"/>
    <w:rsid w:val="002428EB"/>
    <w:rsid w:val="002430F5"/>
    <w:rsid w:val="00244001"/>
    <w:rsid w:val="002443F6"/>
    <w:rsid w:val="002447BD"/>
    <w:rsid w:val="00245678"/>
    <w:rsid w:val="00245B4B"/>
    <w:rsid w:val="002460EF"/>
    <w:rsid w:val="002462D2"/>
    <w:rsid w:val="00246DB4"/>
    <w:rsid w:val="00246E11"/>
    <w:rsid w:val="002473DA"/>
    <w:rsid w:val="00255261"/>
    <w:rsid w:val="0025599D"/>
    <w:rsid w:val="0026046F"/>
    <w:rsid w:val="002606E1"/>
    <w:rsid w:val="00260DDA"/>
    <w:rsid w:val="00260F60"/>
    <w:rsid w:val="0026129F"/>
    <w:rsid w:val="002613FE"/>
    <w:rsid w:val="002618D5"/>
    <w:rsid w:val="00261A90"/>
    <w:rsid w:val="002646C7"/>
    <w:rsid w:val="002678A7"/>
    <w:rsid w:val="00267FE6"/>
    <w:rsid w:val="002700EC"/>
    <w:rsid w:val="002703FD"/>
    <w:rsid w:val="00270CB2"/>
    <w:rsid w:val="00270F84"/>
    <w:rsid w:val="00272C69"/>
    <w:rsid w:val="00272FD8"/>
    <w:rsid w:val="002746F6"/>
    <w:rsid w:val="00276597"/>
    <w:rsid w:val="00276AEF"/>
    <w:rsid w:val="00276BBB"/>
    <w:rsid w:val="00277396"/>
    <w:rsid w:val="00277A2F"/>
    <w:rsid w:val="00280560"/>
    <w:rsid w:val="00280A50"/>
    <w:rsid w:val="00281200"/>
    <w:rsid w:val="00281B8E"/>
    <w:rsid w:val="00281CE7"/>
    <w:rsid w:val="00282EF0"/>
    <w:rsid w:val="00283199"/>
    <w:rsid w:val="002833E3"/>
    <w:rsid w:val="002845AF"/>
    <w:rsid w:val="00284E9E"/>
    <w:rsid w:val="00285772"/>
    <w:rsid w:val="00286623"/>
    <w:rsid w:val="00287AD9"/>
    <w:rsid w:val="0029123C"/>
    <w:rsid w:val="00292F96"/>
    <w:rsid w:val="002931B4"/>
    <w:rsid w:val="00294043"/>
    <w:rsid w:val="00294BF0"/>
    <w:rsid w:val="00294F82"/>
    <w:rsid w:val="0029538F"/>
    <w:rsid w:val="002967BE"/>
    <w:rsid w:val="002978A7"/>
    <w:rsid w:val="002A06B7"/>
    <w:rsid w:val="002A1098"/>
    <w:rsid w:val="002A1D7F"/>
    <w:rsid w:val="002A20F4"/>
    <w:rsid w:val="002A2190"/>
    <w:rsid w:val="002A2D5D"/>
    <w:rsid w:val="002A424E"/>
    <w:rsid w:val="002A5269"/>
    <w:rsid w:val="002A564D"/>
    <w:rsid w:val="002A5F08"/>
    <w:rsid w:val="002A693B"/>
    <w:rsid w:val="002A7813"/>
    <w:rsid w:val="002B0104"/>
    <w:rsid w:val="002B20B1"/>
    <w:rsid w:val="002B4DB3"/>
    <w:rsid w:val="002B651E"/>
    <w:rsid w:val="002B705E"/>
    <w:rsid w:val="002B79F2"/>
    <w:rsid w:val="002C0DFE"/>
    <w:rsid w:val="002C0EC1"/>
    <w:rsid w:val="002C1136"/>
    <w:rsid w:val="002C324A"/>
    <w:rsid w:val="002C3749"/>
    <w:rsid w:val="002C4F8A"/>
    <w:rsid w:val="002C593B"/>
    <w:rsid w:val="002C5CAB"/>
    <w:rsid w:val="002C5DF7"/>
    <w:rsid w:val="002C5FC9"/>
    <w:rsid w:val="002C642A"/>
    <w:rsid w:val="002D1706"/>
    <w:rsid w:val="002D591D"/>
    <w:rsid w:val="002D5980"/>
    <w:rsid w:val="002D5AA3"/>
    <w:rsid w:val="002D6E24"/>
    <w:rsid w:val="002D7E9A"/>
    <w:rsid w:val="002E01CF"/>
    <w:rsid w:val="002E172E"/>
    <w:rsid w:val="002E2E79"/>
    <w:rsid w:val="002E34C4"/>
    <w:rsid w:val="002E50EB"/>
    <w:rsid w:val="002E52FC"/>
    <w:rsid w:val="002E5AA0"/>
    <w:rsid w:val="002E746D"/>
    <w:rsid w:val="002E76FF"/>
    <w:rsid w:val="002E7AC4"/>
    <w:rsid w:val="002F217A"/>
    <w:rsid w:val="002F2CE1"/>
    <w:rsid w:val="002F35DF"/>
    <w:rsid w:val="002F39FD"/>
    <w:rsid w:val="002F3DF2"/>
    <w:rsid w:val="002F455A"/>
    <w:rsid w:val="002F5491"/>
    <w:rsid w:val="002F6257"/>
    <w:rsid w:val="002F6316"/>
    <w:rsid w:val="002F6F8F"/>
    <w:rsid w:val="002F7C5C"/>
    <w:rsid w:val="002F7F0F"/>
    <w:rsid w:val="00301C19"/>
    <w:rsid w:val="0030244C"/>
    <w:rsid w:val="003030A7"/>
    <w:rsid w:val="0030372C"/>
    <w:rsid w:val="003038A9"/>
    <w:rsid w:val="00304BCC"/>
    <w:rsid w:val="003050B9"/>
    <w:rsid w:val="003053FB"/>
    <w:rsid w:val="00305768"/>
    <w:rsid w:val="00305DFC"/>
    <w:rsid w:val="0030747B"/>
    <w:rsid w:val="00310425"/>
    <w:rsid w:val="0031084F"/>
    <w:rsid w:val="003115FD"/>
    <w:rsid w:val="00311735"/>
    <w:rsid w:val="003124D8"/>
    <w:rsid w:val="0031572E"/>
    <w:rsid w:val="0031609F"/>
    <w:rsid w:val="003164EB"/>
    <w:rsid w:val="00317259"/>
    <w:rsid w:val="003259F5"/>
    <w:rsid w:val="003300AC"/>
    <w:rsid w:val="003303B3"/>
    <w:rsid w:val="00330865"/>
    <w:rsid w:val="00330EDD"/>
    <w:rsid w:val="00331023"/>
    <w:rsid w:val="00333314"/>
    <w:rsid w:val="00333A1D"/>
    <w:rsid w:val="00333B83"/>
    <w:rsid w:val="00333CC2"/>
    <w:rsid w:val="00333E6A"/>
    <w:rsid w:val="00333FCB"/>
    <w:rsid w:val="00334421"/>
    <w:rsid w:val="00335BEB"/>
    <w:rsid w:val="00335C3A"/>
    <w:rsid w:val="00336285"/>
    <w:rsid w:val="003369FF"/>
    <w:rsid w:val="00337C63"/>
    <w:rsid w:val="00337EF8"/>
    <w:rsid w:val="00342138"/>
    <w:rsid w:val="00343FEC"/>
    <w:rsid w:val="00344A45"/>
    <w:rsid w:val="0034570B"/>
    <w:rsid w:val="003503F9"/>
    <w:rsid w:val="0035061B"/>
    <w:rsid w:val="00350F5B"/>
    <w:rsid w:val="00351ACE"/>
    <w:rsid w:val="00351BCA"/>
    <w:rsid w:val="00353826"/>
    <w:rsid w:val="00354AC6"/>
    <w:rsid w:val="00356186"/>
    <w:rsid w:val="0036078D"/>
    <w:rsid w:val="0036195D"/>
    <w:rsid w:val="00362576"/>
    <w:rsid w:val="00362821"/>
    <w:rsid w:val="003630BA"/>
    <w:rsid w:val="00365F85"/>
    <w:rsid w:val="00367639"/>
    <w:rsid w:val="003707C8"/>
    <w:rsid w:val="00371200"/>
    <w:rsid w:val="003720CF"/>
    <w:rsid w:val="00372772"/>
    <w:rsid w:val="003730D0"/>
    <w:rsid w:val="00373E5D"/>
    <w:rsid w:val="00374525"/>
    <w:rsid w:val="00374EC0"/>
    <w:rsid w:val="00374EE1"/>
    <w:rsid w:val="00375819"/>
    <w:rsid w:val="00376242"/>
    <w:rsid w:val="00377414"/>
    <w:rsid w:val="00380C91"/>
    <w:rsid w:val="00381426"/>
    <w:rsid w:val="00381CF0"/>
    <w:rsid w:val="00382C10"/>
    <w:rsid w:val="003846E8"/>
    <w:rsid w:val="00384978"/>
    <w:rsid w:val="00384C8B"/>
    <w:rsid w:val="00385852"/>
    <w:rsid w:val="00385D92"/>
    <w:rsid w:val="003860A9"/>
    <w:rsid w:val="00386775"/>
    <w:rsid w:val="0038699B"/>
    <w:rsid w:val="00390782"/>
    <w:rsid w:val="003921AB"/>
    <w:rsid w:val="00393310"/>
    <w:rsid w:val="00394017"/>
    <w:rsid w:val="00394184"/>
    <w:rsid w:val="003948C3"/>
    <w:rsid w:val="0039524D"/>
    <w:rsid w:val="00395AE7"/>
    <w:rsid w:val="00396456"/>
    <w:rsid w:val="00396735"/>
    <w:rsid w:val="00396D19"/>
    <w:rsid w:val="0039734B"/>
    <w:rsid w:val="003A032D"/>
    <w:rsid w:val="003A20D9"/>
    <w:rsid w:val="003A35EA"/>
    <w:rsid w:val="003A43B6"/>
    <w:rsid w:val="003A5AB4"/>
    <w:rsid w:val="003A60C9"/>
    <w:rsid w:val="003A6648"/>
    <w:rsid w:val="003A71BE"/>
    <w:rsid w:val="003A7DD3"/>
    <w:rsid w:val="003B0FBF"/>
    <w:rsid w:val="003B13C6"/>
    <w:rsid w:val="003B19AB"/>
    <w:rsid w:val="003B3AF1"/>
    <w:rsid w:val="003B4F22"/>
    <w:rsid w:val="003B59E4"/>
    <w:rsid w:val="003B5E50"/>
    <w:rsid w:val="003B5F91"/>
    <w:rsid w:val="003B61F2"/>
    <w:rsid w:val="003B6797"/>
    <w:rsid w:val="003C2153"/>
    <w:rsid w:val="003C2361"/>
    <w:rsid w:val="003C2625"/>
    <w:rsid w:val="003C38A5"/>
    <w:rsid w:val="003C3B1A"/>
    <w:rsid w:val="003C5032"/>
    <w:rsid w:val="003C573B"/>
    <w:rsid w:val="003C62B6"/>
    <w:rsid w:val="003C6B83"/>
    <w:rsid w:val="003C74EA"/>
    <w:rsid w:val="003C7FC2"/>
    <w:rsid w:val="003D1C6F"/>
    <w:rsid w:val="003D3666"/>
    <w:rsid w:val="003D3A33"/>
    <w:rsid w:val="003D3A69"/>
    <w:rsid w:val="003D46E1"/>
    <w:rsid w:val="003D528E"/>
    <w:rsid w:val="003D56F2"/>
    <w:rsid w:val="003D5902"/>
    <w:rsid w:val="003E02F4"/>
    <w:rsid w:val="003E038D"/>
    <w:rsid w:val="003E04D7"/>
    <w:rsid w:val="003E12E4"/>
    <w:rsid w:val="003E1FF6"/>
    <w:rsid w:val="003E20B1"/>
    <w:rsid w:val="003E2930"/>
    <w:rsid w:val="003E2BC6"/>
    <w:rsid w:val="003E4B8B"/>
    <w:rsid w:val="003E5310"/>
    <w:rsid w:val="003E7967"/>
    <w:rsid w:val="003F0288"/>
    <w:rsid w:val="003F1828"/>
    <w:rsid w:val="003F1C0F"/>
    <w:rsid w:val="003F374A"/>
    <w:rsid w:val="003F55B3"/>
    <w:rsid w:val="003F613E"/>
    <w:rsid w:val="003F6605"/>
    <w:rsid w:val="003F6B51"/>
    <w:rsid w:val="003F75DC"/>
    <w:rsid w:val="00401746"/>
    <w:rsid w:val="00401A24"/>
    <w:rsid w:val="00401B5D"/>
    <w:rsid w:val="00402123"/>
    <w:rsid w:val="00402AF1"/>
    <w:rsid w:val="00403340"/>
    <w:rsid w:val="0040343C"/>
    <w:rsid w:val="004049DE"/>
    <w:rsid w:val="004061A5"/>
    <w:rsid w:val="0040664D"/>
    <w:rsid w:val="004073AE"/>
    <w:rsid w:val="00407DC9"/>
    <w:rsid w:val="004101A7"/>
    <w:rsid w:val="00410F17"/>
    <w:rsid w:val="00411DFA"/>
    <w:rsid w:val="004127B5"/>
    <w:rsid w:val="00412CB5"/>
    <w:rsid w:val="00413672"/>
    <w:rsid w:val="00415915"/>
    <w:rsid w:val="00416BAE"/>
    <w:rsid w:val="0041742B"/>
    <w:rsid w:val="004201C3"/>
    <w:rsid w:val="00420BA5"/>
    <w:rsid w:val="00420ED8"/>
    <w:rsid w:val="00421023"/>
    <w:rsid w:val="00421AA1"/>
    <w:rsid w:val="0042245B"/>
    <w:rsid w:val="00422B6A"/>
    <w:rsid w:val="00422E90"/>
    <w:rsid w:val="0042400D"/>
    <w:rsid w:val="004243E2"/>
    <w:rsid w:val="00424496"/>
    <w:rsid w:val="00424772"/>
    <w:rsid w:val="004266CF"/>
    <w:rsid w:val="00426894"/>
    <w:rsid w:val="00427015"/>
    <w:rsid w:val="00427E4F"/>
    <w:rsid w:val="00430B5F"/>
    <w:rsid w:val="00431ECB"/>
    <w:rsid w:val="00434668"/>
    <w:rsid w:val="004347CF"/>
    <w:rsid w:val="00434946"/>
    <w:rsid w:val="00435A2C"/>
    <w:rsid w:val="0044006F"/>
    <w:rsid w:val="004419D3"/>
    <w:rsid w:val="00442443"/>
    <w:rsid w:val="00442806"/>
    <w:rsid w:val="00443644"/>
    <w:rsid w:val="00443BE8"/>
    <w:rsid w:val="00443F6F"/>
    <w:rsid w:val="00444D4C"/>
    <w:rsid w:val="004453F0"/>
    <w:rsid w:val="00445783"/>
    <w:rsid w:val="00445A08"/>
    <w:rsid w:val="00446B19"/>
    <w:rsid w:val="00446E10"/>
    <w:rsid w:val="00447723"/>
    <w:rsid w:val="0045127B"/>
    <w:rsid w:val="00452C21"/>
    <w:rsid w:val="00452EDA"/>
    <w:rsid w:val="004535F6"/>
    <w:rsid w:val="0045657A"/>
    <w:rsid w:val="00457074"/>
    <w:rsid w:val="00457EB6"/>
    <w:rsid w:val="0046080A"/>
    <w:rsid w:val="00461375"/>
    <w:rsid w:val="00462AE3"/>
    <w:rsid w:val="00462C66"/>
    <w:rsid w:val="00463FD1"/>
    <w:rsid w:val="0046414A"/>
    <w:rsid w:val="00464B71"/>
    <w:rsid w:val="004662EB"/>
    <w:rsid w:val="0046723B"/>
    <w:rsid w:val="00467556"/>
    <w:rsid w:val="00467716"/>
    <w:rsid w:val="00467FDC"/>
    <w:rsid w:val="004717A5"/>
    <w:rsid w:val="00471A25"/>
    <w:rsid w:val="00471EFD"/>
    <w:rsid w:val="004720F0"/>
    <w:rsid w:val="004722F7"/>
    <w:rsid w:val="00474E3C"/>
    <w:rsid w:val="0047502D"/>
    <w:rsid w:val="00475BE3"/>
    <w:rsid w:val="00475D80"/>
    <w:rsid w:val="00476E50"/>
    <w:rsid w:val="004811C2"/>
    <w:rsid w:val="004820F1"/>
    <w:rsid w:val="0048210B"/>
    <w:rsid w:val="00482AD6"/>
    <w:rsid w:val="004836C2"/>
    <w:rsid w:val="00484583"/>
    <w:rsid w:val="00484754"/>
    <w:rsid w:val="00485881"/>
    <w:rsid w:val="00486A1C"/>
    <w:rsid w:val="004872D8"/>
    <w:rsid w:val="00487872"/>
    <w:rsid w:val="00487E32"/>
    <w:rsid w:val="004911CB"/>
    <w:rsid w:val="004923BA"/>
    <w:rsid w:val="00492F48"/>
    <w:rsid w:val="00493200"/>
    <w:rsid w:val="00493CB0"/>
    <w:rsid w:val="00495364"/>
    <w:rsid w:val="0049579E"/>
    <w:rsid w:val="00495B24"/>
    <w:rsid w:val="00495C1C"/>
    <w:rsid w:val="0049648C"/>
    <w:rsid w:val="00496963"/>
    <w:rsid w:val="0049756D"/>
    <w:rsid w:val="004A08A3"/>
    <w:rsid w:val="004A0CBC"/>
    <w:rsid w:val="004A0CFB"/>
    <w:rsid w:val="004A107C"/>
    <w:rsid w:val="004A1889"/>
    <w:rsid w:val="004A1C4A"/>
    <w:rsid w:val="004A28D5"/>
    <w:rsid w:val="004A2B69"/>
    <w:rsid w:val="004A2B72"/>
    <w:rsid w:val="004A37E8"/>
    <w:rsid w:val="004A4924"/>
    <w:rsid w:val="004A4C06"/>
    <w:rsid w:val="004A572E"/>
    <w:rsid w:val="004A5C2F"/>
    <w:rsid w:val="004A6E79"/>
    <w:rsid w:val="004B0889"/>
    <w:rsid w:val="004B1981"/>
    <w:rsid w:val="004B3698"/>
    <w:rsid w:val="004B3C45"/>
    <w:rsid w:val="004B5DCF"/>
    <w:rsid w:val="004B7E7F"/>
    <w:rsid w:val="004C075B"/>
    <w:rsid w:val="004C0D70"/>
    <w:rsid w:val="004C2737"/>
    <w:rsid w:val="004C2A87"/>
    <w:rsid w:val="004C3D22"/>
    <w:rsid w:val="004C4EB5"/>
    <w:rsid w:val="004C6435"/>
    <w:rsid w:val="004C7323"/>
    <w:rsid w:val="004C7696"/>
    <w:rsid w:val="004D0148"/>
    <w:rsid w:val="004D04CF"/>
    <w:rsid w:val="004D1996"/>
    <w:rsid w:val="004D1BEF"/>
    <w:rsid w:val="004D1DFA"/>
    <w:rsid w:val="004D2772"/>
    <w:rsid w:val="004D4553"/>
    <w:rsid w:val="004D4976"/>
    <w:rsid w:val="004D76BC"/>
    <w:rsid w:val="004D7D08"/>
    <w:rsid w:val="004E1177"/>
    <w:rsid w:val="004E1566"/>
    <w:rsid w:val="004E1BF1"/>
    <w:rsid w:val="004E2443"/>
    <w:rsid w:val="004E2E80"/>
    <w:rsid w:val="004E4906"/>
    <w:rsid w:val="004E58F1"/>
    <w:rsid w:val="004E59E6"/>
    <w:rsid w:val="004E6050"/>
    <w:rsid w:val="004E60C1"/>
    <w:rsid w:val="004E693F"/>
    <w:rsid w:val="004E7A71"/>
    <w:rsid w:val="004E7F32"/>
    <w:rsid w:val="004F0182"/>
    <w:rsid w:val="004F24F7"/>
    <w:rsid w:val="004F342F"/>
    <w:rsid w:val="004F4E31"/>
    <w:rsid w:val="004F5B5C"/>
    <w:rsid w:val="004F5EB3"/>
    <w:rsid w:val="004F60D2"/>
    <w:rsid w:val="004F721B"/>
    <w:rsid w:val="004F75CE"/>
    <w:rsid w:val="00501259"/>
    <w:rsid w:val="00502C6D"/>
    <w:rsid w:val="0050315D"/>
    <w:rsid w:val="005037C5"/>
    <w:rsid w:val="005040EF"/>
    <w:rsid w:val="005048DD"/>
    <w:rsid w:val="005048E9"/>
    <w:rsid w:val="005049BA"/>
    <w:rsid w:val="00505976"/>
    <w:rsid w:val="00506501"/>
    <w:rsid w:val="00506888"/>
    <w:rsid w:val="00507D89"/>
    <w:rsid w:val="00510318"/>
    <w:rsid w:val="005103CA"/>
    <w:rsid w:val="00510750"/>
    <w:rsid w:val="0051116C"/>
    <w:rsid w:val="005116CF"/>
    <w:rsid w:val="005119B9"/>
    <w:rsid w:val="00512510"/>
    <w:rsid w:val="00512F85"/>
    <w:rsid w:val="00513C6B"/>
    <w:rsid w:val="005153C3"/>
    <w:rsid w:val="005155A0"/>
    <w:rsid w:val="00515C56"/>
    <w:rsid w:val="00515FFC"/>
    <w:rsid w:val="005160B7"/>
    <w:rsid w:val="00520D37"/>
    <w:rsid w:val="00520FA1"/>
    <w:rsid w:val="00521890"/>
    <w:rsid w:val="005218DD"/>
    <w:rsid w:val="00521B67"/>
    <w:rsid w:val="00522FB2"/>
    <w:rsid w:val="0052363D"/>
    <w:rsid w:val="0052399A"/>
    <w:rsid w:val="00523AE7"/>
    <w:rsid w:val="00525131"/>
    <w:rsid w:val="005260D5"/>
    <w:rsid w:val="00526C09"/>
    <w:rsid w:val="00527C77"/>
    <w:rsid w:val="005307E2"/>
    <w:rsid w:val="00531764"/>
    <w:rsid w:val="00531CC2"/>
    <w:rsid w:val="00531FBA"/>
    <w:rsid w:val="0053213A"/>
    <w:rsid w:val="00533B03"/>
    <w:rsid w:val="00534241"/>
    <w:rsid w:val="00534AD9"/>
    <w:rsid w:val="00534F89"/>
    <w:rsid w:val="00535297"/>
    <w:rsid w:val="005363A9"/>
    <w:rsid w:val="00536D67"/>
    <w:rsid w:val="00536DC1"/>
    <w:rsid w:val="0053717E"/>
    <w:rsid w:val="00537AA7"/>
    <w:rsid w:val="00537EF3"/>
    <w:rsid w:val="0054023E"/>
    <w:rsid w:val="005410D2"/>
    <w:rsid w:val="0054138F"/>
    <w:rsid w:val="005413B5"/>
    <w:rsid w:val="005417C8"/>
    <w:rsid w:val="0054210B"/>
    <w:rsid w:val="005422F7"/>
    <w:rsid w:val="005430CA"/>
    <w:rsid w:val="00543730"/>
    <w:rsid w:val="00543D37"/>
    <w:rsid w:val="005447CC"/>
    <w:rsid w:val="00544B44"/>
    <w:rsid w:val="00545366"/>
    <w:rsid w:val="005462CF"/>
    <w:rsid w:val="00547082"/>
    <w:rsid w:val="0054773E"/>
    <w:rsid w:val="00551275"/>
    <w:rsid w:val="00551592"/>
    <w:rsid w:val="00552A61"/>
    <w:rsid w:val="00553379"/>
    <w:rsid w:val="005540B3"/>
    <w:rsid w:val="00554896"/>
    <w:rsid w:val="0055518C"/>
    <w:rsid w:val="0055664D"/>
    <w:rsid w:val="00562AF4"/>
    <w:rsid w:val="005654CF"/>
    <w:rsid w:val="00565EE6"/>
    <w:rsid w:val="0056605B"/>
    <w:rsid w:val="00566BB4"/>
    <w:rsid w:val="00566C77"/>
    <w:rsid w:val="00567985"/>
    <w:rsid w:val="005724F5"/>
    <w:rsid w:val="00573D4F"/>
    <w:rsid w:val="005749EA"/>
    <w:rsid w:val="00575674"/>
    <w:rsid w:val="00575969"/>
    <w:rsid w:val="00576263"/>
    <w:rsid w:val="005767A5"/>
    <w:rsid w:val="00577AEC"/>
    <w:rsid w:val="00581863"/>
    <w:rsid w:val="00581B35"/>
    <w:rsid w:val="00582601"/>
    <w:rsid w:val="005827A9"/>
    <w:rsid w:val="005845FF"/>
    <w:rsid w:val="00584B5A"/>
    <w:rsid w:val="00585C21"/>
    <w:rsid w:val="005861DD"/>
    <w:rsid w:val="00587538"/>
    <w:rsid w:val="00587CC5"/>
    <w:rsid w:val="00590379"/>
    <w:rsid w:val="00591015"/>
    <w:rsid w:val="00591556"/>
    <w:rsid w:val="00592381"/>
    <w:rsid w:val="00594D82"/>
    <w:rsid w:val="00594FB6"/>
    <w:rsid w:val="005957B9"/>
    <w:rsid w:val="005957C6"/>
    <w:rsid w:val="005962C7"/>
    <w:rsid w:val="00596527"/>
    <w:rsid w:val="0059662F"/>
    <w:rsid w:val="005975DA"/>
    <w:rsid w:val="00597E98"/>
    <w:rsid w:val="005A0A82"/>
    <w:rsid w:val="005A0B2B"/>
    <w:rsid w:val="005A2D13"/>
    <w:rsid w:val="005A6770"/>
    <w:rsid w:val="005B015D"/>
    <w:rsid w:val="005B027B"/>
    <w:rsid w:val="005B03DF"/>
    <w:rsid w:val="005B1317"/>
    <w:rsid w:val="005B1763"/>
    <w:rsid w:val="005B2470"/>
    <w:rsid w:val="005B3950"/>
    <w:rsid w:val="005B43D0"/>
    <w:rsid w:val="005B4A75"/>
    <w:rsid w:val="005B64DA"/>
    <w:rsid w:val="005B7066"/>
    <w:rsid w:val="005B748E"/>
    <w:rsid w:val="005C0C96"/>
    <w:rsid w:val="005C14A0"/>
    <w:rsid w:val="005C16EC"/>
    <w:rsid w:val="005C6AC9"/>
    <w:rsid w:val="005D0080"/>
    <w:rsid w:val="005D029B"/>
    <w:rsid w:val="005D0720"/>
    <w:rsid w:val="005D08AD"/>
    <w:rsid w:val="005D15EB"/>
    <w:rsid w:val="005D16E2"/>
    <w:rsid w:val="005D234A"/>
    <w:rsid w:val="005D292E"/>
    <w:rsid w:val="005D2DF7"/>
    <w:rsid w:val="005D5AC7"/>
    <w:rsid w:val="005D5E3F"/>
    <w:rsid w:val="005D658A"/>
    <w:rsid w:val="005D67ED"/>
    <w:rsid w:val="005D6DB3"/>
    <w:rsid w:val="005D6EEE"/>
    <w:rsid w:val="005E07B3"/>
    <w:rsid w:val="005E0AF1"/>
    <w:rsid w:val="005E0E5D"/>
    <w:rsid w:val="005E113F"/>
    <w:rsid w:val="005E1CA7"/>
    <w:rsid w:val="005E2339"/>
    <w:rsid w:val="005E2793"/>
    <w:rsid w:val="005E33B2"/>
    <w:rsid w:val="005E3871"/>
    <w:rsid w:val="005E3C96"/>
    <w:rsid w:val="005E47CC"/>
    <w:rsid w:val="005E7EF6"/>
    <w:rsid w:val="005F021A"/>
    <w:rsid w:val="005F0A29"/>
    <w:rsid w:val="005F2199"/>
    <w:rsid w:val="005F231B"/>
    <w:rsid w:val="005F3E59"/>
    <w:rsid w:val="005F4387"/>
    <w:rsid w:val="005F4438"/>
    <w:rsid w:val="005F5A83"/>
    <w:rsid w:val="005F7316"/>
    <w:rsid w:val="00600233"/>
    <w:rsid w:val="0060421C"/>
    <w:rsid w:val="006050D9"/>
    <w:rsid w:val="0060651F"/>
    <w:rsid w:val="00610535"/>
    <w:rsid w:val="006107E7"/>
    <w:rsid w:val="006115E9"/>
    <w:rsid w:val="00611F07"/>
    <w:rsid w:val="00611FB3"/>
    <w:rsid w:val="00612744"/>
    <w:rsid w:val="0061286E"/>
    <w:rsid w:val="00612F02"/>
    <w:rsid w:val="00613D91"/>
    <w:rsid w:val="00615CC5"/>
    <w:rsid w:val="006178A2"/>
    <w:rsid w:val="00617DFD"/>
    <w:rsid w:val="00621F52"/>
    <w:rsid w:val="00621FD6"/>
    <w:rsid w:val="00622219"/>
    <w:rsid w:val="006232DC"/>
    <w:rsid w:val="006233C2"/>
    <w:rsid w:val="00623A26"/>
    <w:rsid w:val="00624C04"/>
    <w:rsid w:val="00624FD7"/>
    <w:rsid w:val="006253B3"/>
    <w:rsid w:val="006254D3"/>
    <w:rsid w:val="00630E22"/>
    <w:rsid w:val="00631415"/>
    <w:rsid w:val="00631C06"/>
    <w:rsid w:val="00632116"/>
    <w:rsid w:val="00635663"/>
    <w:rsid w:val="00635BB1"/>
    <w:rsid w:val="00635D72"/>
    <w:rsid w:val="00635E7A"/>
    <w:rsid w:val="0063786F"/>
    <w:rsid w:val="006379FB"/>
    <w:rsid w:val="00644250"/>
    <w:rsid w:val="00647C00"/>
    <w:rsid w:val="0065072E"/>
    <w:rsid w:val="00651CA2"/>
    <w:rsid w:val="0065379C"/>
    <w:rsid w:val="00654009"/>
    <w:rsid w:val="0065516B"/>
    <w:rsid w:val="00655C8A"/>
    <w:rsid w:val="0065628F"/>
    <w:rsid w:val="006562A5"/>
    <w:rsid w:val="0066247C"/>
    <w:rsid w:val="00662AE7"/>
    <w:rsid w:val="00663097"/>
    <w:rsid w:val="006648A4"/>
    <w:rsid w:val="00664CDE"/>
    <w:rsid w:val="00664F00"/>
    <w:rsid w:val="00665070"/>
    <w:rsid w:val="00665110"/>
    <w:rsid w:val="00665133"/>
    <w:rsid w:val="00665140"/>
    <w:rsid w:val="006662B3"/>
    <w:rsid w:val="006665E3"/>
    <w:rsid w:val="00666959"/>
    <w:rsid w:val="00667394"/>
    <w:rsid w:val="00672242"/>
    <w:rsid w:val="0067242E"/>
    <w:rsid w:val="0067291F"/>
    <w:rsid w:val="00674261"/>
    <w:rsid w:val="006742E3"/>
    <w:rsid w:val="0067483E"/>
    <w:rsid w:val="00674A9B"/>
    <w:rsid w:val="00675797"/>
    <w:rsid w:val="0067586F"/>
    <w:rsid w:val="00676219"/>
    <w:rsid w:val="00676968"/>
    <w:rsid w:val="006779C4"/>
    <w:rsid w:val="00680ED9"/>
    <w:rsid w:val="00682749"/>
    <w:rsid w:val="0068376A"/>
    <w:rsid w:val="00683C58"/>
    <w:rsid w:val="006857AF"/>
    <w:rsid w:val="00686051"/>
    <w:rsid w:val="00686D1D"/>
    <w:rsid w:val="00686FB1"/>
    <w:rsid w:val="006902C7"/>
    <w:rsid w:val="006909D4"/>
    <w:rsid w:val="00691566"/>
    <w:rsid w:val="006916F3"/>
    <w:rsid w:val="0069209E"/>
    <w:rsid w:val="0069243E"/>
    <w:rsid w:val="006925C1"/>
    <w:rsid w:val="00692BAC"/>
    <w:rsid w:val="00693983"/>
    <w:rsid w:val="006939CC"/>
    <w:rsid w:val="00693B1B"/>
    <w:rsid w:val="00694188"/>
    <w:rsid w:val="00695E4A"/>
    <w:rsid w:val="0069726E"/>
    <w:rsid w:val="006973ED"/>
    <w:rsid w:val="006A0136"/>
    <w:rsid w:val="006A3732"/>
    <w:rsid w:val="006A39A7"/>
    <w:rsid w:val="006A45D3"/>
    <w:rsid w:val="006A4B7A"/>
    <w:rsid w:val="006A4BE4"/>
    <w:rsid w:val="006A64FE"/>
    <w:rsid w:val="006A6FF3"/>
    <w:rsid w:val="006A70CD"/>
    <w:rsid w:val="006A75C8"/>
    <w:rsid w:val="006B0854"/>
    <w:rsid w:val="006B10DD"/>
    <w:rsid w:val="006B11BC"/>
    <w:rsid w:val="006B1BE4"/>
    <w:rsid w:val="006B1EB1"/>
    <w:rsid w:val="006B29E6"/>
    <w:rsid w:val="006B2F89"/>
    <w:rsid w:val="006B3797"/>
    <w:rsid w:val="006B3E32"/>
    <w:rsid w:val="006B4DCE"/>
    <w:rsid w:val="006B5400"/>
    <w:rsid w:val="006B5B6D"/>
    <w:rsid w:val="006B676A"/>
    <w:rsid w:val="006B7524"/>
    <w:rsid w:val="006B78B8"/>
    <w:rsid w:val="006B7C8E"/>
    <w:rsid w:val="006B7F2E"/>
    <w:rsid w:val="006C01CB"/>
    <w:rsid w:val="006C0B92"/>
    <w:rsid w:val="006C0D2E"/>
    <w:rsid w:val="006C12B9"/>
    <w:rsid w:val="006C2480"/>
    <w:rsid w:val="006C2691"/>
    <w:rsid w:val="006C2A70"/>
    <w:rsid w:val="006C2B78"/>
    <w:rsid w:val="006C2F23"/>
    <w:rsid w:val="006C2FDE"/>
    <w:rsid w:val="006C3892"/>
    <w:rsid w:val="006C51F7"/>
    <w:rsid w:val="006C5855"/>
    <w:rsid w:val="006C65FE"/>
    <w:rsid w:val="006C67B0"/>
    <w:rsid w:val="006C6EB0"/>
    <w:rsid w:val="006C7FF8"/>
    <w:rsid w:val="006D02A0"/>
    <w:rsid w:val="006D03DA"/>
    <w:rsid w:val="006D267C"/>
    <w:rsid w:val="006D4066"/>
    <w:rsid w:val="006D479A"/>
    <w:rsid w:val="006D63EA"/>
    <w:rsid w:val="006D7146"/>
    <w:rsid w:val="006E0C56"/>
    <w:rsid w:val="006E2097"/>
    <w:rsid w:val="006E2671"/>
    <w:rsid w:val="006E2C2D"/>
    <w:rsid w:val="006E31A9"/>
    <w:rsid w:val="006E4A0D"/>
    <w:rsid w:val="006E7295"/>
    <w:rsid w:val="006E77E9"/>
    <w:rsid w:val="006E798C"/>
    <w:rsid w:val="006F0149"/>
    <w:rsid w:val="006F1A2C"/>
    <w:rsid w:val="006F1CDE"/>
    <w:rsid w:val="006F2CC0"/>
    <w:rsid w:val="006F2EE5"/>
    <w:rsid w:val="006F36C8"/>
    <w:rsid w:val="006F3E32"/>
    <w:rsid w:val="006F5DAE"/>
    <w:rsid w:val="006F6890"/>
    <w:rsid w:val="006F765E"/>
    <w:rsid w:val="007002CD"/>
    <w:rsid w:val="00700F0C"/>
    <w:rsid w:val="0070102C"/>
    <w:rsid w:val="007018F4"/>
    <w:rsid w:val="0070388E"/>
    <w:rsid w:val="00704A55"/>
    <w:rsid w:val="007057CB"/>
    <w:rsid w:val="00710239"/>
    <w:rsid w:val="00710A24"/>
    <w:rsid w:val="00712FDC"/>
    <w:rsid w:val="0071307C"/>
    <w:rsid w:val="00713D22"/>
    <w:rsid w:val="00716EF8"/>
    <w:rsid w:val="00717128"/>
    <w:rsid w:val="00717C12"/>
    <w:rsid w:val="007212B6"/>
    <w:rsid w:val="007226EF"/>
    <w:rsid w:val="007228EF"/>
    <w:rsid w:val="0072676D"/>
    <w:rsid w:val="00726E9E"/>
    <w:rsid w:val="0072754F"/>
    <w:rsid w:val="00727D9C"/>
    <w:rsid w:val="007301AD"/>
    <w:rsid w:val="007307AD"/>
    <w:rsid w:val="007311B1"/>
    <w:rsid w:val="00732BCC"/>
    <w:rsid w:val="00733631"/>
    <w:rsid w:val="007340AC"/>
    <w:rsid w:val="0073439F"/>
    <w:rsid w:val="00734BF6"/>
    <w:rsid w:val="00735017"/>
    <w:rsid w:val="00735A2D"/>
    <w:rsid w:val="00736030"/>
    <w:rsid w:val="007372E4"/>
    <w:rsid w:val="007407C1"/>
    <w:rsid w:val="00742C11"/>
    <w:rsid w:val="0074341B"/>
    <w:rsid w:val="00743426"/>
    <w:rsid w:val="0074452B"/>
    <w:rsid w:val="007448C4"/>
    <w:rsid w:val="00745974"/>
    <w:rsid w:val="00745A63"/>
    <w:rsid w:val="00745F67"/>
    <w:rsid w:val="007464B9"/>
    <w:rsid w:val="0074700D"/>
    <w:rsid w:val="0074741D"/>
    <w:rsid w:val="007474C5"/>
    <w:rsid w:val="007504B9"/>
    <w:rsid w:val="0075162B"/>
    <w:rsid w:val="00751B39"/>
    <w:rsid w:val="00752FED"/>
    <w:rsid w:val="0075389D"/>
    <w:rsid w:val="00753C2F"/>
    <w:rsid w:val="00755C7F"/>
    <w:rsid w:val="00755F1C"/>
    <w:rsid w:val="007568FE"/>
    <w:rsid w:val="0076113B"/>
    <w:rsid w:val="007617D9"/>
    <w:rsid w:val="00761B6E"/>
    <w:rsid w:val="0076337C"/>
    <w:rsid w:val="00763744"/>
    <w:rsid w:val="007645A8"/>
    <w:rsid w:val="00765BF5"/>
    <w:rsid w:val="007664A2"/>
    <w:rsid w:val="00767678"/>
    <w:rsid w:val="007678A6"/>
    <w:rsid w:val="007678D8"/>
    <w:rsid w:val="0077102C"/>
    <w:rsid w:val="00771EAD"/>
    <w:rsid w:val="007725AD"/>
    <w:rsid w:val="007762C6"/>
    <w:rsid w:val="00776995"/>
    <w:rsid w:val="0077767B"/>
    <w:rsid w:val="00777D3D"/>
    <w:rsid w:val="007800A6"/>
    <w:rsid w:val="00780F86"/>
    <w:rsid w:val="0078357C"/>
    <w:rsid w:val="00783AFE"/>
    <w:rsid w:val="00783EA5"/>
    <w:rsid w:val="0078484C"/>
    <w:rsid w:val="00787E50"/>
    <w:rsid w:val="00787F31"/>
    <w:rsid w:val="00790614"/>
    <w:rsid w:val="00795AA3"/>
    <w:rsid w:val="007979E8"/>
    <w:rsid w:val="007A2649"/>
    <w:rsid w:val="007A3468"/>
    <w:rsid w:val="007A4389"/>
    <w:rsid w:val="007A4661"/>
    <w:rsid w:val="007A5672"/>
    <w:rsid w:val="007A77EB"/>
    <w:rsid w:val="007B1378"/>
    <w:rsid w:val="007B2402"/>
    <w:rsid w:val="007B276E"/>
    <w:rsid w:val="007B38A7"/>
    <w:rsid w:val="007B3DD0"/>
    <w:rsid w:val="007B4E70"/>
    <w:rsid w:val="007B5C25"/>
    <w:rsid w:val="007B6548"/>
    <w:rsid w:val="007B6A6F"/>
    <w:rsid w:val="007B7662"/>
    <w:rsid w:val="007B78F4"/>
    <w:rsid w:val="007B7FA2"/>
    <w:rsid w:val="007C08F7"/>
    <w:rsid w:val="007C1675"/>
    <w:rsid w:val="007C25AE"/>
    <w:rsid w:val="007C2867"/>
    <w:rsid w:val="007C4023"/>
    <w:rsid w:val="007C4DE8"/>
    <w:rsid w:val="007C578F"/>
    <w:rsid w:val="007C5E3D"/>
    <w:rsid w:val="007C6684"/>
    <w:rsid w:val="007C69B9"/>
    <w:rsid w:val="007C6A81"/>
    <w:rsid w:val="007C7F4B"/>
    <w:rsid w:val="007D03EE"/>
    <w:rsid w:val="007D0AD7"/>
    <w:rsid w:val="007D1D1E"/>
    <w:rsid w:val="007D3B10"/>
    <w:rsid w:val="007D462D"/>
    <w:rsid w:val="007D46FC"/>
    <w:rsid w:val="007D4903"/>
    <w:rsid w:val="007D4989"/>
    <w:rsid w:val="007D5537"/>
    <w:rsid w:val="007D5963"/>
    <w:rsid w:val="007D5C66"/>
    <w:rsid w:val="007D5FE7"/>
    <w:rsid w:val="007D7772"/>
    <w:rsid w:val="007E01BC"/>
    <w:rsid w:val="007E05CA"/>
    <w:rsid w:val="007E0BDA"/>
    <w:rsid w:val="007E25AD"/>
    <w:rsid w:val="007E25EB"/>
    <w:rsid w:val="007E312D"/>
    <w:rsid w:val="007E3AF4"/>
    <w:rsid w:val="007E4880"/>
    <w:rsid w:val="007E4EFC"/>
    <w:rsid w:val="007E5594"/>
    <w:rsid w:val="007E5BA9"/>
    <w:rsid w:val="007E637C"/>
    <w:rsid w:val="007E6918"/>
    <w:rsid w:val="007E6A18"/>
    <w:rsid w:val="007E72DE"/>
    <w:rsid w:val="007F09F4"/>
    <w:rsid w:val="007F1364"/>
    <w:rsid w:val="007F3BAA"/>
    <w:rsid w:val="007F47C9"/>
    <w:rsid w:val="007F4A04"/>
    <w:rsid w:val="007F5BDF"/>
    <w:rsid w:val="007F647C"/>
    <w:rsid w:val="007F693F"/>
    <w:rsid w:val="0080041B"/>
    <w:rsid w:val="00800A0B"/>
    <w:rsid w:val="00802101"/>
    <w:rsid w:val="008025AC"/>
    <w:rsid w:val="00802BD8"/>
    <w:rsid w:val="00802F81"/>
    <w:rsid w:val="00803FAC"/>
    <w:rsid w:val="00804E3D"/>
    <w:rsid w:val="00804F0A"/>
    <w:rsid w:val="00804F0F"/>
    <w:rsid w:val="00805079"/>
    <w:rsid w:val="008062BE"/>
    <w:rsid w:val="00806F39"/>
    <w:rsid w:val="00807C6E"/>
    <w:rsid w:val="00810F42"/>
    <w:rsid w:val="00810FD1"/>
    <w:rsid w:val="00812759"/>
    <w:rsid w:val="00813446"/>
    <w:rsid w:val="008138A9"/>
    <w:rsid w:val="008141D7"/>
    <w:rsid w:val="00814574"/>
    <w:rsid w:val="0081496C"/>
    <w:rsid w:val="00816211"/>
    <w:rsid w:val="008228B8"/>
    <w:rsid w:val="00825299"/>
    <w:rsid w:val="00826219"/>
    <w:rsid w:val="00827233"/>
    <w:rsid w:val="0082768B"/>
    <w:rsid w:val="008310E9"/>
    <w:rsid w:val="0083222F"/>
    <w:rsid w:val="008334C2"/>
    <w:rsid w:val="00834C65"/>
    <w:rsid w:val="0083541D"/>
    <w:rsid w:val="00835F09"/>
    <w:rsid w:val="0083634B"/>
    <w:rsid w:val="00840116"/>
    <w:rsid w:val="00840D3F"/>
    <w:rsid w:val="00844186"/>
    <w:rsid w:val="00844ECF"/>
    <w:rsid w:val="00845A92"/>
    <w:rsid w:val="00846541"/>
    <w:rsid w:val="00846DE6"/>
    <w:rsid w:val="00847523"/>
    <w:rsid w:val="00850D45"/>
    <w:rsid w:val="0085217C"/>
    <w:rsid w:val="00852352"/>
    <w:rsid w:val="008523C2"/>
    <w:rsid w:val="0085269A"/>
    <w:rsid w:val="00852BA0"/>
    <w:rsid w:val="008539A7"/>
    <w:rsid w:val="00855077"/>
    <w:rsid w:val="00856069"/>
    <w:rsid w:val="00857B0A"/>
    <w:rsid w:val="00857B3D"/>
    <w:rsid w:val="008603AC"/>
    <w:rsid w:val="00862276"/>
    <w:rsid w:val="008623F8"/>
    <w:rsid w:val="00862BEF"/>
    <w:rsid w:val="00863576"/>
    <w:rsid w:val="00863FC5"/>
    <w:rsid w:val="00863FF7"/>
    <w:rsid w:val="00864E69"/>
    <w:rsid w:val="0086637F"/>
    <w:rsid w:val="0086662D"/>
    <w:rsid w:val="008669C1"/>
    <w:rsid w:val="00866B10"/>
    <w:rsid w:val="00866B98"/>
    <w:rsid w:val="0086787C"/>
    <w:rsid w:val="008726A6"/>
    <w:rsid w:val="00872CFA"/>
    <w:rsid w:val="0087302C"/>
    <w:rsid w:val="0087367C"/>
    <w:rsid w:val="00874271"/>
    <w:rsid w:val="008742E2"/>
    <w:rsid w:val="0087527D"/>
    <w:rsid w:val="00876BC7"/>
    <w:rsid w:val="008775A6"/>
    <w:rsid w:val="008776DA"/>
    <w:rsid w:val="00877A72"/>
    <w:rsid w:val="00877BBA"/>
    <w:rsid w:val="00877C31"/>
    <w:rsid w:val="00880D9A"/>
    <w:rsid w:val="008814CC"/>
    <w:rsid w:val="00882F89"/>
    <w:rsid w:val="008849EF"/>
    <w:rsid w:val="00885A90"/>
    <w:rsid w:val="00885D68"/>
    <w:rsid w:val="00886773"/>
    <w:rsid w:val="00887103"/>
    <w:rsid w:val="00887597"/>
    <w:rsid w:val="00887959"/>
    <w:rsid w:val="0089090A"/>
    <w:rsid w:val="008923B8"/>
    <w:rsid w:val="0089337C"/>
    <w:rsid w:val="00893528"/>
    <w:rsid w:val="008945F4"/>
    <w:rsid w:val="00895235"/>
    <w:rsid w:val="008966BC"/>
    <w:rsid w:val="008969AF"/>
    <w:rsid w:val="008A1575"/>
    <w:rsid w:val="008A175C"/>
    <w:rsid w:val="008A1A4E"/>
    <w:rsid w:val="008A259A"/>
    <w:rsid w:val="008A3AF4"/>
    <w:rsid w:val="008A3F11"/>
    <w:rsid w:val="008A4131"/>
    <w:rsid w:val="008A4280"/>
    <w:rsid w:val="008A4ACD"/>
    <w:rsid w:val="008A4F3E"/>
    <w:rsid w:val="008A7D7F"/>
    <w:rsid w:val="008B048D"/>
    <w:rsid w:val="008B3D24"/>
    <w:rsid w:val="008B4E45"/>
    <w:rsid w:val="008B5BAF"/>
    <w:rsid w:val="008B6477"/>
    <w:rsid w:val="008B7F46"/>
    <w:rsid w:val="008C06BD"/>
    <w:rsid w:val="008C111A"/>
    <w:rsid w:val="008C11AE"/>
    <w:rsid w:val="008C1ECD"/>
    <w:rsid w:val="008C28E6"/>
    <w:rsid w:val="008C366B"/>
    <w:rsid w:val="008C3DCF"/>
    <w:rsid w:val="008C5B46"/>
    <w:rsid w:val="008C63D6"/>
    <w:rsid w:val="008C70A1"/>
    <w:rsid w:val="008D0705"/>
    <w:rsid w:val="008D0CE5"/>
    <w:rsid w:val="008D143A"/>
    <w:rsid w:val="008D230C"/>
    <w:rsid w:val="008D2DF1"/>
    <w:rsid w:val="008D4094"/>
    <w:rsid w:val="008D46D2"/>
    <w:rsid w:val="008D4B4F"/>
    <w:rsid w:val="008D7072"/>
    <w:rsid w:val="008D7304"/>
    <w:rsid w:val="008D7F41"/>
    <w:rsid w:val="008E05B0"/>
    <w:rsid w:val="008E0C3D"/>
    <w:rsid w:val="008E0D8D"/>
    <w:rsid w:val="008E2295"/>
    <w:rsid w:val="008E24E4"/>
    <w:rsid w:val="008E2D1D"/>
    <w:rsid w:val="008E33D2"/>
    <w:rsid w:val="008E463A"/>
    <w:rsid w:val="008E6109"/>
    <w:rsid w:val="008E667F"/>
    <w:rsid w:val="008E6D4B"/>
    <w:rsid w:val="008F0E80"/>
    <w:rsid w:val="008F151F"/>
    <w:rsid w:val="008F1AA4"/>
    <w:rsid w:val="008F2C43"/>
    <w:rsid w:val="008F2D02"/>
    <w:rsid w:val="008F2FD6"/>
    <w:rsid w:val="008F31DC"/>
    <w:rsid w:val="008F435A"/>
    <w:rsid w:val="008F5353"/>
    <w:rsid w:val="008F6291"/>
    <w:rsid w:val="008F62C9"/>
    <w:rsid w:val="008F63B2"/>
    <w:rsid w:val="008F6CDF"/>
    <w:rsid w:val="008F6D39"/>
    <w:rsid w:val="008F7BF9"/>
    <w:rsid w:val="009006D0"/>
    <w:rsid w:val="0090084D"/>
    <w:rsid w:val="00900CDB"/>
    <w:rsid w:val="009023F1"/>
    <w:rsid w:val="00902DDB"/>
    <w:rsid w:val="009035A4"/>
    <w:rsid w:val="00906159"/>
    <w:rsid w:val="0090769B"/>
    <w:rsid w:val="00907B98"/>
    <w:rsid w:val="00907C6B"/>
    <w:rsid w:val="00910195"/>
    <w:rsid w:val="009106A5"/>
    <w:rsid w:val="0091302A"/>
    <w:rsid w:val="00913134"/>
    <w:rsid w:val="00913879"/>
    <w:rsid w:val="009140A9"/>
    <w:rsid w:val="009158EE"/>
    <w:rsid w:val="009164A3"/>
    <w:rsid w:val="00916646"/>
    <w:rsid w:val="009167DC"/>
    <w:rsid w:val="0092008F"/>
    <w:rsid w:val="009217A2"/>
    <w:rsid w:val="009226DE"/>
    <w:rsid w:val="009233BF"/>
    <w:rsid w:val="009234A3"/>
    <w:rsid w:val="00923626"/>
    <w:rsid w:val="0092403D"/>
    <w:rsid w:val="009241D2"/>
    <w:rsid w:val="00931A53"/>
    <w:rsid w:val="009333AF"/>
    <w:rsid w:val="00933E07"/>
    <w:rsid w:val="00934204"/>
    <w:rsid w:val="009344AD"/>
    <w:rsid w:val="00934DDC"/>
    <w:rsid w:val="00935551"/>
    <w:rsid w:val="00936B1C"/>
    <w:rsid w:val="00936D98"/>
    <w:rsid w:val="0093739E"/>
    <w:rsid w:val="00940A41"/>
    <w:rsid w:val="00941B7D"/>
    <w:rsid w:val="00941C8F"/>
    <w:rsid w:val="0094380E"/>
    <w:rsid w:val="009444D6"/>
    <w:rsid w:val="0094454B"/>
    <w:rsid w:val="00944B45"/>
    <w:rsid w:val="0094509E"/>
    <w:rsid w:val="009459BB"/>
    <w:rsid w:val="009464A1"/>
    <w:rsid w:val="009502F8"/>
    <w:rsid w:val="00950743"/>
    <w:rsid w:val="00953157"/>
    <w:rsid w:val="00953EE8"/>
    <w:rsid w:val="009550E9"/>
    <w:rsid w:val="0095647F"/>
    <w:rsid w:val="0095677C"/>
    <w:rsid w:val="00956A94"/>
    <w:rsid w:val="009572FF"/>
    <w:rsid w:val="009604D1"/>
    <w:rsid w:val="00960550"/>
    <w:rsid w:val="00961197"/>
    <w:rsid w:val="0096179E"/>
    <w:rsid w:val="00962A97"/>
    <w:rsid w:val="00962D26"/>
    <w:rsid w:val="009630EE"/>
    <w:rsid w:val="00963125"/>
    <w:rsid w:val="009637BF"/>
    <w:rsid w:val="009640EF"/>
    <w:rsid w:val="0097190B"/>
    <w:rsid w:val="00971ABA"/>
    <w:rsid w:val="00971E05"/>
    <w:rsid w:val="00972103"/>
    <w:rsid w:val="00973A8C"/>
    <w:rsid w:val="009743BF"/>
    <w:rsid w:val="009749D5"/>
    <w:rsid w:val="00975937"/>
    <w:rsid w:val="00975A61"/>
    <w:rsid w:val="0097656D"/>
    <w:rsid w:val="009777FF"/>
    <w:rsid w:val="00977EAE"/>
    <w:rsid w:val="0098315B"/>
    <w:rsid w:val="00983602"/>
    <w:rsid w:val="00983924"/>
    <w:rsid w:val="00984B96"/>
    <w:rsid w:val="00985175"/>
    <w:rsid w:val="00985EAF"/>
    <w:rsid w:val="0098755F"/>
    <w:rsid w:val="0099088E"/>
    <w:rsid w:val="00990C0A"/>
    <w:rsid w:val="009931D8"/>
    <w:rsid w:val="00993215"/>
    <w:rsid w:val="00993807"/>
    <w:rsid w:val="00993A28"/>
    <w:rsid w:val="0099434E"/>
    <w:rsid w:val="009950CF"/>
    <w:rsid w:val="009A0F10"/>
    <w:rsid w:val="009A28D0"/>
    <w:rsid w:val="009A3EAE"/>
    <w:rsid w:val="009A418E"/>
    <w:rsid w:val="009A4801"/>
    <w:rsid w:val="009A498B"/>
    <w:rsid w:val="009A4BF3"/>
    <w:rsid w:val="009A50E4"/>
    <w:rsid w:val="009A523A"/>
    <w:rsid w:val="009A536A"/>
    <w:rsid w:val="009A5801"/>
    <w:rsid w:val="009A6FCF"/>
    <w:rsid w:val="009A7778"/>
    <w:rsid w:val="009B2F77"/>
    <w:rsid w:val="009B3602"/>
    <w:rsid w:val="009B3BAA"/>
    <w:rsid w:val="009B5B49"/>
    <w:rsid w:val="009B6ABE"/>
    <w:rsid w:val="009B6F24"/>
    <w:rsid w:val="009B712C"/>
    <w:rsid w:val="009C0FEB"/>
    <w:rsid w:val="009C1FEB"/>
    <w:rsid w:val="009C25D6"/>
    <w:rsid w:val="009C3F89"/>
    <w:rsid w:val="009C4BC7"/>
    <w:rsid w:val="009C6439"/>
    <w:rsid w:val="009C6AF8"/>
    <w:rsid w:val="009D0C54"/>
    <w:rsid w:val="009D132C"/>
    <w:rsid w:val="009D1745"/>
    <w:rsid w:val="009D2B9C"/>
    <w:rsid w:val="009D2EFB"/>
    <w:rsid w:val="009D42CF"/>
    <w:rsid w:val="009D48F9"/>
    <w:rsid w:val="009D4986"/>
    <w:rsid w:val="009D5B3F"/>
    <w:rsid w:val="009E037F"/>
    <w:rsid w:val="009E0718"/>
    <w:rsid w:val="009E1007"/>
    <w:rsid w:val="009E11DA"/>
    <w:rsid w:val="009E18AD"/>
    <w:rsid w:val="009E1EBE"/>
    <w:rsid w:val="009E2156"/>
    <w:rsid w:val="009E25CE"/>
    <w:rsid w:val="009E2DFB"/>
    <w:rsid w:val="009E31AF"/>
    <w:rsid w:val="009E4120"/>
    <w:rsid w:val="009E41DB"/>
    <w:rsid w:val="009E4425"/>
    <w:rsid w:val="009E488E"/>
    <w:rsid w:val="009E48B7"/>
    <w:rsid w:val="009E4957"/>
    <w:rsid w:val="009E49E3"/>
    <w:rsid w:val="009E5914"/>
    <w:rsid w:val="009E5AAA"/>
    <w:rsid w:val="009E5CA4"/>
    <w:rsid w:val="009E5DA0"/>
    <w:rsid w:val="009E6E7E"/>
    <w:rsid w:val="009F0D9B"/>
    <w:rsid w:val="009F2CA0"/>
    <w:rsid w:val="009F366F"/>
    <w:rsid w:val="009F4693"/>
    <w:rsid w:val="009F64F9"/>
    <w:rsid w:val="009F6C1F"/>
    <w:rsid w:val="009F6E24"/>
    <w:rsid w:val="009F7401"/>
    <w:rsid w:val="009F76FF"/>
    <w:rsid w:val="009F79E6"/>
    <w:rsid w:val="00A000DE"/>
    <w:rsid w:val="00A01109"/>
    <w:rsid w:val="00A021F9"/>
    <w:rsid w:val="00A032BE"/>
    <w:rsid w:val="00A03334"/>
    <w:rsid w:val="00A03FB6"/>
    <w:rsid w:val="00A0793B"/>
    <w:rsid w:val="00A11891"/>
    <w:rsid w:val="00A119D5"/>
    <w:rsid w:val="00A11B1D"/>
    <w:rsid w:val="00A12AF1"/>
    <w:rsid w:val="00A13F42"/>
    <w:rsid w:val="00A14EFB"/>
    <w:rsid w:val="00A1528B"/>
    <w:rsid w:val="00A16520"/>
    <w:rsid w:val="00A17999"/>
    <w:rsid w:val="00A17AA6"/>
    <w:rsid w:val="00A17BA4"/>
    <w:rsid w:val="00A17C84"/>
    <w:rsid w:val="00A219D8"/>
    <w:rsid w:val="00A22DD2"/>
    <w:rsid w:val="00A22F99"/>
    <w:rsid w:val="00A2373F"/>
    <w:rsid w:val="00A24B31"/>
    <w:rsid w:val="00A25E39"/>
    <w:rsid w:val="00A26D12"/>
    <w:rsid w:val="00A27640"/>
    <w:rsid w:val="00A30001"/>
    <w:rsid w:val="00A309DB"/>
    <w:rsid w:val="00A31568"/>
    <w:rsid w:val="00A32F48"/>
    <w:rsid w:val="00A3353B"/>
    <w:rsid w:val="00A33B93"/>
    <w:rsid w:val="00A360C3"/>
    <w:rsid w:val="00A365DA"/>
    <w:rsid w:val="00A36A9D"/>
    <w:rsid w:val="00A36CA5"/>
    <w:rsid w:val="00A37FCB"/>
    <w:rsid w:val="00A40060"/>
    <w:rsid w:val="00A40285"/>
    <w:rsid w:val="00A40FC6"/>
    <w:rsid w:val="00A41BBA"/>
    <w:rsid w:val="00A41C17"/>
    <w:rsid w:val="00A4212D"/>
    <w:rsid w:val="00A429F9"/>
    <w:rsid w:val="00A43442"/>
    <w:rsid w:val="00A43BF1"/>
    <w:rsid w:val="00A44689"/>
    <w:rsid w:val="00A44A41"/>
    <w:rsid w:val="00A456A8"/>
    <w:rsid w:val="00A45F71"/>
    <w:rsid w:val="00A46722"/>
    <w:rsid w:val="00A46FF9"/>
    <w:rsid w:val="00A5003F"/>
    <w:rsid w:val="00A5054F"/>
    <w:rsid w:val="00A50E1E"/>
    <w:rsid w:val="00A510D2"/>
    <w:rsid w:val="00A51141"/>
    <w:rsid w:val="00A51C69"/>
    <w:rsid w:val="00A51EA3"/>
    <w:rsid w:val="00A52D4B"/>
    <w:rsid w:val="00A5349B"/>
    <w:rsid w:val="00A54D2B"/>
    <w:rsid w:val="00A553A7"/>
    <w:rsid w:val="00A556E5"/>
    <w:rsid w:val="00A56B3D"/>
    <w:rsid w:val="00A600C3"/>
    <w:rsid w:val="00A61F9A"/>
    <w:rsid w:val="00A624D3"/>
    <w:rsid w:val="00A62C08"/>
    <w:rsid w:val="00A6347E"/>
    <w:rsid w:val="00A63B4C"/>
    <w:rsid w:val="00A63DF6"/>
    <w:rsid w:val="00A63E37"/>
    <w:rsid w:val="00A64AE7"/>
    <w:rsid w:val="00A651D4"/>
    <w:rsid w:val="00A65D6C"/>
    <w:rsid w:val="00A65FE6"/>
    <w:rsid w:val="00A66AF2"/>
    <w:rsid w:val="00A66D92"/>
    <w:rsid w:val="00A67352"/>
    <w:rsid w:val="00A6767D"/>
    <w:rsid w:val="00A67A1E"/>
    <w:rsid w:val="00A71C97"/>
    <w:rsid w:val="00A73AAD"/>
    <w:rsid w:val="00A76468"/>
    <w:rsid w:val="00A80335"/>
    <w:rsid w:val="00A80373"/>
    <w:rsid w:val="00A82E1A"/>
    <w:rsid w:val="00A83B49"/>
    <w:rsid w:val="00A83BAF"/>
    <w:rsid w:val="00A868DE"/>
    <w:rsid w:val="00A86E31"/>
    <w:rsid w:val="00A87808"/>
    <w:rsid w:val="00A908D0"/>
    <w:rsid w:val="00A91406"/>
    <w:rsid w:val="00A92223"/>
    <w:rsid w:val="00A939EF"/>
    <w:rsid w:val="00A941BD"/>
    <w:rsid w:val="00A95AF7"/>
    <w:rsid w:val="00A9683D"/>
    <w:rsid w:val="00A96EE8"/>
    <w:rsid w:val="00A97A97"/>
    <w:rsid w:val="00AA1EF9"/>
    <w:rsid w:val="00AA34D3"/>
    <w:rsid w:val="00AA459C"/>
    <w:rsid w:val="00AA464B"/>
    <w:rsid w:val="00AA5D42"/>
    <w:rsid w:val="00AA5F1E"/>
    <w:rsid w:val="00AA6973"/>
    <w:rsid w:val="00AA6B04"/>
    <w:rsid w:val="00AA6B7F"/>
    <w:rsid w:val="00AB1140"/>
    <w:rsid w:val="00AB2819"/>
    <w:rsid w:val="00AB2B43"/>
    <w:rsid w:val="00AB367D"/>
    <w:rsid w:val="00AB4540"/>
    <w:rsid w:val="00AB4719"/>
    <w:rsid w:val="00AB4B6A"/>
    <w:rsid w:val="00AB52F4"/>
    <w:rsid w:val="00AB5BD1"/>
    <w:rsid w:val="00AB6AD0"/>
    <w:rsid w:val="00AB7A1E"/>
    <w:rsid w:val="00AC050E"/>
    <w:rsid w:val="00AC0C74"/>
    <w:rsid w:val="00AC0FAE"/>
    <w:rsid w:val="00AC1820"/>
    <w:rsid w:val="00AC194B"/>
    <w:rsid w:val="00AC21DD"/>
    <w:rsid w:val="00AC2EC1"/>
    <w:rsid w:val="00AC3D25"/>
    <w:rsid w:val="00AC40A3"/>
    <w:rsid w:val="00AC65AD"/>
    <w:rsid w:val="00AC6D83"/>
    <w:rsid w:val="00AD0135"/>
    <w:rsid w:val="00AD14FC"/>
    <w:rsid w:val="00AD1D64"/>
    <w:rsid w:val="00AD2601"/>
    <w:rsid w:val="00AD27B7"/>
    <w:rsid w:val="00AD332A"/>
    <w:rsid w:val="00AD4374"/>
    <w:rsid w:val="00AD4502"/>
    <w:rsid w:val="00AD4873"/>
    <w:rsid w:val="00AD6969"/>
    <w:rsid w:val="00AD7CC0"/>
    <w:rsid w:val="00AE19DB"/>
    <w:rsid w:val="00AE346E"/>
    <w:rsid w:val="00AE3602"/>
    <w:rsid w:val="00AE410D"/>
    <w:rsid w:val="00AE45F6"/>
    <w:rsid w:val="00AE4968"/>
    <w:rsid w:val="00AE5B71"/>
    <w:rsid w:val="00AE6695"/>
    <w:rsid w:val="00AE7650"/>
    <w:rsid w:val="00AF098D"/>
    <w:rsid w:val="00AF1FDC"/>
    <w:rsid w:val="00AF44FD"/>
    <w:rsid w:val="00AF4B41"/>
    <w:rsid w:val="00AF52A3"/>
    <w:rsid w:val="00AF6993"/>
    <w:rsid w:val="00AF7386"/>
    <w:rsid w:val="00AF7786"/>
    <w:rsid w:val="00B00CF7"/>
    <w:rsid w:val="00B02B42"/>
    <w:rsid w:val="00B041CF"/>
    <w:rsid w:val="00B04C0F"/>
    <w:rsid w:val="00B05544"/>
    <w:rsid w:val="00B05C7C"/>
    <w:rsid w:val="00B05CC4"/>
    <w:rsid w:val="00B0724D"/>
    <w:rsid w:val="00B07ADD"/>
    <w:rsid w:val="00B10489"/>
    <w:rsid w:val="00B1130E"/>
    <w:rsid w:val="00B113EF"/>
    <w:rsid w:val="00B11706"/>
    <w:rsid w:val="00B11BB2"/>
    <w:rsid w:val="00B12792"/>
    <w:rsid w:val="00B12B40"/>
    <w:rsid w:val="00B13AC9"/>
    <w:rsid w:val="00B153C4"/>
    <w:rsid w:val="00B1568A"/>
    <w:rsid w:val="00B161AB"/>
    <w:rsid w:val="00B163B9"/>
    <w:rsid w:val="00B16BB7"/>
    <w:rsid w:val="00B2003B"/>
    <w:rsid w:val="00B2156F"/>
    <w:rsid w:val="00B2192D"/>
    <w:rsid w:val="00B2196D"/>
    <w:rsid w:val="00B223A3"/>
    <w:rsid w:val="00B257B5"/>
    <w:rsid w:val="00B268BF"/>
    <w:rsid w:val="00B26CA2"/>
    <w:rsid w:val="00B27EE6"/>
    <w:rsid w:val="00B3119D"/>
    <w:rsid w:val="00B31697"/>
    <w:rsid w:val="00B32435"/>
    <w:rsid w:val="00B33D58"/>
    <w:rsid w:val="00B3419C"/>
    <w:rsid w:val="00B34B94"/>
    <w:rsid w:val="00B362BA"/>
    <w:rsid w:val="00B36F4E"/>
    <w:rsid w:val="00B401BC"/>
    <w:rsid w:val="00B4030F"/>
    <w:rsid w:val="00B404CC"/>
    <w:rsid w:val="00B4063E"/>
    <w:rsid w:val="00B41669"/>
    <w:rsid w:val="00B41AB2"/>
    <w:rsid w:val="00B41D02"/>
    <w:rsid w:val="00B4232A"/>
    <w:rsid w:val="00B43442"/>
    <w:rsid w:val="00B442D5"/>
    <w:rsid w:val="00B44F6C"/>
    <w:rsid w:val="00B45484"/>
    <w:rsid w:val="00B4594E"/>
    <w:rsid w:val="00B45E71"/>
    <w:rsid w:val="00B47F5D"/>
    <w:rsid w:val="00B5114D"/>
    <w:rsid w:val="00B516C7"/>
    <w:rsid w:val="00B51CF6"/>
    <w:rsid w:val="00B52C06"/>
    <w:rsid w:val="00B541A0"/>
    <w:rsid w:val="00B56438"/>
    <w:rsid w:val="00B569D7"/>
    <w:rsid w:val="00B56A44"/>
    <w:rsid w:val="00B57704"/>
    <w:rsid w:val="00B61EBD"/>
    <w:rsid w:val="00B62479"/>
    <w:rsid w:val="00B6349B"/>
    <w:rsid w:val="00B64869"/>
    <w:rsid w:val="00B649BA"/>
    <w:rsid w:val="00B64DF8"/>
    <w:rsid w:val="00B66332"/>
    <w:rsid w:val="00B67BAF"/>
    <w:rsid w:val="00B67F1E"/>
    <w:rsid w:val="00B711CC"/>
    <w:rsid w:val="00B714E2"/>
    <w:rsid w:val="00B7190C"/>
    <w:rsid w:val="00B71B55"/>
    <w:rsid w:val="00B71EB6"/>
    <w:rsid w:val="00B7238E"/>
    <w:rsid w:val="00B72458"/>
    <w:rsid w:val="00B736EA"/>
    <w:rsid w:val="00B73C17"/>
    <w:rsid w:val="00B74328"/>
    <w:rsid w:val="00B744F1"/>
    <w:rsid w:val="00B75242"/>
    <w:rsid w:val="00B75F07"/>
    <w:rsid w:val="00B75F5D"/>
    <w:rsid w:val="00B76E14"/>
    <w:rsid w:val="00B77449"/>
    <w:rsid w:val="00B779C4"/>
    <w:rsid w:val="00B77D16"/>
    <w:rsid w:val="00B8088D"/>
    <w:rsid w:val="00B81B8A"/>
    <w:rsid w:val="00B81C2E"/>
    <w:rsid w:val="00B81E14"/>
    <w:rsid w:val="00B822A1"/>
    <w:rsid w:val="00B82745"/>
    <w:rsid w:val="00B82CCB"/>
    <w:rsid w:val="00B848F9"/>
    <w:rsid w:val="00B85129"/>
    <w:rsid w:val="00B854AD"/>
    <w:rsid w:val="00B854E5"/>
    <w:rsid w:val="00B85BEE"/>
    <w:rsid w:val="00B86BA3"/>
    <w:rsid w:val="00B86E3B"/>
    <w:rsid w:val="00B87451"/>
    <w:rsid w:val="00B8750D"/>
    <w:rsid w:val="00B909C2"/>
    <w:rsid w:val="00B90BF6"/>
    <w:rsid w:val="00B91C95"/>
    <w:rsid w:val="00B922FB"/>
    <w:rsid w:val="00B94447"/>
    <w:rsid w:val="00B948AA"/>
    <w:rsid w:val="00B950EB"/>
    <w:rsid w:val="00B951ED"/>
    <w:rsid w:val="00B953F0"/>
    <w:rsid w:val="00B95948"/>
    <w:rsid w:val="00B96122"/>
    <w:rsid w:val="00B96458"/>
    <w:rsid w:val="00B97571"/>
    <w:rsid w:val="00BA28EF"/>
    <w:rsid w:val="00BA3BAD"/>
    <w:rsid w:val="00BA425B"/>
    <w:rsid w:val="00BA4A7B"/>
    <w:rsid w:val="00BA6358"/>
    <w:rsid w:val="00BA6CF3"/>
    <w:rsid w:val="00BA6D32"/>
    <w:rsid w:val="00BA6FE7"/>
    <w:rsid w:val="00BA7510"/>
    <w:rsid w:val="00BA79D9"/>
    <w:rsid w:val="00BA7CD1"/>
    <w:rsid w:val="00BB08D8"/>
    <w:rsid w:val="00BB0BAC"/>
    <w:rsid w:val="00BB0FD7"/>
    <w:rsid w:val="00BB2BDC"/>
    <w:rsid w:val="00BB407A"/>
    <w:rsid w:val="00BB4A9E"/>
    <w:rsid w:val="00BB58AF"/>
    <w:rsid w:val="00BB600E"/>
    <w:rsid w:val="00BB6901"/>
    <w:rsid w:val="00BB6B6F"/>
    <w:rsid w:val="00BB7CA6"/>
    <w:rsid w:val="00BC0C9C"/>
    <w:rsid w:val="00BC179C"/>
    <w:rsid w:val="00BC187D"/>
    <w:rsid w:val="00BC1A32"/>
    <w:rsid w:val="00BC34E2"/>
    <w:rsid w:val="00BC3C18"/>
    <w:rsid w:val="00BC3C52"/>
    <w:rsid w:val="00BC57BD"/>
    <w:rsid w:val="00BC6377"/>
    <w:rsid w:val="00BD034A"/>
    <w:rsid w:val="00BD0C21"/>
    <w:rsid w:val="00BD0F78"/>
    <w:rsid w:val="00BD2379"/>
    <w:rsid w:val="00BD2969"/>
    <w:rsid w:val="00BD2EBC"/>
    <w:rsid w:val="00BD3305"/>
    <w:rsid w:val="00BD34BD"/>
    <w:rsid w:val="00BD4835"/>
    <w:rsid w:val="00BD52DD"/>
    <w:rsid w:val="00BD759C"/>
    <w:rsid w:val="00BD75F1"/>
    <w:rsid w:val="00BD77B2"/>
    <w:rsid w:val="00BD7BA9"/>
    <w:rsid w:val="00BD7C09"/>
    <w:rsid w:val="00BE05AE"/>
    <w:rsid w:val="00BE220D"/>
    <w:rsid w:val="00BE25FE"/>
    <w:rsid w:val="00BE345F"/>
    <w:rsid w:val="00BE3DE9"/>
    <w:rsid w:val="00BE4FEB"/>
    <w:rsid w:val="00BE52EE"/>
    <w:rsid w:val="00BE561B"/>
    <w:rsid w:val="00BE596D"/>
    <w:rsid w:val="00BE5D64"/>
    <w:rsid w:val="00BE5EBB"/>
    <w:rsid w:val="00BF17F8"/>
    <w:rsid w:val="00BF37F3"/>
    <w:rsid w:val="00BF4517"/>
    <w:rsid w:val="00BF4C93"/>
    <w:rsid w:val="00BF60C1"/>
    <w:rsid w:val="00BF7B07"/>
    <w:rsid w:val="00C002ED"/>
    <w:rsid w:val="00C010DE"/>
    <w:rsid w:val="00C0234F"/>
    <w:rsid w:val="00C02C4A"/>
    <w:rsid w:val="00C031A9"/>
    <w:rsid w:val="00C03581"/>
    <w:rsid w:val="00C03EC5"/>
    <w:rsid w:val="00C04DCB"/>
    <w:rsid w:val="00C0560B"/>
    <w:rsid w:val="00C05D09"/>
    <w:rsid w:val="00C075CA"/>
    <w:rsid w:val="00C104FE"/>
    <w:rsid w:val="00C10660"/>
    <w:rsid w:val="00C1084D"/>
    <w:rsid w:val="00C10A0A"/>
    <w:rsid w:val="00C10DF0"/>
    <w:rsid w:val="00C1358B"/>
    <w:rsid w:val="00C1451D"/>
    <w:rsid w:val="00C14780"/>
    <w:rsid w:val="00C174C9"/>
    <w:rsid w:val="00C177EF"/>
    <w:rsid w:val="00C17C7C"/>
    <w:rsid w:val="00C201C3"/>
    <w:rsid w:val="00C2081A"/>
    <w:rsid w:val="00C208AD"/>
    <w:rsid w:val="00C21383"/>
    <w:rsid w:val="00C230C3"/>
    <w:rsid w:val="00C23E95"/>
    <w:rsid w:val="00C26F53"/>
    <w:rsid w:val="00C270EA"/>
    <w:rsid w:val="00C30551"/>
    <w:rsid w:val="00C312CF"/>
    <w:rsid w:val="00C328C1"/>
    <w:rsid w:val="00C33352"/>
    <w:rsid w:val="00C34525"/>
    <w:rsid w:val="00C35ED8"/>
    <w:rsid w:val="00C36AE4"/>
    <w:rsid w:val="00C372B5"/>
    <w:rsid w:val="00C379C2"/>
    <w:rsid w:val="00C37BF0"/>
    <w:rsid w:val="00C40F6F"/>
    <w:rsid w:val="00C413F3"/>
    <w:rsid w:val="00C429D1"/>
    <w:rsid w:val="00C44497"/>
    <w:rsid w:val="00C44580"/>
    <w:rsid w:val="00C45690"/>
    <w:rsid w:val="00C47A88"/>
    <w:rsid w:val="00C47B08"/>
    <w:rsid w:val="00C51481"/>
    <w:rsid w:val="00C51DAA"/>
    <w:rsid w:val="00C528E3"/>
    <w:rsid w:val="00C52D45"/>
    <w:rsid w:val="00C53A1D"/>
    <w:rsid w:val="00C53E6A"/>
    <w:rsid w:val="00C5512A"/>
    <w:rsid w:val="00C55D37"/>
    <w:rsid w:val="00C561D9"/>
    <w:rsid w:val="00C5733B"/>
    <w:rsid w:val="00C600E3"/>
    <w:rsid w:val="00C61283"/>
    <w:rsid w:val="00C61AF3"/>
    <w:rsid w:val="00C6262C"/>
    <w:rsid w:val="00C645F2"/>
    <w:rsid w:val="00C6575B"/>
    <w:rsid w:val="00C66A06"/>
    <w:rsid w:val="00C6723F"/>
    <w:rsid w:val="00C67B3B"/>
    <w:rsid w:val="00C71215"/>
    <w:rsid w:val="00C7151E"/>
    <w:rsid w:val="00C718A1"/>
    <w:rsid w:val="00C71F96"/>
    <w:rsid w:val="00C72295"/>
    <w:rsid w:val="00C74651"/>
    <w:rsid w:val="00C755C9"/>
    <w:rsid w:val="00C756F4"/>
    <w:rsid w:val="00C75848"/>
    <w:rsid w:val="00C771AB"/>
    <w:rsid w:val="00C77792"/>
    <w:rsid w:val="00C77A60"/>
    <w:rsid w:val="00C81769"/>
    <w:rsid w:val="00C824B0"/>
    <w:rsid w:val="00C82791"/>
    <w:rsid w:val="00C85027"/>
    <w:rsid w:val="00C8612B"/>
    <w:rsid w:val="00C874C1"/>
    <w:rsid w:val="00C911A3"/>
    <w:rsid w:val="00C91AEB"/>
    <w:rsid w:val="00C91C52"/>
    <w:rsid w:val="00C923B6"/>
    <w:rsid w:val="00C932AB"/>
    <w:rsid w:val="00C93A69"/>
    <w:rsid w:val="00C9546A"/>
    <w:rsid w:val="00C954E7"/>
    <w:rsid w:val="00C97109"/>
    <w:rsid w:val="00CA003F"/>
    <w:rsid w:val="00CA2733"/>
    <w:rsid w:val="00CA4EF2"/>
    <w:rsid w:val="00CA699C"/>
    <w:rsid w:val="00CA6A31"/>
    <w:rsid w:val="00CB441B"/>
    <w:rsid w:val="00CB471C"/>
    <w:rsid w:val="00CB4B08"/>
    <w:rsid w:val="00CB510E"/>
    <w:rsid w:val="00CB6202"/>
    <w:rsid w:val="00CB73F4"/>
    <w:rsid w:val="00CB7FF8"/>
    <w:rsid w:val="00CC2EE1"/>
    <w:rsid w:val="00CC311D"/>
    <w:rsid w:val="00CC3647"/>
    <w:rsid w:val="00CC43DE"/>
    <w:rsid w:val="00CC50BF"/>
    <w:rsid w:val="00CC6599"/>
    <w:rsid w:val="00CC7316"/>
    <w:rsid w:val="00CC760E"/>
    <w:rsid w:val="00CC79EB"/>
    <w:rsid w:val="00CC7A2C"/>
    <w:rsid w:val="00CC7B47"/>
    <w:rsid w:val="00CC7E85"/>
    <w:rsid w:val="00CD2079"/>
    <w:rsid w:val="00CD2605"/>
    <w:rsid w:val="00CD3BFB"/>
    <w:rsid w:val="00CD477B"/>
    <w:rsid w:val="00CD4EC7"/>
    <w:rsid w:val="00CD5782"/>
    <w:rsid w:val="00CD687F"/>
    <w:rsid w:val="00CD7BD4"/>
    <w:rsid w:val="00CD7D6B"/>
    <w:rsid w:val="00CE1B4E"/>
    <w:rsid w:val="00CE1B72"/>
    <w:rsid w:val="00CE1EDD"/>
    <w:rsid w:val="00CE228A"/>
    <w:rsid w:val="00CE2D82"/>
    <w:rsid w:val="00CE5880"/>
    <w:rsid w:val="00CE654A"/>
    <w:rsid w:val="00CE7433"/>
    <w:rsid w:val="00CF158E"/>
    <w:rsid w:val="00CF1732"/>
    <w:rsid w:val="00CF1B54"/>
    <w:rsid w:val="00CF338D"/>
    <w:rsid w:val="00CF3B6B"/>
    <w:rsid w:val="00CF4A7D"/>
    <w:rsid w:val="00CF4BA0"/>
    <w:rsid w:val="00CF51B3"/>
    <w:rsid w:val="00CF52F3"/>
    <w:rsid w:val="00CF582C"/>
    <w:rsid w:val="00CF5F97"/>
    <w:rsid w:val="00CF6256"/>
    <w:rsid w:val="00CF78D3"/>
    <w:rsid w:val="00CF7C76"/>
    <w:rsid w:val="00CF7E24"/>
    <w:rsid w:val="00CF7E95"/>
    <w:rsid w:val="00CF7F2F"/>
    <w:rsid w:val="00CF7F4C"/>
    <w:rsid w:val="00CF7F7A"/>
    <w:rsid w:val="00D00674"/>
    <w:rsid w:val="00D00F9C"/>
    <w:rsid w:val="00D012F1"/>
    <w:rsid w:val="00D018E0"/>
    <w:rsid w:val="00D01A43"/>
    <w:rsid w:val="00D01B57"/>
    <w:rsid w:val="00D01EC7"/>
    <w:rsid w:val="00D029DA"/>
    <w:rsid w:val="00D03C60"/>
    <w:rsid w:val="00D05CE4"/>
    <w:rsid w:val="00D06490"/>
    <w:rsid w:val="00D06744"/>
    <w:rsid w:val="00D06FF7"/>
    <w:rsid w:val="00D106C0"/>
    <w:rsid w:val="00D12488"/>
    <w:rsid w:val="00D14950"/>
    <w:rsid w:val="00D1530E"/>
    <w:rsid w:val="00D15F99"/>
    <w:rsid w:val="00D175C6"/>
    <w:rsid w:val="00D1781D"/>
    <w:rsid w:val="00D17A5D"/>
    <w:rsid w:val="00D20594"/>
    <w:rsid w:val="00D21319"/>
    <w:rsid w:val="00D21322"/>
    <w:rsid w:val="00D2186E"/>
    <w:rsid w:val="00D22398"/>
    <w:rsid w:val="00D226F8"/>
    <w:rsid w:val="00D23114"/>
    <w:rsid w:val="00D23945"/>
    <w:rsid w:val="00D245A1"/>
    <w:rsid w:val="00D25F0E"/>
    <w:rsid w:val="00D25F14"/>
    <w:rsid w:val="00D2611D"/>
    <w:rsid w:val="00D26DD0"/>
    <w:rsid w:val="00D26EFC"/>
    <w:rsid w:val="00D27A83"/>
    <w:rsid w:val="00D300E6"/>
    <w:rsid w:val="00D30E1F"/>
    <w:rsid w:val="00D30EA9"/>
    <w:rsid w:val="00D312DD"/>
    <w:rsid w:val="00D31500"/>
    <w:rsid w:val="00D31980"/>
    <w:rsid w:val="00D32CF5"/>
    <w:rsid w:val="00D3308E"/>
    <w:rsid w:val="00D3477A"/>
    <w:rsid w:val="00D3487D"/>
    <w:rsid w:val="00D34EF6"/>
    <w:rsid w:val="00D359D2"/>
    <w:rsid w:val="00D3676F"/>
    <w:rsid w:val="00D36E3E"/>
    <w:rsid w:val="00D3739F"/>
    <w:rsid w:val="00D37E87"/>
    <w:rsid w:val="00D4183D"/>
    <w:rsid w:val="00D41C3A"/>
    <w:rsid w:val="00D42730"/>
    <w:rsid w:val="00D43095"/>
    <w:rsid w:val="00D4313D"/>
    <w:rsid w:val="00D43803"/>
    <w:rsid w:val="00D43BE8"/>
    <w:rsid w:val="00D44ADA"/>
    <w:rsid w:val="00D4532D"/>
    <w:rsid w:val="00D45518"/>
    <w:rsid w:val="00D45C86"/>
    <w:rsid w:val="00D46C2D"/>
    <w:rsid w:val="00D47509"/>
    <w:rsid w:val="00D476F6"/>
    <w:rsid w:val="00D47840"/>
    <w:rsid w:val="00D5106F"/>
    <w:rsid w:val="00D518BF"/>
    <w:rsid w:val="00D51BEA"/>
    <w:rsid w:val="00D51D4A"/>
    <w:rsid w:val="00D52515"/>
    <w:rsid w:val="00D52705"/>
    <w:rsid w:val="00D53B4F"/>
    <w:rsid w:val="00D53FCD"/>
    <w:rsid w:val="00D54688"/>
    <w:rsid w:val="00D5503C"/>
    <w:rsid w:val="00D550F3"/>
    <w:rsid w:val="00D55221"/>
    <w:rsid w:val="00D55DD7"/>
    <w:rsid w:val="00D5622B"/>
    <w:rsid w:val="00D56736"/>
    <w:rsid w:val="00D56E7F"/>
    <w:rsid w:val="00D56FF7"/>
    <w:rsid w:val="00D60C5A"/>
    <w:rsid w:val="00D60EC2"/>
    <w:rsid w:val="00D614EC"/>
    <w:rsid w:val="00D61892"/>
    <w:rsid w:val="00D62199"/>
    <w:rsid w:val="00D6227C"/>
    <w:rsid w:val="00D639EA"/>
    <w:rsid w:val="00D63AAD"/>
    <w:rsid w:val="00D64E40"/>
    <w:rsid w:val="00D657BC"/>
    <w:rsid w:val="00D66284"/>
    <w:rsid w:val="00D66ACF"/>
    <w:rsid w:val="00D66AEB"/>
    <w:rsid w:val="00D67C70"/>
    <w:rsid w:val="00D700D5"/>
    <w:rsid w:val="00D70279"/>
    <w:rsid w:val="00D709F7"/>
    <w:rsid w:val="00D70DA7"/>
    <w:rsid w:val="00D714A5"/>
    <w:rsid w:val="00D7279E"/>
    <w:rsid w:val="00D73548"/>
    <w:rsid w:val="00D739F2"/>
    <w:rsid w:val="00D73EA7"/>
    <w:rsid w:val="00D7410E"/>
    <w:rsid w:val="00D745DA"/>
    <w:rsid w:val="00D7468D"/>
    <w:rsid w:val="00D75387"/>
    <w:rsid w:val="00D762DF"/>
    <w:rsid w:val="00D77774"/>
    <w:rsid w:val="00D77941"/>
    <w:rsid w:val="00D77B62"/>
    <w:rsid w:val="00D77B8F"/>
    <w:rsid w:val="00D80551"/>
    <w:rsid w:val="00D81612"/>
    <w:rsid w:val="00D818D4"/>
    <w:rsid w:val="00D81D51"/>
    <w:rsid w:val="00D82F31"/>
    <w:rsid w:val="00D8323F"/>
    <w:rsid w:val="00D83C2C"/>
    <w:rsid w:val="00D851EB"/>
    <w:rsid w:val="00D8654D"/>
    <w:rsid w:val="00D86666"/>
    <w:rsid w:val="00D86FE9"/>
    <w:rsid w:val="00D8799F"/>
    <w:rsid w:val="00D87AAD"/>
    <w:rsid w:val="00D90B98"/>
    <w:rsid w:val="00D90F52"/>
    <w:rsid w:val="00D91777"/>
    <w:rsid w:val="00D91AE0"/>
    <w:rsid w:val="00D9216D"/>
    <w:rsid w:val="00D92402"/>
    <w:rsid w:val="00D9244F"/>
    <w:rsid w:val="00D92984"/>
    <w:rsid w:val="00D93948"/>
    <w:rsid w:val="00D93AA7"/>
    <w:rsid w:val="00D943D6"/>
    <w:rsid w:val="00D9479B"/>
    <w:rsid w:val="00D9529F"/>
    <w:rsid w:val="00D9549C"/>
    <w:rsid w:val="00D956F0"/>
    <w:rsid w:val="00D963BF"/>
    <w:rsid w:val="00DA0EC0"/>
    <w:rsid w:val="00DA1A54"/>
    <w:rsid w:val="00DA2122"/>
    <w:rsid w:val="00DA319B"/>
    <w:rsid w:val="00DA60E8"/>
    <w:rsid w:val="00DA62BB"/>
    <w:rsid w:val="00DA72A3"/>
    <w:rsid w:val="00DB0DE8"/>
    <w:rsid w:val="00DB13E1"/>
    <w:rsid w:val="00DB1A2D"/>
    <w:rsid w:val="00DB1B67"/>
    <w:rsid w:val="00DB44C0"/>
    <w:rsid w:val="00DB5D3D"/>
    <w:rsid w:val="00DB5E62"/>
    <w:rsid w:val="00DC1202"/>
    <w:rsid w:val="00DC172A"/>
    <w:rsid w:val="00DC290A"/>
    <w:rsid w:val="00DC2A6C"/>
    <w:rsid w:val="00DC3F3B"/>
    <w:rsid w:val="00DC6E6F"/>
    <w:rsid w:val="00DD1A4A"/>
    <w:rsid w:val="00DD1C46"/>
    <w:rsid w:val="00DD1F8F"/>
    <w:rsid w:val="00DD3001"/>
    <w:rsid w:val="00DD52B1"/>
    <w:rsid w:val="00DD6602"/>
    <w:rsid w:val="00DE212A"/>
    <w:rsid w:val="00DE267B"/>
    <w:rsid w:val="00DE2818"/>
    <w:rsid w:val="00DE32B4"/>
    <w:rsid w:val="00DE376A"/>
    <w:rsid w:val="00DE3D1D"/>
    <w:rsid w:val="00DE5146"/>
    <w:rsid w:val="00DE703B"/>
    <w:rsid w:val="00DF02F2"/>
    <w:rsid w:val="00DF2612"/>
    <w:rsid w:val="00DF2EB7"/>
    <w:rsid w:val="00DF32FA"/>
    <w:rsid w:val="00DF3355"/>
    <w:rsid w:val="00DF385E"/>
    <w:rsid w:val="00DF39FB"/>
    <w:rsid w:val="00DF4AC5"/>
    <w:rsid w:val="00DF50CC"/>
    <w:rsid w:val="00DF7787"/>
    <w:rsid w:val="00DF77C7"/>
    <w:rsid w:val="00E01736"/>
    <w:rsid w:val="00E02767"/>
    <w:rsid w:val="00E0406B"/>
    <w:rsid w:val="00E049E7"/>
    <w:rsid w:val="00E05038"/>
    <w:rsid w:val="00E052A6"/>
    <w:rsid w:val="00E06119"/>
    <w:rsid w:val="00E068CD"/>
    <w:rsid w:val="00E06A32"/>
    <w:rsid w:val="00E07D5A"/>
    <w:rsid w:val="00E107ED"/>
    <w:rsid w:val="00E11596"/>
    <w:rsid w:val="00E11CB6"/>
    <w:rsid w:val="00E11DA4"/>
    <w:rsid w:val="00E15863"/>
    <w:rsid w:val="00E159FC"/>
    <w:rsid w:val="00E164FE"/>
    <w:rsid w:val="00E17B74"/>
    <w:rsid w:val="00E20CC0"/>
    <w:rsid w:val="00E227DB"/>
    <w:rsid w:val="00E22AEF"/>
    <w:rsid w:val="00E24520"/>
    <w:rsid w:val="00E26CC4"/>
    <w:rsid w:val="00E2740F"/>
    <w:rsid w:val="00E277F9"/>
    <w:rsid w:val="00E3063E"/>
    <w:rsid w:val="00E3075A"/>
    <w:rsid w:val="00E32717"/>
    <w:rsid w:val="00E32BA5"/>
    <w:rsid w:val="00E33832"/>
    <w:rsid w:val="00E3521D"/>
    <w:rsid w:val="00E35D59"/>
    <w:rsid w:val="00E40895"/>
    <w:rsid w:val="00E41A08"/>
    <w:rsid w:val="00E42F89"/>
    <w:rsid w:val="00E4320F"/>
    <w:rsid w:val="00E4380A"/>
    <w:rsid w:val="00E442D9"/>
    <w:rsid w:val="00E4559F"/>
    <w:rsid w:val="00E456F5"/>
    <w:rsid w:val="00E46295"/>
    <w:rsid w:val="00E5049E"/>
    <w:rsid w:val="00E515C7"/>
    <w:rsid w:val="00E53CF4"/>
    <w:rsid w:val="00E53EF8"/>
    <w:rsid w:val="00E54FB7"/>
    <w:rsid w:val="00E56312"/>
    <w:rsid w:val="00E56B92"/>
    <w:rsid w:val="00E56E28"/>
    <w:rsid w:val="00E60391"/>
    <w:rsid w:val="00E60806"/>
    <w:rsid w:val="00E6323B"/>
    <w:rsid w:val="00E63B16"/>
    <w:rsid w:val="00E64DEC"/>
    <w:rsid w:val="00E65288"/>
    <w:rsid w:val="00E67593"/>
    <w:rsid w:val="00E6793A"/>
    <w:rsid w:val="00E67D57"/>
    <w:rsid w:val="00E71187"/>
    <w:rsid w:val="00E716DD"/>
    <w:rsid w:val="00E71D2C"/>
    <w:rsid w:val="00E744C7"/>
    <w:rsid w:val="00E76815"/>
    <w:rsid w:val="00E76DD8"/>
    <w:rsid w:val="00E80E34"/>
    <w:rsid w:val="00E81A95"/>
    <w:rsid w:val="00E81AC8"/>
    <w:rsid w:val="00E83A34"/>
    <w:rsid w:val="00E83D63"/>
    <w:rsid w:val="00E8529A"/>
    <w:rsid w:val="00E85741"/>
    <w:rsid w:val="00E85CCA"/>
    <w:rsid w:val="00E8686C"/>
    <w:rsid w:val="00E90836"/>
    <w:rsid w:val="00E90C17"/>
    <w:rsid w:val="00E91787"/>
    <w:rsid w:val="00E91994"/>
    <w:rsid w:val="00E91E0E"/>
    <w:rsid w:val="00E935A4"/>
    <w:rsid w:val="00E93FD4"/>
    <w:rsid w:val="00E949C1"/>
    <w:rsid w:val="00E94A80"/>
    <w:rsid w:val="00E95BB4"/>
    <w:rsid w:val="00E95C55"/>
    <w:rsid w:val="00E95D8A"/>
    <w:rsid w:val="00E97FF4"/>
    <w:rsid w:val="00EA03BA"/>
    <w:rsid w:val="00EA2709"/>
    <w:rsid w:val="00EA2E1A"/>
    <w:rsid w:val="00EA3AE9"/>
    <w:rsid w:val="00EA430E"/>
    <w:rsid w:val="00EA48C6"/>
    <w:rsid w:val="00EA5CEC"/>
    <w:rsid w:val="00EA608D"/>
    <w:rsid w:val="00EA6146"/>
    <w:rsid w:val="00EA7AD2"/>
    <w:rsid w:val="00EA7F0C"/>
    <w:rsid w:val="00EB030A"/>
    <w:rsid w:val="00EB0424"/>
    <w:rsid w:val="00EB070C"/>
    <w:rsid w:val="00EB164A"/>
    <w:rsid w:val="00EB1B16"/>
    <w:rsid w:val="00EB229B"/>
    <w:rsid w:val="00EB2FF4"/>
    <w:rsid w:val="00EB3F3E"/>
    <w:rsid w:val="00EB4DED"/>
    <w:rsid w:val="00EB5ED1"/>
    <w:rsid w:val="00EB6051"/>
    <w:rsid w:val="00EB65B6"/>
    <w:rsid w:val="00EB69CD"/>
    <w:rsid w:val="00EC0A0E"/>
    <w:rsid w:val="00EC2A4E"/>
    <w:rsid w:val="00EC42CC"/>
    <w:rsid w:val="00EC42E9"/>
    <w:rsid w:val="00EC46CB"/>
    <w:rsid w:val="00EC5A3D"/>
    <w:rsid w:val="00EC6AAE"/>
    <w:rsid w:val="00EC706B"/>
    <w:rsid w:val="00EC78D4"/>
    <w:rsid w:val="00ED0031"/>
    <w:rsid w:val="00ED1011"/>
    <w:rsid w:val="00ED1418"/>
    <w:rsid w:val="00ED19DB"/>
    <w:rsid w:val="00ED29E1"/>
    <w:rsid w:val="00ED2DE0"/>
    <w:rsid w:val="00ED507A"/>
    <w:rsid w:val="00ED52C3"/>
    <w:rsid w:val="00ED6747"/>
    <w:rsid w:val="00ED702E"/>
    <w:rsid w:val="00ED7A58"/>
    <w:rsid w:val="00EE00F4"/>
    <w:rsid w:val="00EE11BE"/>
    <w:rsid w:val="00EE13BE"/>
    <w:rsid w:val="00EE1C4D"/>
    <w:rsid w:val="00EE2103"/>
    <w:rsid w:val="00EE2A58"/>
    <w:rsid w:val="00EE3ADF"/>
    <w:rsid w:val="00EE3EB3"/>
    <w:rsid w:val="00EE44A2"/>
    <w:rsid w:val="00EE4558"/>
    <w:rsid w:val="00EE490B"/>
    <w:rsid w:val="00EE534F"/>
    <w:rsid w:val="00EE57CB"/>
    <w:rsid w:val="00EE62DC"/>
    <w:rsid w:val="00EE780C"/>
    <w:rsid w:val="00EF040C"/>
    <w:rsid w:val="00EF0AA3"/>
    <w:rsid w:val="00EF1114"/>
    <w:rsid w:val="00EF2957"/>
    <w:rsid w:val="00EF4597"/>
    <w:rsid w:val="00EF5501"/>
    <w:rsid w:val="00EF5D27"/>
    <w:rsid w:val="00EF64DB"/>
    <w:rsid w:val="00EF650A"/>
    <w:rsid w:val="00F000F0"/>
    <w:rsid w:val="00F0248A"/>
    <w:rsid w:val="00F03236"/>
    <w:rsid w:val="00F03AB0"/>
    <w:rsid w:val="00F04731"/>
    <w:rsid w:val="00F04E4D"/>
    <w:rsid w:val="00F05A60"/>
    <w:rsid w:val="00F069A7"/>
    <w:rsid w:val="00F06D83"/>
    <w:rsid w:val="00F06F1A"/>
    <w:rsid w:val="00F075D5"/>
    <w:rsid w:val="00F101A8"/>
    <w:rsid w:val="00F1068B"/>
    <w:rsid w:val="00F120ED"/>
    <w:rsid w:val="00F15BAC"/>
    <w:rsid w:val="00F16BDA"/>
    <w:rsid w:val="00F16C7A"/>
    <w:rsid w:val="00F16E73"/>
    <w:rsid w:val="00F1701D"/>
    <w:rsid w:val="00F20B33"/>
    <w:rsid w:val="00F211A2"/>
    <w:rsid w:val="00F213F7"/>
    <w:rsid w:val="00F2173E"/>
    <w:rsid w:val="00F22398"/>
    <w:rsid w:val="00F223C1"/>
    <w:rsid w:val="00F2270B"/>
    <w:rsid w:val="00F22D55"/>
    <w:rsid w:val="00F259F0"/>
    <w:rsid w:val="00F2744C"/>
    <w:rsid w:val="00F27C69"/>
    <w:rsid w:val="00F301D2"/>
    <w:rsid w:val="00F303B9"/>
    <w:rsid w:val="00F320FC"/>
    <w:rsid w:val="00F33045"/>
    <w:rsid w:val="00F344E2"/>
    <w:rsid w:val="00F3474A"/>
    <w:rsid w:val="00F34E26"/>
    <w:rsid w:val="00F359E0"/>
    <w:rsid w:val="00F41304"/>
    <w:rsid w:val="00F4137D"/>
    <w:rsid w:val="00F41416"/>
    <w:rsid w:val="00F42848"/>
    <w:rsid w:val="00F42E45"/>
    <w:rsid w:val="00F44893"/>
    <w:rsid w:val="00F44BF8"/>
    <w:rsid w:val="00F453BB"/>
    <w:rsid w:val="00F47060"/>
    <w:rsid w:val="00F4759B"/>
    <w:rsid w:val="00F50892"/>
    <w:rsid w:val="00F50DBF"/>
    <w:rsid w:val="00F50EFF"/>
    <w:rsid w:val="00F5190C"/>
    <w:rsid w:val="00F5215C"/>
    <w:rsid w:val="00F5427A"/>
    <w:rsid w:val="00F54BB3"/>
    <w:rsid w:val="00F56874"/>
    <w:rsid w:val="00F569C6"/>
    <w:rsid w:val="00F60DDE"/>
    <w:rsid w:val="00F612CA"/>
    <w:rsid w:val="00F6165C"/>
    <w:rsid w:val="00F61B21"/>
    <w:rsid w:val="00F636ED"/>
    <w:rsid w:val="00F63D80"/>
    <w:rsid w:val="00F643EB"/>
    <w:rsid w:val="00F64885"/>
    <w:rsid w:val="00F652B2"/>
    <w:rsid w:val="00F65584"/>
    <w:rsid w:val="00F655BE"/>
    <w:rsid w:val="00F673B1"/>
    <w:rsid w:val="00F74820"/>
    <w:rsid w:val="00F761CC"/>
    <w:rsid w:val="00F76AC5"/>
    <w:rsid w:val="00F76E04"/>
    <w:rsid w:val="00F76E3C"/>
    <w:rsid w:val="00F770ED"/>
    <w:rsid w:val="00F80261"/>
    <w:rsid w:val="00F80EA3"/>
    <w:rsid w:val="00F824C9"/>
    <w:rsid w:val="00F83730"/>
    <w:rsid w:val="00F84478"/>
    <w:rsid w:val="00F8580A"/>
    <w:rsid w:val="00F85B3B"/>
    <w:rsid w:val="00F86382"/>
    <w:rsid w:val="00F864A0"/>
    <w:rsid w:val="00F86F11"/>
    <w:rsid w:val="00F9065D"/>
    <w:rsid w:val="00F90B1B"/>
    <w:rsid w:val="00F93FC8"/>
    <w:rsid w:val="00F95340"/>
    <w:rsid w:val="00F96330"/>
    <w:rsid w:val="00F96696"/>
    <w:rsid w:val="00F96841"/>
    <w:rsid w:val="00F96FD0"/>
    <w:rsid w:val="00FA0706"/>
    <w:rsid w:val="00FA1C54"/>
    <w:rsid w:val="00FA26DF"/>
    <w:rsid w:val="00FA2B25"/>
    <w:rsid w:val="00FA2DFE"/>
    <w:rsid w:val="00FA37E2"/>
    <w:rsid w:val="00FA481A"/>
    <w:rsid w:val="00FA574A"/>
    <w:rsid w:val="00FA624A"/>
    <w:rsid w:val="00FB050B"/>
    <w:rsid w:val="00FB12B5"/>
    <w:rsid w:val="00FB17FE"/>
    <w:rsid w:val="00FB19AD"/>
    <w:rsid w:val="00FB219C"/>
    <w:rsid w:val="00FB2294"/>
    <w:rsid w:val="00FB4FA0"/>
    <w:rsid w:val="00FB50EF"/>
    <w:rsid w:val="00FB7D06"/>
    <w:rsid w:val="00FB7FE0"/>
    <w:rsid w:val="00FC064D"/>
    <w:rsid w:val="00FC2DF1"/>
    <w:rsid w:val="00FC3A8F"/>
    <w:rsid w:val="00FC402E"/>
    <w:rsid w:val="00FC4AD5"/>
    <w:rsid w:val="00FC4BF0"/>
    <w:rsid w:val="00FC5078"/>
    <w:rsid w:val="00FC5C7F"/>
    <w:rsid w:val="00FC707A"/>
    <w:rsid w:val="00FC76B9"/>
    <w:rsid w:val="00FD1435"/>
    <w:rsid w:val="00FD1A63"/>
    <w:rsid w:val="00FD3097"/>
    <w:rsid w:val="00FD5FDF"/>
    <w:rsid w:val="00FD6428"/>
    <w:rsid w:val="00FE08E3"/>
    <w:rsid w:val="00FE09FD"/>
    <w:rsid w:val="00FE271C"/>
    <w:rsid w:val="00FE5C76"/>
    <w:rsid w:val="00FE71B2"/>
    <w:rsid w:val="00FF1F90"/>
    <w:rsid w:val="00FF215B"/>
    <w:rsid w:val="00FF2C47"/>
    <w:rsid w:val="00FF46C4"/>
    <w:rsid w:val="00FF4A50"/>
    <w:rsid w:val="00FF59EB"/>
    <w:rsid w:val="00FF5EE6"/>
    <w:rsid w:val="00FF734C"/>
    <w:rsid w:val="00FF7F5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List 3"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468"/>
    <w:rPr>
      <w:rFonts w:ascii="Times New Roman" w:eastAsia="Times New Roman" w:hAnsi="Times New Roman"/>
      <w:sz w:val="28"/>
      <w:szCs w:val="28"/>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rPr>
  </w:style>
  <w:style w:type="paragraph" w:customStyle="1" w:styleId="Normal1">
    <w:name w:val="Normal1"/>
    <w:basedOn w:val="Normal"/>
    <w:rsid w:val="0067242E"/>
    <w:pPr>
      <w:spacing w:before="100" w:beforeAutospacing="1" w:after="100" w:afterAutospacing="1"/>
    </w:pPr>
    <w:rPr>
      <w:sz w:val="24"/>
      <w:szCs w:val="24"/>
    </w:rPr>
  </w:style>
  <w:style w:type="character" w:customStyle="1" w:styleId="BodyTextChar1">
    <w:name w:val="Body Text Char1"/>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sz w:val="24"/>
      <w:szCs w:val="24"/>
    </w:rPr>
  </w:style>
  <w:style w:type="character" w:customStyle="1" w:styleId="BodyTextChar">
    <w:name w:val="Body Text Char"/>
    <w:uiPriority w:val="99"/>
    <w:semiHidden/>
    <w:locked/>
    <w:rsid w:val="008D4094"/>
    <w:rPr>
      <w:rFonts w:ascii="Times New Roman" w:hAnsi="Times New Roman" w:cs="Times New Roman"/>
      <w:sz w:val="28"/>
      <w:szCs w:val="28"/>
    </w:rPr>
  </w:style>
  <w:style w:type="character" w:styleId="Strong">
    <w:name w:val="Strong"/>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A07A9"/>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link w:val="FootnoteText"/>
    <w:uiPriority w:val="99"/>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uiPriority w:val="99"/>
    <w:qFormat/>
    <w:rsid w:val="001A07A9"/>
    <w:rPr>
      <w:vertAlign w:val="superscript"/>
    </w:rPr>
  </w:style>
  <w:style w:type="paragraph" w:styleId="NormalWeb">
    <w:name w:val="Normal (Web)"/>
    <w:basedOn w:val="Normal"/>
    <w:uiPriority w:val="99"/>
    <w:rsid w:val="00B90BF6"/>
    <w:pPr>
      <w:spacing w:before="100" w:beforeAutospacing="1" w:after="100" w:afterAutospacing="1"/>
    </w:pPr>
    <w:rPr>
      <w:rFonts w:eastAsia="Calibri"/>
      <w:sz w:val="24"/>
      <w:szCs w:val="24"/>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rPr>
      <w:rFonts w:eastAsia="Calibri"/>
    </w:rPr>
  </w:style>
  <w:style w:type="character" w:customStyle="1" w:styleId="HeaderChar">
    <w:name w:val="Header Char"/>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rPr>
      <w:rFonts w:eastAsia="Calibri"/>
    </w:rPr>
  </w:style>
  <w:style w:type="character" w:customStyle="1" w:styleId="FooterChar">
    <w:name w:val="Footer Char"/>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rFonts w:eastAsia="Calibri"/>
      <w:b/>
      <w:bCs/>
    </w:rPr>
  </w:style>
  <w:style w:type="character" w:customStyle="1" w:styleId="BodyTextTimesNewRomanChar">
    <w:name w:val="Body Text + Times New Roman Char"/>
    <w:aliases w:val="14 pt Char,Bold Char,First line:  1 Char,27 cm Char,Before:  4 Char,5 ... Char,5 ... ... Char"/>
    <w:link w:val="BodyTextTimesNewRoman"/>
    <w:uiPriority w:val="99"/>
    <w:locked/>
    <w:rsid w:val="00CA6A31"/>
    <w:rPr>
      <w:rFonts w:ascii="Times New Roman" w:hAnsi="Times New Roman" w:cs="Times New Roman"/>
      <w:b/>
      <w:bCs/>
      <w:sz w:val="28"/>
      <w:szCs w:val="28"/>
      <w:lang w:val="en-US"/>
    </w:rPr>
  </w:style>
  <w:style w:type="paragraph" w:styleId="BalloonText">
    <w:name w:val="Balloon Text"/>
    <w:basedOn w:val="Normal"/>
    <w:link w:val="BalloonTextChar"/>
    <w:uiPriority w:val="99"/>
    <w:semiHidden/>
    <w:rsid w:val="006A70CD"/>
    <w:rPr>
      <w:rFonts w:eastAsia="Calibri"/>
      <w:sz w:val="2"/>
      <w:szCs w:val="2"/>
    </w:rPr>
  </w:style>
  <w:style w:type="character" w:customStyle="1" w:styleId="BalloonTextChar">
    <w:name w:val="Balloon Text Char"/>
    <w:link w:val="BalloonText"/>
    <w:uiPriority w:val="99"/>
    <w:semiHidden/>
    <w:locked/>
    <w:rsid w:val="00B44F6C"/>
    <w:rPr>
      <w:rFonts w:ascii="Times New Roman" w:hAnsi="Times New Roman" w:cs="Times New Roman"/>
      <w:sz w:val="2"/>
      <w:szCs w:val="2"/>
    </w:rPr>
  </w:style>
  <w:style w:type="paragraph" w:styleId="ListParagraph">
    <w:name w:val="List Paragraph"/>
    <w:basedOn w:val="Normal"/>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rPr>
  </w:style>
  <w:style w:type="character" w:customStyle="1" w:styleId="TitleChar">
    <w:name w:val="Title Char"/>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0">
    <w:name w:val="Normal1"/>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5B43D0"/>
    <w:pPr>
      <w:spacing w:after="120"/>
      <w:ind w:left="360"/>
    </w:pPr>
  </w:style>
  <w:style w:type="character" w:customStyle="1" w:styleId="BodyTextIndentChar">
    <w:name w:val="Body Text Indent Char"/>
    <w:link w:val="BodyTextIndent"/>
    <w:uiPriority w:val="99"/>
    <w:semiHidden/>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style>
  <w:style w:type="character" w:customStyle="1" w:styleId="BodyTextIndent2Char">
    <w:name w:val="Body Text Indent 2 Char"/>
    <w:link w:val="BodyTextIndent2"/>
    <w:uiPriority w:val="99"/>
    <w:semiHidden/>
    <w:rsid w:val="00BB4A9E"/>
    <w:rPr>
      <w:rFonts w:ascii="Times New Roman" w:eastAsia="Times New Roman" w:hAnsi="Times New Roman"/>
      <w:sz w:val="28"/>
      <w:szCs w:val="28"/>
    </w:rPr>
  </w:style>
  <w:style w:type="character" w:styleId="Emphasis">
    <w:name w:val="Emphasis"/>
    <w:uiPriority w:val="20"/>
    <w:qFormat/>
    <w:locked/>
    <w:rsid w:val="00C372B5"/>
    <w:rPr>
      <w:i/>
      <w:iCs/>
    </w:rPr>
  </w:style>
  <w:style w:type="character" w:customStyle="1" w:styleId="body0020textchar">
    <w:name w:val="body_0020text__char"/>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rPr>
  </w:style>
  <w:style w:type="character" w:customStyle="1" w:styleId="EndnoteTextChar">
    <w:name w:val="Endnote Text Char"/>
    <w:link w:val="EndnoteText"/>
    <w:uiPriority w:val="99"/>
    <w:semiHidden/>
    <w:rsid w:val="00416BAE"/>
    <w:rPr>
      <w:rFonts w:ascii="Calibri" w:eastAsia="Calibri" w:hAnsi="Calibri" w:cs="Times New Roman"/>
    </w:rPr>
  </w:style>
  <w:style w:type="character" w:styleId="EndnoteReference">
    <w:name w:val="endnote reference"/>
    <w:uiPriority w:val="99"/>
    <w:semiHidden/>
    <w:unhideWhenUsed/>
    <w:rsid w:val="00416BAE"/>
    <w:rPr>
      <w:vertAlign w:val="superscript"/>
    </w:rPr>
  </w:style>
  <w:style w:type="character" w:customStyle="1" w:styleId="Heading1Char">
    <w:name w:val="Heading 1 Char"/>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character" w:customStyle="1" w:styleId="tlid-translation">
    <w:name w:val="tlid-translation"/>
    <w:basedOn w:val="DefaultParagraphFont"/>
    <w:rsid w:val="005B7066"/>
  </w:style>
</w:styles>
</file>

<file path=word/webSettings.xml><?xml version="1.0" encoding="utf-8"?>
<w:webSettings xmlns:r="http://schemas.openxmlformats.org/officeDocument/2006/relationships" xmlns:w="http://schemas.openxmlformats.org/wordprocessingml/2006/main">
  <w:divs>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88D31-C8B8-4DAB-AC96-863887343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6272</Words>
  <Characters>33070</Characters>
  <Application>Microsoft Office Word</Application>
  <DocSecurity>0</DocSecurity>
  <Lines>275</Lines>
  <Paragraphs>78</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39264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dtthuy</dc:creator>
  <cp:lastModifiedBy>ltthuyen</cp:lastModifiedBy>
  <cp:revision>2</cp:revision>
  <cp:lastPrinted>2018-01-29T03:04:00Z</cp:lastPrinted>
  <dcterms:created xsi:type="dcterms:W3CDTF">2019-07-18T02:04:00Z</dcterms:created>
  <dcterms:modified xsi:type="dcterms:W3CDTF">2019-07-18T02:04:00Z</dcterms:modified>
</cp:coreProperties>
</file>