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charts/colors9.xml" ContentType="application/vnd.ms-office.chartcolorsty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charts/colors7.xml" ContentType="application/vnd.ms-office.chartcolorstyle+xml"/>
  <Override PartName="/word/charts/colors8.xml" ContentType="application/vnd.ms-office.chartcolorstyle+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olors5.xml" ContentType="application/vnd.ms-office.chartcolorstyle+xml"/>
  <Override PartName="/word/charts/colors6.xml" ContentType="application/vnd.ms-office.chartcolorstyle+xml"/>
  <Override PartName="/word/charts/style9.xml" ContentType="application/vnd.ms-office.chartstyle+xml"/>
  <Override PartName="/word/charts/style8.xml" ContentType="application/vnd.ms-office.chart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style6.xml" ContentType="application/vnd.ms-office.chartstyle+xml"/>
  <Override PartName="/word/charts/colors3.xml" ContentType="application/vnd.ms-office.chartcolorstyle+xml"/>
  <Override PartName="/word/charts/colors4.xml" ContentType="application/vnd.ms-office.chartcolorstyle+xml"/>
  <Override PartName="/word/charts/colors10.xml" ContentType="application/vnd.ms-office.chartcolorstyle+xml"/>
  <Override PartName="/word/charts/style10.xml" ContentType="application/vnd.ms-office.chartstyle+xml"/>
  <Override PartName="/word/charts/style7.xml" ContentType="application/vnd.ms-office.chartstyl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5.xml" ContentType="application/vnd.ms-office.chartstyle+xml"/>
  <Override PartName="/word/charts/style3.xml" ContentType="application/vnd.ms-office.chartstyle+xml"/>
  <Override PartName="/word/charts/style4.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jc w:val="center"/>
        <w:tblLayout w:type="fixed"/>
        <w:tblLook w:val="0000"/>
      </w:tblPr>
      <w:tblGrid>
        <w:gridCol w:w="3438"/>
        <w:gridCol w:w="5776"/>
      </w:tblGrid>
      <w:tr w:rsidR="00791FF1" w:rsidRPr="002C0B23" w:rsidTr="007E11BA">
        <w:trPr>
          <w:jc w:val="center"/>
        </w:trPr>
        <w:tc>
          <w:tcPr>
            <w:tcW w:w="3438" w:type="dxa"/>
          </w:tcPr>
          <w:p w:rsidR="00791FF1" w:rsidRPr="002C0B23" w:rsidRDefault="00791FF1" w:rsidP="00231408">
            <w:pPr>
              <w:spacing w:after="0" w:line="240" w:lineRule="auto"/>
              <w:jc w:val="center"/>
              <w:rPr>
                <w:rFonts w:ascii="Times New Roman" w:hAnsi="Times New Roman" w:cs="Times New Roman"/>
                <w:spacing w:val="-6"/>
                <w:sz w:val="26"/>
                <w:szCs w:val="26"/>
              </w:rPr>
            </w:pPr>
            <w:r w:rsidRPr="002C0B23">
              <w:rPr>
                <w:rFonts w:ascii="Times New Roman" w:hAnsi="Times New Roman" w:cs="Times New Roman"/>
                <w:spacing w:val="-6"/>
                <w:sz w:val="26"/>
                <w:szCs w:val="26"/>
              </w:rPr>
              <w:t>BỘ KẾ HOẠCH VÀ ĐẦU TƯ</w:t>
            </w:r>
          </w:p>
          <w:p w:rsidR="00791FF1" w:rsidRPr="002C0B23" w:rsidRDefault="00791FF1" w:rsidP="00231408">
            <w:pPr>
              <w:spacing w:after="0" w:line="240" w:lineRule="auto"/>
              <w:jc w:val="center"/>
              <w:rPr>
                <w:rFonts w:ascii="Times New Roman" w:hAnsi="Times New Roman" w:cs="Times New Roman"/>
                <w:b/>
                <w:bCs/>
                <w:spacing w:val="-6"/>
                <w:sz w:val="26"/>
                <w:szCs w:val="26"/>
              </w:rPr>
            </w:pPr>
            <w:r w:rsidRPr="002C0B23">
              <w:rPr>
                <w:rFonts w:ascii="Times New Roman" w:hAnsi="Times New Roman" w:cs="Times New Roman"/>
                <w:b/>
                <w:bCs/>
                <w:spacing w:val="-6"/>
                <w:sz w:val="26"/>
                <w:szCs w:val="26"/>
              </w:rPr>
              <w:t>TỔNG CỤC THỐNG KÊ</w:t>
            </w:r>
          </w:p>
          <w:p w:rsidR="00231408" w:rsidRPr="002C0B23" w:rsidRDefault="00231408" w:rsidP="00231408">
            <w:pPr>
              <w:spacing w:after="0" w:line="144" w:lineRule="auto"/>
              <w:jc w:val="center"/>
              <w:rPr>
                <w:rFonts w:ascii="Times New Roman" w:hAnsi="Times New Roman" w:cs="Times New Roman"/>
                <w:b/>
                <w:bCs/>
                <w:spacing w:val="-6"/>
                <w:sz w:val="28"/>
                <w:szCs w:val="28"/>
                <w:vertAlign w:val="superscript"/>
              </w:rPr>
            </w:pPr>
            <w:r w:rsidRPr="002C0B23">
              <w:rPr>
                <w:rFonts w:ascii="Times New Roman" w:hAnsi="Times New Roman" w:cs="Times New Roman"/>
                <w:b/>
                <w:bCs/>
                <w:spacing w:val="-6"/>
                <w:sz w:val="26"/>
                <w:szCs w:val="26"/>
                <w:vertAlign w:val="superscript"/>
              </w:rPr>
              <w:t>________________</w:t>
            </w:r>
          </w:p>
          <w:p w:rsidR="00791FF1" w:rsidRPr="002C0B23" w:rsidRDefault="00791FF1" w:rsidP="007E11BA">
            <w:pPr>
              <w:spacing w:before="360" w:after="0" w:line="252" w:lineRule="auto"/>
              <w:ind w:hanging="272"/>
              <w:jc w:val="center"/>
              <w:rPr>
                <w:rFonts w:ascii="Times New Roman" w:hAnsi="Times New Roman" w:cs="Times New Roman"/>
                <w:sz w:val="28"/>
                <w:szCs w:val="28"/>
              </w:rPr>
            </w:pPr>
          </w:p>
        </w:tc>
        <w:tc>
          <w:tcPr>
            <w:tcW w:w="5776" w:type="dxa"/>
          </w:tcPr>
          <w:p w:rsidR="00791FF1" w:rsidRPr="002C0B23" w:rsidRDefault="00791FF1" w:rsidP="007E11BA">
            <w:pPr>
              <w:spacing w:after="0" w:line="240" w:lineRule="auto"/>
              <w:jc w:val="center"/>
              <w:rPr>
                <w:rFonts w:ascii="Times New Roman" w:hAnsi="Times New Roman" w:cs="Times New Roman"/>
                <w:b/>
                <w:bCs/>
                <w:sz w:val="26"/>
                <w:szCs w:val="26"/>
              </w:rPr>
            </w:pPr>
            <w:r w:rsidRPr="002C0B23">
              <w:rPr>
                <w:rFonts w:ascii="Times New Roman" w:hAnsi="Times New Roman" w:cs="Times New Roman"/>
                <w:b/>
                <w:bCs/>
                <w:sz w:val="26"/>
                <w:szCs w:val="26"/>
              </w:rPr>
              <w:t>CỘNG H</w:t>
            </w:r>
            <w:r w:rsidR="00F264DD" w:rsidRPr="002C0B23">
              <w:rPr>
                <w:rFonts w:ascii="Times New Roman" w:hAnsi="Times New Roman" w:cs="Times New Roman"/>
                <w:b/>
                <w:bCs/>
                <w:sz w:val="26"/>
                <w:szCs w:val="26"/>
              </w:rPr>
              <w:t>ÒA</w:t>
            </w:r>
            <w:r w:rsidRPr="002C0B23">
              <w:rPr>
                <w:rFonts w:ascii="Times New Roman" w:hAnsi="Times New Roman" w:cs="Times New Roman"/>
                <w:b/>
                <w:bCs/>
                <w:sz w:val="26"/>
                <w:szCs w:val="26"/>
              </w:rPr>
              <w:t xml:space="preserve"> XÃ HỘI CHỦ NGHĨA VIỆT NAM</w:t>
            </w:r>
          </w:p>
          <w:p w:rsidR="00791FF1" w:rsidRPr="002C0B23" w:rsidRDefault="00791FF1" w:rsidP="007E11BA">
            <w:pPr>
              <w:spacing w:after="0" w:line="240" w:lineRule="auto"/>
              <w:jc w:val="center"/>
              <w:rPr>
                <w:rFonts w:ascii="Times New Roman" w:hAnsi="Times New Roman" w:cs="Times New Roman"/>
                <w:b/>
                <w:bCs/>
                <w:sz w:val="28"/>
                <w:szCs w:val="28"/>
              </w:rPr>
            </w:pPr>
            <w:r w:rsidRPr="002C0B23">
              <w:rPr>
                <w:rFonts w:ascii="Times New Roman" w:hAnsi="Times New Roman" w:cs="Times New Roman"/>
                <w:b/>
                <w:bCs/>
                <w:sz w:val="28"/>
                <w:szCs w:val="28"/>
              </w:rPr>
              <w:t>Độc lập - Tự do - Hạnh phúc</w:t>
            </w:r>
          </w:p>
          <w:p w:rsidR="00231408" w:rsidRPr="002C0B23" w:rsidRDefault="00231408" w:rsidP="00231408">
            <w:pPr>
              <w:spacing w:after="0" w:line="144" w:lineRule="auto"/>
              <w:jc w:val="center"/>
              <w:rPr>
                <w:rFonts w:ascii="Times New Roman" w:hAnsi="Times New Roman" w:cs="Times New Roman"/>
                <w:b/>
                <w:bCs/>
                <w:sz w:val="28"/>
                <w:szCs w:val="28"/>
                <w:vertAlign w:val="superscript"/>
              </w:rPr>
            </w:pPr>
            <w:r w:rsidRPr="002C0B23">
              <w:rPr>
                <w:rFonts w:ascii="Times New Roman" w:hAnsi="Times New Roman" w:cs="Times New Roman"/>
                <w:b/>
                <w:bCs/>
                <w:sz w:val="28"/>
                <w:szCs w:val="28"/>
                <w:vertAlign w:val="superscript"/>
              </w:rPr>
              <w:t>_____________________________________</w:t>
            </w:r>
          </w:p>
          <w:p w:rsidR="00791FF1" w:rsidRPr="002C0B23" w:rsidRDefault="00791FF1" w:rsidP="00791FF1">
            <w:pPr>
              <w:spacing w:before="240" w:after="0" w:line="252" w:lineRule="auto"/>
              <w:ind w:firstLine="391"/>
              <w:rPr>
                <w:rFonts w:ascii="Times New Roman" w:hAnsi="Times New Roman" w:cs="Times New Roman"/>
                <w:b/>
                <w:bCs/>
                <w:i/>
                <w:iCs/>
                <w:sz w:val="28"/>
                <w:szCs w:val="28"/>
              </w:rPr>
            </w:pPr>
            <w:r w:rsidRPr="002C0B23">
              <w:rPr>
                <w:rFonts w:ascii="Times New Roman" w:hAnsi="Times New Roman" w:cs="Times New Roman"/>
                <w:i/>
                <w:iCs/>
                <w:sz w:val="28"/>
                <w:szCs w:val="28"/>
              </w:rPr>
              <w:t xml:space="preserve">      Hà Nội, ngày 2</w:t>
            </w:r>
            <w:r w:rsidR="00F264DD" w:rsidRPr="002C0B23">
              <w:rPr>
                <w:rFonts w:ascii="Times New Roman" w:hAnsi="Times New Roman" w:cs="Times New Roman"/>
                <w:i/>
                <w:iCs/>
                <w:sz w:val="28"/>
                <w:szCs w:val="28"/>
              </w:rPr>
              <w:t>9</w:t>
            </w:r>
            <w:r w:rsidRPr="002C0B23">
              <w:rPr>
                <w:rFonts w:ascii="Times New Roman" w:hAnsi="Times New Roman" w:cs="Times New Roman"/>
                <w:i/>
                <w:iCs/>
                <w:sz w:val="28"/>
                <w:szCs w:val="28"/>
              </w:rPr>
              <w:t xml:space="preserve"> tháng </w:t>
            </w:r>
            <w:r w:rsidR="00F264DD" w:rsidRPr="002C0B23">
              <w:rPr>
                <w:rFonts w:ascii="Times New Roman" w:hAnsi="Times New Roman" w:cs="Times New Roman"/>
                <w:i/>
                <w:iCs/>
                <w:sz w:val="28"/>
                <w:szCs w:val="28"/>
              </w:rPr>
              <w:t>6</w:t>
            </w:r>
            <w:r w:rsidRPr="002C0B23">
              <w:rPr>
                <w:rFonts w:ascii="Times New Roman" w:hAnsi="Times New Roman" w:cs="Times New Roman"/>
                <w:i/>
                <w:iCs/>
                <w:sz w:val="28"/>
                <w:szCs w:val="28"/>
              </w:rPr>
              <w:t xml:space="preserve"> năm 20</w:t>
            </w:r>
            <w:r w:rsidR="00AD2F18">
              <w:rPr>
                <w:rFonts w:ascii="Times New Roman" w:hAnsi="Times New Roman" w:cs="Times New Roman"/>
                <w:i/>
                <w:iCs/>
                <w:sz w:val="28"/>
                <w:szCs w:val="28"/>
              </w:rPr>
              <w:t>21</w:t>
            </w:r>
          </w:p>
        </w:tc>
      </w:tr>
    </w:tbl>
    <w:p w:rsidR="00791FF1" w:rsidRPr="002C0B23" w:rsidRDefault="00791FF1" w:rsidP="00F76179">
      <w:pPr>
        <w:spacing w:after="0" w:line="245" w:lineRule="auto"/>
        <w:jc w:val="center"/>
        <w:rPr>
          <w:rFonts w:ascii="Times New Roman" w:hAnsi="Times New Roman" w:cs="Times New Roman"/>
          <w:b/>
          <w:bCs/>
          <w:sz w:val="40"/>
          <w:szCs w:val="26"/>
          <w:lang w:val="pt-BR"/>
        </w:rPr>
      </w:pPr>
    </w:p>
    <w:p w:rsidR="00B54309" w:rsidRPr="002C0B23" w:rsidRDefault="00F676B6" w:rsidP="00F76179">
      <w:pPr>
        <w:spacing w:after="0" w:line="245" w:lineRule="auto"/>
        <w:jc w:val="center"/>
        <w:rPr>
          <w:rFonts w:ascii="Times New Roman" w:hAnsi="Times New Roman" w:cs="Times New Roman"/>
          <w:b/>
          <w:bCs/>
          <w:sz w:val="30"/>
          <w:szCs w:val="30"/>
          <w:lang w:val="pt-BR"/>
        </w:rPr>
      </w:pPr>
      <w:r w:rsidRPr="002C0B23">
        <w:rPr>
          <w:rFonts w:ascii="Times New Roman" w:hAnsi="Times New Roman" w:cs="Times New Roman"/>
          <w:b/>
          <w:bCs/>
          <w:sz w:val="30"/>
          <w:szCs w:val="30"/>
          <w:lang w:val="pt-BR"/>
        </w:rPr>
        <w:t>THÔNG CÁO BÁO CHÍ</w:t>
      </w:r>
    </w:p>
    <w:p w:rsidR="004D1EA5" w:rsidRPr="002C0B23" w:rsidRDefault="00F676B6" w:rsidP="004D1EA5">
      <w:pPr>
        <w:spacing w:after="0" w:line="245" w:lineRule="auto"/>
        <w:jc w:val="center"/>
        <w:rPr>
          <w:rFonts w:ascii="Times New Roman" w:hAnsi="Times New Roman" w:cs="Times New Roman"/>
          <w:b/>
          <w:bCs/>
          <w:sz w:val="30"/>
          <w:szCs w:val="30"/>
          <w:lang w:val="pt-BR"/>
        </w:rPr>
      </w:pPr>
      <w:r w:rsidRPr="002C0B23">
        <w:rPr>
          <w:rFonts w:ascii="Times New Roman" w:hAnsi="Times New Roman" w:cs="Times New Roman"/>
          <w:b/>
          <w:bCs/>
          <w:sz w:val="30"/>
          <w:szCs w:val="30"/>
          <w:lang w:val="pt-BR"/>
        </w:rPr>
        <w:t xml:space="preserve">Về </w:t>
      </w:r>
      <w:r w:rsidR="00420AAB">
        <w:rPr>
          <w:rFonts w:ascii="Times New Roman" w:hAnsi="Times New Roman" w:cs="Times New Roman"/>
          <w:b/>
          <w:bCs/>
          <w:sz w:val="30"/>
          <w:szCs w:val="30"/>
          <w:lang w:val="pt-BR"/>
        </w:rPr>
        <w:t>kết quả Khảo sát mức sống dân cư năm 2020</w:t>
      </w:r>
    </w:p>
    <w:p w:rsidR="004D1EA5" w:rsidRPr="002C0B23" w:rsidRDefault="00FC3B6E" w:rsidP="00420AAB">
      <w:pPr>
        <w:spacing w:after="0" w:line="245" w:lineRule="auto"/>
        <w:rPr>
          <w:rFonts w:ascii="Times New Roman" w:hAnsi="Times New Roman" w:cs="Times New Roman"/>
          <w:b/>
          <w:bCs/>
          <w:sz w:val="34"/>
          <w:szCs w:val="34"/>
          <w:lang w:val="pt-BR"/>
        </w:rPr>
      </w:pPr>
      <w:r w:rsidRPr="00FC3B6E">
        <w:rPr>
          <w:rFonts w:ascii="Times New Roman" w:hAnsi="Times New Roman" w:cs="Times New Roman"/>
          <w:b/>
          <w:bCs/>
          <w:noProof/>
          <w:sz w:val="28"/>
          <w:szCs w:val="28"/>
          <w:lang w:val="en-US"/>
        </w:rPr>
        <w:pict>
          <v:shapetype id="_x0000_t32" coordsize="21600,21600" o:spt="32" o:oned="t" path="m,l21600,21600e" filled="f">
            <v:path arrowok="t" fillok="f" o:connecttype="none"/>
            <o:lock v:ext="edit" shapetype="t"/>
          </v:shapetype>
          <v:shape id="AutoShape 4" o:spid="_x0000_s1026" type="#_x0000_t32" style="position:absolute;margin-left:172.85pt;margin-top:2.45pt;width:12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"/>
        </w:pict>
      </w:r>
    </w:p>
    <w:p w:rsidR="00420AAB" w:rsidRPr="00420AAB" w:rsidRDefault="00420AAB" w:rsidP="00416455">
      <w:pPr>
        <w:pStyle w:val="ListParagraph"/>
        <w:numPr>
          <w:ilvl w:val="0"/>
          <w:numId w:val="23"/>
        </w:numPr>
        <w:spacing w:before="120" w:after="120" w:line="288" w:lineRule="auto"/>
        <w:contextualSpacing/>
        <w:rPr>
          <w:rFonts w:ascii="Times New Roman" w:hAnsi="Times New Roman" w:cs="Times New Roman"/>
          <w:b/>
          <w:bCs/>
          <w:spacing w:val="-4"/>
          <w:sz w:val="28"/>
          <w:szCs w:val="28"/>
          <w:lang w:val="pt-BR"/>
        </w:rPr>
      </w:pPr>
      <w:r w:rsidRPr="00420AAB">
        <w:rPr>
          <w:rFonts w:ascii="Times New Roman" w:hAnsi="Times New Roman" w:cs="Times New Roman"/>
          <w:b/>
          <w:bCs/>
          <w:spacing w:val="-4"/>
          <w:sz w:val="28"/>
          <w:szCs w:val="28"/>
          <w:lang w:val="pt-BR"/>
        </w:rPr>
        <w:t>Một số thông tin chung về Khảo sát mức sống dân cư năm 2020</w:t>
      </w:r>
    </w:p>
    <w:p w:rsidR="00420AAB" w:rsidRPr="00420AAB" w:rsidRDefault="00420AAB" w:rsidP="00416455">
      <w:pPr>
        <w:pStyle w:val="BodyText2"/>
        <w:tabs>
          <w:tab w:val="left" w:pos="-2430"/>
          <w:tab w:val="left" w:pos="720"/>
        </w:tabs>
        <w:spacing w:before="120" w:line="288" w:lineRule="auto"/>
        <w:ind w:firstLine="720"/>
        <w:jc w:val="both"/>
        <w:rPr>
          <w:rFonts w:ascii="Times New Roman" w:hAnsi="Times New Roman" w:cs="Times New Roman"/>
          <w:sz w:val="28"/>
          <w:szCs w:val="28"/>
          <w:lang w:val="pt-BR"/>
        </w:rPr>
      </w:pPr>
      <w:r w:rsidRPr="00420AAB">
        <w:rPr>
          <w:rFonts w:ascii="Times New Roman" w:hAnsi="Times New Roman" w:cs="Times New Roman"/>
          <w:sz w:val="28"/>
          <w:szCs w:val="28"/>
          <w:lang w:val="pt-BR"/>
        </w:rPr>
        <w:t xml:space="preserve">Khảo sát mức sống dân cư năm 2020 (viết gọn là KSMS 2020) được tiến hành theo Quyết định số 1261/QĐ-TCTK ngày 19 tháng 8 năm 2019 của Tổng cục trưởng Tổng cục Thống kê. KSMS 2020 là cuộc điều tra chọn mẫu nhằm thu thập thông tin để tổng hợp, biên soạn các chỉ tiêu thống kê quốc gia về mức sống hộ dân cư, đáp ứng nhu cầu thông tin thống kê cho các cấp, các ngành để đánh giá mức sống, tình trạng nghèo đói và phân hoá giàu nghèo của dân cư theo hướng tiếp cận đa chiều. KSMS 2020 được tiến hành </w:t>
      </w:r>
      <w:r w:rsidRPr="00420AAB">
        <w:rPr>
          <w:rFonts w:ascii="Times New Roman" w:hAnsi="Times New Roman" w:cs="Times New Roman"/>
          <w:bCs/>
          <w:sz w:val="28"/>
          <w:szCs w:val="28"/>
          <w:lang w:val="pt-BR"/>
        </w:rPr>
        <w:t xml:space="preserve">trên phạm vi </w:t>
      </w:r>
      <w:r w:rsidRPr="00420AAB">
        <w:rPr>
          <w:rFonts w:ascii="Times New Roman" w:hAnsi="Times New Roman" w:cs="Times New Roman"/>
          <w:sz w:val="28"/>
          <w:szCs w:val="28"/>
          <w:lang w:val="pt-BR"/>
        </w:rPr>
        <w:t xml:space="preserve">63 tỉnh, thành phố trực thuộc Trung ương, bao gồm </w:t>
      </w:r>
      <w:r w:rsidRPr="00420AAB">
        <w:rPr>
          <w:rFonts w:ascii="Times New Roman" w:hAnsi="Times New Roman" w:cs="Times New Roman"/>
          <w:spacing w:val="-4"/>
          <w:sz w:val="28"/>
          <w:szCs w:val="28"/>
          <w:lang w:val="pt-BR"/>
        </w:rPr>
        <w:t>46</w:t>
      </w:r>
      <w:r w:rsidRPr="00420AAB">
        <w:rPr>
          <w:rFonts w:ascii="Times New Roman" w:hAnsi="Times New Roman" w:cs="Times New Roman"/>
          <w:bCs/>
          <w:spacing w:val="-4"/>
          <w:sz w:val="28"/>
          <w:szCs w:val="28"/>
        </w:rPr>
        <w:t>.995</w:t>
      </w:r>
      <w:r w:rsidRPr="00420AAB">
        <w:rPr>
          <w:rFonts w:ascii="Times New Roman" w:hAnsi="Times New Roman" w:cs="Times New Roman"/>
          <w:color w:val="000000"/>
          <w:spacing w:val="-4"/>
          <w:sz w:val="28"/>
          <w:szCs w:val="28"/>
          <w:lang w:val="pt-BR"/>
        </w:rPr>
        <w:t xml:space="preserve"> </w:t>
      </w:r>
      <w:r w:rsidRPr="00420AAB">
        <w:rPr>
          <w:rFonts w:ascii="Times New Roman" w:hAnsi="Times New Roman" w:cs="Times New Roman"/>
          <w:sz w:val="28"/>
          <w:szCs w:val="28"/>
          <w:lang w:val="pt-BR"/>
        </w:rPr>
        <w:t xml:space="preserve">hộ đại diện cho toàn quốc, khu vực thành thị, nông thôn, 6 vùng địa lý, tỉnh/thành phố trực thuộc Trung ương. Riêng thông tin về chi tiêu chỉ đại diện đến cấp toàn quốc và 6 vùng địa lý. Các thông tin được thu thập trong KSMS 2020 gồm: thu nhập, chi tiêu, </w:t>
      </w:r>
      <w:r w:rsidRPr="00420AAB">
        <w:rPr>
          <w:rFonts w:ascii="Times New Roman" w:hAnsi="Times New Roman" w:cs="Times New Roman"/>
          <w:color w:val="000000"/>
          <w:sz w:val="28"/>
          <w:szCs w:val="28"/>
          <w:lang w:val="pt-BR"/>
        </w:rPr>
        <w:t xml:space="preserve">nhân khẩu học, giáo dục, y tế, việc làm, đồ dùng lâu bền, nhà ở, điện, nước, điều kiện vệ sinh, tham gia các chương trình trợ giúp </w:t>
      </w:r>
      <w:r w:rsidRPr="00420AAB">
        <w:rPr>
          <w:rFonts w:ascii="Times New Roman" w:hAnsi="Times New Roman" w:cs="Times New Roman"/>
          <w:sz w:val="28"/>
          <w:szCs w:val="28"/>
          <w:lang w:val="pt-BR"/>
        </w:rPr>
        <w:t>của hộ dân cư và các thành viên trong hộ</w:t>
      </w:r>
      <w:r w:rsidRPr="00420AAB">
        <w:rPr>
          <w:rFonts w:ascii="Times New Roman" w:hAnsi="Times New Roman" w:cs="Times New Roman"/>
          <w:color w:val="000000"/>
          <w:sz w:val="28"/>
          <w:szCs w:val="28"/>
          <w:lang w:val="pt-BR"/>
        </w:rPr>
        <w:t xml:space="preserve"> và một số đặc điểm của xã</w:t>
      </w:r>
      <w:r w:rsidRPr="00420AAB">
        <w:rPr>
          <w:rFonts w:ascii="Times New Roman" w:hAnsi="Times New Roman" w:cs="Times New Roman"/>
          <w:sz w:val="28"/>
          <w:szCs w:val="28"/>
          <w:lang w:val="pt-BR"/>
        </w:rPr>
        <w:t>.</w:t>
      </w:r>
    </w:p>
    <w:p w:rsidR="00420AAB" w:rsidRPr="00420AAB" w:rsidRDefault="00420AAB" w:rsidP="00416455">
      <w:pPr>
        <w:pStyle w:val="BodyText2"/>
        <w:numPr>
          <w:ilvl w:val="0"/>
          <w:numId w:val="23"/>
        </w:numPr>
        <w:tabs>
          <w:tab w:val="left" w:pos="-2430"/>
          <w:tab w:val="left" w:pos="630"/>
          <w:tab w:val="left" w:pos="720"/>
          <w:tab w:val="left" w:pos="8730"/>
          <w:tab w:val="left" w:pos="9000"/>
        </w:tabs>
        <w:spacing w:before="120" w:line="288" w:lineRule="auto"/>
        <w:jc w:val="both"/>
        <w:rPr>
          <w:rFonts w:ascii="Times New Roman" w:hAnsi="Times New Roman" w:cs="Times New Roman"/>
          <w:b/>
          <w:sz w:val="28"/>
          <w:szCs w:val="28"/>
          <w:lang w:val="pt-BR"/>
        </w:rPr>
      </w:pPr>
      <w:r w:rsidRPr="00420AAB">
        <w:rPr>
          <w:rFonts w:ascii="Times New Roman" w:hAnsi="Times New Roman" w:cs="Times New Roman"/>
          <w:b/>
          <w:sz w:val="28"/>
          <w:szCs w:val="28"/>
          <w:lang w:val="pt-BR"/>
        </w:rPr>
        <w:t>Một số kết quả chính của KSMS 2020</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rPr>
      </w:pPr>
      <w:r w:rsidRPr="00420AAB">
        <w:rPr>
          <w:rFonts w:ascii="Times New Roman" w:hAnsi="Times New Roman" w:cs="Times New Roman"/>
          <w:sz w:val="28"/>
          <w:szCs w:val="28"/>
        </w:rPr>
        <w:t xml:space="preserve">Thu nhập bình quân (TNBQ) 1 người 1 tháng chung cả nước năm 2020 theo giá hiện hành đạt khoảng </w:t>
      </w:r>
      <w:r w:rsidR="00A2525E">
        <w:rPr>
          <w:rFonts w:ascii="Times New Roman" w:hAnsi="Times New Roman" w:cs="Times New Roman"/>
          <w:sz w:val="28"/>
          <w:szCs w:val="28"/>
        </w:rPr>
        <w:t>4,</w:t>
      </w:r>
      <w:r w:rsidRPr="00420AAB">
        <w:rPr>
          <w:rFonts w:ascii="Times New Roman" w:hAnsi="Times New Roman" w:cs="Times New Roman"/>
          <w:sz w:val="28"/>
          <w:szCs w:val="28"/>
        </w:rPr>
        <w:t xml:space="preserve">2 </w:t>
      </w:r>
      <w:r w:rsidR="00A2525E">
        <w:rPr>
          <w:rFonts w:ascii="Times New Roman" w:hAnsi="Times New Roman" w:cs="Times New Roman"/>
          <w:sz w:val="28"/>
          <w:szCs w:val="28"/>
        </w:rPr>
        <w:t>triệu</w:t>
      </w:r>
      <w:r w:rsidRPr="00420AAB">
        <w:rPr>
          <w:rFonts w:ascii="Times New Roman" w:hAnsi="Times New Roman" w:cs="Times New Roman"/>
          <w:sz w:val="28"/>
          <w:szCs w:val="28"/>
        </w:rPr>
        <w:t xml:space="preserve"> đồng, giảm khoảng 1% so với năm 2019. Bình quân mỗi năm trong thời kỳ 2016-2020, thu nhập bình quân đầu người 1 tháng chung cả nước tăng bình quân 8,2%. TNBQ 1 người 1 tháng năm 2020</w:t>
      </w:r>
      <w:r w:rsidR="00A2525E">
        <w:rPr>
          <w:rFonts w:ascii="Times New Roman" w:hAnsi="Times New Roman" w:cs="Times New Roman"/>
          <w:sz w:val="28"/>
          <w:szCs w:val="28"/>
        </w:rPr>
        <w:t xml:space="preserve"> ở khu vực thành thị đạt 5,6 triệu</w:t>
      </w:r>
      <w:r w:rsidRPr="00420AAB">
        <w:rPr>
          <w:rFonts w:ascii="Times New Roman" w:hAnsi="Times New Roman" w:cs="Times New Roman"/>
          <w:sz w:val="28"/>
          <w:szCs w:val="28"/>
        </w:rPr>
        <w:t xml:space="preserve"> đồng, cao gấp gần 1,6 lần khu vực nông thôn (3</w:t>
      </w:r>
      <w:r w:rsidR="00A2525E">
        <w:rPr>
          <w:rFonts w:ascii="Times New Roman" w:hAnsi="Times New Roman" w:cs="Times New Roman"/>
          <w:sz w:val="28"/>
          <w:szCs w:val="28"/>
        </w:rPr>
        <w:t>,5 triệu</w:t>
      </w:r>
      <w:r w:rsidRPr="00420AAB">
        <w:rPr>
          <w:rFonts w:ascii="Times New Roman" w:hAnsi="Times New Roman" w:cs="Times New Roman"/>
          <w:sz w:val="28"/>
          <w:szCs w:val="28"/>
        </w:rPr>
        <w:t xml:space="preserve"> đồng). Nhóm hộ giàu nhất (nhóm gồm 20% dân số giàu nhất - nhóm 5) có TNBQ 1 người 1 tháng năm 2020 đạ</w:t>
      </w:r>
      <w:r w:rsidR="00A2525E">
        <w:rPr>
          <w:rFonts w:ascii="Times New Roman" w:hAnsi="Times New Roman" w:cs="Times New Roman"/>
          <w:sz w:val="28"/>
          <w:szCs w:val="28"/>
        </w:rPr>
        <w:t>t 9,1</w:t>
      </w:r>
      <w:r w:rsidRPr="00420AAB">
        <w:rPr>
          <w:rFonts w:ascii="Times New Roman" w:hAnsi="Times New Roman" w:cs="Times New Roman"/>
          <w:sz w:val="28"/>
          <w:szCs w:val="28"/>
        </w:rPr>
        <w:t xml:space="preserve"> </w:t>
      </w:r>
      <w:r w:rsidR="00A2525E">
        <w:rPr>
          <w:rFonts w:ascii="Times New Roman" w:hAnsi="Times New Roman" w:cs="Times New Roman"/>
          <w:sz w:val="28"/>
          <w:szCs w:val="28"/>
        </w:rPr>
        <w:t>triệu</w:t>
      </w:r>
      <w:r w:rsidRPr="00420AAB">
        <w:rPr>
          <w:rFonts w:ascii="Times New Roman" w:hAnsi="Times New Roman" w:cs="Times New Roman"/>
          <w:sz w:val="28"/>
          <w:szCs w:val="28"/>
        </w:rPr>
        <w:t xml:space="preserve"> đồng cao gấp hơn 8 lần so với nhóm hộ nghèo nhất (nhóm gồm 20% dân số nghèo nhất - nhóm 1), với mức thu nhập đạt 1</w:t>
      </w:r>
      <w:r w:rsidR="00A2525E">
        <w:rPr>
          <w:rFonts w:ascii="Times New Roman" w:hAnsi="Times New Roman" w:cs="Times New Roman"/>
          <w:sz w:val="28"/>
          <w:szCs w:val="28"/>
        </w:rPr>
        <w:t>,</w:t>
      </w:r>
      <w:r w:rsidRPr="00420AAB">
        <w:rPr>
          <w:rFonts w:ascii="Times New Roman" w:hAnsi="Times New Roman" w:cs="Times New Roman"/>
          <w:sz w:val="28"/>
          <w:szCs w:val="28"/>
        </w:rPr>
        <w:t>1</w:t>
      </w:r>
      <w:r w:rsidR="00A2525E">
        <w:rPr>
          <w:rFonts w:ascii="Times New Roman" w:hAnsi="Times New Roman" w:cs="Times New Roman"/>
          <w:sz w:val="28"/>
          <w:szCs w:val="28"/>
        </w:rPr>
        <w:t xml:space="preserve"> triệu</w:t>
      </w:r>
      <w:r w:rsidRPr="00420AAB">
        <w:rPr>
          <w:rFonts w:ascii="Times New Roman" w:hAnsi="Times New Roman" w:cs="Times New Roman"/>
          <w:sz w:val="28"/>
          <w:szCs w:val="28"/>
        </w:rPr>
        <w:t xml:space="preserve"> đồng. Vùng có TNBQ đầu người cao nhất là vùng Đông Nam Bộ (6</w:t>
      </w:r>
      <w:r w:rsidR="00A2525E">
        <w:rPr>
          <w:rFonts w:ascii="Times New Roman" w:hAnsi="Times New Roman" w:cs="Times New Roman"/>
          <w:sz w:val="28"/>
          <w:szCs w:val="28"/>
        </w:rPr>
        <w:t>,0</w:t>
      </w:r>
      <w:r w:rsidRPr="00420AAB">
        <w:rPr>
          <w:rFonts w:ascii="Times New Roman" w:hAnsi="Times New Roman" w:cs="Times New Roman"/>
          <w:sz w:val="28"/>
          <w:szCs w:val="28"/>
        </w:rPr>
        <w:t xml:space="preserve"> </w:t>
      </w:r>
      <w:r w:rsidR="00A2525E">
        <w:rPr>
          <w:rFonts w:ascii="Times New Roman" w:hAnsi="Times New Roman" w:cs="Times New Roman"/>
          <w:sz w:val="28"/>
          <w:szCs w:val="28"/>
        </w:rPr>
        <w:t>triệu</w:t>
      </w:r>
      <w:r w:rsidRPr="00420AAB">
        <w:rPr>
          <w:rFonts w:ascii="Times New Roman" w:hAnsi="Times New Roman" w:cs="Times New Roman"/>
          <w:sz w:val="28"/>
          <w:szCs w:val="28"/>
        </w:rPr>
        <w:t xml:space="preserve"> đồng 1 người 1 tháng), cao gấp 2,2 lần vùng có TNBQ đầu người thấp nhất là vùng Trung du và miền núi phía Bắc (2</w:t>
      </w:r>
      <w:r w:rsidR="00634375">
        <w:rPr>
          <w:rFonts w:ascii="Times New Roman" w:hAnsi="Times New Roman" w:cs="Times New Roman"/>
          <w:sz w:val="28"/>
          <w:szCs w:val="28"/>
        </w:rPr>
        <w:t>,7 triệu</w:t>
      </w:r>
      <w:r w:rsidRPr="00420AAB">
        <w:rPr>
          <w:rFonts w:ascii="Times New Roman" w:hAnsi="Times New Roman" w:cs="Times New Roman"/>
          <w:sz w:val="28"/>
          <w:szCs w:val="28"/>
        </w:rPr>
        <w:t xml:space="preserve"> đồng 1 người 1 tháng).</w:t>
      </w:r>
    </w:p>
    <w:p w:rsidR="00420AAB" w:rsidRDefault="00420AAB" w:rsidP="00416455">
      <w:pPr>
        <w:pStyle w:val="BodyText2"/>
        <w:tabs>
          <w:tab w:val="left" w:pos="-2430"/>
        </w:tabs>
        <w:spacing w:before="120" w:line="288" w:lineRule="auto"/>
        <w:ind w:left="720"/>
        <w:jc w:val="center"/>
        <w:rPr>
          <w:rFonts w:ascii="Times New Roman" w:hAnsi="Times New Roman" w:cs="Times New Roman"/>
          <w:b/>
          <w:bCs/>
          <w:sz w:val="28"/>
          <w:szCs w:val="28"/>
          <w:lang w:val="pt-BR"/>
        </w:rPr>
      </w:pPr>
    </w:p>
    <w:p w:rsidR="00420AAB" w:rsidRDefault="00420AAB" w:rsidP="00416455">
      <w:pPr>
        <w:pStyle w:val="BodyText2"/>
        <w:tabs>
          <w:tab w:val="left" w:pos="-2430"/>
        </w:tabs>
        <w:spacing w:before="120" w:line="288" w:lineRule="auto"/>
        <w:ind w:left="720"/>
        <w:jc w:val="center"/>
        <w:rPr>
          <w:rFonts w:ascii="Times New Roman" w:hAnsi="Times New Roman" w:cs="Times New Roman"/>
          <w:b/>
          <w:bCs/>
          <w:sz w:val="28"/>
          <w:szCs w:val="28"/>
          <w:lang w:val="pt-BR"/>
        </w:rPr>
      </w:pPr>
    </w:p>
    <w:p w:rsidR="00420AAB" w:rsidRDefault="00420AAB" w:rsidP="00416455">
      <w:pPr>
        <w:pStyle w:val="BodyText2"/>
        <w:tabs>
          <w:tab w:val="left" w:pos="-2430"/>
        </w:tabs>
        <w:spacing w:before="120" w:line="288" w:lineRule="auto"/>
        <w:ind w:left="720"/>
        <w:jc w:val="center"/>
        <w:rPr>
          <w:rFonts w:ascii="Times New Roman" w:hAnsi="Times New Roman" w:cs="Times New Roman"/>
          <w:b/>
          <w:bCs/>
          <w:sz w:val="28"/>
          <w:szCs w:val="28"/>
          <w:lang w:val="pt-BR"/>
        </w:rPr>
      </w:pPr>
    </w:p>
    <w:p w:rsidR="00420AAB" w:rsidRPr="00420AAB" w:rsidRDefault="00420AAB" w:rsidP="00416455">
      <w:pPr>
        <w:pStyle w:val="BodyText2"/>
        <w:tabs>
          <w:tab w:val="left" w:pos="-2430"/>
        </w:tabs>
        <w:spacing w:before="120" w:line="288" w:lineRule="auto"/>
        <w:ind w:left="720"/>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Hình 1. Thu nhập bình quân 1 người 1 tháng</w:t>
      </w:r>
    </w:p>
    <w:p w:rsidR="00420AAB" w:rsidRPr="00420AAB" w:rsidRDefault="00571E6B" w:rsidP="00416455">
      <w:pPr>
        <w:pStyle w:val="BodyText2"/>
        <w:tabs>
          <w:tab w:val="left" w:pos="-2430"/>
        </w:tabs>
        <w:spacing w:before="120" w:line="288" w:lineRule="auto"/>
        <w:jc w:val="right"/>
        <w:rPr>
          <w:rFonts w:ascii="Times New Roman" w:hAnsi="Times New Roman" w:cs="Times New Roman"/>
          <w:i/>
          <w:iCs/>
          <w:sz w:val="28"/>
          <w:szCs w:val="28"/>
          <w:lang w:val="pt-BR"/>
        </w:rPr>
      </w:pPr>
      <w:r w:rsidRPr="00420AAB">
        <w:rPr>
          <w:rFonts w:ascii="Times New Roman" w:hAnsi="Times New Roman" w:cs="Times New Roman"/>
          <w:noProof/>
          <w:sz w:val="28"/>
          <w:szCs w:val="28"/>
        </w:rPr>
        <w:drawing>
          <wp:anchor distT="0" distB="0" distL="114300" distR="114300" simplePos="0" relativeHeight="251665408" behindDoc="0" locked="0" layoutInCell="1" allowOverlap="1">
            <wp:simplePos x="0" y="0"/>
            <wp:positionH relativeFrom="column">
              <wp:posOffset>218440</wp:posOffset>
            </wp:positionH>
            <wp:positionV relativeFrom="paragraph">
              <wp:posOffset>318135</wp:posOffset>
            </wp:positionV>
            <wp:extent cx="5387340" cy="2400300"/>
            <wp:effectExtent l="0" t="0" r="3810" b="0"/>
            <wp:wrapSquare wrapText="bothSides"/>
            <wp:docPr id="16" name="Chart 1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5C8BD40-B6C0-4840-900C-093FBBE4B5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420AAB" w:rsidRPr="00420AAB">
        <w:rPr>
          <w:rFonts w:ascii="Times New Roman" w:hAnsi="Times New Roman" w:cs="Times New Roman"/>
          <w:i/>
          <w:iCs/>
          <w:sz w:val="28"/>
          <w:szCs w:val="28"/>
          <w:lang w:val="pt-BR"/>
        </w:rPr>
        <w:t>Đơn vị</w:t>
      </w:r>
      <w:r>
        <w:rPr>
          <w:rFonts w:ascii="Times New Roman" w:hAnsi="Times New Roman" w:cs="Times New Roman"/>
          <w:i/>
          <w:iCs/>
          <w:sz w:val="28"/>
          <w:szCs w:val="28"/>
          <w:lang w:val="pt-BR"/>
        </w:rPr>
        <w:t xml:space="preserve"> tính</w:t>
      </w:r>
      <w:r w:rsidR="00420AAB" w:rsidRPr="00420AAB">
        <w:rPr>
          <w:rFonts w:ascii="Times New Roman" w:hAnsi="Times New Roman" w:cs="Times New Roman"/>
          <w:i/>
          <w:iCs/>
          <w:sz w:val="28"/>
          <w:szCs w:val="28"/>
          <w:lang w:val="pt-BR"/>
        </w:rPr>
        <w:t>: Nghìn đồng</w:t>
      </w:r>
    </w:p>
    <w:p w:rsidR="00420AAB" w:rsidRPr="00420AAB" w:rsidRDefault="00420AAB" w:rsidP="00416455">
      <w:pPr>
        <w:pStyle w:val="BodyText2"/>
        <w:tabs>
          <w:tab w:val="left" w:pos="-2430"/>
        </w:tabs>
        <w:spacing w:before="120" w:line="288" w:lineRule="auto"/>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Nguồn: Tính toán từ dữ liệu Khảo sát mức sống dân cư</w:t>
      </w:r>
    </w:p>
    <w:p w:rsidR="00420AAB" w:rsidRPr="00420AAB" w:rsidRDefault="00420AAB" w:rsidP="00416455">
      <w:pPr>
        <w:spacing w:before="120" w:after="120"/>
        <w:ind w:firstLine="720"/>
        <w:jc w:val="both"/>
        <w:rPr>
          <w:rFonts w:ascii="Times New Roman" w:hAnsi="Times New Roman" w:cs="Times New Roman"/>
          <w:sz w:val="28"/>
          <w:szCs w:val="28"/>
          <w:lang w:val="en-US"/>
        </w:rPr>
      </w:pPr>
      <w:r w:rsidRPr="00420AAB">
        <w:rPr>
          <w:rFonts w:ascii="Times New Roman" w:hAnsi="Times New Roman" w:cs="Times New Roman"/>
          <w:sz w:val="28"/>
          <w:szCs w:val="28"/>
          <w:lang w:val="en-US"/>
        </w:rPr>
        <w:t>Trong tổng thu nhập năm 2020, tỷ trọng thu từ tiền lương, tiền công chiếm 55,4%, thu từ hoạt động tự làm nông, lâm nghiệp, thuỷ sản chiếm 11,2%, thu từ hoạt động tự làm phi nông, lâm nghiệp, thủy sản chiếm 22,9%, thu khác chiếm 10,5%. Cơ cấu thu nhập qua các năm đã có sự chuyển biến theo hướng tiến bộ hơn, trong đó tỷ trọng thu từ tiền lương, tiền công ngày càng tăng, ngược lại tỷ trọng thu từ hoạt động tự làm nông, lâm nghiệp, thuỷ sản ngày càng giảm, kết quả này phù hợp với sự chuyển dịch cơ cấu trong việc làm.</w:t>
      </w:r>
    </w:p>
    <w:p w:rsidR="00420AAB" w:rsidRPr="00420AAB" w:rsidRDefault="00420AAB" w:rsidP="00420AAB">
      <w:pPr>
        <w:pStyle w:val="BodyText2"/>
        <w:tabs>
          <w:tab w:val="left" w:pos="-2430"/>
        </w:tabs>
        <w:spacing w:line="288" w:lineRule="auto"/>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Hình 2. Cơ cấu thu nhập bình quân 1 người 1 tháng chia theo nguồn thu</w:t>
      </w:r>
    </w:p>
    <w:p w:rsidR="00420AAB" w:rsidRPr="00420AAB" w:rsidRDefault="00420AAB" w:rsidP="00420AAB">
      <w:pPr>
        <w:pStyle w:val="BodyText2"/>
        <w:tabs>
          <w:tab w:val="left" w:pos="-2430"/>
        </w:tabs>
        <w:spacing w:line="288" w:lineRule="auto"/>
        <w:jc w:val="right"/>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Đơn vị</w:t>
      </w:r>
      <w:r w:rsidR="00571E6B">
        <w:rPr>
          <w:rFonts w:ascii="Times New Roman" w:hAnsi="Times New Roman" w:cs="Times New Roman"/>
          <w:i/>
          <w:iCs/>
          <w:sz w:val="28"/>
          <w:szCs w:val="28"/>
          <w:lang w:val="pt-BR"/>
        </w:rPr>
        <w:t xml:space="preserve"> tính</w:t>
      </w:r>
      <w:r w:rsidRPr="00420AAB">
        <w:rPr>
          <w:rFonts w:ascii="Times New Roman" w:hAnsi="Times New Roman" w:cs="Times New Roman"/>
          <w:i/>
          <w:iCs/>
          <w:sz w:val="28"/>
          <w:szCs w:val="28"/>
          <w:lang w:val="pt-BR"/>
        </w:rPr>
        <w:t>: %</w:t>
      </w:r>
    </w:p>
    <w:p w:rsidR="00420AAB" w:rsidRPr="00420AAB" w:rsidRDefault="00420AAB" w:rsidP="00A118CC">
      <w:pPr>
        <w:pStyle w:val="BodyText2"/>
        <w:tabs>
          <w:tab w:val="left" w:pos="-2430"/>
        </w:tabs>
        <w:spacing w:line="288" w:lineRule="auto"/>
        <w:jc w:val="right"/>
        <w:rPr>
          <w:rFonts w:ascii="Times New Roman" w:hAnsi="Times New Roman" w:cs="Times New Roman"/>
          <w:i/>
          <w:iCs/>
          <w:sz w:val="28"/>
          <w:szCs w:val="28"/>
          <w:lang w:val="pt-BR"/>
        </w:rPr>
      </w:pPr>
      <w:r w:rsidRPr="00420AAB">
        <w:rPr>
          <w:rFonts w:ascii="Times New Roman" w:hAnsi="Times New Roman" w:cs="Times New Roman"/>
          <w:noProof/>
          <w:sz w:val="28"/>
          <w:szCs w:val="28"/>
        </w:rPr>
        <w:lastRenderedPageBreak/>
        <w:drawing>
          <wp:inline distT="0" distB="0" distL="0" distR="0">
            <wp:extent cx="5920740" cy="2598420"/>
            <wp:effectExtent l="0" t="0" r="3810" b="0"/>
            <wp:docPr id="7" name="Chart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5C8BD40-B6C0-4840-900C-093FBBE4B5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20AAB" w:rsidRPr="00420AAB" w:rsidRDefault="00420AAB" w:rsidP="00420AAB">
      <w:pPr>
        <w:pStyle w:val="BodyText2"/>
        <w:tabs>
          <w:tab w:val="left" w:pos="-2430"/>
        </w:tabs>
        <w:spacing w:line="288" w:lineRule="auto"/>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Nguồn: Tính toán từ dữ liệu Khảo sát mức sống dân cư</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rPr>
      </w:pPr>
      <w:r w:rsidRPr="00420AAB">
        <w:rPr>
          <w:rFonts w:ascii="Times New Roman" w:hAnsi="Times New Roman" w:cs="Times New Roman"/>
          <w:sz w:val="28"/>
          <w:szCs w:val="28"/>
        </w:rPr>
        <w:t xml:space="preserve">Năm 2020 chi tiêu bình quân hộ gia đình cả nước là 2,89 triệu đồng/người/tháng, tăng 13% so với 2018. Năm 2020 là một năm người dân bị ảnh hưởng nặng nề do dịch bệnh viêm đường hô hấp cấp Covid-19, có thể thấy rằng chi tiêu năm này tăng chậm hơn so với thời kỳ trước (chi tiêu bình quân năm 2018 tăng 18% so với 2016). Các hộ gia đình thành thị có mức chi tiêu bình quân đầu người/tháng xấp xỉ 3,8 triệu đồng trong khi các hộ nông thôn chỉ ở mức 2,4 triệu đồng, chênh lệch giữa hai khu vực là 1,6 lần. Vùng Đông Nam Bộ luôn đứng đầu cả nước với mức chi tiêu hộ gia đình </w:t>
      </w:r>
      <w:r w:rsidRPr="00CB33C3">
        <w:rPr>
          <w:rFonts w:ascii="Times New Roman" w:hAnsi="Times New Roman" w:cs="Times New Roman"/>
          <w:sz w:val="28"/>
          <w:szCs w:val="28"/>
        </w:rPr>
        <w:t>cao nhất (</w:t>
      </w:r>
      <w:r w:rsidR="000C1124" w:rsidRPr="00CB33C3">
        <w:rPr>
          <w:rFonts w:ascii="Times New Roman" w:hAnsi="Times New Roman" w:cs="Times New Roman"/>
          <w:sz w:val="28"/>
          <w:szCs w:val="28"/>
        </w:rPr>
        <w:t>hơn</w:t>
      </w:r>
      <w:r w:rsidRPr="00CB33C3">
        <w:rPr>
          <w:rFonts w:ascii="Times New Roman" w:hAnsi="Times New Roman" w:cs="Times New Roman"/>
          <w:sz w:val="28"/>
          <w:szCs w:val="28"/>
        </w:rPr>
        <w:t xml:space="preserve"> 3,9 triệu</w:t>
      </w:r>
      <w:r w:rsidRPr="00420AAB">
        <w:rPr>
          <w:rFonts w:ascii="Times New Roman" w:hAnsi="Times New Roman" w:cs="Times New Roman"/>
          <w:sz w:val="28"/>
          <w:szCs w:val="28"/>
        </w:rPr>
        <w:t xml:space="preserve"> đồng/người/tháng). Vùng Trung du miền núi phía Bắc có mức chi thấp nhất (tương đương 2,1 triệu đồng/người/tháng). Ngoài ra mức tăng chi tiêu bình quân đầu người một tháng ở vùng Trung du miền núi phía Bắc năm 2020 chỉ tăng 5% so với 2018 trong khi vùng Đông Nam Bộ tăng tới 17,3% so với năm 2018. </w:t>
      </w:r>
    </w:p>
    <w:p w:rsidR="00420AAB" w:rsidRPr="00420AAB" w:rsidRDefault="00420AAB" w:rsidP="00416455">
      <w:pPr>
        <w:pStyle w:val="BodyText2"/>
        <w:tabs>
          <w:tab w:val="left" w:pos="-2430"/>
        </w:tabs>
        <w:spacing w:before="120" w:line="360" w:lineRule="exact"/>
        <w:ind w:left="720"/>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Hình 3. Chi tiêu bình quân 1 người 1 tháng</w:t>
      </w:r>
    </w:p>
    <w:p w:rsidR="00420AAB" w:rsidRPr="00420AAB" w:rsidRDefault="00420AAB" w:rsidP="00420AAB">
      <w:pPr>
        <w:pStyle w:val="BodyText2"/>
        <w:tabs>
          <w:tab w:val="left" w:pos="-2430"/>
        </w:tabs>
        <w:spacing w:line="360" w:lineRule="exact"/>
        <w:ind w:left="720"/>
        <w:jc w:val="right"/>
        <w:rPr>
          <w:rFonts w:ascii="Times New Roman" w:hAnsi="Times New Roman" w:cs="Times New Roman"/>
          <w:i/>
          <w:iCs/>
          <w:sz w:val="28"/>
          <w:szCs w:val="28"/>
          <w:lang w:val="pt-BR"/>
        </w:rPr>
      </w:pPr>
      <w:r w:rsidRPr="00420AAB">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margin">
              <wp:posOffset>230505</wp:posOffset>
            </wp:positionH>
            <wp:positionV relativeFrom="paragraph">
              <wp:posOffset>294640</wp:posOffset>
            </wp:positionV>
            <wp:extent cx="5334000" cy="2880360"/>
            <wp:effectExtent l="0" t="0" r="0" b="0"/>
            <wp:wrapTight wrapText="bothSides">
              <wp:wrapPolygon edited="0">
                <wp:start x="0" y="0"/>
                <wp:lineTo x="0" y="21429"/>
                <wp:lineTo x="21523" y="21429"/>
                <wp:lineTo x="21523" y="0"/>
                <wp:lineTo x="0" y="0"/>
              </wp:wrapPolygon>
            </wp:wrapTight>
            <wp:docPr id="3" name="Chart 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5C8BD40-B6C0-4840-900C-093FBBE4B5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420AAB">
        <w:rPr>
          <w:rFonts w:ascii="Times New Roman" w:hAnsi="Times New Roman" w:cs="Times New Roman"/>
          <w:i/>
          <w:iCs/>
          <w:sz w:val="28"/>
          <w:szCs w:val="28"/>
          <w:lang w:val="pt-BR"/>
        </w:rPr>
        <w:t>Đơn vị</w:t>
      </w:r>
      <w:r w:rsidR="00571E6B">
        <w:rPr>
          <w:rFonts w:ascii="Times New Roman" w:hAnsi="Times New Roman" w:cs="Times New Roman"/>
          <w:i/>
          <w:iCs/>
          <w:sz w:val="28"/>
          <w:szCs w:val="28"/>
          <w:lang w:val="pt-BR"/>
        </w:rPr>
        <w:t xml:space="preserve"> tính</w:t>
      </w:r>
      <w:r w:rsidRPr="00420AAB">
        <w:rPr>
          <w:rFonts w:ascii="Times New Roman" w:hAnsi="Times New Roman" w:cs="Times New Roman"/>
          <w:i/>
          <w:iCs/>
          <w:sz w:val="28"/>
          <w:szCs w:val="28"/>
          <w:lang w:val="pt-BR"/>
        </w:rPr>
        <w:t>: Nghìn đồng</w:t>
      </w:r>
    </w:p>
    <w:p w:rsidR="00420AAB" w:rsidRPr="00420AAB" w:rsidRDefault="00420AAB" w:rsidP="00420AAB">
      <w:pPr>
        <w:spacing w:after="160" w:line="259" w:lineRule="auto"/>
        <w:jc w:val="both"/>
        <w:rPr>
          <w:rFonts w:ascii="Times New Roman" w:hAnsi="Times New Roman" w:cs="Times New Roman"/>
          <w:sz w:val="28"/>
          <w:szCs w:val="28"/>
        </w:rPr>
      </w:pPr>
      <w:r w:rsidRPr="00420AAB">
        <w:rPr>
          <w:rFonts w:ascii="Times New Roman" w:hAnsi="Times New Roman" w:cs="Times New Roman"/>
          <w:i/>
          <w:iCs/>
          <w:sz w:val="28"/>
          <w:szCs w:val="28"/>
          <w:lang w:val="pt-BR"/>
        </w:rPr>
        <w:t>Nguồn: Tính toán từ dữ liệu Khảo sát mức sống dân cư</w:t>
      </w:r>
    </w:p>
    <w:p w:rsidR="00420AAB" w:rsidRPr="00CB33C3" w:rsidRDefault="00420AAB" w:rsidP="00416455">
      <w:pPr>
        <w:spacing w:before="120" w:after="120" w:line="259" w:lineRule="auto"/>
        <w:jc w:val="both"/>
        <w:rPr>
          <w:rFonts w:ascii="Times New Roman" w:hAnsi="Times New Roman" w:cs="Times New Roman"/>
          <w:sz w:val="28"/>
          <w:szCs w:val="28"/>
        </w:rPr>
      </w:pPr>
      <w:r w:rsidRPr="00420AAB">
        <w:rPr>
          <w:rFonts w:ascii="Times New Roman" w:hAnsi="Times New Roman" w:cs="Times New Roman"/>
          <w:sz w:val="28"/>
          <w:szCs w:val="28"/>
        </w:rPr>
        <w:tab/>
      </w:r>
      <w:r w:rsidRPr="00CB71C9">
        <w:rPr>
          <w:rFonts w:ascii="Times New Roman" w:hAnsi="Times New Roman" w:cs="Times New Roman"/>
          <w:sz w:val="28"/>
          <w:szCs w:val="28"/>
        </w:rPr>
        <w:t>Chi đời sống chiếm tỷ lệ cao trong tổng chi tiêu bình quân đầu người của hộ gia đình</w:t>
      </w:r>
      <w:r w:rsidRPr="00CB71C9">
        <w:rPr>
          <w:rFonts w:ascii="Times New Roman" w:hAnsi="Times New Roman" w:cs="Times New Roman"/>
          <w:sz w:val="28"/>
          <w:szCs w:val="28"/>
          <w:lang w:val="en-US"/>
        </w:rPr>
        <w:t>.</w:t>
      </w:r>
      <w:r w:rsidRPr="00CB71C9">
        <w:rPr>
          <w:rFonts w:ascii="Times New Roman" w:hAnsi="Times New Roman" w:cs="Times New Roman"/>
          <w:sz w:val="28"/>
          <w:szCs w:val="28"/>
        </w:rPr>
        <w:t xml:space="preserve"> </w:t>
      </w:r>
      <w:r w:rsidRPr="00CB71C9">
        <w:rPr>
          <w:rFonts w:ascii="Times New Roman" w:hAnsi="Times New Roman" w:cs="Times New Roman"/>
          <w:sz w:val="28"/>
          <w:szCs w:val="28"/>
          <w:lang w:val="en-US"/>
        </w:rPr>
        <w:t>N</w:t>
      </w:r>
      <w:r w:rsidRPr="00CB71C9">
        <w:rPr>
          <w:rFonts w:ascii="Times New Roman" w:hAnsi="Times New Roman" w:cs="Times New Roman"/>
          <w:sz w:val="28"/>
          <w:szCs w:val="28"/>
        </w:rPr>
        <w:t xml:space="preserve">ăm 2020 chi cho đời sống bình quân một người một tháng là 2,7 triệu đồng (chiếm tới 93% trong tổng chi tiêu hộ gia đình), trong đó chi cho ăn uống bình quân đầu người một tháng xấp xỉ </w:t>
      </w:r>
      <w:r w:rsidR="002132F7" w:rsidRPr="00CB71C9">
        <w:rPr>
          <w:rFonts w:ascii="Times New Roman" w:hAnsi="Times New Roman" w:cs="Times New Roman"/>
          <w:sz w:val="28"/>
          <w:szCs w:val="28"/>
        </w:rPr>
        <w:t>1,35</w:t>
      </w:r>
      <w:r w:rsidRPr="00CB71C9">
        <w:rPr>
          <w:rFonts w:ascii="Times New Roman" w:hAnsi="Times New Roman" w:cs="Times New Roman"/>
          <w:sz w:val="28"/>
          <w:szCs w:val="28"/>
        </w:rPr>
        <w:t xml:space="preserve"> triệu đồng và không phải ăn uống hút là </w:t>
      </w:r>
      <w:r w:rsidRPr="00CB33C3">
        <w:rPr>
          <w:rFonts w:ascii="Times New Roman" w:hAnsi="Times New Roman" w:cs="Times New Roman"/>
          <w:sz w:val="28"/>
          <w:szCs w:val="28"/>
        </w:rPr>
        <w:t xml:space="preserve">xấp xỉ </w:t>
      </w:r>
      <w:r w:rsidR="00CB33C3" w:rsidRPr="00CB33C3">
        <w:rPr>
          <w:rFonts w:ascii="Times New Roman" w:hAnsi="Times New Roman" w:cs="Times New Roman"/>
          <w:sz w:val="28"/>
          <w:szCs w:val="28"/>
        </w:rPr>
        <w:t>1,37</w:t>
      </w:r>
      <w:r w:rsidRPr="00CB33C3">
        <w:rPr>
          <w:rFonts w:ascii="Times New Roman" w:hAnsi="Times New Roman" w:cs="Times New Roman"/>
          <w:sz w:val="28"/>
          <w:szCs w:val="28"/>
        </w:rPr>
        <w:t xml:space="preserve"> triệu đồng. </w:t>
      </w:r>
    </w:p>
    <w:p w:rsidR="00420AAB" w:rsidRPr="00420AAB" w:rsidRDefault="00420AAB" w:rsidP="00416455">
      <w:pPr>
        <w:spacing w:before="120" w:after="120"/>
        <w:ind w:firstLine="720"/>
        <w:jc w:val="both"/>
        <w:rPr>
          <w:rFonts w:ascii="Times New Roman" w:hAnsi="Times New Roman" w:cs="Times New Roman"/>
          <w:sz w:val="28"/>
          <w:szCs w:val="28"/>
        </w:rPr>
      </w:pPr>
      <w:r w:rsidRPr="00CB33C3">
        <w:rPr>
          <w:rFonts w:ascii="Times New Roman" w:hAnsi="Times New Roman" w:cs="Times New Roman"/>
          <w:sz w:val="28"/>
          <w:szCs w:val="28"/>
        </w:rPr>
        <w:t>Sự bất bình đẳng trong chi tiêu bình quân đầu người một tháng quan sát được giữa nhóm giàu nhất và nhóm nghèo nhất, lên tới 3,</w:t>
      </w:r>
      <w:r w:rsidR="00CB33C3" w:rsidRPr="00CB33C3">
        <w:rPr>
          <w:rFonts w:ascii="Times New Roman" w:hAnsi="Times New Roman" w:cs="Times New Roman"/>
          <w:sz w:val="28"/>
          <w:szCs w:val="28"/>
        </w:rPr>
        <w:t>5</w:t>
      </w:r>
      <w:r w:rsidRPr="00CB33C3">
        <w:rPr>
          <w:rFonts w:ascii="Times New Roman" w:hAnsi="Times New Roman" w:cs="Times New Roman"/>
          <w:sz w:val="28"/>
          <w:szCs w:val="28"/>
        </w:rPr>
        <w:t xml:space="preserve"> lần năm 2020, với chi bình quân đầu người một tháng ở các hộ nhóm 5 </w:t>
      </w:r>
      <w:r w:rsidR="000C1124" w:rsidRPr="00CB33C3">
        <w:rPr>
          <w:rFonts w:ascii="Times New Roman" w:hAnsi="Times New Roman" w:cs="Times New Roman"/>
          <w:sz w:val="28"/>
          <w:szCs w:val="28"/>
        </w:rPr>
        <w:t>hơn</w:t>
      </w:r>
      <w:r w:rsidRPr="00CB33C3">
        <w:rPr>
          <w:rFonts w:ascii="Times New Roman" w:hAnsi="Times New Roman" w:cs="Times New Roman"/>
          <w:sz w:val="28"/>
          <w:szCs w:val="28"/>
        </w:rPr>
        <w:t xml:space="preserve"> 4,</w:t>
      </w:r>
      <w:r w:rsidR="002132F7" w:rsidRPr="00CB33C3">
        <w:rPr>
          <w:rFonts w:ascii="Times New Roman" w:hAnsi="Times New Roman" w:cs="Times New Roman"/>
          <w:sz w:val="28"/>
          <w:szCs w:val="28"/>
        </w:rPr>
        <w:t>6</w:t>
      </w:r>
      <w:r w:rsidRPr="00CB33C3">
        <w:rPr>
          <w:rFonts w:ascii="Times New Roman" w:hAnsi="Times New Roman" w:cs="Times New Roman"/>
          <w:sz w:val="28"/>
          <w:szCs w:val="28"/>
        </w:rPr>
        <w:t xml:space="preserve"> triệu</w:t>
      </w:r>
      <w:r w:rsidRPr="00CB71C9">
        <w:rPr>
          <w:rFonts w:ascii="Times New Roman" w:hAnsi="Times New Roman" w:cs="Times New Roman"/>
          <w:sz w:val="28"/>
          <w:szCs w:val="28"/>
        </w:rPr>
        <w:t xml:space="preserve"> đồng/người/tháng so với gần 1,4 triệu đồng/người/tháng ở các hộ thuộc nhóm 1.</w:t>
      </w:r>
      <w:r w:rsidRPr="00420AAB">
        <w:rPr>
          <w:rFonts w:ascii="Times New Roman" w:hAnsi="Times New Roman" w:cs="Times New Roman"/>
          <w:sz w:val="28"/>
          <w:szCs w:val="28"/>
        </w:rPr>
        <w:t xml:space="preserve"> </w:t>
      </w:r>
    </w:p>
    <w:p w:rsidR="00420AAB" w:rsidRPr="00CB71C9"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rPr>
      </w:pPr>
      <w:r w:rsidRPr="00CB71C9">
        <w:rPr>
          <w:rFonts w:ascii="Times New Roman" w:hAnsi="Times New Roman" w:cs="Times New Roman"/>
          <w:sz w:val="28"/>
          <w:szCs w:val="28"/>
        </w:rPr>
        <w:t>Tiêu dùng lương thực, thực phẩm qua số liệu cho thấy một xu hướng rõ ràng là các hộ gia đình có xu hướng giảm dần việc tiêu thụ tinh bột, như việc lượng gạo tiêu thụ bình quân một người một tháng giảm dần qua các năm, từ 9,7 kg/người/tháng năm 2010 xuống còn 8,1 kg/người/tháng năm 2018 và chỉ còn 7,6 kg/người/tháng năm 2020. Thói quen ăn uống cho thấy các hộ gia đình sống ở vùng nông thôn thường tiêu thụ nhiều gạo hơn so với các hộ gia đình thành thị (8,5 so với 6,1 kg/người/tháng). Những hộ gia đình thuộc nhóm nghèo nhất có lượng gạo tiêu thụ cao hơn so với những hộ gia đình thuộc nhóm khá giả nhất (9,</w:t>
      </w:r>
      <w:r w:rsidR="002132F7" w:rsidRPr="00CB71C9">
        <w:rPr>
          <w:rFonts w:ascii="Times New Roman" w:hAnsi="Times New Roman" w:cs="Times New Roman"/>
          <w:sz w:val="28"/>
          <w:szCs w:val="28"/>
        </w:rPr>
        <w:t>1</w:t>
      </w:r>
      <w:r w:rsidRPr="00CB71C9">
        <w:rPr>
          <w:rFonts w:ascii="Times New Roman" w:hAnsi="Times New Roman" w:cs="Times New Roman"/>
          <w:sz w:val="28"/>
          <w:szCs w:val="28"/>
        </w:rPr>
        <w:t xml:space="preserve"> so với 6,6 kg/người/tháng).</w:t>
      </w:r>
    </w:p>
    <w:p w:rsidR="00420AAB" w:rsidRPr="00CB71C9" w:rsidRDefault="00420AAB" w:rsidP="00416455">
      <w:pPr>
        <w:spacing w:before="120" w:after="120"/>
        <w:ind w:firstLine="720"/>
        <w:jc w:val="both"/>
        <w:rPr>
          <w:rFonts w:ascii="Times New Roman" w:hAnsi="Times New Roman" w:cs="Times New Roman"/>
          <w:sz w:val="28"/>
          <w:szCs w:val="28"/>
        </w:rPr>
      </w:pPr>
      <w:r w:rsidRPr="00CB71C9">
        <w:rPr>
          <w:rFonts w:ascii="Times New Roman" w:hAnsi="Times New Roman" w:cs="Times New Roman"/>
          <w:sz w:val="28"/>
          <w:szCs w:val="28"/>
        </w:rPr>
        <w:t xml:space="preserve">Lượng tiêu thụ thịt các loại có xu hướng tăng nhẹ qua các năm, từ 1,8 kg/người/tháng năm 2010 lên 2,3 kg/người/tháng năm 2020. </w:t>
      </w:r>
      <w:r w:rsidRPr="00CB71C9">
        <w:rPr>
          <w:rFonts w:ascii="Times New Roman" w:hAnsi="Times New Roman" w:cs="Times New Roman"/>
          <w:sz w:val="28"/>
          <w:szCs w:val="28"/>
          <w:lang w:val="en-US"/>
        </w:rPr>
        <w:t>Tiêu thụ</w:t>
      </w:r>
      <w:r w:rsidRPr="00CB71C9">
        <w:rPr>
          <w:rFonts w:ascii="Times New Roman" w:hAnsi="Times New Roman" w:cs="Times New Roman"/>
          <w:sz w:val="28"/>
          <w:szCs w:val="28"/>
        </w:rPr>
        <w:t xml:space="preserve"> Trứng tăng trong năm 2020, </w:t>
      </w:r>
      <w:r w:rsidRPr="00CB71C9">
        <w:rPr>
          <w:rFonts w:ascii="Times New Roman" w:hAnsi="Times New Roman" w:cs="Times New Roman"/>
          <w:sz w:val="28"/>
          <w:szCs w:val="28"/>
          <w:lang w:val="en-US"/>
        </w:rPr>
        <w:t>chủ yếu do</w:t>
      </w:r>
      <w:r w:rsidRPr="00CB71C9">
        <w:rPr>
          <w:rFonts w:ascii="Times New Roman" w:hAnsi="Times New Roman" w:cs="Times New Roman"/>
          <w:sz w:val="28"/>
          <w:szCs w:val="28"/>
        </w:rPr>
        <w:t xml:space="preserve"> năm 2020 bị ảnh hưởng bởi dịch bệnh Covid-19 và các đợt giãn cách xã hội, trứng là mặt hàng các hộ gia đình ưa chuộng sử dụng để bổ sung dinh dưỡng thay vì các loại khác. </w:t>
      </w:r>
    </w:p>
    <w:p w:rsidR="00420AAB" w:rsidRPr="00CB71C9" w:rsidRDefault="00420AAB" w:rsidP="00416455">
      <w:pPr>
        <w:spacing w:before="120" w:after="120"/>
        <w:ind w:firstLine="720"/>
        <w:jc w:val="both"/>
        <w:rPr>
          <w:rFonts w:ascii="Times New Roman" w:hAnsi="Times New Roman" w:cs="Times New Roman"/>
          <w:sz w:val="28"/>
          <w:szCs w:val="28"/>
        </w:rPr>
      </w:pPr>
      <w:r w:rsidRPr="00CB71C9">
        <w:rPr>
          <w:rFonts w:ascii="Times New Roman" w:hAnsi="Times New Roman" w:cs="Times New Roman"/>
          <w:sz w:val="28"/>
          <w:szCs w:val="28"/>
        </w:rPr>
        <w:t xml:space="preserve">Lượng tiêu thụ rượu bia có dấu hiệu tăng nhẹ trong năm 2020, từ 0,9 lít/người/tháng </w:t>
      </w:r>
      <w:r w:rsidRPr="00CB71C9">
        <w:rPr>
          <w:rFonts w:ascii="Times New Roman" w:hAnsi="Times New Roman" w:cs="Times New Roman"/>
          <w:sz w:val="28"/>
          <w:szCs w:val="28"/>
          <w:lang w:val="en-US"/>
        </w:rPr>
        <w:t>năm 201</w:t>
      </w:r>
      <w:r w:rsidR="00CB33C3">
        <w:rPr>
          <w:rFonts w:ascii="Times New Roman" w:hAnsi="Times New Roman" w:cs="Times New Roman"/>
          <w:sz w:val="28"/>
          <w:szCs w:val="28"/>
          <w:lang w:val="en-US"/>
        </w:rPr>
        <w:t>0</w:t>
      </w:r>
      <w:r w:rsidRPr="00CB71C9">
        <w:rPr>
          <w:rFonts w:ascii="Times New Roman" w:hAnsi="Times New Roman" w:cs="Times New Roman"/>
          <w:sz w:val="28"/>
          <w:szCs w:val="28"/>
          <w:lang w:val="en-US"/>
        </w:rPr>
        <w:t xml:space="preserve"> </w:t>
      </w:r>
      <w:r w:rsidRPr="00CB71C9">
        <w:rPr>
          <w:rFonts w:ascii="Times New Roman" w:hAnsi="Times New Roman" w:cs="Times New Roman"/>
          <w:sz w:val="28"/>
          <w:szCs w:val="28"/>
        </w:rPr>
        <w:t>lên 1,3 lít/người/tháng năm 2020. Lượng tiêu thụ mặt hàng này của nhóm hộ gia đình khá giả nhất cũng cao hơn so với nhóm hộ gia đình nghèo nhất (2,</w:t>
      </w:r>
      <w:r w:rsidR="002132F7" w:rsidRPr="00CB71C9">
        <w:rPr>
          <w:rFonts w:ascii="Times New Roman" w:hAnsi="Times New Roman" w:cs="Times New Roman"/>
          <w:sz w:val="28"/>
          <w:szCs w:val="28"/>
        </w:rPr>
        <w:t>2</w:t>
      </w:r>
      <w:r w:rsidRPr="00CB71C9">
        <w:rPr>
          <w:rFonts w:ascii="Times New Roman" w:hAnsi="Times New Roman" w:cs="Times New Roman"/>
          <w:sz w:val="28"/>
          <w:szCs w:val="28"/>
        </w:rPr>
        <w:t xml:space="preserve"> so với </w:t>
      </w:r>
      <w:r w:rsidRPr="00C35952">
        <w:rPr>
          <w:rFonts w:ascii="Times New Roman" w:hAnsi="Times New Roman" w:cs="Times New Roman"/>
          <w:sz w:val="28"/>
          <w:szCs w:val="28"/>
        </w:rPr>
        <w:t>1,</w:t>
      </w:r>
      <w:r w:rsidR="00CB33C3" w:rsidRPr="00C35952">
        <w:rPr>
          <w:rFonts w:ascii="Times New Roman" w:hAnsi="Times New Roman" w:cs="Times New Roman"/>
          <w:sz w:val="28"/>
          <w:szCs w:val="28"/>
        </w:rPr>
        <w:t>0</w:t>
      </w:r>
      <w:r w:rsidRPr="00C35952">
        <w:rPr>
          <w:rFonts w:ascii="Times New Roman" w:hAnsi="Times New Roman" w:cs="Times New Roman"/>
          <w:sz w:val="28"/>
          <w:szCs w:val="28"/>
        </w:rPr>
        <w:t xml:space="preserve"> lít</w:t>
      </w:r>
      <w:r w:rsidRPr="00CB71C9">
        <w:rPr>
          <w:rFonts w:ascii="Times New Roman" w:hAnsi="Times New Roman" w:cs="Times New Roman"/>
          <w:sz w:val="28"/>
          <w:szCs w:val="28"/>
        </w:rPr>
        <w:t>/người/tháng).</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rPr>
      </w:pPr>
      <w:r w:rsidRPr="00CB71C9">
        <w:rPr>
          <w:rFonts w:ascii="Times New Roman" w:hAnsi="Times New Roman" w:cs="Times New Roman"/>
          <w:sz w:val="28"/>
          <w:szCs w:val="28"/>
        </w:rPr>
        <w:t>Nhân khẩu bình quân 1 hộ năm 2020 là</w:t>
      </w:r>
      <w:r w:rsidRPr="00420AAB">
        <w:rPr>
          <w:rFonts w:ascii="Times New Roman" w:hAnsi="Times New Roman" w:cs="Times New Roman"/>
          <w:sz w:val="28"/>
          <w:szCs w:val="28"/>
        </w:rPr>
        <w:t xml:space="preserve"> 3,6 người/hộ. Nhân khẩu bình quân của hộ nghèo cao hơn hộ giàu. Theo KSMS 2020, nhân khẩu bình quân 1 hộ của nhóm hộ nghèo nhất (nhóm 1) là 4 người, cao gấp hơn 1,2 lần so với nhóm hộ giàu nhất (nhóm 5).</w:t>
      </w:r>
    </w:p>
    <w:p w:rsidR="00420AAB" w:rsidRPr="00420AAB" w:rsidRDefault="00420AAB" w:rsidP="00420AAB">
      <w:pPr>
        <w:pStyle w:val="BodyText2"/>
        <w:tabs>
          <w:tab w:val="left" w:pos="-2430"/>
        </w:tabs>
        <w:spacing w:line="288" w:lineRule="auto"/>
        <w:ind w:left="720"/>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 xml:space="preserve">Hình 4. Nhân khẩu bình quân 1 hộ chia theo năm nhóm thu nhập </w:t>
      </w:r>
    </w:p>
    <w:p w:rsidR="00420AAB" w:rsidRPr="00420AAB" w:rsidRDefault="00420AAB" w:rsidP="00420AAB">
      <w:pPr>
        <w:pStyle w:val="BodyText2"/>
        <w:tabs>
          <w:tab w:val="left" w:pos="-2430"/>
        </w:tabs>
        <w:ind w:left="720"/>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năm 2020</w:t>
      </w:r>
    </w:p>
    <w:p w:rsidR="00420AAB" w:rsidRPr="00420AAB" w:rsidRDefault="00420AAB" w:rsidP="008844BE">
      <w:pPr>
        <w:pStyle w:val="BodyText2"/>
        <w:tabs>
          <w:tab w:val="left" w:pos="-2430"/>
        </w:tabs>
        <w:spacing w:line="288" w:lineRule="auto"/>
        <w:jc w:val="right"/>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Đơn vị tính: Người/hộ</w:t>
      </w:r>
    </w:p>
    <w:p w:rsidR="00420AAB" w:rsidRPr="00420AAB" w:rsidRDefault="00420AAB" w:rsidP="00D2261C">
      <w:pPr>
        <w:pStyle w:val="BodyText2"/>
        <w:tabs>
          <w:tab w:val="left" w:pos="-2430"/>
        </w:tabs>
        <w:spacing w:line="288" w:lineRule="auto"/>
        <w:jc w:val="center"/>
        <w:rPr>
          <w:rFonts w:ascii="Times New Roman" w:hAnsi="Times New Roman" w:cs="Times New Roman"/>
          <w:sz w:val="28"/>
          <w:szCs w:val="28"/>
          <w:lang w:val="pt-BR"/>
        </w:rPr>
      </w:pPr>
      <w:r w:rsidRPr="00420AAB">
        <w:rPr>
          <w:rFonts w:ascii="Times New Roman" w:hAnsi="Times New Roman" w:cs="Times New Roman"/>
          <w:noProof/>
          <w:sz w:val="28"/>
          <w:szCs w:val="28"/>
        </w:rPr>
        <w:drawing>
          <wp:inline distT="0" distB="0" distL="0" distR="0">
            <wp:extent cx="5844540" cy="2141220"/>
            <wp:effectExtent l="0" t="0" r="381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20AAB" w:rsidRPr="00420AAB" w:rsidRDefault="00420AAB" w:rsidP="00420AAB">
      <w:pPr>
        <w:pStyle w:val="BodyText2"/>
        <w:tabs>
          <w:tab w:val="left" w:pos="-2430"/>
        </w:tabs>
        <w:spacing w:line="288" w:lineRule="auto"/>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Nguồn: Tính toán từ dữ liệu Khảo sát mức sống dân cư năm 2020</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lang w:val="pt-BR"/>
        </w:rPr>
      </w:pPr>
      <w:r w:rsidRPr="00420AAB">
        <w:rPr>
          <w:rFonts w:ascii="Times New Roman" w:hAnsi="Times New Roman" w:cs="Times New Roman"/>
          <w:sz w:val="28"/>
          <w:szCs w:val="28"/>
          <w:lang w:val="pt-BR"/>
        </w:rPr>
        <w:t>Tỷ lệ phụ thuộc của năm 2020 là 0,69. Tỷ lệ phụ thuộc của nhóm hộ nghèo nhất là 0,96 cao hơn 2,1 lần so với nhóm hộ giàu nhất (0,46). Tỷ lệ phụ thuộc của các hộ dân cư thuộc khu vực nông thôn cao hơn so với khu vực thành thị (0,73 so với 0,64).</w:t>
      </w:r>
    </w:p>
    <w:p w:rsidR="00420AAB" w:rsidRPr="00420AAB" w:rsidRDefault="00420AAB" w:rsidP="00416455">
      <w:pPr>
        <w:pStyle w:val="BodyText2"/>
        <w:tabs>
          <w:tab w:val="left" w:pos="-2430"/>
        </w:tabs>
        <w:spacing w:before="120" w:line="240" w:lineRule="auto"/>
        <w:ind w:left="720"/>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 xml:space="preserve">Hình 5. Tỷ lệ phụ thuộc của hộ gia đình chia theo năm nhóm </w:t>
      </w:r>
    </w:p>
    <w:p w:rsidR="00420AAB" w:rsidRPr="00420AAB" w:rsidRDefault="00420AAB" w:rsidP="00416455">
      <w:pPr>
        <w:pStyle w:val="BodyText2"/>
        <w:tabs>
          <w:tab w:val="left" w:pos="-2430"/>
        </w:tabs>
        <w:spacing w:before="120" w:line="240" w:lineRule="auto"/>
        <w:ind w:left="720"/>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thu nhập năm 2020</w:t>
      </w:r>
    </w:p>
    <w:p w:rsidR="00420AAB" w:rsidRPr="00420AAB" w:rsidRDefault="00420AAB" w:rsidP="00D2261C">
      <w:pPr>
        <w:pStyle w:val="BodyText2"/>
        <w:tabs>
          <w:tab w:val="left" w:pos="-2430"/>
        </w:tabs>
        <w:spacing w:before="120" w:line="288" w:lineRule="auto"/>
        <w:ind w:left="450"/>
        <w:rPr>
          <w:rFonts w:ascii="Times New Roman" w:hAnsi="Times New Roman" w:cs="Times New Roman"/>
          <w:sz w:val="28"/>
          <w:szCs w:val="28"/>
          <w:lang w:val="pt-BR"/>
        </w:rPr>
      </w:pPr>
      <w:r w:rsidRPr="00420AAB">
        <w:rPr>
          <w:rFonts w:ascii="Times New Roman" w:hAnsi="Times New Roman" w:cs="Times New Roman"/>
          <w:noProof/>
          <w:sz w:val="28"/>
          <w:szCs w:val="28"/>
        </w:rPr>
        <w:drawing>
          <wp:inline distT="0" distB="0" distL="0" distR="0">
            <wp:extent cx="5410200" cy="1859280"/>
            <wp:effectExtent l="0" t="0" r="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20AAB" w:rsidRPr="00420AAB" w:rsidRDefault="00420AAB" w:rsidP="00416455">
      <w:pPr>
        <w:spacing w:before="120" w:after="120"/>
        <w:ind w:firstLine="720"/>
        <w:jc w:val="both"/>
        <w:rPr>
          <w:rFonts w:ascii="Times New Roman" w:hAnsi="Times New Roman" w:cs="Times New Roman"/>
          <w:sz w:val="28"/>
          <w:szCs w:val="28"/>
        </w:rPr>
      </w:pPr>
      <w:r w:rsidRPr="00420AAB">
        <w:rPr>
          <w:rFonts w:ascii="Times New Roman" w:hAnsi="Times New Roman" w:cs="Times New Roman"/>
          <w:i/>
          <w:iCs/>
          <w:sz w:val="28"/>
          <w:szCs w:val="28"/>
          <w:lang w:val="pt-BR"/>
        </w:rPr>
        <w:t>Nguồn: Tính toán từ dữ liệu Khảo sát mức sống dân cư năm 2020</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lang w:val="pt-BR"/>
        </w:rPr>
      </w:pPr>
      <w:r w:rsidRPr="00420AAB">
        <w:rPr>
          <w:rFonts w:ascii="Times New Roman" w:hAnsi="Times New Roman" w:cs="Times New Roman"/>
          <w:sz w:val="28"/>
          <w:szCs w:val="28"/>
          <w:lang w:val="pt-BR"/>
        </w:rPr>
        <w:t xml:space="preserve">Năm 2020, có 14,9% dân số từ 15 tuổi trở lên không có bằng cấp hoặc chưa bao giờ đến trường, giảm 2 điểm phần trăm so với năm 2018; 20,1% tốt nghiệp tiểu học; 28,5% tốt nghiệp THCS; 17,2% tốt nghiệp THPT; 19,3% có bằng cấp nghề hoặc cao đẳng, đại học trở lên. Tỷ lệ dân số từ 15 tuổi trở lên chưa bao giờ đến trường hoặc không có bằng cấp của nhóm hộ nghèo nhất là 33,3%, gấp 5,1 lần so với nhóm hộ giàu nhất; của nữ giới là 18,0%, gấp 1,6 lần so </w:t>
      </w:r>
      <w:r w:rsidR="00826AF0">
        <w:rPr>
          <w:rFonts w:ascii="Times New Roman" w:hAnsi="Times New Roman" w:cs="Times New Roman"/>
          <w:sz w:val="28"/>
          <w:szCs w:val="28"/>
          <w:lang w:val="pt-BR"/>
        </w:rPr>
        <w:t xml:space="preserve"> </w:t>
      </w:r>
      <w:r w:rsidRPr="00420AAB">
        <w:rPr>
          <w:rFonts w:ascii="Times New Roman" w:hAnsi="Times New Roman" w:cs="Times New Roman"/>
          <w:sz w:val="28"/>
          <w:szCs w:val="28"/>
          <w:lang w:val="pt-BR"/>
        </w:rPr>
        <w:t>với của nam giới. Tỷ lệ dân số từ 15 tuổi trở lên có bằng cao đẳng, đại học và trên đại học cũng có khoảng cách đáng kể giữa hai nhóm hộ nghèo nhất và nhóm hộ giàu nhất (1,6% so với 28,5%).</w:t>
      </w:r>
    </w:p>
    <w:p w:rsidR="00420AAB" w:rsidRPr="00420AAB" w:rsidRDefault="00420AAB" w:rsidP="00416455">
      <w:pPr>
        <w:spacing w:before="120" w:after="120"/>
        <w:ind w:firstLine="720"/>
        <w:jc w:val="both"/>
        <w:rPr>
          <w:rFonts w:ascii="Times New Roman" w:hAnsi="Times New Roman" w:cs="Times New Roman"/>
          <w:sz w:val="28"/>
          <w:szCs w:val="28"/>
          <w:lang w:val="en-US"/>
        </w:rPr>
      </w:pPr>
      <w:r w:rsidRPr="00420AAB">
        <w:rPr>
          <w:rFonts w:ascii="Times New Roman" w:hAnsi="Times New Roman" w:cs="Times New Roman"/>
          <w:sz w:val="28"/>
          <w:szCs w:val="28"/>
          <w:lang w:val="en-US"/>
        </w:rPr>
        <w:t>Tỷ lệ đi học đúng tuổi các cấp có xu hướng tăng qua các năm, đặc biệt ở cấp trung học phổ thông. Xu hướng này cho thấy giáo dục đang được nâng cao, hướng tới phổ cập trung học cơ sở và trung học phổ thông.</w:t>
      </w:r>
    </w:p>
    <w:p w:rsidR="00420AAB" w:rsidRPr="00420AAB" w:rsidRDefault="00420AAB" w:rsidP="00416455">
      <w:pPr>
        <w:spacing w:before="120" w:after="120"/>
        <w:ind w:firstLine="720"/>
        <w:jc w:val="both"/>
        <w:rPr>
          <w:rFonts w:ascii="Times New Roman" w:hAnsi="Times New Roman" w:cs="Times New Roman"/>
          <w:sz w:val="28"/>
          <w:szCs w:val="28"/>
          <w:lang w:val="en-US"/>
        </w:rPr>
      </w:pPr>
      <w:r w:rsidRPr="00420AAB">
        <w:rPr>
          <w:rFonts w:ascii="Times New Roman" w:hAnsi="Times New Roman" w:cs="Times New Roman"/>
          <w:sz w:val="28"/>
          <w:szCs w:val="28"/>
          <w:lang w:val="en-US"/>
        </w:rPr>
        <w:t>Xét theo loại trường đang học, có 95,0% học sinh đang học tại trường công lập, giảm nhẹ so với năm 2018. Ngược lại, tỷ lệ học sinh đang học tại các trường dân lập, tư thục vẫn chiếm tỷ trọng nhỏ và giữ nguyên so với năm 2018 (chỉ 4,8%). Các hộ gia đình thuộc nhóm giàu có xu hướng cho con học tại các trường dân lập, tư thục cao hơn nhiều các hộ thuộc nhóm nghèo (12,3% so với 1,3%), tương tự thì tỷ lệ học tại các trường dân lập, tư thục ở khu vực thành thị cũng cao hơn khu vực nông thôn (9,6% so với 2,1%). Việc lựa chọn học trường tư một phần nguyên nhân do tình trạng đăng ký hộ khẩu, số liệu cho thấy, nhóm dân số không có đăng ký hộ khẩu có tỷ lệ học tại các trường tư cũng cao hơn so với nhóm dân sô có đăng ký hộ khẩu (20,4% so với 4,4%).</w:t>
      </w:r>
    </w:p>
    <w:p w:rsidR="00420AAB" w:rsidRPr="00420AAB" w:rsidRDefault="00420AAB" w:rsidP="00416455">
      <w:pPr>
        <w:spacing w:before="120" w:after="120"/>
        <w:ind w:firstLine="720"/>
        <w:jc w:val="both"/>
        <w:rPr>
          <w:rFonts w:ascii="Times New Roman" w:hAnsi="Times New Roman" w:cs="Times New Roman"/>
          <w:sz w:val="28"/>
          <w:szCs w:val="28"/>
          <w:lang w:val="en-US"/>
        </w:rPr>
      </w:pPr>
      <w:r w:rsidRPr="00420AAB">
        <w:rPr>
          <w:rFonts w:ascii="Times New Roman" w:hAnsi="Times New Roman" w:cs="Times New Roman"/>
          <w:sz w:val="28"/>
          <w:szCs w:val="28"/>
          <w:lang w:val="en-US"/>
        </w:rPr>
        <w:t>Trung bình các hộ dân cư phải chi hơn 7,0 triệu đồng cho một thành viên đang đi học trong 12 tháng, tăng khoảng 7,0% so với năm 2018. Có thể thấy rằng đầu tư cho giáo dục ngày càng được chú trọng hơn qua các năm. Ở thành thị, các hộ chi 10,7 triệu đồng cho một thành viên đi học trong 12 tháng, cao hơn hộ nông thôn 2,1 lần; nhóm hộ giàu nhất chi hơn 15,4 triệu đồng/người/12 tháng, tăng 4,7% so với năm 2018. Nhìn chung chi tiêu cho giáo dục và đào tạo không có sự khác biệt nhiều về giới. Tuy nhiên, có sự chênh lệch rõ rệt khi quan sát theo cấp vùng, vùng có chi tiêu cho giáo dục, đào tạo cao nhất là Đông Nam Bộ hơn 11,0 triệu đồng/người/12 tháng, cao hơn 3,6 lần so với Trung du và miền núi phía Bắc. Có thể thấy rằng, sự chênh lệch về chi cho giáo dục giữa các vùng đang dần thu hẹp.</w:t>
      </w:r>
    </w:p>
    <w:p w:rsidR="00420AAB" w:rsidRDefault="00420AAB" w:rsidP="00420AAB">
      <w:pPr>
        <w:pStyle w:val="Vnbnnidung0"/>
        <w:shd w:val="clear" w:color="auto" w:fill="auto"/>
        <w:spacing w:after="0"/>
        <w:ind w:firstLine="420"/>
        <w:jc w:val="both"/>
        <w:rPr>
          <w:b/>
          <w:color w:val="000000"/>
          <w:sz w:val="28"/>
          <w:szCs w:val="28"/>
          <w:lang w:eastAsia="vi-VN" w:bidi="vi-VN"/>
        </w:rPr>
      </w:pPr>
      <w:r w:rsidRPr="00420AAB">
        <w:rPr>
          <w:b/>
          <w:color w:val="000000"/>
          <w:sz w:val="28"/>
          <w:szCs w:val="28"/>
          <w:lang w:eastAsia="vi-VN" w:bidi="vi-VN"/>
        </w:rPr>
        <w:t>Hình 6. Chi giáo dục, đào tạo bình quân</w:t>
      </w:r>
      <w:r w:rsidR="00C210F3">
        <w:rPr>
          <w:b/>
          <w:color w:val="000000"/>
          <w:sz w:val="28"/>
          <w:szCs w:val="28"/>
          <w:lang w:eastAsia="vi-VN" w:bidi="vi-VN"/>
        </w:rPr>
        <w:t xml:space="preserve"> 1 năm</w:t>
      </w:r>
      <w:r w:rsidRPr="00420AAB">
        <w:rPr>
          <w:b/>
          <w:color w:val="000000"/>
          <w:sz w:val="28"/>
          <w:szCs w:val="28"/>
          <w:lang w:eastAsia="vi-VN" w:bidi="vi-VN"/>
        </w:rPr>
        <w:t xml:space="preserve"> 1 người đi học </w:t>
      </w:r>
    </w:p>
    <w:p w:rsidR="008844BE" w:rsidRPr="00420AAB" w:rsidRDefault="008844BE" w:rsidP="008844BE">
      <w:pPr>
        <w:pStyle w:val="BodyText2"/>
        <w:tabs>
          <w:tab w:val="left" w:pos="-2430"/>
        </w:tabs>
        <w:spacing w:line="288" w:lineRule="auto"/>
        <w:jc w:val="right"/>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 xml:space="preserve">Đơn vị tính: </w:t>
      </w:r>
      <w:r>
        <w:rPr>
          <w:rFonts w:ascii="Times New Roman" w:hAnsi="Times New Roman" w:cs="Times New Roman"/>
          <w:i/>
          <w:iCs/>
          <w:sz w:val="28"/>
          <w:szCs w:val="28"/>
          <w:lang w:val="pt-BR"/>
        </w:rPr>
        <w:t>Nghìn đồng</w:t>
      </w:r>
    </w:p>
    <w:p w:rsidR="00420AAB" w:rsidRPr="00420AAB" w:rsidRDefault="00420AAB" w:rsidP="00420AAB">
      <w:pPr>
        <w:pStyle w:val="Vnbnnidung0"/>
        <w:shd w:val="clear" w:color="auto" w:fill="auto"/>
        <w:spacing w:after="0"/>
        <w:ind w:firstLine="420"/>
        <w:jc w:val="both"/>
        <w:rPr>
          <w:b/>
          <w:color w:val="000000"/>
          <w:sz w:val="28"/>
          <w:szCs w:val="28"/>
          <w:lang w:eastAsia="vi-VN" w:bidi="vi-VN"/>
        </w:rPr>
      </w:pPr>
      <w:r w:rsidRPr="00420AAB">
        <w:rPr>
          <w:noProof/>
          <w:sz w:val="28"/>
          <w:szCs w:val="28"/>
        </w:rPr>
        <w:drawing>
          <wp:inline distT="0" distB="0" distL="0" distR="0">
            <wp:extent cx="5265420" cy="27813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20AAB" w:rsidRPr="00420AAB" w:rsidRDefault="008844BE" w:rsidP="00420AAB">
      <w:pPr>
        <w:pStyle w:val="Vnbnnidung0"/>
        <w:shd w:val="clear" w:color="auto" w:fill="auto"/>
        <w:spacing w:after="0"/>
        <w:ind w:firstLine="520"/>
        <w:jc w:val="both"/>
        <w:rPr>
          <w:color w:val="000000"/>
          <w:sz w:val="28"/>
          <w:szCs w:val="28"/>
          <w:lang w:val="vi-VN" w:eastAsia="vi-VN" w:bidi="vi-VN"/>
        </w:rPr>
      </w:pPr>
      <w:r w:rsidRPr="00420AAB">
        <w:rPr>
          <w:i/>
          <w:iCs/>
          <w:sz w:val="28"/>
          <w:szCs w:val="28"/>
          <w:lang w:val="pt-BR"/>
        </w:rPr>
        <w:t>Nguồn: Tính toán từ dữ li</w:t>
      </w:r>
      <w:r w:rsidR="00C210F3">
        <w:rPr>
          <w:i/>
          <w:iCs/>
          <w:sz w:val="28"/>
          <w:szCs w:val="28"/>
          <w:lang w:val="pt-BR"/>
        </w:rPr>
        <w:t>ệu Khảo sát mức sống dân cư</w:t>
      </w:r>
    </w:p>
    <w:p w:rsidR="00420AAB" w:rsidRPr="00420AAB" w:rsidRDefault="00420AAB" w:rsidP="00416455">
      <w:pPr>
        <w:spacing w:before="120" w:after="120"/>
        <w:ind w:firstLine="720"/>
        <w:jc w:val="both"/>
        <w:rPr>
          <w:rFonts w:ascii="Times New Roman" w:hAnsi="Times New Roman" w:cs="Times New Roman"/>
          <w:sz w:val="28"/>
          <w:szCs w:val="28"/>
          <w:lang w:val="en-US"/>
        </w:rPr>
      </w:pPr>
      <w:r w:rsidRPr="00420AAB">
        <w:rPr>
          <w:rFonts w:ascii="Times New Roman" w:hAnsi="Times New Roman" w:cs="Times New Roman"/>
          <w:sz w:val="28"/>
          <w:szCs w:val="28"/>
          <w:lang w:val="en-US"/>
        </w:rPr>
        <w:t>Trong cơ cấu chi cho giáo dục, khoản học phí (35,1%), học thêm (17,5%) và chi giáo dục khác (khoảng 26,6%) là các khoản chi chiếm tỷ trọng lớn.</w:t>
      </w:r>
    </w:p>
    <w:p w:rsidR="00420AAB" w:rsidRPr="00420AAB" w:rsidRDefault="00420AAB" w:rsidP="00416455">
      <w:pPr>
        <w:spacing w:before="120" w:after="120"/>
        <w:ind w:firstLine="720"/>
        <w:jc w:val="both"/>
        <w:rPr>
          <w:rFonts w:ascii="Times New Roman" w:hAnsi="Times New Roman" w:cs="Times New Roman"/>
          <w:sz w:val="28"/>
          <w:szCs w:val="28"/>
          <w:lang w:val="en-US"/>
        </w:rPr>
      </w:pPr>
      <w:r w:rsidRPr="00420AAB">
        <w:rPr>
          <w:rFonts w:ascii="Times New Roman" w:hAnsi="Times New Roman" w:cs="Times New Roman"/>
          <w:sz w:val="28"/>
          <w:szCs w:val="28"/>
          <w:lang w:val="en-US"/>
        </w:rPr>
        <w:t>Chi giáo dục, đào tạo bình quân 1 người đi học trong 12 tháng qua tại các trường công lập hơn 6,1 triệu đồng/người/12 tháng, thấp hơn nhiều so với các loại trường dân lập (25,3 triệu đồng/người/12 tháng) và tư thục (17,8 triệu đồng/người/12 tháng).</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b/>
          <w:bCs/>
          <w:sz w:val="28"/>
          <w:szCs w:val="28"/>
          <w:lang w:val="pt-BR"/>
        </w:rPr>
      </w:pPr>
      <w:r w:rsidRPr="00420AAB">
        <w:rPr>
          <w:rFonts w:ascii="Times New Roman" w:hAnsi="Times New Roman" w:cs="Times New Roman"/>
          <w:sz w:val="28"/>
          <w:szCs w:val="28"/>
          <w:lang w:val="pt-BR"/>
        </w:rPr>
        <w:t>Có 35,7% dân số khám chữa bệnh trong năm 2020, trong đó 33,87% người khám chữa bệnh ngoại trú và 7,1% người khám chữa bệnh nội trú. Chi tiêu trung bình 1 người có khám chữa bệnh là khoảng 3 triệu đồng.</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lang w:val="pt-BR"/>
        </w:rPr>
      </w:pPr>
      <w:r w:rsidRPr="00420AAB">
        <w:rPr>
          <w:rFonts w:ascii="Times New Roman" w:hAnsi="Times New Roman" w:cs="Times New Roman"/>
          <w:sz w:val="28"/>
          <w:szCs w:val="28"/>
          <w:lang w:val="pt-BR"/>
        </w:rPr>
        <w:t>Năm 2020, có 53,4% dân số từ 15 tuổi trở lên có công việc chính là làm công, làm thuê, trong đó nhóm hộ giàu nhất là 63,5% cao hơn 2,2 lần so với nhóm hộ nghèo nhất chỉ có 28,71%. Số giờ làm việc bình quân 1 người 15 tuổi trở lên trong 1 tuần của công việc chính năm 2020 là 36,9 giờ. Trong đó, nhóm hộ giàu nhất có số giờ làm việc trung bình một tuần cao hơn nhiều so với nhóm hộ nghèo nhất (43,5 giờ so với 25,8 giờ).</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lang w:val="pt-BR"/>
        </w:rPr>
      </w:pPr>
      <w:r w:rsidRPr="00420AAB">
        <w:rPr>
          <w:rFonts w:ascii="Times New Roman" w:hAnsi="Times New Roman" w:cs="Times New Roman"/>
          <w:sz w:val="28"/>
          <w:szCs w:val="28"/>
          <w:lang w:val="pt-BR"/>
        </w:rPr>
        <w:t>Trong giai đoạn 2010 - 2020, chất lượng nguồn nước sinh hoạt của hộ gia đình được nâng cao một cách rõ rệt. Tỷ lệ hộ có nguồn nước hợp vệ sinh năm 2020 là 97,4%, tăng 6,9 điểm phần trăm so với năm 2010, trong đó, tỷ lệ này tăng nhanh ở khu vực nông thôn (năm 2020 tăng 8,8 điểm phần trăm so với năm 2010) và tăng nhanh ở khu vực Đồng bằng sông Cửu Long (15,9 điểm phần trăm), Tây Nguyên (13,9 điểm phần trăm) và Trung du và miền núi phía Bắc (9,7 điểm phần trăm).</w:t>
      </w:r>
    </w:p>
    <w:p w:rsidR="00420AAB" w:rsidRPr="00420AAB" w:rsidRDefault="00420AAB" w:rsidP="00416455">
      <w:pPr>
        <w:spacing w:before="120" w:after="120"/>
        <w:ind w:firstLine="720"/>
        <w:jc w:val="both"/>
        <w:rPr>
          <w:rFonts w:ascii="Times New Roman" w:hAnsi="Times New Roman" w:cs="Times New Roman"/>
          <w:b/>
          <w:bCs/>
          <w:sz w:val="28"/>
          <w:szCs w:val="28"/>
          <w:lang w:val="pt-BR"/>
        </w:rPr>
      </w:pPr>
      <w:r w:rsidRPr="00420AAB">
        <w:rPr>
          <w:rFonts w:ascii="Times New Roman" w:hAnsi="Times New Roman" w:cs="Times New Roman"/>
          <w:sz w:val="28"/>
          <w:szCs w:val="28"/>
          <w:lang w:val="pt-BR"/>
        </w:rPr>
        <w:t>Đi đôi với chất lượng nguồn nước sinh hoạt được nâng cao, tỷ lệ hộ sử dụng hố xí hợp vệ sinh cũng không ngừng được cải thiện. Tỷ lệ này năm 2020 là 94%, tăng 18,3 điểm phần trăm so với năm 2010. Việc sử dụng hố xí hợp vệ sinh có sự chênh lệch đáng kể giữa thành thị - nông thôn (7,7 điểm phần trăm) và giữa các vùng miền, cụ thể giữa vùng Đồng bằng sông Hồng có tỷ lệ hộ sử dụng</w:t>
      </w:r>
      <w:r w:rsidRPr="00420AAB">
        <w:rPr>
          <w:rFonts w:ascii="Times New Roman" w:hAnsi="Times New Roman" w:cs="Times New Roman"/>
          <w:sz w:val="28"/>
          <w:szCs w:val="28"/>
        </w:rPr>
        <w:t xml:space="preserve"> hố xí hợp vệ sinh cao nhất </w:t>
      </w:r>
      <w:r w:rsidRPr="00420AAB">
        <w:rPr>
          <w:rFonts w:ascii="Times New Roman" w:hAnsi="Times New Roman" w:cs="Times New Roman"/>
          <w:sz w:val="28"/>
          <w:szCs w:val="28"/>
          <w:lang w:val="en-US"/>
        </w:rPr>
        <w:t xml:space="preserve">so </w:t>
      </w:r>
      <w:r w:rsidRPr="00420AAB">
        <w:rPr>
          <w:rFonts w:ascii="Times New Roman" w:hAnsi="Times New Roman" w:cs="Times New Roman"/>
          <w:sz w:val="28"/>
          <w:szCs w:val="28"/>
        </w:rPr>
        <w:t>với vùng Đồng bằng sông Cửu Long có tỷ lệ này thấp nhất cả nước có mức chênh lệch lên tới 14,7 điểm phần trăm. Tuy nhiên mức độ tăng của tỷ lệ hộ sử dụng hố xí hợp vệ sinh giai đoạn 2010-2020 rất cao ở khu vực nông thôn (24 điểm phần trăm) và các vùng Đồng bằng sông Cửu Long (37,5 điểm phần trăm), Trung du và miền núi phía Bắc (28,4 điểm phần trăm) và khu vực Tây Nguyên (25 điểm phần trăm) cho thấy khoảng cách giữa các khu vực đang được thu hẹp rất nhanh và chất lượng hố xí của hộ gia đình đang cải thiện rõ rệt.</w:t>
      </w:r>
    </w:p>
    <w:p w:rsidR="00420AAB" w:rsidRPr="008844BE" w:rsidRDefault="00420AAB" w:rsidP="00420AAB">
      <w:pPr>
        <w:pStyle w:val="BodyText2"/>
        <w:tabs>
          <w:tab w:val="left" w:pos="-2430"/>
        </w:tabs>
        <w:spacing w:line="360" w:lineRule="exact"/>
        <w:ind w:left="720"/>
        <w:jc w:val="center"/>
        <w:rPr>
          <w:rFonts w:ascii="Times New Roman" w:hAnsi="Times New Roman" w:cs="Times New Roman"/>
          <w:b/>
          <w:bCs/>
          <w:spacing w:val="-8"/>
          <w:sz w:val="28"/>
          <w:szCs w:val="28"/>
          <w:lang w:val="pt-BR"/>
        </w:rPr>
      </w:pPr>
      <w:r w:rsidRPr="008844BE">
        <w:rPr>
          <w:rFonts w:ascii="Times New Roman" w:hAnsi="Times New Roman" w:cs="Times New Roman"/>
          <w:b/>
          <w:bCs/>
          <w:spacing w:val="-8"/>
          <w:sz w:val="28"/>
          <w:szCs w:val="28"/>
          <w:lang w:val="pt-BR"/>
        </w:rPr>
        <w:t>Hình 7. Tỷ lệ hộ gia đình sử dụng nguồn nước hợp vệ sinh, hố xí hợp vệ sinh</w:t>
      </w:r>
    </w:p>
    <w:p w:rsidR="008844BE" w:rsidRDefault="008844BE" w:rsidP="008844BE">
      <w:pPr>
        <w:pStyle w:val="BodyText2"/>
        <w:tabs>
          <w:tab w:val="left" w:pos="-2430"/>
        </w:tabs>
        <w:spacing w:line="360" w:lineRule="exact"/>
        <w:ind w:left="720"/>
        <w:jc w:val="right"/>
        <w:rPr>
          <w:rFonts w:ascii="Times New Roman" w:hAnsi="Times New Roman" w:cs="Times New Roman"/>
          <w:b/>
          <w:bCs/>
          <w:sz w:val="28"/>
          <w:szCs w:val="28"/>
          <w:lang w:val="pt-BR"/>
        </w:rPr>
      </w:pPr>
      <w:r w:rsidRPr="00420AAB">
        <w:rPr>
          <w:rFonts w:ascii="Times New Roman" w:hAnsi="Times New Roman" w:cs="Times New Roman"/>
          <w:noProof/>
          <w:sz w:val="28"/>
          <w:szCs w:val="28"/>
        </w:rPr>
        <w:drawing>
          <wp:anchor distT="0" distB="0" distL="114300" distR="114300" simplePos="0" relativeHeight="251663360" behindDoc="1" locked="0" layoutInCell="1" allowOverlap="1">
            <wp:simplePos x="0" y="0"/>
            <wp:positionH relativeFrom="margin">
              <wp:posOffset>-38100</wp:posOffset>
            </wp:positionH>
            <wp:positionV relativeFrom="paragraph">
              <wp:posOffset>302895</wp:posOffset>
            </wp:positionV>
            <wp:extent cx="6187440" cy="2743200"/>
            <wp:effectExtent l="0" t="0" r="3810" b="0"/>
            <wp:wrapTopAndBottom/>
            <wp:docPr id="10" name="Chart 10">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F95E5B7-FAF0-40C0-BEBB-0AC8B1B507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420AAB">
        <w:rPr>
          <w:rFonts w:ascii="Times New Roman" w:hAnsi="Times New Roman" w:cs="Times New Roman"/>
          <w:i/>
          <w:iCs/>
          <w:sz w:val="28"/>
          <w:szCs w:val="28"/>
          <w:lang w:val="pt-BR"/>
        </w:rPr>
        <w:t xml:space="preserve">Đơn vị tính: </w:t>
      </w:r>
      <w:r>
        <w:rPr>
          <w:rFonts w:ascii="Times New Roman" w:hAnsi="Times New Roman" w:cs="Times New Roman"/>
          <w:i/>
          <w:iCs/>
          <w:sz w:val="28"/>
          <w:szCs w:val="28"/>
          <w:lang w:val="pt-BR"/>
        </w:rPr>
        <w:t>%</w:t>
      </w:r>
    </w:p>
    <w:p w:rsidR="00420AAB" w:rsidRPr="00420AAB" w:rsidRDefault="00420AAB" w:rsidP="00420AAB">
      <w:pPr>
        <w:pStyle w:val="BodyText2"/>
        <w:tabs>
          <w:tab w:val="left" w:pos="-2430"/>
        </w:tabs>
        <w:spacing w:line="288" w:lineRule="auto"/>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Nguồn: Tính toán từ d</w:t>
      </w:r>
      <w:r w:rsidR="008844BE">
        <w:rPr>
          <w:rFonts w:ascii="Times New Roman" w:hAnsi="Times New Roman" w:cs="Times New Roman"/>
          <w:i/>
          <w:iCs/>
          <w:sz w:val="28"/>
          <w:szCs w:val="28"/>
          <w:lang w:val="pt-BR"/>
        </w:rPr>
        <w:t>ữ liệu Khảo sát mức sống dân cư</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lang w:val="pt-BR"/>
        </w:rPr>
      </w:pPr>
      <w:r w:rsidRPr="00420AAB">
        <w:rPr>
          <w:rFonts w:ascii="Times New Roman" w:hAnsi="Times New Roman" w:cs="Times New Roman"/>
          <w:sz w:val="28"/>
          <w:szCs w:val="28"/>
          <w:lang w:val="pt-BR"/>
        </w:rPr>
        <w:t>Sử dụng điện sinh hoạt cũng là một trong số các chiều quan trọng phản ánh đời sống cư dân. Ở nước ta, việc đưa điện lưới quốc gia đến từng hộ gia đình, vùng miền ở mức rất cao, năm 2020, tỷ lệ hộ sử dụng điện sinh hoạt đạt 99,5%, trong đó gần như không có sự khác biệt đáng kể giữa các khu vực thành thị - nông thôn và giữa các vùng miền, địa phương. Thực tế số liệu cho thấy tại nhiều địa phương, tỷ lệ này đã đạt 100% từ nhiều năm qua.</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lang w:val="pt-BR"/>
        </w:rPr>
      </w:pPr>
      <w:r w:rsidRPr="00420AAB">
        <w:rPr>
          <w:rFonts w:ascii="Times New Roman" w:hAnsi="Times New Roman" w:cs="Times New Roman"/>
          <w:sz w:val="28"/>
          <w:szCs w:val="28"/>
          <w:lang w:val="pt-BR"/>
        </w:rPr>
        <w:t>Sử dụng đồ dùng lâu bền là một tiêu chí cho thấy hộ gia đình có mua sắm tài sản, thiết bị, phương tiện để phục vụ cho cuộc sống sinh hoạt hay không. Theo số liệu thống kê, trên cả nước có tới 99,9% hộ gia đình có đồ dùng lâu bền. Tỷ lệ này đã đạt 100% ở khu vực thành thị, một số vùng kinh tế và các hộ gia đình có mức thu nhập thuộc</w:t>
      </w:r>
      <w:r w:rsidRPr="00420AAB">
        <w:rPr>
          <w:rFonts w:ascii="Times New Roman" w:hAnsi="Times New Roman" w:cs="Times New Roman"/>
          <w:sz w:val="28"/>
          <w:szCs w:val="28"/>
        </w:rPr>
        <w:t xml:space="preserve"> </w:t>
      </w:r>
      <w:r w:rsidRPr="00420AAB">
        <w:rPr>
          <w:rFonts w:ascii="Times New Roman" w:hAnsi="Times New Roman" w:cs="Times New Roman"/>
          <w:sz w:val="28"/>
          <w:szCs w:val="28"/>
          <w:lang w:val="pt-BR"/>
        </w:rPr>
        <w:t>nhóm 2 trở lên.</w:t>
      </w:r>
    </w:p>
    <w:p w:rsidR="00420AAB" w:rsidRPr="00420AAB" w:rsidRDefault="00420AAB" w:rsidP="00416455">
      <w:pPr>
        <w:spacing w:before="120" w:after="120"/>
        <w:ind w:firstLine="720"/>
        <w:jc w:val="both"/>
        <w:rPr>
          <w:rFonts w:ascii="Times New Roman" w:hAnsi="Times New Roman" w:cs="Times New Roman"/>
          <w:sz w:val="28"/>
          <w:szCs w:val="28"/>
          <w:lang w:val="en-US"/>
        </w:rPr>
      </w:pPr>
      <w:r w:rsidRPr="00420AAB">
        <w:rPr>
          <w:rFonts w:ascii="Times New Roman" w:hAnsi="Times New Roman" w:cs="Times New Roman"/>
          <w:sz w:val="28"/>
          <w:szCs w:val="28"/>
          <w:lang w:val="en-US"/>
        </w:rPr>
        <w:t>Trị giá đồ dùng lâu bền bình quân một hộ gia đình có đồ dùng lâu bền tăng dần trong giai đoạn 2010-2020. Năm 2020 trị giá đồ dùng lâu bền bình quân một hộ đạt gần 88 triệu đồng, gấp 7,3 lần trị giá này năm 2010. Trị giá đồ dùng lâu bền bình quân một hộ có sự chênh lệch đáng kể theo khu vực thành thị - nông thôn, 6 vùng kinh tế và 5 nhóm thu nhập. Cụ thể, trị giá đồ dùng lâu bền bình quân một hộ tại khu vực thành thị hơn 103 triệu đồng, cao hơn khu vực nông thôn 24,1 triệu đồng, tương ứng 30,6%. Trị giá đồ dùng lâu bền có sự khác biệt lớn nhất giữa khu vực Đồng bằng sông Hồng (153,2 triệu đồng) và các vùng còn lại, vùng thấp nhất là Đồng bằng sông Cửu Long (59,5 triệu đồng). Trị giá đồ dùng lâu bền bình quân một hộ có sự khác biệt rất lớn giữa các hộ thuộc nhóm 5 và các nhóm hộ còn lại. Trị giá này ở nhóm 5 là 207,2 triệu đồng, cao gấp 8,6 lần các hộ gia đình thuộc nhóm 1.</w:t>
      </w:r>
    </w:p>
    <w:p w:rsidR="00420AAB" w:rsidRPr="00420AAB" w:rsidRDefault="00420AAB" w:rsidP="00416455">
      <w:pPr>
        <w:spacing w:before="120" w:after="120"/>
        <w:ind w:firstLine="720"/>
        <w:jc w:val="both"/>
        <w:rPr>
          <w:rFonts w:ascii="Times New Roman" w:hAnsi="Times New Roman" w:cs="Times New Roman"/>
          <w:sz w:val="28"/>
          <w:szCs w:val="28"/>
          <w:lang w:val="en-US"/>
        </w:rPr>
      </w:pPr>
      <w:r w:rsidRPr="00420AAB">
        <w:rPr>
          <w:rFonts w:ascii="Times New Roman" w:hAnsi="Times New Roman" w:cs="Times New Roman"/>
          <w:sz w:val="28"/>
          <w:szCs w:val="28"/>
          <w:lang w:val="en-US"/>
        </w:rPr>
        <w:t>Tuy nhiên, trong năm 2020, tỷ lệ hộ có mua sắm đồ dùng lâu bền trong 12 tháng qua là 34,4%, thấp nhất trong giai đoạn 2010-2020, giảm 14 điểm phần trăm so với năm 2010. Việc giảm mua sắm cho đồ dùng lâu bền trong thời gian này có thể do những tác động tiêu cực của dịch bệnh Covid-19 khiến người dân quan ngại và thắt chặt chi tiêu hơn, đặc biệt là những khoản chi mua tài sản có giá trị tương đối lớn như đồ dùng lâu bền. Tỷ lệ này không có sự khác biệt nhiều giữa khu vực thành thị - nông thôn, giữa các vùng và các nhóm thu nhập.</w:t>
      </w:r>
    </w:p>
    <w:p w:rsidR="00420AAB" w:rsidRPr="00420AAB" w:rsidRDefault="00420AAB" w:rsidP="00416455">
      <w:pPr>
        <w:spacing w:before="120" w:after="120"/>
        <w:ind w:firstLine="720"/>
        <w:jc w:val="both"/>
        <w:rPr>
          <w:rFonts w:ascii="Times New Roman" w:hAnsi="Times New Roman" w:cs="Times New Roman"/>
          <w:sz w:val="28"/>
          <w:szCs w:val="28"/>
          <w:lang w:val="en-US"/>
        </w:rPr>
      </w:pPr>
      <w:r w:rsidRPr="00420AAB">
        <w:rPr>
          <w:rFonts w:ascii="Times New Roman" w:hAnsi="Times New Roman" w:cs="Times New Roman"/>
          <w:sz w:val="28"/>
          <w:szCs w:val="28"/>
          <w:lang w:val="en-US"/>
        </w:rPr>
        <w:t>Điều đáng chú ý là tỷ lệ hộ mua sắm đồ dùng lâu bền trong 12 tháng qua ở khu vực thành thị thấp hơn khu vực nông thôn gần 7% nhưng trị giá đồ dùng lâu bền mua mới khu vực thành thị cao gấp 1,5 lần khu vực nông thôn. Tương tự, tỷ lệ hộ mua sắm đồ dùng lâu bền trong 12 tháng qua của các hộ gia đình thuộc hai khu vực Trung du và miền núi phía Bắc và Đồng bằng sông Cửu Long cao nhất cả nước nhưng trị giá đồ dùng mua mới lại thấp nhất cả nước.</w:t>
      </w:r>
    </w:p>
    <w:p w:rsidR="00420AAB" w:rsidRPr="00420AAB" w:rsidRDefault="00420AAB" w:rsidP="00416455">
      <w:pPr>
        <w:spacing w:before="120" w:after="120"/>
        <w:ind w:firstLine="720"/>
        <w:jc w:val="both"/>
        <w:rPr>
          <w:rFonts w:ascii="Times New Roman" w:hAnsi="Times New Roman" w:cs="Times New Roman"/>
          <w:sz w:val="28"/>
          <w:szCs w:val="28"/>
          <w:lang w:val="en-US"/>
        </w:rPr>
      </w:pPr>
      <w:r w:rsidRPr="00420AAB">
        <w:rPr>
          <w:rFonts w:ascii="Times New Roman" w:hAnsi="Times New Roman" w:cs="Times New Roman"/>
          <w:sz w:val="28"/>
          <w:szCs w:val="28"/>
          <w:lang w:val="en-US"/>
        </w:rPr>
        <w:t>Về số lượng, một số loại đồ dùng lâu bền chủ yếu trên 100 hộ có xu hướng tăng nhanh trong giai đoạn 2010-2020 như xe máy, điện thoại, tủ lạnh, máy giặt, máy điều hòa và bình tắm nước nóng - những đồ dùng thiết yếu phục vụ đời sống sinh hoạt của hộ gia đình. Năm 2010 cứ 100 hộ dân thì có 96 xe máy, 128 máy điện thoại, gần 40 tủ lạnh, 9 máy điều hòa, hơn 17 máy giặt và 13 bình tắm nước nóng thì con số này năm 2020 tương ứng là 156 xe máy, gần 210 máy điện thoại, 85 tủ lạnh, 51 máy điều hòa, 54 máy giặt và hơn 42 bình tắm nước nóng. Sự gia tăng đáng kể số lượng đồ dùng lâu bền trong hộ gia đình cho thấy đời sống của hộ dân cư ngày càng được cải thiện, hiện đại và tiện nghi hơn. Tuy nhiên, số lượng đồ dùng lâu bền trên 100 hộ khu vực thành thị cao hơn nông thôn ở hầu hết các loại đồ dùng, đặc biệt là số lượng đồ dùng của các hộ dân cư thuộc nhóm thu nhập 1 thấp hơn nhiều so với hộ thuộc các nhóm còn lại phản ánh chênh lệch đáng kể về điều kiện sinh hoạt giữa các hộ dân.</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rPr>
      </w:pPr>
      <w:r w:rsidRPr="00420AAB">
        <w:rPr>
          <w:rFonts w:ascii="Times New Roman" w:hAnsi="Times New Roman" w:cs="Times New Roman"/>
          <w:sz w:val="28"/>
          <w:szCs w:val="28"/>
          <w:lang w:val="pt-BR"/>
        </w:rPr>
        <w:t>Với tư tưởng “an cư lạc nghiệp”, chất lượng nhà ở có vai trò vô cùng quan trọng quyết định tới chất lượng đời sống dân cư. Đo lường nghèo đa chiều cũng xem xét hai chỉ số đo lường liên quan tới nhà ở là chất lượng nhà ở và diện tích nhà ở bình quân đầu người. Chất lượng nhà ở của các hộ gia đình nước ta ở mức khá cao. Năm 2020, tỷ lệ hộ gia đình sống trong nhà kiên cố và bán kiên cố lên tới 95,6%, chỉ có một tỷ lệ rất nhỏ hộ gia đình sống trong nhà thiếu kiên cố và nhà đơn sơ, không hẳn là do điều kiện kinh tế kém mà đôi khi do điều kiện tự nhiên, phong tục tập quán lâu đời, ví dụ các hộ gia đình khu vực Đồng bằng sông Cửu Long và Trung du và miền núi phía Bắc.</w:t>
      </w:r>
    </w:p>
    <w:p w:rsidR="00420AAB" w:rsidRDefault="00420AAB" w:rsidP="00420AAB">
      <w:pPr>
        <w:pStyle w:val="BodyText2"/>
        <w:tabs>
          <w:tab w:val="left" w:pos="-2430"/>
        </w:tabs>
        <w:spacing w:line="360" w:lineRule="exact"/>
        <w:ind w:left="720"/>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Hình 8. Cơ cấu các loại nhà ở năm 2020</w:t>
      </w:r>
    </w:p>
    <w:p w:rsidR="008844BE" w:rsidRDefault="008844BE" w:rsidP="008844BE">
      <w:pPr>
        <w:pStyle w:val="BodyText2"/>
        <w:tabs>
          <w:tab w:val="left" w:pos="-2430"/>
        </w:tabs>
        <w:spacing w:line="360" w:lineRule="exact"/>
        <w:ind w:left="720"/>
        <w:jc w:val="right"/>
        <w:rPr>
          <w:rFonts w:ascii="Times New Roman" w:hAnsi="Times New Roman" w:cs="Times New Roman"/>
          <w:b/>
          <w:bCs/>
          <w:sz w:val="28"/>
          <w:szCs w:val="28"/>
          <w:lang w:val="pt-BR"/>
        </w:rPr>
      </w:pPr>
      <w:r w:rsidRPr="00420AAB">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723900</wp:posOffset>
            </wp:positionH>
            <wp:positionV relativeFrom="paragraph">
              <wp:posOffset>290195</wp:posOffset>
            </wp:positionV>
            <wp:extent cx="4739640" cy="2773680"/>
            <wp:effectExtent l="0" t="0" r="3810" b="7620"/>
            <wp:wrapTopAndBottom/>
            <wp:docPr id="14" name="Chart 1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8D6BF94-88B7-406E-8750-5A7865DCD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420AAB">
        <w:rPr>
          <w:rFonts w:ascii="Times New Roman" w:hAnsi="Times New Roman" w:cs="Times New Roman"/>
          <w:i/>
          <w:iCs/>
          <w:sz w:val="28"/>
          <w:szCs w:val="28"/>
          <w:lang w:val="pt-BR"/>
        </w:rPr>
        <w:t xml:space="preserve">Đơn vị tính: </w:t>
      </w:r>
      <w:r>
        <w:rPr>
          <w:rFonts w:ascii="Times New Roman" w:hAnsi="Times New Roman" w:cs="Times New Roman"/>
          <w:i/>
          <w:iCs/>
          <w:sz w:val="28"/>
          <w:szCs w:val="28"/>
          <w:lang w:val="pt-BR"/>
        </w:rPr>
        <w:t>%</w:t>
      </w:r>
    </w:p>
    <w:p w:rsidR="00420AAB" w:rsidRPr="00420AAB" w:rsidRDefault="00420AAB" w:rsidP="00420AAB">
      <w:pPr>
        <w:pStyle w:val="BodyText2"/>
        <w:tabs>
          <w:tab w:val="left" w:pos="-2430"/>
        </w:tabs>
        <w:spacing w:line="288" w:lineRule="auto"/>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Nguồn: Tính toán từ dữ liệu Khảo sát mức sống dân cư năm 2020</w:t>
      </w:r>
    </w:p>
    <w:p w:rsidR="00420AAB" w:rsidRPr="00420AAB" w:rsidRDefault="00420AAB" w:rsidP="00416455">
      <w:pPr>
        <w:spacing w:before="120" w:after="120"/>
        <w:ind w:firstLine="720"/>
        <w:jc w:val="both"/>
        <w:rPr>
          <w:rFonts w:ascii="Times New Roman" w:hAnsi="Times New Roman" w:cs="Times New Roman"/>
          <w:sz w:val="28"/>
          <w:szCs w:val="28"/>
        </w:rPr>
      </w:pPr>
      <w:r w:rsidRPr="00420AAB">
        <w:rPr>
          <w:rFonts w:ascii="Times New Roman" w:hAnsi="Times New Roman" w:cs="Times New Roman"/>
          <w:sz w:val="28"/>
          <w:szCs w:val="28"/>
        </w:rPr>
        <w:t>Năm 2020, diện tích nhà ở bình quân đầu người trên cả nước đạt mức 25,</w:t>
      </w:r>
      <w:r w:rsidRPr="00420AAB">
        <w:rPr>
          <w:rFonts w:ascii="Times New Roman" w:hAnsi="Times New Roman" w:cs="Times New Roman"/>
          <w:sz w:val="28"/>
          <w:szCs w:val="28"/>
          <w:lang w:val="en-US"/>
        </w:rPr>
        <w:t>3</w:t>
      </w:r>
      <w:r w:rsidRPr="00420AAB">
        <w:rPr>
          <w:rFonts w:ascii="Times New Roman" w:hAnsi="Times New Roman" w:cs="Times New Roman"/>
          <w:sz w:val="28"/>
          <w:szCs w:val="28"/>
        </w:rPr>
        <w:t xml:space="preserve"> m2, tăng 7,</w:t>
      </w:r>
      <w:r w:rsidRPr="00420AAB">
        <w:rPr>
          <w:rFonts w:ascii="Times New Roman" w:hAnsi="Times New Roman" w:cs="Times New Roman"/>
          <w:sz w:val="28"/>
          <w:szCs w:val="28"/>
          <w:lang w:val="en-US"/>
        </w:rPr>
        <w:t>4</w:t>
      </w:r>
      <w:r w:rsidRPr="00420AAB">
        <w:rPr>
          <w:rFonts w:ascii="Times New Roman" w:hAnsi="Times New Roman" w:cs="Times New Roman"/>
          <w:sz w:val="28"/>
          <w:szCs w:val="28"/>
        </w:rPr>
        <w:t xml:space="preserve"> m2 so với năm 2010, tương ứng tăng 4</w:t>
      </w:r>
      <w:r w:rsidRPr="00420AAB">
        <w:rPr>
          <w:rFonts w:ascii="Times New Roman" w:hAnsi="Times New Roman" w:cs="Times New Roman"/>
          <w:sz w:val="28"/>
          <w:szCs w:val="28"/>
          <w:lang w:val="en-US"/>
        </w:rPr>
        <w:t>1</w:t>
      </w:r>
      <w:r w:rsidRPr="00420AAB">
        <w:rPr>
          <w:rFonts w:ascii="Times New Roman" w:hAnsi="Times New Roman" w:cs="Times New Roman"/>
          <w:sz w:val="28"/>
          <w:szCs w:val="28"/>
        </w:rPr>
        <w:t>,</w:t>
      </w:r>
      <w:r w:rsidRPr="00420AAB">
        <w:rPr>
          <w:rFonts w:ascii="Times New Roman" w:hAnsi="Times New Roman" w:cs="Times New Roman"/>
          <w:sz w:val="28"/>
          <w:szCs w:val="28"/>
          <w:lang w:val="en-US"/>
        </w:rPr>
        <w:t>3</w:t>
      </w:r>
      <w:r w:rsidRPr="00420AAB">
        <w:rPr>
          <w:rFonts w:ascii="Times New Roman" w:hAnsi="Times New Roman" w:cs="Times New Roman"/>
          <w:sz w:val="28"/>
          <w:szCs w:val="28"/>
        </w:rPr>
        <w:t>%. Diện tích nhà ở bình quân đầu người lớn nhất ở khu vực Đồng bằng sông Hồng và thấp nhất khu vực Tây Nguyên; tăng dần theo 5 nhóm thu nhập và có sự chênh lệch đáng kể trong 5 nhóm thu nhập. Diện tích này cao nhất ở nhóm giàu nhất, cao gần gấp đôi (1,8 lần) nhóm nghèo nhất.</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lang w:val="pt-BR"/>
        </w:rPr>
      </w:pPr>
      <w:r w:rsidRPr="00420AAB">
        <w:rPr>
          <w:rFonts w:ascii="Times New Roman" w:hAnsi="Times New Roman" w:cs="Times New Roman"/>
          <w:sz w:val="28"/>
          <w:szCs w:val="28"/>
          <w:lang w:val="pt-BR"/>
        </w:rPr>
        <w:t>Tỷ lệ hộ nghèo tiếp cận đa chiều chung cả nước năm 2020 là 4,8%, giảm 0,9 điểm phần trăm so với năm 2019. Tỷ lệ hộ nghèo tiếp cận đa chiều ở nông thôn là 7,1%, cao hơn nhiều ở khu vực thành thị là 1,1%. Tỷ lệ hộ nghèo tiếp cận đa chiều có sự khác biệt giữa các vùng. Vùng Trung du và miền núi phía Bắc có tỷ lệ hộ nghèo tiếp cận đa chiều cao nhất (14,4%), tiếp đến là các vùng Tây Nguyên, Bắc Trung Bộ và Duyên hải miền Trung (11% và 6,5%). Vùng có tỷ lệ hộ nghèo tiếp cận đa chiều thấp nhất là Đông Nam Bộ (0,3%).</w:t>
      </w:r>
    </w:p>
    <w:p w:rsidR="00420AAB" w:rsidRPr="00420AAB" w:rsidRDefault="00420AAB" w:rsidP="00416455">
      <w:pPr>
        <w:pStyle w:val="BodyText2"/>
        <w:tabs>
          <w:tab w:val="left" w:pos="-2430"/>
        </w:tabs>
        <w:spacing w:before="120" w:line="288" w:lineRule="auto"/>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Hình 9. Tỷ lệ hộ nghèo chung cả nước, thành thị - nông thôn và vùng</w:t>
      </w:r>
    </w:p>
    <w:p w:rsidR="00420AAB" w:rsidRPr="00420AAB" w:rsidRDefault="008844BE" w:rsidP="008844BE">
      <w:pPr>
        <w:pStyle w:val="BodyText2"/>
        <w:tabs>
          <w:tab w:val="left" w:pos="-2430"/>
        </w:tabs>
        <w:spacing w:line="288" w:lineRule="auto"/>
        <w:ind w:left="142"/>
        <w:jc w:val="right"/>
        <w:rPr>
          <w:rFonts w:ascii="Times New Roman" w:hAnsi="Times New Roman" w:cs="Times New Roman"/>
          <w:sz w:val="28"/>
          <w:szCs w:val="28"/>
          <w:lang w:val="pt-BR"/>
        </w:rPr>
      </w:pPr>
      <w:r w:rsidRPr="00420AAB">
        <w:rPr>
          <w:rFonts w:ascii="Times New Roman" w:hAnsi="Times New Roman" w:cs="Times New Roman"/>
          <w:i/>
          <w:iCs/>
          <w:sz w:val="28"/>
          <w:szCs w:val="28"/>
          <w:lang w:val="pt-BR"/>
        </w:rPr>
        <w:t xml:space="preserve">Đơn vị tính: </w:t>
      </w:r>
      <w:r>
        <w:rPr>
          <w:rFonts w:ascii="Times New Roman" w:hAnsi="Times New Roman" w:cs="Times New Roman"/>
          <w:i/>
          <w:iCs/>
          <w:sz w:val="28"/>
          <w:szCs w:val="28"/>
          <w:lang w:val="pt-BR"/>
        </w:rPr>
        <w:t>%</w:t>
      </w:r>
      <w:r w:rsidR="00420AAB" w:rsidRPr="00420AAB">
        <w:rPr>
          <w:rFonts w:ascii="Times New Roman" w:hAnsi="Times New Roman" w:cs="Times New Roman"/>
          <w:noProof/>
          <w:sz w:val="28"/>
          <w:szCs w:val="28"/>
        </w:rPr>
        <w:drawing>
          <wp:inline distT="0" distB="0" distL="0" distR="0">
            <wp:extent cx="6316345" cy="3558540"/>
            <wp:effectExtent l="0" t="0" r="8255" b="3810"/>
            <wp:docPr id="5" name="Chart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5C8BD40-B6C0-4840-900C-093FBBE4B5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20AAB" w:rsidRPr="00420AAB" w:rsidRDefault="00420AAB" w:rsidP="00420AAB">
      <w:pPr>
        <w:pStyle w:val="BodyText2"/>
        <w:tabs>
          <w:tab w:val="left" w:pos="-2430"/>
        </w:tabs>
        <w:spacing w:line="288" w:lineRule="auto"/>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Nguồn: Tính toán từ dữ liệu Khảo sát mức sống dân cư</w:t>
      </w:r>
    </w:p>
    <w:p w:rsidR="00420AAB" w:rsidRPr="00420AAB" w:rsidRDefault="00420AAB" w:rsidP="00416455">
      <w:pPr>
        <w:pStyle w:val="BodyText2"/>
        <w:tabs>
          <w:tab w:val="left" w:pos="-2430"/>
        </w:tabs>
        <w:spacing w:before="120" w:line="288" w:lineRule="auto"/>
        <w:jc w:val="both"/>
        <w:rPr>
          <w:rFonts w:ascii="Times New Roman" w:hAnsi="Times New Roman" w:cs="Times New Roman"/>
          <w:b/>
          <w:bCs/>
          <w:sz w:val="28"/>
          <w:szCs w:val="28"/>
          <w:lang w:val="pt-BR"/>
        </w:rPr>
      </w:pPr>
      <w:r w:rsidRPr="00420AAB">
        <w:rPr>
          <w:rFonts w:ascii="Times New Roman" w:hAnsi="Times New Roman" w:cs="Times New Roman"/>
          <w:sz w:val="28"/>
          <w:szCs w:val="28"/>
          <w:lang w:val="pt-BR"/>
        </w:rPr>
        <w:tab/>
        <w:t>Xét riêng về 10 chỉ số phản ánh mức độ thiếu hụt các dịch vụ xã hội cơ bản thì ba chỉ số có mức độ thiếu hụt cao nhất năm 2020 là bảo hiểm y tế, giáo dục người lớn và tiếp cận hộ xí hợp vệ sinh (mức độ thiếu hụt lần lượt là 18,9%, 11,4% và 6,0%). Trong 3 chỉ số này thì 2 chỉ số là bảo hiểm y tế và tiếp cận hố xí hợp vệ sinh có mức độ thiếu hụt có xu hướng giảm, riêng chỉ số giáo dục người lớn không có xu hướng giảm qua các năm trong giai đoạn 2016-2020.</w:t>
      </w:r>
    </w:p>
    <w:p w:rsidR="008844BE" w:rsidRDefault="00420AAB" w:rsidP="00416455">
      <w:pPr>
        <w:pStyle w:val="BodyText2"/>
        <w:tabs>
          <w:tab w:val="left" w:pos="-2430"/>
        </w:tabs>
        <w:spacing w:before="120" w:line="240" w:lineRule="auto"/>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 xml:space="preserve">Hình 10. Mức độ thiếu hụt tiếp cận các dịch vụ xã hội cơ bản </w:t>
      </w:r>
    </w:p>
    <w:p w:rsidR="00420AAB" w:rsidRPr="00420AAB" w:rsidRDefault="00420AAB" w:rsidP="00416455">
      <w:pPr>
        <w:pStyle w:val="BodyText2"/>
        <w:tabs>
          <w:tab w:val="left" w:pos="-2430"/>
        </w:tabs>
        <w:spacing w:before="120" w:line="240" w:lineRule="auto"/>
        <w:jc w:val="center"/>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chung cả nước năm 2020</w:t>
      </w:r>
    </w:p>
    <w:p w:rsidR="00420AAB" w:rsidRPr="00420AAB" w:rsidRDefault="00420AAB" w:rsidP="00416455">
      <w:pPr>
        <w:pStyle w:val="BodyText2"/>
        <w:tabs>
          <w:tab w:val="left" w:pos="-2430"/>
        </w:tabs>
        <w:spacing w:before="120" w:line="288" w:lineRule="auto"/>
        <w:ind w:left="720"/>
        <w:jc w:val="right"/>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Đơn vị</w:t>
      </w:r>
      <w:r w:rsidR="008844BE">
        <w:rPr>
          <w:rFonts w:ascii="Times New Roman" w:hAnsi="Times New Roman" w:cs="Times New Roman"/>
          <w:i/>
          <w:iCs/>
          <w:sz w:val="28"/>
          <w:szCs w:val="28"/>
          <w:lang w:val="pt-BR"/>
        </w:rPr>
        <w:t xml:space="preserve"> tính</w:t>
      </w:r>
      <w:r w:rsidRPr="00420AAB">
        <w:rPr>
          <w:rFonts w:ascii="Times New Roman" w:hAnsi="Times New Roman" w:cs="Times New Roman"/>
          <w:i/>
          <w:iCs/>
          <w:sz w:val="28"/>
          <w:szCs w:val="28"/>
          <w:lang w:val="pt-BR"/>
        </w:rPr>
        <w:t>: %</w:t>
      </w:r>
    </w:p>
    <w:p w:rsidR="00420AAB" w:rsidRPr="00420AAB" w:rsidRDefault="00420AAB" w:rsidP="00416455">
      <w:pPr>
        <w:pStyle w:val="BodyText2"/>
        <w:tabs>
          <w:tab w:val="left" w:pos="-2430"/>
        </w:tabs>
        <w:spacing w:before="120" w:line="288" w:lineRule="auto"/>
        <w:jc w:val="center"/>
        <w:rPr>
          <w:rFonts w:ascii="Times New Roman" w:hAnsi="Times New Roman" w:cs="Times New Roman"/>
          <w:color w:val="FF0000"/>
          <w:sz w:val="28"/>
          <w:szCs w:val="28"/>
          <w:lang w:val="pt-BR"/>
        </w:rPr>
      </w:pPr>
      <w:r w:rsidRPr="00420AAB">
        <w:rPr>
          <w:rFonts w:ascii="Times New Roman" w:hAnsi="Times New Roman" w:cs="Times New Roman"/>
          <w:noProof/>
          <w:sz w:val="28"/>
          <w:szCs w:val="28"/>
        </w:rPr>
        <w:drawing>
          <wp:inline distT="0" distB="0" distL="0" distR="0">
            <wp:extent cx="5905500" cy="3238500"/>
            <wp:effectExtent l="0" t="0" r="0" b="0"/>
            <wp:docPr id="4" name="Chart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A364BEE1-19F6-43D4-95A3-8EBBB47730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20AAB" w:rsidRPr="00420AAB" w:rsidRDefault="00420AAB" w:rsidP="00416455">
      <w:pPr>
        <w:pStyle w:val="BodyText2"/>
        <w:tabs>
          <w:tab w:val="left" w:pos="-2430"/>
        </w:tabs>
        <w:spacing w:before="120" w:line="288" w:lineRule="auto"/>
        <w:rPr>
          <w:rFonts w:ascii="Times New Roman" w:hAnsi="Times New Roman" w:cs="Times New Roman"/>
          <w:i/>
          <w:iCs/>
          <w:sz w:val="28"/>
          <w:szCs w:val="28"/>
          <w:lang w:val="pt-BR"/>
        </w:rPr>
      </w:pPr>
      <w:r w:rsidRPr="00420AAB">
        <w:rPr>
          <w:rFonts w:ascii="Times New Roman" w:hAnsi="Times New Roman" w:cs="Times New Roman"/>
          <w:i/>
          <w:iCs/>
          <w:sz w:val="28"/>
          <w:szCs w:val="28"/>
          <w:lang w:val="pt-BR"/>
        </w:rPr>
        <w:t>Nguồn: Tính toán từ dữ liệu Khảo sát mức sống dân cư năm 2020</w:t>
      </w:r>
    </w:p>
    <w:p w:rsidR="00420AAB" w:rsidRPr="00420AAB" w:rsidRDefault="00420AAB" w:rsidP="00416455">
      <w:pPr>
        <w:pStyle w:val="BodyText2"/>
        <w:numPr>
          <w:ilvl w:val="0"/>
          <w:numId w:val="24"/>
        </w:numPr>
        <w:tabs>
          <w:tab w:val="left" w:pos="-2430"/>
        </w:tabs>
        <w:spacing w:before="120" w:line="288" w:lineRule="auto"/>
        <w:ind w:left="0" w:firstLine="720"/>
        <w:jc w:val="both"/>
        <w:rPr>
          <w:rFonts w:ascii="Times New Roman" w:hAnsi="Times New Roman" w:cs="Times New Roman"/>
          <w:sz w:val="28"/>
          <w:szCs w:val="28"/>
          <w:lang w:val="pt-BR"/>
        </w:rPr>
      </w:pPr>
      <w:r w:rsidRPr="00420AAB">
        <w:rPr>
          <w:rFonts w:ascii="Times New Roman" w:hAnsi="Times New Roman" w:cs="Times New Roman"/>
          <w:sz w:val="28"/>
          <w:szCs w:val="28"/>
          <w:lang w:val="pt-BR"/>
        </w:rPr>
        <w:t xml:space="preserve">Hệ số GINI (theo thu nhập) của Việt Nam năm 2020 là 0,375 thấp hơn GINI  giai đoạn 2014-2018 ở mức 0,4 nhưng vẫn ở mức bất bình đẳng trung bình. Mức độ bất bình đẳng ở nông thôn cao hơn thành thị. Hai vùng có tỷ lệ nghèo cao là Trung du và miền núi phía Bắc và Tây Nguyên cũng là hai vùng có hệ số GINI cao nhất, vùng có hệ số GINI thấp nhất là Đông Nam Bộ. </w:t>
      </w:r>
    </w:p>
    <w:p w:rsidR="00420AAB" w:rsidRPr="00420AAB" w:rsidRDefault="00420AAB" w:rsidP="00416455">
      <w:pPr>
        <w:pStyle w:val="BodyText2"/>
        <w:tabs>
          <w:tab w:val="left" w:pos="-2430"/>
        </w:tabs>
        <w:spacing w:before="120" w:line="288" w:lineRule="auto"/>
        <w:ind w:left="720"/>
        <w:rPr>
          <w:rFonts w:ascii="Times New Roman" w:hAnsi="Times New Roman" w:cs="Times New Roman"/>
          <w:b/>
          <w:bCs/>
          <w:sz w:val="28"/>
          <w:szCs w:val="28"/>
          <w:lang w:val="pt-BR"/>
        </w:rPr>
      </w:pPr>
      <w:r w:rsidRPr="00420AAB">
        <w:rPr>
          <w:rFonts w:ascii="Times New Roman" w:hAnsi="Times New Roman" w:cs="Times New Roman"/>
          <w:b/>
          <w:bCs/>
          <w:sz w:val="28"/>
          <w:szCs w:val="28"/>
          <w:lang w:val="pt-BR"/>
        </w:rPr>
        <w:t>Kết luận</w:t>
      </w:r>
    </w:p>
    <w:p w:rsidR="00AD2F18" w:rsidRPr="002C0B23" w:rsidRDefault="00420AAB" w:rsidP="00B9738D">
      <w:pPr>
        <w:pStyle w:val="Normal11"/>
        <w:spacing w:before="120" w:beforeAutospacing="0" w:after="120" w:afterAutospacing="0" w:line="295" w:lineRule="auto"/>
        <w:ind w:firstLine="567"/>
        <w:jc w:val="both"/>
        <w:rPr>
          <w:rFonts w:ascii="Times New Roman" w:hAnsi="Times New Roman" w:cs="Times New Roman"/>
          <w:sz w:val="28"/>
          <w:szCs w:val="28"/>
          <w:lang w:val="de-DE"/>
        </w:rPr>
      </w:pPr>
      <w:r w:rsidRPr="00420AAB">
        <w:rPr>
          <w:rFonts w:ascii="Times New Roman" w:hAnsi="Times New Roman" w:cs="Times New Roman"/>
          <w:sz w:val="28"/>
          <w:szCs w:val="28"/>
        </w:rPr>
        <w:t>Năm 2020</w:t>
      </w:r>
      <w:r w:rsidRPr="00420AAB">
        <w:rPr>
          <w:rFonts w:ascii="Times New Roman" w:hAnsi="Times New Roman" w:cs="Times New Roman"/>
          <w:sz w:val="28"/>
          <w:szCs w:val="28"/>
          <w:lang w:val="vi-VN"/>
        </w:rPr>
        <w:t xml:space="preserve"> </w:t>
      </w:r>
      <w:r w:rsidRPr="00420AAB">
        <w:rPr>
          <w:rFonts w:ascii="Times New Roman" w:hAnsi="Times New Roman" w:cs="Times New Roman"/>
          <w:sz w:val="28"/>
          <w:szCs w:val="28"/>
        </w:rPr>
        <w:t xml:space="preserve">tình hình </w:t>
      </w:r>
      <w:r w:rsidRPr="00420AAB">
        <w:rPr>
          <w:rFonts w:ascii="Times New Roman" w:hAnsi="Times New Roman" w:cs="Times New Roman"/>
          <w:sz w:val="28"/>
          <w:szCs w:val="28"/>
          <w:lang w:val="vi-VN"/>
        </w:rPr>
        <w:t>kinh tế - xã hội nước ta diễn ra trong bối cảnh</w:t>
      </w:r>
      <w:r w:rsidRPr="00420AAB">
        <w:rPr>
          <w:rFonts w:ascii="Times New Roman" w:hAnsi="Times New Roman" w:cs="Times New Roman"/>
          <w:sz w:val="28"/>
          <w:szCs w:val="28"/>
        </w:rPr>
        <w:t xml:space="preserve"> dịch bệnh Covid-19 gặp không </w:t>
      </w:r>
      <w:r w:rsidRPr="00420AAB">
        <w:rPr>
          <w:rFonts w:ascii="Times New Roman" w:hAnsi="Times New Roman" w:cs="Times New Roman"/>
          <w:sz w:val="28"/>
          <w:szCs w:val="28"/>
          <w:lang w:val="vi-VN"/>
        </w:rPr>
        <w:t xml:space="preserve">ít khó khăn, thách thức </w:t>
      </w:r>
      <w:r w:rsidRPr="00420AAB">
        <w:rPr>
          <w:rFonts w:ascii="Times New Roman" w:hAnsi="Times New Roman" w:cs="Times New Roman"/>
          <w:sz w:val="28"/>
          <w:szCs w:val="28"/>
        </w:rPr>
        <w:t xml:space="preserve">do vừa phải chống dịch vừa phải đảm bảo phát triển kinh tế xã hội. Mặc dù thu nhập </w:t>
      </w:r>
      <w:r w:rsidRPr="00420AAB">
        <w:rPr>
          <w:rFonts w:ascii="Times New Roman" w:hAnsi="Times New Roman" w:cs="Times New Roman"/>
          <w:sz w:val="28"/>
          <w:szCs w:val="28"/>
          <w:lang w:val="vi-VN"/>
        </w:rPr>
        <w:t xml:space="preserve">của dân cư </w:t>
      </w:r>
      <w:r w:rsidRPr="00420AAB">
        <w:rPr>
          <w:rFonts w:ascii="Times New Roman" w:hAnsi="Times New Roman" w:cs="Times New Roman"/>
          <w:sz w:val="28"/>
          <w:szCs w:val="28"/>
        </w:rPr>
        <w:t>có giảm so với năm 2019</w:t>
      </w:r>
      <w:r w:rsidRPr="00420AAB">
        <w:rPr>
          <w:rFonts w:ascii="Times New Roman" w:hAnsi="Times New Roman" w:cs="Times New Roman"/>
          <w:sz w:val="28"/>
          <w:szCs w:val="28"/>
          <w:lang w:val="vi-VN"/>
        </w:rPr>
        <w:t xml:space="preserve"> </w:t>
      </w:r>
      <w:r w:rsidRPr="00420AAB">
        <w:rPr>
          <w:rFonts w:ascii="Times New Roman" w:hAnsi="Times New Roman" w:cs="Times New Roman"/>
          <w:sz w:val="28"/>
          <w:szCs w:val="28"/>
        </w:rPr>
        <w:t xml:space="preserve">nhưng </w:t>
      </w:r>
      <w:r w:rsidRPr="00420AAB">
        <w:rPr>
          <w:rFonts w:ascii="Times New Roman" w:hAnsi="Times New Roman" w:cs="Times New Roman"/>
          <w:sz w:val="28"/>
          <w:szCs w:val="28"/>
          <w:lang w:val="vi-VN"/>
        </w:rPr>
        <w:t xml:space="preserve">tỷ lệ hộ nghèo </w:t>
      </w:r>
      <w:r w:rsidRPr="00420AAB">
        <w:rPr>
          <w:rFonts w:ascii="Times New Roman" w:hAnsi="Times New Roman" w:cs="Times New Roman"/>
          <w:sz w:val="28"/>
          <w:szCs w:val="28"/>
        </w:rPr>
        <w:t xml:space="preserve">vẫn </w:t>
      </w:r>
      <w:r w:rsidRPr="00420AAB">
        <w:rPr>
          <w:rFonts w:ascii="Times New Roman" w:hAnsi="Times New Roman" w:cs="Times New Roman"/>
          <w:sz w:val="28"/>
          <w:szCs w:val="28"/>
          <w:lang w:val="vi-VN"/>
        </w:rPr>
        <w:t>giảm</w:t>
      </w:r>
      <w:r w:rsidRPr="00420AAB">
        <w:rPr>
          <w:rFonts w:ascii="Times New Roman" w:hAnsi="Times New Roman" w:cs="Times New Roman"/>
          <w:sz w:val="28"/>
          <w:szCs w:val="28"/>
        </w:rPr>
        <w:t xml:space="preserve"> do Chính phủ thực hiện tốt các chính sách an sinh xã hội</w:t>
      </w:r>
      <w:r w:rsidRPr="00420AAB">
        <w:rPr>
          <w:rFonts w:ascii="Times New Roman" w:hAnsi="Times New Roman" w:cs="Times New Roman"/>
          <w:sz w:val="28"/>
          <w:szCs w:val="28"/>
          <w:lang w:val="vi-VN"/>
        </w:rPr>
        <w:t>. Tuy nhiên, mức sống vẫn có sự cách biệt giữa thành thị và nông thôn, giữa nhóm dân cư giàu và nghèo, giữa các vùng. Đây là vấn đề đòi hỏi các nhà hoạch định chính sách phải tiếp tục quan tâm giải quyết./.</w:t>
      </w:r>
    </w:p>
    <w:p w:rsidR="00231408" w:rsidRPr="002C0B23" w:rsidRDefault="00231408" w:rsidP="00571E6B">
      <w:pPr>
        <w:spacing w:after="100" w:line="240" w:lineRule="auto"/>
        <w:ind w:firstLine="567"/>
        <w:jc w:val="right"/>
        <w:rPr>
          <w:rFonts w:ascii="Times New Roman" w:hAnsi="Times New Roman" w:cs="Times New Roman"/>
          <w:sz w:val="28"/>
          <w:szCs w:val="28"/>
          <w:lang w:val="de-DE"/>
        </w:rPr>
      </w:pPr>
      <w:r w:rsidRPr="002C0B23">
        <w:rPr>
          <w:rFonts w:ascii="Times New Roman" w:hAnsi="Times New Roman" w:cs="Times New Roman"/>
          <w:b/>
          <w:sz w:val="28"/>
          <w:szCs w:val="28"/>
          <w:lang w:val="en-US"/>
        </w:rPr>
        <w:t>TỔNG CỤC THỐNG KÊ</w:t>
      </w:r>
    </w:p>
    <w:sectPr w:rsidR="00231408" w:rsidRPr="002C0B23" w:rsidSect="00416455">
      <w:footerReference w:type="default" r:id="rId18"/>
      <w:pgSz w:w="11906" w:h="16838" w:code="9"/>
      <w:pgMar w:top="1080" w:right="1080" w:bottom="1080" w:left="1728" w:header="504"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107" w:rsidRDefault="00634107" w:rsidP="00140F6C">
      <w:pPr>
        <w:spacing w:after="0" w:line="240" w:lineRule="auto"/>
        <w:rPr>
          <w:rFonts w:cs="Times New Roman"/>
        </w:rPr>
      </w:pPr>
      <w:r>
        <w:rPr>
          <w:rFonts w:cs="Times New Roman"/>
        </w:rPr>
        <w:separator/>
      </w:r>
    </w:p>
  </w:endnote>
  <w:endnote w:type="continuationSeparator" w:id="0">
    <w:p w:rsidR="00634107" w:rsidRDefault="00634107"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069672"/>
      <w:docPartObj>
        <w:docPartGallery w:val="Page Numbers (Bottom of Page)"/>
        <w:docPartUnique/>
      </w:docPartObj>
    </w:sdtPr>
    <w:sdtEndPr>
      <w:rPr>
        <w:noProof/>
      </w:rPr>
    </w:sdtEndPr>
    <w:sdtContent>
      <w:p w:rsidR="00A2525E" w:rsidRDefault="00FC3B6E">
        <w:pPr>
          <w:pStyle w:val="Footer"/>
          <w:jc w:val="right"/>
        </w:pPr>
        <w:r>
          <w:fldChar w:fldCharType="begin"/>
        </w:r>
        <w:r w:rsidR="00A2525E">
          <w:instrText xml:space="preserve"> PAGE   \* MERGEFORMAT </w:instrText>
        </w:r>
        <w:r>
          <w:fldChar w:fldCharType="separate"/>
        </w:r>
        <w:r w:rsidR="00FE7412">
          <w:rPr>
            <w:noProof/>
          </w:rPr>
          <w:t>2</w:t>
        </w:r>
        <w:r>
          <w:rPr>
            <w:noProof/>
          </w:rPr>
          <w:fldChar w:fldCharType="end"/>
        </w:r>
      </w:p>
    </w:sdtContent>
  </w:sdt>
  <w:p w:rsidR="007E11BA" w:rsidRDefault="007E11BA"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107" w:rsidRDefault="00634107" w:rsidP="00140F6C">
      <w:pPr>
        <w:spacing w:after="0" w:line="240" w:lineRule="auto"/>
        <w:rPr>
          <w:rFonts w:cs="Times New Roman"/>
        </w:rPr>
      </w:pPr>
      <w:r>
        <w:rPr>
          <w:rFonts w:cs="Times New Roman"/>
        </w:rPr>
        <w:separator/>
      </w:r>
    </w:p>
  </w:footnote>
  <w:footnote w:type="continuationSeparator" w:id="0">
    <w:p w:rsidR="00634107" w:rsidRDefault="00634107" w:rsidP="00140F6C">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4C68EA"/>
    <w:multiLevelType w:val="hybridMultilevel"/>
    <w:tmpl w:val="4182A510"/>
    <w:lvl w:ilvl="0" w:tplc="822408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69246179"/>
    <w:multiLevelType w:val="hybridMultilevel"/>
    <w:tmpl w:val="76F2945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2">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3">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20"/>
  </w:num>
  <w:num w:numId="3">
    <w:abstractNumId w:val="15"/>
  </w:num>
  <w:num w:numId="4">
    <w:abstractNumId w:val="2"/>
  </w:num>
  <w:num w:numId="5">
    <w:abstractNumId w:val="21"/>
  </w:num>
  <w:num w:numId="6">
    <w:abstractNumId w:val="14"/>
  </w:num>
  <w:num w:numId="7">
    <w:abstractNumId w:val="17"/>
  </w:num>
  <w:num w:numId="8">
    <w:abstractNumId w:val="7"/>
  </w:num>
  <w:num w:numId="9">
    <w:abstractNumId w:val="13"/>
  </w:num>
  <w:num w:numId="10">
    <w:abstractNumId w:val="16"/>
  </w:num>
  <w:num w:numId="11">
    <w:abstractNumId w:val="6"/>
  </w:num>
  <w:num w:numId="12">
    <w:abstractNumId w:val="19"/>
  </w:num>
  <w:num w:numId="13">
    <w:abstractNumId w:val="12"/>
  </w:num>
  <w:num w:numId="14">
    <w:abstractNumId w:val="0"/>
  </w:num>
  <w:num w:numId="15">
    <w:abstractNumId w:val="1"/>
  </w:num>
  <w:num w:numId="16">
    <w:abstractNumId w:val="3"/>
  </w:num>
  <w:num w:numId="17">
    <w:abstractNumId w:val="22"/>
  </w:num>
  <w:num w:numId="18">
    <w:abstractNumId w:val="23"/>
  </w:num>
  <w:num w:numId="19">
    <w:abstractNumId w:val="8"/>
  </w:num>
  <w:num w:numId="20">
    <w:abstractNumId w:val="10"/>
  </w:num>
  <w:num w:numId="21">
    <w:abstractNumId w:val="9"/>
  </w:num>
  <w:num w:numId="22">
    <w:abstractNumId w:val="4"/>
  </w:num>
  <w:num w:numId="23">
    <w:abstractNumId w:val="18"/>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05584C"/>
    <w:rsid w:val="00002626"/>
    <w:rsid w:val="0000550B"/>
    <w:rsid w:val="00005AE0"/>
    <w:rsid w:val="00005E0C"/>
    <w:rsid w:val="0000637E"/>
    <w:rsid w:val="00007290"/>
    <w:rsid w:val="000072FC"/>
    <w:rsid w:val="000076AF"/>
    <w:rsid w:val="000079ED"/>
    <w:rsid w:val="0001081E"/>
    <w:rsid w:val="00010F94"/>
    <w:rsid w:val="00012302"/>
    <w:rsid w:val="00012D5D"/>
    <w:rsid w:val="00014131"/>
    <w:rsid w:val="0001431E"/>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564F"/>
    <w:rsid w:val="0005584C"/>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87FE5"/>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33F6"/>
    <w:rsid w:val="000B7B53"/>
    <w:rsid w:val="000C016B"/>
    <w:rsid w:val="000C1124"/>
    <w:rsid w:val="000C19C2"/>
    <w:rsid w:val="000C1AFC"/>
    <w:rsid w:val="000C2982"/>
    <w:rsid w:val="000C3A72"/>
    <w:rsid w:val="000C41F7"/>
    <w:rsid w:val="000C5E1D"/>
    <w:rsid w:val="000D2ED4"/>
    <w:rsid w:val="000D3A28"/>
    <w:rsid w:val="000D48EC"/>
    <w:rsid w:val="000D592B"/>
    <w:rsid w:val="000D7358"/>
    <w:rsid w:val="000D74CC"/>
    <w:rsid w:val="000E160B"/>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165B"/>
    <w:rsid w:val="000F2094"/>
    <w:rsid w:val="000F27A0"/>
    <w:rsid w:val="000F2892"/>
    <w:rsid w:val="000F29A3"/>
    <w:rsid w:val="000F29C4"/>
    <w:rsid w:val="000F2D3B"/>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FA6"/>
    <w:rsid w:val="00114258"/>
    <w:rsid w:val="001168A8"/>
    <w:rsid w:val="00116D01"/>
    <w:rsid w:val="00120BA6"/>
    <w:rsid w:val="0012114D"/>
    <w:rsid w:val="00121AB4"/>
    <w:rsid w:val="00125C74"/>
    <w:rsid w:val="00127194"/>
    <w:rsid w:val="0013094D"/>
    <w:rsid w:val="00131D2B"/>
    <w:rsid w:val="001343D3"/>
    <w:rsid w:val="00134B4A"/>
    <w:rsid w:val="001378E0"/>
    <w:rsid w:val="00137C9A"/>
    <w:rsid w:val="0014036D"/>
    <w:rsid w:val="00140B38"/>
    <w:rsid w:val="00140E07"/>
    <w:rsid w:val="00140F6C"/>
    <w:rsid w:val="00141B87"/>
    <w:rsid w:val="0014215D"/>
    <w:rsid w:val="001425FD"/>
    <w:rsid w:val="00142BE0"/>
    <w:rsid w:val="00142DA8"/>
    <w:rsid w:val="001430E1"/>
    <w:rsid w:val="0014459C"/>
    <w:rsid w:val="00144A29"/>
    <w:rsid w:val="00145054"/>
    <w:rsid w:val="00146DCC"/>
    <w:rsid w:val="00150B92"/>
    <w:rsid w:val="001518AA"/>
    <w:rsid w:val="00151E23"/>
    <w:rsid w:val="00152F6B"/>
    <w:rsid w:val="001602EC"/>
    <w:rsid w:val="00160712"/>
    <w:rsid w:val="001608BD"/>
    <w:rsid w:val="001614AF"/>
    <w:rsid w:val="001615F9"/>
    <w:rsid w:val="00162737"/>
    <w:rsid w:val="00162B6E"/>
    <w:rsid w:val="00164EC6"/>
    <w:rsid w:val="0016501B"/>
    <w:rsid w:val="001651D1"/>
    <w:rsid w:val="00166E36"/>
    <w:rsid w:val="00170081"/>
    <w:rsid w:val="00170BCE"/>
    <w:rsid w:val="00172979"/>
    <w:rsid w:val="00174075"/>
    <w:rsid w:val="001745F2"/>
    <w:rsid w:val="001772E0"/>
    <w:rsid w:val="00180553"/>
    <w:rsid w:val="00183934"/>
    <w:rsid w:val="00183A90"/>
    <w:rsid w:val="00183C10"/>
    <w:rsid w:val="00185E3C"/>
    <w:rsid w:val="0018650F"/>
    <w:rsid w:val="00186DFF"/>
    <w:rsid w:val="00191876"/>
    <w:rsid w:val="001919F1"/>
    <w:rsid w:val="00191D87"/>
    <w:rsid w:val="0019386E"/>
    <w:rsid w:val="001950AD"/>
    <w:rsid w:val="001968F8"/>
    <w:rsid w:val="001A0220"/>
    <w:rsid w:val="001A26D2"/>
    <w:rsid w:val="001A2C20"/>
    <w:rsid w:val="001A51B7"/>
    <w:rsid w:val="001A68A9"/>
    <w:rsid w:val="001A719F"/>
    <w:rsid w:val="001B02AB"/>
    <w:rsid w:val="001B6FE4"/>
    <w:rsid w:val="001C06C8"/>
    <w:rsid w:val="001C09CE"/>
    <w:rsid w:val="001C1087"/>
    <w:rsid w:val="001C216B"/>
    <w:rsid w:val="001C243B"/>
    <w:rsid w:val="001C2B9A"/>
    <w:rsid w:val="001C3C0F"/>
    <w:rsid w:val="001C401F"/>
    <w:rsid w:val="001C5B2B"/>
    <w:rsid w:val="001C6A86"/>
    <w:rsid w:val="001C6EC2"/>
    <w:rsid w:val="001D14BE"/>
    <w:rsid w:val="001D1B1E"/>
    <w:rsid w:val="001D2307"/>
    <w:rsid w:val="001D2840"/>
    <w:rsid w:val="001D45A7"/>
    <w:rsid w:val="001D6F9B"/>
    <w:rsid w:val="001E1534"/>
    <w:rsid w:val="001E191A"/>
    <w:rsid w:val="001E1C5F"/>
    <w:rsid w:val="001E3339"/>
    <w:rsid w:val="001E4D83"/>
    <w:rsid w:val="001E5422"/>
    <w:rsid w:val="001E544B"/>
    <w:rsid w:val="001E55EC"/>
    <w:rsid w:val="001E68FB"/>
    <w:rsid w:val="001F032E"/>
    <w:rsid w:val="001F1910"/>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194F"/>
    <w:rsid w:val="00211AE6"/>
    <w:rsid w:val="002124FC"/>
    <w:rsid w:val="00212A13"/>
    <w:rsid w:val="002132F7"/>
    <w:rsid w:val="0022074F"/>
    <w:rsid w:val="0022078F"/>
    <w:rsid w:val="00220ED7"/>
    <w:rsid w:val="00223B69"/>
    <w:rsid w:val="00224D01"/>
    <w:rsid w:val="0022589D"/>
    <w:rsid w:val="002267D6"/>
    <w:rsid w:val="00226E92"/>
    <w:rsid w:val="00227769"/>
    <w:rsid w:val="00231408"/>
    <w:rsid w:val="00232376"/>
    <w:rsid w:val="00232B1F"/>
    <w:rsid w:val="00233DC8"/>
    <w:rsid w:val="00233DED"/>
    <w:rsid w:val="00234CEB"/>
    <w:rsid w:val="00234E46"/>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499"/>
    <w:rsid w:val="0025668B"/>
    <w:rsid w:val="00256D83"/>
    <w:rsid w:val="0026137E"/>
    <w:rsid w:val="00263303"/>
    <w:rsid w:val="002633DB"/>
    <w:rsid w:val="00263487"/>
    <w:rsid w:val="00267A45"/>
    <w:rsid w:val="0027128F"/>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2FE4"/>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466"/>
    <w:rsid w:val="002A4B27"/>
    <w:rsid w:val="002A517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0B23"/>
    <w:rsid w:val="002C30BD"/>
    <w:rsid w:val="002C3155"/>
    <w:rsid w:val="002C3DF8"/>
    <w:rsid w:val="002C419A"/>
    <w:rsid w:val="002C42AE"/>
    <w:rsid w:val="002C4CA1"/>
    <w:rsid w:val="002C501E"/>
    <w:rsid w:val="002C5898"/>
    <w:rsid w:val="002C666B"/>
    <w:rsid w:val="002D08B5"/>
    <w:rsid w:val="002D0A16"/>
    <w:rsid w:val="002D0A35"/>
    <w:rsid w:val="002D0E70"/>
    <w:rsid w:val="002D1F22"/>
    <w:rsid w:val="002D504D"/>
    <w:rsid w:val="002D5153"/>
    <w:rsid w:val="002D533D"/>
    <w:rsid w:val="002D622A"/>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782"/>
    <w:rsid w:val="00303F1B"/>
    <w:rsid w:val="0030543B"/>
    <w:rsid w:val="003114DC"/>
    <w:rsid w:val="003124EC"/>
    <w:rsid w:val="00312DAD"/>
    <w:rsid w:val="00312FC1"/>
    <w:rsid w:val="0031346C"/>
    <w:rsid w:val="00313CF7"/>
    <w:rsid w:val="00313FA0"/>
    <w:rsid w:val="00315C2D"/>
    <w:rsid w:val="00317105"/>
    <w:rsid w:val="00321481"/>
    <w:rsid w:val="00321EDE"/>
    <w:rsid w:val="00325643"/>
    <w:rsid w:val="003271B9"/>
    <w:rsid w:val="003273C3"/>
    <w:rsid w:val="00327535"/>
    <w:rsid w:val="00327C75"/>
    <w:rsid w:val="0033007C"/>
    <w:rsid w:val="00330373"/>
    <w:rsid w:val="00330EC3"/>
    <w:rsid w:val="00331F74"/>
    <w:rsid w:val="00332170"/>
    <w:rsid w:val="00332523"/>
    <w:rsid w:val="00333188"/>
    <w:rsid w:val="0033360E"/>
    <w:rsid w:val="003341F4"/>
    <w:rsid w:val="003343AA"/>
    <w:rsid w:val="003349C9"/>
    <w:rsid w:val="003354DC"/>
    <w:rsid w:val="00335D7A"/>
    <w:rsid w:val="003360E9"/>
    <w:rsid w:val="003372AE"/>
    <w:rsid w:val="003377B4"/>
    <w:rsid w:val="00340450"/>
    <w:rsid w:val="00344836"/>
    <w:rsid w:val="003448D5"/>
    <w:rsid w:val="00345F52"/>
    <w:rsid w:val="00347624"/>
    <w:rsid w:val="00351BC5"/>
    <w:rsid w:val="00352E2F"/>
    <w:rsid w:val="00353B9D"/>
    <w:rsid w:val="003552B0"/>
    <w:rsid w:val="00356693"/>
    <w:rsid w:val="00357ACC"/>
    <w:rsid w:val="00360C60"/>
    <w:rsid w:val="00361F1B"/>
    <w:rsid w:val="00362AD6"/>
    <w:rsid w:val="00363077"/>
    <w:rsid w:val="00363201"/>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73B8"/>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50BB"/>
    <w:rsid w:val="003D7A6E"/>
    <w:rsid w:val="003E09AF"/>
    <w:rsid w:val="003E4D75"/>
    <w:rsid w:val="003E4FEA"/>
    <w:rsid w:val="003E584F"/>
    <w:rsid w:val="003E58C5"/>
    <w:rsid w:val="003E6B3E"/>
    <w:rsid w:val="003F4F87"/>
    <w:rsid w:val="003F53F9"/>
    <w:rsid w:val="003F63C2"/>
    <w:rsid w:val="004001B0"/>
    <w:rsid w:val="00401492"/>
    <w:rsid w:val="0040229B"/>
    <w:rsid w:val="0040242E"/>
    <w:rsid w:val="00402EDE"/>
    <w:rsid w:val="00403267"/>
    <w:rsid w:val="00406BFC"/>
    <w:rsid w:val="00406E64"/>
    <w:rsid w:val="00406F4B"/>
    <w:rsid w:val="00410381"/>
    <w:rsid w:val="00411690"/>
    <w:rsid w:val="004122C7"/>
    <w:rsid w:val="00412A8F"/>
    <w:rsid w:val="00416455"/>
    <w:rsid w:val="00417449"/>
    <w:rsid w:val="00417B11"/>
    <w:rsid w:val="00420112"/>
    <w:rsid w:val="00420AAB"/>
    <w:rsid w:val="00422C9A"/>
    <w:rsid w:val="0042348B"/>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785"/>
    <w:rsid w:val="00442FDE"/>
    <w:rsid w:val="004436C8"/>
    <w:rsid w:val="00445864"/>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90568"/>
    <w:rsid w:val="00490C73"/>
    <w:rsid w:val="004924E8"/>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EAF"/>
    <w:rsid w:val="004B2B0F"/>
    <w:rsid w:val="004B3490"/>
    <w:rsid w:val="004B36B6"/>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4BCD"/>
    <w:rsid w:val="004D5300"/>
    <w:rsid w:val="004D71A3"/>
    <w:rsid w:val="004D7252"/>
    <w:rsid w:val="004E0412"/>
    <w:rsid w:val="004E1ABA"/>
    <w:rsid w:val="004E2405"/>
    <w:rsid w:val="004E2963"/>
    <w:rsid w:val="004E30C7"/>
    <w:rsid w:val="004E3221"/>
    <w:rsid w:val="004E3E8C"/>
    <w:rsid w:val="004E4BDB"/>
    <w:rsid w:val="004E61AB"/>
    <w:rsid w:val="004E6905"/>
    <w:rsid w:val="004E75C9"/>
    <w:rsid w:val="004E79D8"/>
    <w:rsid w:val="004F0CC7"/>
    <w:rsid w:val="004F243E"/>
    <w:rsid w:val="004F2CEA"/>
    <w:rsid w:val="004F46B1"/>
    <w:rsid w:val="004F50E6"/>
    <w:rsid w:val="004F5E09"/>
    <w:rsid w:val="004F6785"/>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5AB6"/>
    <w:rsid w:val="00556F3B"/>
    <w:rsid w:val="00557AD3"/>
    <w:rsid w:val="00562420"/>
    <w:rsid w:val="00562B9A"/>
    <w:rsid w:val="00563A3E"/>
    <w:rsid w:val="00563D1D"/>
    <w:rsid w:val="0056412D"/>
    <w:rsid w:val="00565C33"/>
    <w:rsid w:val="00565D10"/>
    <w:rsid w:val="005660E5"/>
    <w:rsid w:val="00567534"/>
    <w:rsid w:val="0056788F"/>
    <w:rsid w:val="00570522"/>
    <w:rsid w:val="00570B35"/>
    <w:rsid w:val="00571AD7"/>
    <w:rsid w:val="00571CD4"/>
    <w:rsid w:val="00571E6B"/>
    <w:rsid w:val="005739A5"/>
    <w:rsid w:val="00574113"/>
    <w:rsid w:val="00574475"/>
    <w:rsid w:val="00574D3B"/>
    <w:rsid w:val="00575098"/>
    <w:rsid w:val="00575D99"/>
    <w:rsid w:val="0057730E"/>
    <w:rsid w:val="00577D5F"/>
    <w:rsid w:val="00580E19"/>
    <w:rsid w:val="00583C0E"/>
    <w:rsid w:val="00583D32"/>
    <w:rsid w:val="0058414F"/>
    <w:rsid w:val="00585C12"/>
    <w:rsid w:val="00585F2C"/>
    <w:rsid w:val="00587411"/>
    <w:rsid w:val="0058764F"/>
    <w:rsid w:val="005878AA"/>
    <w:rsid w:val="00587B1F"/>
    <w:rsid w:val="00587D11"/>
    <w:rsid w:val="0059026E"/>
    <w:rsid w:val="00590671"/>
    <w:rsid w:val="00591719"/>
    <w:rsid w:val="00593D48"/>
    <w:rsid w:val="005978F2"/>
    <w:rsid w:val="00597E4D"/>
    <w:rsid w:val="005A0A34"/>
    <w:rsid w:val="005A2EF6"/>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D0E49"/>
    <w:rsid w:val="005D19E6"/>
    <w:rsid w:val="005D2267"/>
    <w:rsid w:val="005D3E4F"/>
    <w:rsid w:val="005D4338"/>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78"/>
    <w:rsid w:val="005F5A31"/>
    <w:rsid w:val="005F5AD9"/>
    <w:rsid w:val="00600AD5"/>
    <w:rsid w:val="006015D4"/>
    <w:rsid w:val="00604944"/>
    <w:rsid w:val="00610805"/>
    <w:rsid w:val="00610880"/>
    <w:rsid w:val="00612121"/>
    <w:rsid w:val="00612477"/>
    <w:rsid w:val="006141B1"/>
    <w:rsid w:val="0061498B"/>
    <w:rsid w:val="00615E21"/>
    <w:rsid w:val="00616E9F"/>
    <w:rsid w:val="00620B7F"/>
    <w:rsid w:val="00621483"/>
    <w:rsid w:val="0062238E"/>
    <w:rsid w:val="0062258A"/>
    <w:rsid w:val="0062288F"/>
    <w:rsid w:val="00623549"/>
    <w:rsid w:val="00624E91"/>
    <w:rsid w:val="00625841"/>
    <w:rsid w:val="00627BDE"/>
    <w:rsid w:val="00631E25"/>
    <w:rsid w:val="00632206"/>
    <w:rsid w:val="00632378"/>
    <w:rsid w:val="006333A8"/>
    <w:rsid w:val="006334F2"/>
    <w:rsid w:val="00634107"/>
    <w:rsid w:val="00634283"/>
    <w:rsid w:val="00634375"/>
    <w:rsid w:val="00634FF8"/>
    <w:rsid w:val="006353F5"/>
    <w:rsid w:val="00635853"/>
    <w:rsid w:val="00637786"/>
    <w:rsid w:val="00637D2C"/>
    <w:rsid w:val="006425B0"/>
    <w:rsid w:val="00642684"/>
    <w:rsid w:val="00642696"/>
    <w:rsid w:val="00643BC1"/>
    <w:rsid w:val="006441D5"/>
    <w:rsid w:val="00645D91"/>
    <w:rsid w:val="00646643"/>
    <w:rsid w:val="00646CE7"/>
    <w:rsid w:val="00647301"/>
    <w:rsid w:val="00647830"/>
    <w:rsid w:val="00650583"/>
    <w:rsid w:val="00650782"/>
    <w:rsid w:val="00650D80"/>
    <w:rsid w:val="00651431"/>
    <w:rsid w:val="00652E90"/>
    <w:rsid w:val="00653C11"/>
    <w:rsid w:val="00654691"/>
    <w:rsid w:val="006568D7"/>
    <w:rsid w:val="00661386"/>
    <w:rsid w:val="00661F5E"/>
    <w:rsid w:val="00662CD1"/>
    <w:rsid w:val="006637ED"/>
    <w:rsid w:val="006645A9"/>
    <w:rsid w:val="00665BBA"/>
    <w:rsid w:val="006670FB"/>
    <w:rsid w:val="006708BC"/>
    <w:rsid w:val="00670BC6"/>
    <w:rsid w:val="00670C13"/>
    <w:rsid w:val="00671016"/>
    <w:rsid w:val="00671304"/>
    <w:rsid w:val="00671AA7"/>
    <w:rsid w:val="00672A48"/>
    <w:rsid w:val="00673B33"/>
    <w:rsid w:val="00673DC9"/>
    <w:rsid w:val="00675255"/>
    <w:rsid w:val="00675EF5"/>
    <w:rsid w:val="006767AC"/>
    <w:rsid w:val="006775A1"/>
    <w:rsid w:val="006802F1"/>
    <w:rsid w:val="00680317"/>
    <w:rsid w:val="00680DD1"/>
    <w:rsid w:val="00681CB7"/>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1758"/>
    <w:rsid w:val="006B2B1E"/>
    <w:rsid w:val="006B3162"/>
    <w:rsid w:val="006B33E5"/>
    <w:rsid w:val="006B3FCE"/>
    <w:rsid w:val="006B4A4C"/>
    <w:rsid w:val="006B52B5"/>
    <w:rsid w:val="006B6BA4"/>
    <w:rsid w:val="006B7B4A"/>
    <w:rsid w:val="006C030C"/>
    <w:rsid w:val="006C167B"/>
    <w:rsid w:val="006C3F5F"/>
    <w:rsid w:val="006C42AB"/>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E4C"/>
    <w:rsid w:val="006F1003"/>
    <w:rsid w:val="006F2DD5"/>
    <w:rsid w:val="006F6553"/>
    <w:rsid w:val="006F6F4C"/>
    <w:rsid w:val="00700976"/>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303FC"/>
    <w:rsid w:val="00730C23"/>
    <w:rsid w:val="00730EB4"/>
    <w:rsid w:val="00732C43"/>
    <w:rsid w:val="007339F7"/>
    <w:rsid w:val="00733BCF"/>
    <w:rsid w:val="00735025"/>
    <w:rsid w:val="00735F33"/>
    <w:rsid w:val="00736D12"/>
    <w:rsid w:val="007373BF"/>
    <w:rsid w:val="007433CC"/>
    <w:rsid w:val="00744207"/>
    <w:rsid w:val="0074450C"/>
    <w:rsid w:val="00744AAB"/>
    <w:rsid w:val="00746780"/>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3E0"/>
    <w:rsid w:val="00767400"/>
    <w:rsid w:val="00767D94"/>
    <w:rsid w:val="00770547"/>
    <w:rsid w:val="00771E50"/>
    <w:rsid w:val="00772374"/>
    <w:rsid w:val="00773AD0"/>
    <w:rsid w:val="00774EB9"/>
    <w:rsid w:val="007751B0"/>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B00C6"/>
    <w:rsid w:val="007B09B4"/>
    <w:rsid w:val="007B0C16"/>
    <w:rsid w:val="007B229F"/>
    <w:rsid w:val="007B3A8F"/>
    <w:rsid w:val="007B42B9"/>
    <w:rsid w:val="007B595F"/>
    <w:rsid w:val="007C0DF3"/>
    <w:rsid w:val="007C12F6"/>
    <w:rsid w:val="007C1C54"/>
    <w:rsid w:val="007C2AE7"/>
    <w:rsid w:val="007C3F13"/>
    <w:rsid w:val="007C433C"/>
    <w:rsid w:val="007C4773"/>
    <w:rsid w:val="007C6D55"/>
    <w:rsid w:val="007D0030"/>
    <w:rsid w:val="007D09F8"/>
    <w:rsid w:val="007D144D"/>
    <w:rsid w:val="007D1DA8"/>
    <w:rsid w:val="007D22AE"/>
    <w:rsid w:val="007D27C5"/>
    <w:rsid w:val="007D2AE8"/>
    <w:rsid w:val="007D3569"/>
    <w:rsid w:val="007D3AFD"/>
    <w:rsid w:val="007D52A5"/>
    <w:rsid w:val="007D7987"/>
    <w:rsid w:val="007E11BA"/>
    <w:rsid w:val="007E28D4"/>
    <w:rsid w:val="007E3099"/>
    <w:rsid w:val="007E319E"/>
    <w:rsid w:val="007F13A9"/>
    <w:rsid w:val="007F1DD3"/>
    <w:rsid w:val="007F2480"/>
    <w:rsid w:val="007F3F3B"/>
    <w:rsid w:val="007F41E4"/>
    <w:rsid w:val="007F4B2A"/>
    <w:rsid w:val="007F4F9E"/>
    <w:rsid w:val="007F66D7"/>
    <w:rsid w:val="007F6811"/>
    <w:rsid w:val="007F744E"/>
    <w:rsid w:val="007F756D"/>
    <w:rsid w:val="007F7ED8"/>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299E"/>
    <w:rsid w:val="0082368B"/>
    <w:rsid w:val="00823946"/>
    <w:rsid w:val="008240F3"/>
    <w:rsid w:val="00824B1A"/>
    <w:rsid w:val="00824DC9"/>
    <w:rsid w:val="00826690"/>
    <w:rsid w:val="00826AF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025"/>
    <w:rsid w:val="008443AC"/>
    <w:rsid w:val="00844CDC"/>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3B8B"/>
    <w:rsid w:val="008844BE"/>
    <w:rsid w:val="0088469A"/>
    <w:rsid w:val="00884A53"/>
    <w:rsid w:val="00884F7B"/>
    <w:rsid w:val="00885041"/>
    <w:rsid w:val="00885544"/>
    <w:rsid w:val="00887E45"/>
    <w:rsid w:val="00890590"/>
    <w:rsid w:val="008913DC"/>
    <w:rsid w:val="008929E1"/>
    <w:rsid w:val="0089615A"/>
    <w:rsid w:val="008963C6"/>
    <w:rsid w:val="008964F0"/>
    <w:rsid w:val="008966C4"/>
    <w:rsid w:val="0089690A"/>
    <w:rsid w:val="008A0545"/>
    <w:rsid w:val="008A06A6"/>
    <w:rsid w:val="008A0A05"/>
    <w:rsid w:val="008A2835"/>
    <w:rsid w:val="008A30AF"/>
    <w:rsid w:val="008A3305"/>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1BCA"/>
    <w:rsid w:val="008C1E97"/>
    <w:rsid w:val="008C2297"/>
    <w:rsid w:val="008C253F"/>
    <w:rsid w:val="008C286B"/>
    <w:rsid w:val="008C3011"/>
    <w:rsid w:val="008C38F9"/>
    <w:rsid w:val="008C47CA"/>
    <w:rsid w:val="008C50A8"/>
    <w:rsid w:val="008C540D"/>
    <w:rsid w:val="008C55AE"/>
    <w:rsid w:val="008C57F6"/>
    <w:rsid w:val="008C5EA0"/>
    <w:rsid w:val="008C60FA"/>
    <w:rsid w:val="008C71BB"/>
    <w:rsid w:val="008C7DDE"/>
    <w:rsid w:val="008C7E18"/>
    <w:rsid w:val="008D0DC9"/>
    <w:rsid w:val="008D33EB"/>
    <w:rsid w:val="008D3D31"/>
    <w:rsid w:val="008D4F7B"/>
    <w:rsid w:val="008D4F94"/>
    <w:rsid w:val="008D6B75"/>
    <w:rsid w:val="008E0393"/>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34B4"/>
    <w:rsid w:val="00905044"/>
    <w:rsid w:val="0090588D"/>
    <w:rsid w:val="00906B80"/>
    <w:rsid w:val="00906BCB"/>
    <w:rsid w:val="009079AB"/>
    <w:rsid w:val="00907F8A"/>
    <w:rsid w:val="00910EC6"/>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57E88"/>
    <w:rsid w:val="00960D6D"/>
    <w:rsid w:val="00960E83"/>
    <w:rsid w:val="0096213A"/>
    <w:rsid w:val="009626E4"/>
    <w:rsid w:val="00962D33"/>
    <w:rsid w:val="009632E7"/>
    <w:rsid w:val="0096372C"/>
    <w:rsid w:val="00963D81"/>
    <w:rsid w:val="00964064"/>
    <w:rsid w:val="009644D5"/>
    <w:rsid w:val="009656F9"/>
    <w:rsid w:val="00965F68"/>
    <w:rsid w:val="0097152A"/>
    <w:rsid w:val="00971660"/>
    <w:rsid w:val="0097167A"/>
    <w:rsid w:val="00971884"/>
    <w:rsid w:val="00971894"/>
    <w:rsid w:val="0097201D"/>
    <w:rsid w:val="00974CE0"/>
    <w:rsid w:val="00974D6B"/>
    <w:rsid w:val="00976890"/>
    <w:rsid w:val="00976D60"/>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246"/>
    <w:rsid w:val="009B3D73"/>
    <w:rsid w:val="009B5631"/>
    <w:rsid w:val="009B6CC2"/>
    <w:rsid w:val="009B6F24"/>
    <w:rsid w:val="009B79CF"/>
    <w:rsid w:val="009C0B5D"/>
    <w:rsid w:val="009C1CDB"/>
    <w:rsid w:val="009C2E1F"/>
    <w:rsid w:val="009C2E77"/>
    <w:rsid w:val="009C2FF0"/>
    <w:rsid w:val="009C36D2"/>
    <w:rsid w:val="009C42AE"/>
    <w:rsid w:val="009C4984"/>
    <w:rsid w:val="009C5E4F"/>
    <w:rsid w:val="009C7A32"/>
    <w:rsid w:val="009D158E"/>
    <w:rsid w:val="009D3A32"/>
    <w:rsid w:val="009D4054"/>
    <w:rsid w:val="009D4EAC"/>
    <w:rsid w:val="009D524D"/>
    <w:rsid w:val="009D649B"/>
    <w:rsid w:val="009D6A59"/>
    <w:rsid w:val="009D6C39"/>
    <w:rsid w:val="009D72B4"/>
    <w:rsid w:val="009D750E"/>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FC1"/>
    <w:rsid w:val="009F7FCB"/>
    <w:rsid w:val="00A00C58"/>
    <w:rsid w:val="00A01098"/>
    <w:rsid w:val="00A02041"/>
    <w:rsid w:val="00A02A5E"/>
    <w:rsid w:val="00A02C79"/>
    <w:rsid w:val="00A02F73"/>
    <w:rsid w:val="00A03912"/>
    <w:rsid w:val="00A042B0"/>
    <w:rsid w:val="00A0559B"/>
    <w:rsid w:val="00A05A3D"/>
    <w:rsid w:val="00A0636E"/>
    <w:rsid w:val="00A063B4"/>
    <w:rsid w:val="00A06E58"/>
    <w:rsid w:val="00A118CC"/>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25E"/>
    <w:rsid w:val="00A256E7"/>
    <w:rsid w:val="00A2625C"/>
    <w:rsid w:val="00A27B5C"/>
    <w:rsid w:val="00A30D26"/>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50426"/>
    <w:rsid w:val="00A511AE"/>
    <w:rsid w:val="00A52503"/>
    <w:rsid w:val="00A52ECD"/>
    <w:rsid w:val="00A548AF"/>
    <w:rsid w:val="00A56B3B"/>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6E04"/>
    <w:rsid w:val="00A92E1E"/>
    <w:rsid w:val="00A95473"/>
    <w:rsid w:val="00A95F29"/>
    <w:rsid w:val="00AA1E2B"/>
    <w:rsid w:val="00AA253A"/>
    <w:rsid w:val="00AA39C8"/>
    <w:rsid w:val="00AA5AD0"/>
    <w:rsid w:val="00AA5F9E"/>
    <w:rsid w:val="00AA6DB1"/>
    <w:rsid w:val="00AA7EA1"/>
    <w:rsid w:val="00AB07FD"/>
    <w:rsid w:val="00AB2BAD"/>
    <w:rsid w:val="00AB4130"/>
    <w:rsid w:val="00AB5E8D"/>
    <w:rsid w:val="00AB6CDF"/>
    <w:rsid w:val="00AB766E"/>
    <w:rsid w:val="00AC0616"/>
    <w:rsid w:val="00AC2167"/>
    <w:rsid w:val="00AC250C"/>
    <w:rsid w:val="00AC37B2"/>
    <w:rsid w:val="00AC6634"/>
    <w:rsid w:val="00AC70F2"/>
    <w:rsid w:val="00AC7190"/>
    <w:rsid w:val="00AC7BF7"/>
    <w:rsid w:val="00AD015E"/>
    <w:rsid w:val="00AD0D1C"/>
    <w:rsid w:val="00AD1B18"/>
    <w:rsid w:val="00AD1E7A"/>
    <w:rsid w:val="00AD21C7"/>
    <w:rsid w:val="00AD2F18"/>
    <w:rsid w:val="00AD3B37"/>
    <w:rsid w:val="00AD3FE1"/>
    <w:rsid w:val="00AD57FF"/>
    <w:rsid w:val="00AD76F3"/>
    <w:rsid w:val="00AD78BD"/>
    <w:rsid w:val="00AE19CA"/>
    <w:rsid w:val="00AE2736"/>
    <w:rsid w:val="00AE363A"/>
    <w:rsid w:val="00AE3C36"/>
    <w:rsid w:val="00AE5D13"/>
    <w:rsid w:val="00AE60E4"/>
    <w:rsid w:val="00AF034B"/>
    <w:rsid w:val="00AF0410"/>
    <w:rsid w:val="00AF0D2A"/>
    <w:rsid w:val="00AF1958"/>
    <w:rsid w:val="00AF289B"/>
    <w:rsid w:val="00AF2F99"/>
    <w:rsid w:val="00AF3E7F"/>
    <w:rsid w:val="00AF3FBD"/>
    <w:rsid w:val="00AF4FC1"/>
    <w:rsid w:val="00AF716C"/>
    <w:rsid w:val="00B00BBF"/>
    <w:rsid w:val="00B0398C"/>
    <w:rsid w:val="00B03DDC"/>
    <w:rsid w:val="00B0451C"/>
    <w:rsid w:val="00B04A5E"/>
    <w:rsid w:val="00B10BD6"/>
    <w:rsid w:val="00B10C54"/>
    <w:rsid w:val="00B11778"/>
    <w:rsid w:val="00B117AD"/>
    <w:rsid w:val="00B11A7F"/>
    <w:rsid w:val="00B1333B"/>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51D1"/>
    <w:rsid w:val="00B35E71"/>
    <w:rsid w:val="00B362E7"/>
    <w:rsid w:val="00B36B28"/>
    <w:rsid w:val="00B37F20"/>
    <w:rsid w:val="00B4388C"/>
    <w:rsid w:val="00B454DC"/>
    <w:rsid w:val="00B45880"/>
    <w:rsid w:val="00B4669C"/>
    <w:rsid w:val="00B46889"/>
    <w:rsid w:val="00B469B5"/>
    <w:rsid w:val="00B50C81"/>
    <w:rsid w:val="00B5233A"/>
    <w:rsid w:val="00B528AA"/>
    <w:rsid w:val="00B52FA9"/>
    <w:rsid w:val="00B53429"/>
    <w:rsid w:val="00B5410D"/>
    <w:rsid w:val="00B54309"/>
    <w:rsid w:val="00B5671A"/>
    <w:rsid w:val="00B5743F"/>
    <w:rsid w:val="00B62E5E"/>
    <w:rsid w:val="00B66B49"/>
    <w:rsid w:val="00B67503"/>
    <w:rsid w:val="00B710D0"/>
    <w:rsid w:val="00B71476"/>
    <w:rsid w:val="00B71F4F"/>
    <w:rsid w:val="00B72B83"/>
    <w:rsid w:val="00B72BA3"/>
    <w:rsid w:val="00B73F36"/>
    <w:rsid w:val="00B7489F"/>
    <w:rsid w:val="00B74B81"/>
    <w:rsid w:val="00B80B45"/>
    <w:rsid w:val="00B8114F"/>
    <w:rsid w:val="00B81632"/>
    <w:rsid w:val="00B82087"/>
    <w:rsid w:val="00B8225E"/>
    <w:rsid w:val="00B830C7"/>
    <w:rsid w:val="00B8460D"/>
    <w:rsid w:val="00B85206"/>
    <w:rsid w:val="00B85EE6"/>
    <w:rsid w:val="00B87C9D"/>
    <w:rsid w:val="00B917C4"/>
    <w:rsid w:val="00B92FA5"/>
    <w:rsid w:val="00B9315C"/>
    <w:rsid w:val="00B96C1D"/>
    <w:rsid w:val="00B96E42"/>
    <w:rsid w:val="00B96EAF"/>
    <w:rsid w:val="00B9738D"/>
    <w:rsid w:val="00B97941"/>
    <w:rsid w:val="00BA0E57"/>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70AB"/>
    <w:rsid w:val="00BD09BB"/>
    <w:rsid w:val="00BD3BC2"/>
    <w:rsid w:val="00BD56C7"/>
    <w:rsid w:val="00BD5CF0"/>
    <w:rsid w:val="00BE0067"/>
    <w:rsid w:val="00BE0608"/>
    <w:rsid w:val="00BE2280"/>
    <w:rsid w:val="00BE408D"/>
    <w:rsid w:val="00BE785B"/>
    <w:rsid w:val="00BF01B1"/>
    <w:rsid w:val="00BF08BE"/>
    <w:rsid w:val="00BF119B"/>
    <w:rsid w:val="00BF138D"/>
    <w:rsid w:val="00BF197F"/>
    <w:rsid w:val="00BF1B76"/>
    <w:rsid w:val="00BF2336"/>
    <w:rsid w:val="00BF4140"/>
    <w:rsid w:val="00BF423E"/>
    <w:rsid w:val="00BF4ED0"/>
    <w:rsid w:val="00BF4F43"/>
    <w:rsid w:val="00BF6353"/>
    <w:rsid w:val="00BF689F"/>
    <w:rsid w:val="00BF68D6"/>
    <w:rsid w:val="00C00101"/>
    <w:rsid w:val="00C007E5"/>
    <w:rsid w:val="00C013FB"/>
    <w:rsid w:val="00C041F4"/>
    <w:rsid w:val="00C0469C"/>
    <w:rsid w:val="00C05013"/>
    <w:rsid w:val="00C05110"/>
    <w:rsid w:val="00C07B24"/>
    <w:rsid w:val="00C07B8A"/>
    <w:rsid w:val="00C11564"/>
    <w:rsid w:val="00C12DE5"/>
    <w:rsid w:val="00C1409E"/>
    <w:rsid w:val="00C14767"/>
    <w:rsid w:val="00C163CD"/>
    <w:rsid w:val="00C16721"/>
    <w:rsid w:val="00C17057"/>
    <w:rsid w:val="00C210F3"/>
    <w:rsid w:val="00C219C7"/>
    <w:rsid w:val="00C22D3A"/>
    <w:rsid w:val="00C23740"/>
    <w:rsid w:val="00C241C5"/>
    <w:rsid w:val="00C26690"/>
    <w:rsid w:val="00C27CE9"/>
    <w:rsid w:val="00C304E0"/>
    <w:rsid w:val="00C308D5"/>
    <w:rsid w:val="00C30E50"/>
    <w:rsid w:val="00C31F07"/>
    <w:rsid w:val="00C321FC"/>
    <w:rsid w:val="00C32AA2"/>
    <w:rsid w:val="00C34939"/>
    <w:rsid w:val="00C35952"/>
    <w:rsid w:val="00C36D37"/>
    <w:rsid w:val="00C40577"/>
    <w:rsid w:val="00C43A91"/>
    <w:rsid w:val="00C444DF"/>
    <w:rsid w:val="00C44E0D"/>
    <w:rsid w:val="00C4537D"/>
    <w:rsid w:val="00C4594F"/>
    <w:rsid w:val="00C46C29"/>
    <w:rsid w:val="00C47117"/>
    <w:rsid w:val="00C47326"/>
    <w:rsid w:val="00C473B3"/>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9A5"/>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3DB"/>
    <w:rsid w:val="00C91481"/>
    <w:rsid w:val="00C936C0"/>
    <w:rsid w:val="00C94BAB"/>
    <w:rsid w:val="00C95B73"/>
    <w:rsid w:val="00C9632E"/>
    <w:rsid w:val="00C96DEE"/>
    <w:rsid w:val="00C9727A"/>
    <w:rsid w:val="00CA0D34"/>
    <w:rsid w:val="00CA1699"/>
    <w:rsid w:val="00CA3107"/>
    <w:rsid w:val="00CA3586"/>
    <w:rsid w:val="00CA59D0"/>
    <w:rsid w:val="00CA6A0D"/>
    <w:rsid w:val="00CA74BF"/>
    <w:rsid w:val="00CA76EB"/>
    <w:rsid w:val="00CB0A0F"/>
    <w:rsid w:val="00CB12AD"/>
    <w:rsid w:val="00CB33C3"/>
    <w:rsid w:val="00CB3BF8"/>
    <w:rsid w:val="00CB4184"/>
    <w:rsid w:val="00CB552F"/>
    <w:rsid w:val="00CB5FC8"/>
    <w:rsid w:val="00CB60B0"/>
    <w:rsid w:val="00CB71C9"/>
    <w:rsid w:val="00CB7D66"/>
    <w:rsid w:val="00CC0B76"/>
    <w:rsid w:val="00CC0FEC"/>
    <w:rsid w:val="00CC1492"/>
    <w:rsid w:val="00CC1C35"/>
    <w:rsid w:val="00CC1D1A"/>
    <w:rsid w:val="00CC35CD"/>
    <w:rsid w:val="00CC429F"/>
    <w:rsid w:val="00CC500F"/>
    <w:rsid w:val="00CC66F1"/>
    <w:rsid w:val="00CC6F25"/>
    <w:rsid w:val="00CC7A6C"/>
    <w:rsid w:val="00CD0990"/>
    <w:rsid w:val="00CD425F"/>
    <w:rsid w:val="00CD482B"/>
    <w:rsid w:val="00CD650B"/>
    <w:rsid w:val="00CD763C"/>
    <w:rsid w:val="00CD7901"/>
    <w:rsid w:val="00CE01D5"/>
    <w:rsid w:val="00CE5915"/>
    <w:rsid w:val="00CE69CA"/>
    <w:rsid w:val="00CE7AE2"/>
    <w:rsid w:val="00CF0FE8"/>
    <w:rsid w:val="00CF158C"/>
    <w:rsid w:val="00CF25E2"/>
    <w:rsid w:val="00CF2F79"/>
    <w:rsid w:val="00CF4DD3"/>
    <w:rsid w:val="00CF5E12"/>
    <w:rsid w:val="00CF7C19"/>
    <w:rsid w:val="00CF7D47"/>
    <w:rsid w:val="00D0041C"/>
    <w:rsid w:val="00D005DF"/>
    <w:rsid w:val="00D01238"/>
    <w:rsid w:val="00D01E43"/>
    <w:rsid w:val="00D0245E"/>
    <w:rsid w:val="00D04B31"/>
    <w:rsid w:val="00D04C90"/>
    <w:rsid w:val="00D05B7E"/>
    <w:rsid w:val="00D06B6F"/>
    <w:rsid w:val="00D07C4B"/>
    <w:rsid w:val="00D1117B"/>
    <w:rsid w:val="00D1141E"/>
    <w:rsid w:val="00D11743"/>
    <w:rsid w:val="00D13754"/>
    <w:rsid w:val="00D1429E"/>
    <w:rsid w:val="00D145F6"/>
    <w:rsid w:val="00D14E61"/>
    <w:rsid w:val="00D16BBD"/>
    <w:rsid w:val="00D173F0"/>
    <w:rsid w:val="00D2261C"/>
    <w:rsid w:val="00D23C45"/>
    <w:rsid w:val="00D24764"/>
    <w:rsid w:val="00D24B34"/>
    <w:rsid w:val="00D25385"/>
    <w:rsid w:val="00D2573C"/>
    <w:rsid w:val="00D25764"/>
    <w:rsid w:val="00D25F07"/>
    <w:rsid w:val="00D26100"/>
    <w:rsid w:val="00D26B80"/>
    <w:rsid w:val="00D27F80"/>
    <w:rsid w:val="00D30F58"/>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72E1"/>
    <w:rsid w:val="00D5746B"/>
    <w:rsid w:val="00D57975"/>
    <w:rsid w:val="00D57989"/>
    <w:rsid w:val="00D57DDB"/>
    <w:rsid w:val="00D600BF"/>
    <w:rsid w:val="00D6016A"/>
    <w:rsid w:val="00D61FF0"/>
    <w:rsid w:val="00D64211"/>
    <w:rsid w:val="00D650F5"/>
    <w:rsid w:val="00D673C1"/>
    <w:rsid w:val="00D70F83"/>
    <w:rsid w:val="00D71817"/>
    <w:rsid w:val="00D720AB"/>
    <w:rsid w:val="00D72B0E"/>
    <w:rsid w:val="00D809B5"/>
    <w:rsid w:val="00D819A9"/>
    <w:rsid w:val="00D819E7"/>
    <w:rsid w:val="00D81C20"/>
    <w:rsid w:val="00D824C0"/>
    <w:rsid w:val="00D82A9F"/>
    <w:rsid w:val="00D83BD7"/>
    <w:rsid w:val="00D83D19"/>
    <w:rsid w:val="00D8622D"/>
    <w:rsid w:val="00D905BA"/>
    <w:rsid w:val="00D919CC"/>
    <w:rsid w:val="00D91A1F"/>
    <w:rsid w:val="00D938C8"/>
    <w:rsid w:val="00D94BE9"/>
    <w:rsid w:val="00D94DE4"/>
    <w:rsid w:val="00DA03A4"/>
    <w:rsid w:val="00DA0731"/>
    <w:rsid w:val="00DA1640"/>
    <w:rsid w:val="00DA2059"/>
    <w:rsid w:val="00DA3688"/>
    <w:rsid w:val="00DA4444"/>
    <w:rsid w:val="00DA566D"/>
    <w:rsid w:val="00DA57A7"/>
    <w:rsid w:val="00DA5A4C"/>
    <w:rsid w:val="00DB157F"/>
    <w:rsid w:val="00DB4E2F"/>
    <w:rsid w:val="00DC1BFE"/>
    <w:rsid w:val="00DC475A"/>
    <w:rsid w:val="00DC4C9E"/>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278D"/>
    <w:rsid w:val="00E26394"/>
    <w:rsid w:val="00E264B3"/>
    <w:rsid w:val="00E26B91"/>
    <w:rsid w:val="00E3088C"/>
    <w:rsid w:val="00E32B63"/>
    <w:rsid w:val="00E33A4C"/>
    <w:rsid w:val="00E3450A"/>
    <w:rsid w:val="00E3737A"/>
    <w:rsid w:val="00E4085C"/>
    <w:rsid w:val="00E426FF"/>
    <w:rsid w:val="00E4326C"/>
    <w:rsid w:val="00E437A2"/>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806CA"/>
    <w:rsid w:val="00E8112D"/>
    <w:rsid w:val="00E82EFD"/>
    <w:rsid w:val="00E841CC"/>
    <w:rsid w:val="00E85B32"/>
    <w:rsid w:val="00E86F41"/>
    <w:rsid w:val="00E87089"/>
    <w:rsid w:val="00E91B79"/>
    <w:rsid w:val="00E92E45"/>
    <w:rsid w:val="00E92F6D"/>
    <w:rsid w:val="00E95AEC"/>
    <w:rsid w:val="00E95E48"/>
    <w:rsid w:val="00E967C1"/>
    <w:rsid w:val="00E96A67"/>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5A93"/>
    <w:rsid w:val="00EE6AD5"/>
    <w:rsid w:val="00EE6C8D"/>
    <w:rsid w:val="00EE70FA"/>
    <w:rsid w:val="00EE7F0C"/>
    <w:rsid w:val="00EF0081"/>
    <w:rsid w:val="00EF054D"/>
    <w:rsid w:val="00EF0B27"/>
    <w:rsid w:val="00EF169B"/>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4A03"/>
    <w:rsid w:val="00F25CE7"/>
    <w:rsid w:val="00F264DD"/>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200"/>
    <w:rsid w:val="00F5363F"/>
    <w:rsid w:val="00F53B41"/>
    <w:rsid w:val="00F53C6B"/>
    <w:rsid w:val="00F543A5"/>
    <w:rsid w:val="00F55450"/>
    <w:rsid w:val="00F56165"/>
    <w:rsid w:val="00F561A1"/>
    <w:rsid w:val="00F568ED"/>
    <w:rsid w:val="00F57D5C"/>
    <w:rsid w:val="00F57F0E"/>
    <w:rsid w:val="00F61A75"/>
    <w:rsid w:val="00F61EE1"/>
    <w:rsid w:val="00F620D7"/>
    <w:rsid w:val="00F62172"/>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5D69"/>
    <w:rsid w:val="00FA79AA"/>
    <w:rsid w:val="00FA7DF6"/>
    <w:rsid w:val="00FB0E04"/>
    <w:rsid w:val="00FB1713"/>
    <w:rsid w:val="00FB1D18"/>
    <w:rsid w:val="00FB39F4"/>
    <w:rsid w:val="00FB50BD"/>
    <w:rsid w:val="00FB5587"/>
    <w:rsid w:val="00FB6389"/>
    <w:rsid w:val="00FB6906"/>
    <w:rsid w:val="00FB6A9B"/>
    <w:rsid w:val="00FC0D54"/>
    <w:rsid w:val="00FC127C"/>
    <w:rsid w:val="00FC2C82"/>
    <w:rsid w:val="00FC2CB6"/>
    <w:rsid w:val="00FC3B6E"/>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4BC2"/>
    <w:rsid w:val="00FE4BC6"/>
    <w:rsid w:val="00FE6426"/>
    <w:rsid w:val="00FE6567"/>
    <w:rsid w:val="00FE7412"/>
    <w:rsid w:val="00FF04F4"/>
    <w:rsid w:val="00FF128C"/>
    <w:rsid w:val="00FF3095"/>
    <w:rsid w:val="00FF6B98"/>
    <w:rsid w:val="00FF6C25"/>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rules v:ext="edit">
        <o:r id="V:Rule1"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basedOn w:val="Normal"/>
    <w:link w:val="ListParagraphChar"/>
    <w:uiPriority w:val="34"/>
    <w:qFormat/>
    <w:rsid w:val="00872460"/>
    <w:pPr>
      <w:ind w:left="720"/>
    </w:pPr>
  </w:style>
  <w:style w:type="character" w:customStyle="1" w:styleId="ListParagraphChar">
    <w:name w:val="List Paragraph Char"/>
    <w:link w:val="ListParagraph"/>
    <w:uiPriority w:val="34"/>
    <w:rsid w:val="00EF408A"/>
    <w:rPr>
      <w:lang w:val="en-GB"/>
    </w:r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1">
    <w:name w:val="Normal11"/>
    <w:basedOn w:val="Normal"/>
    <w:uiPriority w:val="99"/>
    <w:rsid w:val="00F3155E"/>
    <w:pPr>
      <w:spacing w:before="100" w:beforeAutospacing="1" w:after="100" w:afterAutospacing="1" w:line="240" w:lineRule="auto"/>
    </w:pPr>
    <w:rPr>
      <w:sz w:val="24"/>
      <w:szCs w:val="24"/>
      <w:lang w:val="en-US"/>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7987"/>
    <w:rPr>
      <w:color w:val="0000FF"/>
      <w:u w:val="single"/>
    </w:rPr>
  </w:style>
  <w:style w:type="character" w:customStyle="1" w:styleId="Vnbnnidung">
    <w:name w:val="Văn bản nội dung_"/>
    <w:basedOn w:val="DefaultParagraphFont"/>
    <w:link w:val="Vnbnnidung0"/>
    <w:rsid w:val="00420AAB"/>
    <w:rPr>
      <w:rFonts w:ascii="Times New Roman" w:hAnsi="Times New Roman" w:cs="Times New Roman"/>
      <w:shd w:val="clear" w:color="auto" w:fill="FFFFFF"/>
    </w:rPr>
  </w:style>
  <w:style w:type="paragraph" w:customStyle="1" w:styleId="Vnbnnidung0">
    <w:name w:val="Văn bản nội dung"/>
    <w:basedOn w:val="Normal"/>
    <w:link w:val="Vnbnnidung"/>
    <w:rsid w:val="00420AAB"/>
    <w:pPr>
      <w:widowControl w:val="0"/>
      <w:shd w:val="clear" w:color="auto" w:fill="FFFFFF"/>
      <w:spacing w:after="140" w:line="324" w:lineRule="auto"/>
      <w:ind w:firstLine="400"/>
    </w:pPr>
    <w:rPr>
      <w:rFonts w:ascii="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hanhn\OneDrive\Desktop\xhmt\vhlss\Dieu_tra_2020\Hinh%20ve%20KSMS2020.xlsx" TargetMode="External"/></Relationships>
</file>

<file path=word/charts/_rels/chart10.xml.rels><?xml version="1.0" encoding="UTF-8" standalone="yes"?>
<Relationships xmlns="http://schemas.openxmlformats.org/package/2006/relationships"><Relationship Id="rId3" Type="http://schemas.microsoft.com/office/2011/relationships/chartStyle" Target="style10.xml"/><Relationship Id="rId2" Type="http://schemas.microsoft.com/office/2011/relationships/chartColorStyle" Target="colors10.xml"/><Relationship Id="rId1" Type="http://schemas.openxmlformats.org/officeDocument/2006/relationships/oleObject" Target="file:///G:\XHMT\Ngheo%20da%20chieu\ngh&#232;o%20&#273;a%20chi&#7873;u%2016_19.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hanhn\OneDrive\Desktop\xhmt\vhlss\Dieu_tra_2020\Hinh%20ve%20KSMS2020.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hanhn\OneDrive\Desktop\xhmt\vhlss\Dieu_tra_2020\Hinh%20ve%20KSMS2020.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hanhn\OneDrive\Desktop\xhmt\vhlss\Dieu_tra_2020\Hinh%20ve%20KSMS2020.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C:\Users\hanhn\OneDrive\Desktop\xhmt\vhlss\Dieu_tra_2020\Hinh%20ve%20KSMS2020.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oleObject" Target="file:///D:\VHLSS\VHLSS2021\Hinh%20ve%20KSMS2020.xlsx" TargetMode="External"/></Relationships>
</file>

<file path=word/charts/_rels/chart8.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oleObject" Target="file:///D:\VHLSS\VHLSS2021\Hinh%20ve%20KSMS2020.xlsx" TargetMode="External"/></Relationships>
</file>

<file path=word/charts/_rels/chart9.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oleObject" Target="file:///C:\Users\hanhn\OneDrive\Desktop\xhmt\vhlss\Dieu_tra_2020\Hinh%20ve%20KSMS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1"/>
          <c:order val="0"/>
          <c:tx>
            <c:strRef>
              <c:f>'H1'!$A$3</c:f>
              <c:strCache>
                <c:ptCount val="1"/>
                <c:pt idx="0">
                  <c:v>Cả nước</c:v>
                </c:pt>
              </c:strCache>
            </c:strRef>
          </c:tx>
          <c:spPr>
            <a:pattFill prst="horzBrick">
              <a:fgClr>
                <a:schemeClr val="tx1">
                  <a:lumMod val="75000"/>
                  <a:lumOff val="25000"/>
                </a:schemeClr>
              </a:fgClr>
              <a:bgClr>
                <a:schemeClr val="bg1"/>
              </a:bgClr>
            </a:pattFill>
            <a:ln>
              <a:noFill/>
            </a:ln>
            <a:effectLst/>
          </c:spPr>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'H1'!$B$1:$N$1</c:f>
              <c:numCache>
                <c:formatCode>General</c:formatCode>
                <c:ptCount val="13"/>
                <c:pt idx="0" formatCode="0">
                  <c:v>2010</c:v>
                </c:pt>
                <c:pt idx="2">
                  <c:v>2012</c:v>
                </c:pt>
                <c:pt idx="4">
                  <c:v>2014</c:v>
                </c:pt>
                <c:pt idx="6">
                  <c:v>2016</c:v>
                </c:pt>
                <c:pt idx="8">
                  <c:v>2018</c:v>
                </c:pt>
                <c:pt idx="10">
                  <c:v>2019</c:v>
                </c:pt>
                <c:pt idx="12">
                  <c:v>2020</c:v>
                </c:pt>
              </c:numCache>
            </c:numRef>
          </c:cat>
          <c:val>
            <c:numRef>
              <c:f>'H1'!$B$3:$N$3</c:f>
              <c:numCache>
                <c:formatCode>General</c:formatCode>
                <c:ptCount val="13"/>
                <c:pt idx="0" formatCode="0">
                  <c:v>1387.1</c:v>
                </c:pt>
                <c:pt idx="2" formatCode="0">
                  <c:v>1999.8</c:v>
                </c:pt>
                <c:pt idx="4" formatCode="0">
                  <c:v>2637.3</c:v>
                </c:pt>
                <c:pt idx="6" formatCode="0">
                  <c:v>3097.6</c:v>
                </c:pt>
                <c:pt idx="8" formatCode="0">
                  <c:v>3873.8</c:v>
                </c:pt>
                <c:pt idx="10">
                  <c:v>4295</c:v>
                </c:pt>
                <c:pt idx="12">
                  <c:v>4249</c:v>
                </c:pt>
              </c:numCache>
            </c:numRef>
          </c:val>
          <c:extLst xmlns:c16r2="http://schemas.microsoft.com/office/drawing/2015/06/chart">
            <c:ext xmlns:c16="http://schemas.microsoft.com/office/drawing/2014/chart" uri="{C3380CC4-5D6E-409C-BE32-E72D297353CC}">
              <c16:uniqueId val="{00000001-1B28-4295-A4EB-D49874421D45}"/>
            </c:ext>
          </c:extLst>
        </c:ser>
        <c:ser>
          <c:idx val="2"/>
          <c:order val="1"/>
          <c:tx>
            <c:strRef>
              <c:f>'H1'!$A$4</c:f>
              <c:strCache>
                <c:ptCount val="1"/>
                <c:pt idx="0">
                  <c:v>Thành thị</c:v>
                </c:pt>
              </c:strCache>
            </c:strRef>
          </c:tx>
          <c:spPr>
            <a:pattFill prst="dkDnDiag">
              <a:fgClr>
                <a:schemeClr val="tx1">
                  <a:lumMod val="75000"/>
                  <a:lumOff val="25000"/>
                </a:schemeClr>
              </a:fgClr>
              <a:bgClr>
                <a:schemeClr val="bg1"/>
              </a:bgClr>
            </a:pattFill>
            <a:ln>
              <a:noFill/>
            </a:ln>
            <a:effectLst/>
          </c:spPr>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'H1'!$B$1:$N$1</c:f>
              <c:numCache>
                <c:formatCode>General</c:formatCode>
                <c:ptCount val="13"/>
                <c:pt idx="0" formatCode="0">
                  <c:v>2010</c:v>
                </c:pt>
                <c:pt idx="2">
                  <c:v>2012</c:v>
                </c:pt>
                <c:pt idx="4">
                  <c:v>2014</c:v>
                </c:pt>
                <c:pt idx="6">
                  <c:v>2016</c:v>
                </c:pt>
                <c:pt idx="8">
                  <c:v>2018</c:v>
                </c:pt>
                <c:pt idx="10">
                  <c:v>2019</c:v>
                </c:pt>
                <c:pt idx="12">
                  <c:v>2020</c:v>
                </c:pt>
              </c:numCache>
            </c:numRef>
          </c:cat>
          <c:val>
            <c:numRef>
              <c:f>'H1'!$B$4:$N$4</c:f>
              <c:numCache>
                <c:formatCode>General</c:formatCode>
                <c:ptCount val="13"/>
                <c:pt idx="0" formatCode="0">
                  <c:v>2129.5</c:v>
                </c:pt>
                <c:pt idx="2" formatCode="0">
                  <c:v>2989.1</c:v>
                </c:pt>
                <c:pt idx="4" formatCode="0">
                  <c:v>3964.5</c:v>
                </c:pt>
                <c:pt idx="6" formatCode="0">
                  <c:v>4551.3</c:v>
                </c:pt>
                <c:pt idx="8" formatCode="0">
                  <c:v>5624.1</c:v>
                </c:pt>
                <c:pt idx="10">
                  <c:v>6022</c:v>
                </c:pt>
                <c:pt idx="12" formatCode="0">
                  <c:v>5590</c:v>
                </c:pt>
              </c:numCache>
            </c:numRef>
          </c:val>
          <c:extLst xmlns:c16r2="http://schemas.microsoft.com/office/drawing/2015/06/chart">
            <c:ext xmlns:c16="http://schemas.microsoft.com/office/drawing/2014/chart" uri="{C3380CC4-5D6E-409C-BE32-E72D297353CC}">
              <c16:uniqueId val="{00000002-1B28-4295-A4EB-D49874421D45}"/>
            </c:ext>
          </c:extLst>
        </c:ser>
        <c:ser>
          <c:idx val="3"/>
          <c:order val="2"/>
          <c:tx>
            <c:strRef>
              <c:f>'H1'!$A$5</c:f>
              <c:strCache>
                <c:ptCount val="1"/>
                <c:pt idx="0">
                  <c:v>Nông thôn</c:v>
                </c:pt>
              </c:strCache>
            </c:strRef>
          </c:tx>
          <c:spPr>
            <a:pattFill prst="lgConfetti">
              <a:fgClr>
                <a:schemeClr val="tx1">
                  <a:lumMod val="75000"/>
                  <a:lumOff val="25000"/>
                </a:schemeClr>
              </a:fgClr>
              <a:bgClr>
                <a:schemeClr val="bg1"/>
              </a:bgClr>
            </a:pattFill>
            <a:ln>
              <a:noFill/>
            </a:ln>
            <a:effectLst/>
          </c:spPr>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'H1'!$B$1:$N$1</c:f>
              <c:numCache>
                <c:formatCode>General</c:formatCode>
                <c:ptCount val="13"/>
                <c:pt idx="0" formatCode="0">
                  <c:v>2010</c:v>
                </c:pt>
                <c:pt idx="2">
                  <c:v>2012</c:v>
                </c:pt>
                <c:pt idx="4">
                  <c:v>2014</c:v>
                </c:pt>
                <c:pt idx="6">
                  <c:v>2016</c:v>
                </c:pt>
                <c:pt idx="8">
                  <c:v>2018</c:v>
                </c:pt>
                <c:pt idx="10">
                  <c:v>2019</c:v>
                </c:pt>
                <c:pt idx="12">
                  <c:v>2020</c:v>
                </c:pt>
              </c:numCache>
            </c:numRef>
          </c:cat>
          <c:val>
            <c:numRef>
              <c:f>'H1'!$B$5:$N$5</c:f>
              <c:numCache>
                <c:formatCode>General</c:formatCode>
                <c:ptCount val="13"/>
                <c:pt idx="0" formatCode="0">
                  <c:v>1074.4000000000001</c:v>
                </c:pt>
                <c:pt idx="2" formatCode="0">
                  <c:v>1579.4</c:v>
                </c:pt>
                <c:pt idx="4" formatCode="0">
                  <c:v>2038.4</c:v>
                </c:pt>
                <c:pt idx="6" formatCode="0">
                  <c:v>2422.6999999999998</c:v>
                </c:pt>
                <c:pt idx="8" formatCode="0">
                  <c:v>2986.5</c:v>
                </c:pt>
                <c:pt idx="10">
                  <c:v>3399</c:v>
                </c:pt>
                <c:pt idx="12" formatCode="0">
                  <c:v>3480</c:v>
                </c:pt>
              </c:numCache>
            </c:numRef>
          </c:val>
          <c:extLst xmlns:c16r2="http://schemas.microsoft.com/office/drawing/2015/06/chart">
            <c:ext xmlns:c16="http://schemas.microsoft.com/office/drawing/2014/chart" uri="{C3380CC4-5D6E-409C-BE32-E72D297353CC}">
              <c16:uniqueId val="{00000003-1B28-4295-A4EB-D49874421D45}"/>
            </c:ext>
          </c:extLst>
        </c:ser>
        <c:dLbls/>
        <c:gapWidth val="76"/>
        <c:overlap val="-39"/>
        <c:axId val="73874432"/>
        <c:axId val="73896704"/>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'H1'!$A$2</c15:sqref>
                        </c15:formulaRef>
                      </c:ext>
                    </c:extLst>
                    <c:strCache>
                      <c:ptCount val="1"/>
                    </c:strCache>
                  </c:strRef>
                </c:tx>
                <c:spPr>
                  <a:solidFill>
                    <a:schemeClr val="accent1"/>
                  </a:solidFill>
                  <a:ln>
                    <a:noFill/>
                  </a:ln>
                  <a:effectLst/>
                </c:spPr>
                <c:invertIfNegative val="0"/>
                <c:cat>
                  <c:numRef>
                    <c:extLst>
                      <c:ext uri="{02D57815-91ED-43cb-92C2-25804820EDAC}">
                        <c15:formulaRef>
                          <c15:sqref>'H1'!$B$1:$N$1</c15:sqref>
                        </c15:formulaRef>
                      </c:ext>
                    </c:extLst>
                    <c:numCache>
                      <c:formatCode>General</c:formatCode>
                      <c:ptCount val="13"/>
                      <c:pt idx="0" formatCode="0">
                        <c:v>2010</c:v>
                      </c:pt>
                      <c:pt idx="2">
                        <c:v>2012</c:v>
                      </c:pt>
                      <c:pt idx="4">
                        <c:v>2014</c:v>
                      </c:pt>
                      <c:pt idx="6">
                        <c:v>2016</c:v>
                      </c:pt>
                      <c:pt idx="8">
                        <c:v>2018</c:v>
                      </c:pt>
                      <c:pt idx="10">
                        <c:v>2019</c:v>
                      </c:pt>
                      <c:pt idx="12">
                        <c:v>2020</c:v>
                      </c:pt>
                    </c:numCache>
                  </c:numRef>
                </c:cat>
                <c:val>
                  <c:numRef>
                    <c:extLst>
                      <c:ext uri="{02D57815-91ED-43cb-92C2-25804820EDAC}">
                        <c15:formulaRef>
                          <c15:sqref>'H1'!$B$2:$N$2</c15:sqref>
                        </c15:formulaRef>
                      </c:ext>
                    </c:extLst>
                    <c:numCache>
                      <c:formatCode>General</c:formatCode>
                      <c:ptCount val="13"/>
                    </c:numCache>
                  </c:numRef>
                </c:val>
                <c:extLst>
                  <c:ext xmlns:c16="http://schemas.microsoft.com/office/drawing/2014/chart" uri="{C3380CC4-5D6E-409C-BE32-E72D297353CC}">
                    <c16:uniqueId val="{00000000-1B28-4295-A4EB-D49874421D45}"/>
                  </c:ext>
                </c:extLst>
              </c15:ser>
            </c15:filteredBarSeries>
          </c:ext>
        </c:extLst>
      </c:barChart>
      <c:catAx>
        <c:axId val="73874432"/>
        <c:scaling>
          <c:orientation val="minMax"/>
        </c:scaling>
        <c:axPos val="b"/>
        <c:numFmt formatCode="0"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896704"/>
        <c:crosses val="autoZero"/>
        <c:auto val="1"/>
        <c:lblAlgn val="ctr"/>
        <c:lblOffset val="100"/>
      </c:catAx>
      <c:valAx>
        <c:axId val="7389670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874432"/>
        <c:crosses val="autoZero"/>
        <c:crossBetween val="between"/>
      </c:valAx>
      <c:spPr>
        <a:noFill/>
        <a:ln>
          <a:noFill/>
        </a:ln>
        <a:effectLst>
          <a:glow rad="863600">
            <a:schemeClr val="accent1">
              <a:alpha val="40000"/>
            </a:schemeClr>
          </a:glow>
        </a:effectLst>
      </c:spPr>
    </c:plotArea>
    <c:legend>
      <c:legendPos val="b"/>
      <c:layout/>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autoTitleDeleted val="1"/>
    <c:plotArea>
      <c:layout/>
      <c:radarChart>
        <c:radarStyle val="marker"/>
        <c:ser>
          <c:idx val="0"/>
          <c:order val="0"/>
          <c:spPr>
            <a:ln w="28575" cap="rnd">
              <a:solidFill>
                <a:schemeClr val="tx1"/>
              </a:solidFill>
              <a:round/>
            </a:ln>
            <a:effectLst/>
          </c:spPr>
          <c:marker>
            <c:symbol val="none"/>
          </c:marker>
          <c:dLbls>
            <c:dLbl>
              <c:idx val="0"/>
              <c:layout>
                <c:manualLayout>
                  <c:x val="-8.1480540211328006E-17"/>
                  <c:y val="3.8035961272475799E-2"/>
                </c:manualLayout>
              </c:layout>
              <c:tx>
                <c:rich>
                  <a:bodyPr/>
                  <a:lstStyle/>
                  <a:p>
                    <a:r>
                      <a:rPr lang="en-US"/>
                      <a:t>11,35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661B-4CB6-81BD-A90EBFFCA928}"/>
                </c:ext>
              </c:extLst>
            </c:dLbl>
            <c:dLbl>
              <c:idx val="1"/>
              <c:tx>
                <c:rich>
                  <a:bodyPr/>
                  <a:lstStyle/>
                  <a:p>
                    <a:r>
                      <a:rPr lang="en-US"/>
                      <a:t>2,07</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661B-4CB6-81BD-A90EBFFCA928}"/>
                </c:ext>
              </c:extLst>
            </c:dLbl>
            <c:dLbl>
              <c:idx val="2"/>
              <c:tx>
                <c:rich>
                  <a:bodyPr/>
                  <a:lstStyle/>
                  <a:p>
                    <a:r>
                      <a:rPr lang="en-US"/>
                      <a:t>2,43</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661B-4CB6-81BD-A90EBFFCA928}"/>
                </c:ext>
              </c:extLst>
            </c:dLbl>
            <c:dLbl>
              <c:idx val="3"/>
              <c:layout>
                <c:manualLayout>
                  <c:x val="-5.5633310773368722E-2"/>
                  <c:y val="9.2651090583585165E-3"/>
                </c:manualLayout>
              </c:layout>
              <c:tx>
                <c:rich>
                  <a:bodyPr rot="0" spcFirstLastPara="1" vertOverflow="ellipsis" vert="horz" wrap="square" lIns="38100" tIns="19050" rIns="38100" bIns="19050" anchor="ctr" anchorCtr="0">
                    <a:spAutoFit/>
                  </a:bodyPr>
                  <a:lstStyle/>
                  <a:p>
                    <a:pPr algn="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18,94</a:t>
                    </a:r>
                  </a:p>
                </c:rich>
              </c:tx>
              <c:numFmt formatCode="0.0" sourceLinked="0"/>
              <c:spPr>
                <a:noFill/>
                <a:ln>
                  <a:noFill/>
                </a:ln>
                <a:effectLst/>
              </c:spP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0AB-43F9-A5ED-AF0EE9FEC85B}"/>
                </c:ext>
              </c:extLst>
            </c:dLbl>
            <c:dLbl>
              <c:idx val="4"/>
              <c:tx>
                <c:rich>
                  <a:bodyPr/>
                  <a:lstStyle/>
                  <a:p>
                    <a:r>
                      <a:rPr lang="en-US"/>
                      <a:t>4,44</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661B-4CB6-81BD-A90EBFFCA928}"/>
                </c:ext>
              </c:extLst>
            </c:dLbl>
            <c:dLbl>
              <c:idx val="5"/>
              <c:tx>
                <c:rich>
                  <a:bodyPr/>
                  <a:lstStyle/>
                  <a:p>
                    <a:r>
                      <a:rPr lang="en-US"/>
                      <a:t>5,58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661B-4CB6-81BD-A90EBFFCA928}"/>
                </c:ext>
              </c:extLst>
            </c:dLbl>
            <c:dLbl>
              <c:idx val="6"/>
              <c:tx>
                <c:rich>
                  <a:bodyPr/>
                  <a:lstStyle/>
                  <a:p>
                    <a:r>
                      <a:rPr lang="en-US"/>
                      <a:t>2,54</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661B-4CB6-81BD-A90EBFFCA928}"/>
                </c:ext>
              </c:extLst>
            </c:dLbl>
            <c:dLbl>
              <c:idx val="7"/>
              <c:tx>
                <c:rich>
                  <a:bodyPr/>
                  <a:lstStyle/>
                  <a:p>
                    <a:r>
                      <a:rPr lang="en-US"/>
                      <a:t>6,03</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661B-4CB6-81BD-A90EBFFCA928}"/>
                </c:ext>
              </c:extLst>
            </c:dLbl>
            <c:dLbl>
              <c:idx val="8"/>
              <c:tx>
                <c:rich>
                  <a:bodyPr/>
                  <a:lstStyle/>
                  <a:p>
                    <a:r>
                      <a:rPr lang="en-US"/>
                      <a:t>2,95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661B-4CB6-81BD-A90EBFFCA928}"/>
                </c:ext>
              </c:extLst>
            </c:dLbl>
            <c:dLbl>
              <c:idx val="9"/>
              <c:tx>
                <c:rich>
                  <a:bodyPr/>
                  <a:lstStyle/>
                  <a:p>
                    <a:r>
                      <a:rPr lang="en-US"/>
                      <a:t>4,39</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661B-4CB6-81BD-A90EBFFCA928}"/>
                </c:ext>
              </c:extLst>
            </c:dLbl>
            <c:numFmt formatCode="@" sourceLinked="0"/>
            <c:spPr>
              <a:noFill/>
              <a:ln>
                <a:noFill/>
              </a:ln>
              <a:effectLst/>
            </c:spPr>
            <c:txPr>
              <a:bodyPr rot="0" spcFirstLastPara="1" vertOverflow="ellipsis" vert="horz" wrap="square" lIns="38100" tIns="19050" rIns="38100" bIns="19050" anchor="ctr" anchorCtr="0">
                <a:spAutoFit/>
              </a:bodyPr>
              <a:lstStyle/>
              <a:p>
                <a:pPr algn="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'Tổng hợp'!$B$12:$K$12</c:f>
              <c:strCache>
                <c:ptCount val="10"/>
                <c:pt idx="0">
                  <c:v>Giáo dục người lớn</c:v>
                </c:pt>
                <c:pt idx="1">
                  <c:v>Giáo dục trẻ em</c:v>
                </c:pt>
                <c:pt idx="2">
                  <c:v>Khám chữa bệnh</c:v>
                </c:pt>
                <c:pt idx="3">
                  <c:v>Bảo hiểm y tế</c:v>
                </c:pt>
                <c:pt idx="4">
                  <c:v>Chất lượng nhà</c:v>
                </c:pt>
                <c:pt idx="5">
                  <c:v>Diện tích nhà</c:v>
                </c:pt>
                <c:pt idx="6">
                  <c:v>Nguồn nước hợp vệ sinh</c:v>
                </c:pt>
                <c:pt idx="7">
                  <c:v>Hố xí hợp vệ sinh</c:v>
                </c:pt>
                <c:pt idx="8">
                  <c:v>Tiếp cận dịch vụ thông tin</c:v>
                </c:pt>
                <c:pt idx="9">
                  <c:v>Tài sản thông tin</c:v>
                </c:pt>
              </c:strCache>
            </c:strRef>
          </c:cat>
          <c:val>
            <c:numRef>
              <c:f>'Tổng hợp'!$B$13:$K$13</c:f>
              <c:numCache>
                <c:formatCode>0.0</c:formatCode>
                <c:ptCount val="10"/>
                <c:pt idx="0">
                  <c:v>11.350000000000001</c:v>
                </c:pt>
                <c:pt idx="1">
                  <c:v>2.0699999999999998</c:v>
                </c:pt>
                <c:pt idx="2">
                  <c:v>2.4299999999999997</c:v>
                </c:pt>
                <c:pt idx="3">
                  <c:v>18.939999999999998</c:v>
                </c:pt>
                <c:pt idx="4">
                  <c:v>4.4400000000000004</c:v>
                </c:pt>
                <c:pt idx="5">
                  <c:v>5.58</c:v>
                </c:pt>
                <c:pt idx="6">
                  <c:v>2.54</c:v>
                </c:pt>
                <c:pt idx="7">
                  <c:v>6.03</c:v>
                </c:pt>
                <c:pt idx="8">
                  <c:v>2.9499999999999997</c:v>
                </c:pt>
                <c:pt idx="9">
                  <c:v>4.3899999999999997</c:v>
                </c:pt>
              </c:numCache>
            </c:numRef>
          </c:val>
          <c:extLst xmlns:c16r2="http://schemas.microsoft.com/office/drawing/2015/06/chart">
            <c:ext xmlns:c16="http://schemas.microsoft.com/office/drawing/2014/chart" uri="{C3380CC4-5D6E-409C-BE32-E72D297353CC}">
              <c16:uniqueId val="{00000000-E2BD-4127-9870-4979AC60AD39}"/>
            </c:ext>
          </c:extLst>
        </c:ser>
        <c:dLbls>
          <c:showVal val="1"/>
        </c:dLbls>
        <c:axId val="85413248"/>
        <c:axId val="85415040"/>
      </c:radarChart>
      <c:catAx>
        <c:axId val="854132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415040"/>
        <c:crosses val="autoZero"/>
        <c:auto val="1"/>
        <c:lblAlgn val="ctr"/>
        <c:lblOffset val="100"/>
      </c:catAx>
      <c:valAx>
        <c:axId val="85415040"/>
        <c:scaling>
          <c:orientation val="minMax"/>
        </c:scaling>
        <c:delete val="1"/>
        <c:axPos val="l"/>
        <c:majorGridlines>
          <c:spPr>
            <a:ln w="9525" cap="flat" cmpd="sng" algn="ctr">
              <a:solidFill>
                <a:schemeClr val="tx1">
                  <a:lumMod val="50000"/>
                  <a:lumOff val="50000"/>
                </a:schemeClr>
              </a:solidFill>
              <a:round/>
            </a:ln>
            <a:effectLst/>
          </c:spPr>
        </c:majorGridlines>
        <c:numFmt formatCode="0.0" sourceLinked="1"/>
        <c:majorTickMark val="none"/>
        <c:tickLblPos val="none"/>
        <c:crossAx val="8541324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1"/>
          <c:order val="0"/>
          <c:tx>
            <c:strRef>
              <c:f>'H2'!$A$2</c:f>
              <c:strCache>
                <c:ptCount val="1"/>
                <c:pt idx="0">
                  <c:v>2010</c:v>
                </c:pt>
              </c:strCache>
            </c:strRef>
          </c:tx>
          <c:spPr>
            <a:pattFill prst="diagBrick">
              <a:fgClr>
                <a:schemeClr val="tx1">
                  <a:lumMod val="75000"/>
                  <a:lumOff val="25000"/>
                </a:schemeClr>
              </a:fgClr>
              <a:bgClr>
                <a:schemeClr val="bg1"/>
              </a:bgClr>
            </a:pattFill>
            <a:ln>
              <a:noFill/>
            </a:ln>
            <a:effectLst/>
          </c:spPr>
          <c:dLbls>
            <c:dLbl>
              <c:idx val="0"/>
              <c:tx>
                <c:rich>
                  <a:bodyPr/>
                  <a:lstStyle/>
                  <a:p>
                    <a:r>
                      <a:rPr lang="en-US"/>
                      <a:t>44,9</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676E-48A4-BBA2-05940DDE0C08}"/>
                </c:ext>
              </c:extLst>
            </c:dLbl>
            <c:dLbl>
              <c:idx val="1"/>
              <c:tx>
                <c:rich>
                  <a:bodyPr/>
                  <a:lstStyle/>
                  <a:p>
                    <a:r>
                      <a:rPr lang="en-US"/>
                      <a:t>20,1</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676E-48A4-BBA2-05940DDE0C08}"/>
                </c:ext>
              </c:extLst>
            </c:dLbl>
            <c:dLbl>
              <c:idx val="2"/>
              <c:tx>
                <c:rich>
                  <a:bodyPr/>
                  <a:lstStyle/>
                  <a:p>
                    <a:r>
                      <a:rPr lang="en-US"/>
                      <a:t>23,6</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676E-48A4-BBA2-05940DDE0C08}"/>
                </c:ext>
              </c:extLst>
            </c:dLbl>
            <c:dLbl>
              <c:idx val="3"/>
              <c:tx>
                <c:rich>
                  <a:bodyPr/>
                  <a:lstStyle/>
                  <a:p>
                    <a:r>
                      <a:rPr lang="en-US"/>
                      <a:t>11,4</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676E-48A4-BBA2-05940DDE0C08}"/>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'H2'!$B$1:$E$1</c:f>
              <c:strCache>
                <c:ptCount val="4"/>
                <c:pt idx="0">
                  <c:v>Tiền lương tiền công</c:v>
                </c:pt>
                <c:pt idx="1">
                  <c:v>Nông, lâm nghiệp, thủy sản</c:v>
                </c:pt>
                <c:pt idx="2">
                  <c:v>Phi nông, lâm nghiệp, thủy sản</c:v>
                </c:pt>
                <c:pt idx="3">
                  <c:v>Khác</c:v>
                </c:pt>
              </c:strCache>
            </c:strRef>
          </c:cat>
          <c:val>
            <c:numRef>
              <c:f>'H2'!$B$2:$E$2</c:f>
              <c:numCache>
                <c:formatCode>#,#00</c:formatCode>
                <c:ptCount val="4"/>
                <c:pt idx="0">
                  <c:v>44.9</c:v>
                </c:pt>
                <c:pt idx="1">
                  <c:v>20.099999999999994</c:v>
                </c:pt>
                <c:pt idx="2">
                  <c:v>23.599999999999994</c:v>
                </c:pt>
                <c:pt idx="3">
                  <c:v>11.4</c:v>
                </c:pt>
              </c:numCache>
            </c:numRef>
          </c:val>
          <c:extLst xmlns:c16r2="http://schemas.microsoft.com/office/drawing/2015/06/chart">
            <c:ext xmlns:c16="http://schemas.microsoft.com/office/drawing/2014/chart" uri="{C3380CC4-5D6E-409C-BE32-E72D297353CC}">
              <c16:uniqueId val="{00000001-1B28-4295-A4EB-D49874421D45}"/>
            </c:ext>
          </c:extLst>
        </c:ser>
        <c:ser>
          <c:idx val="2"/>
          <c:order val="1"/>
          <c:tx>
            <c:strRef>
              <c:f>'H2'!$A$3</c:f>
              <c:strCache>
                <c:ptCount val="1"/>
                <c:pt idx="0">
                  <c:v>2012</c:v>
                </c:pt>
              </c:strCache>
            </c:strRef>
          </c:tx>
          <c:spPr>
            <a:pattFill prst="pct5">
              <a:fgClr>
                <a:schemeClr val="tx1">
                  <a:lumMod val="75000"/>
                  <a:lumOff val="25000"/>
                </a:schemeClr>
              </a:fgClr>
              <a:bgClr>
                <a:schemeClr val="bg1"/>
              </a:bgClr>
            </a:pattFill>
            <a:ln>
              <a:noFill/>
            </a:ln>
            <a:effectLst/>
          </c:spPr>
          <c:dLbls>
            <c:dLbl>
              <c:idx val="0"/>
              <c:tx>
                <c:rich>
                  <a:bodyPr/>
                  <a:lstStyle/>
                  <a:p>
                    <a:r>
                      <a:rPr lang="en-US"/>
                      <a:t>46,2</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676E-48A4-BBA2-05940DDE0C08}"/>
                </c:ext>
              </c:extLst>
            </c:dLbl>
            <c:dLbl>
              <c:idx val="1"/>
              <c:tx>
                <c:rich>
                  <a:bodyPr/>
                  <a:lstStyle/>
                  <a:p>
                    <a:r>
                      <a:rPr lang="en-US"/>
                      <a:t>19,9</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676E-48A4-BBA2-05940DDE0C08}"/>
                </c:ext>
              </c:extLst>
            </c:dLbl>
            <c:dLbl>
              <c:idx val="2"/>
              <c:tx>
                <c:rich>
                  <a:bodyPr/>
                  <a:lstStyle/>
                  <a:p>
                    <a:r>
                      <a:rPr lang="en-US"/>
                      <a:t>22,2</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676E-48A4-BBA2-05940DDE0C08}"/>
                </c:ext>
              </c:extLst>
            </c:dLbl>
            <c:dLbl>
              <c:idx val="3"/>
              <c:tx>
                <c:rich>
                  <a:bodyPr/>
                  <a:lstStyle/>
                  <a:p>
                    <a:r>
                      <a:rPr lang="en-US"/>
                      <a:t>11,9</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676E-48A4-BBA2-05940DDE0C08}"/>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'H2'!$B$1:$E$1</c:f>
              <c:strCache>
                <c:ptCount val="4"/>
                <c:pt idx="0">
                  <c:v>Tiền lương tiền công</c:v>
                </c:pt>
                <c:pt idx="1">
                  <c:v>Nông, lâm nghiệp, thủy sản</c:v>
                </c:pt>
                <c:pt idx="2">
                  <c:v>Phi nông, lâm nghiệp, thủy sản</c:v>
                </c:pt>
                <c:pt idx="3">
                  <c:v>Khác</c:v>
                </c:pt>
              </c:strCache>
            </c:strRef>
          </c:cat>
          <c:val>
            <c:numRef>
              <c:f>'H2'!$B$3:$E$3</c:f>
              <c:numCache>
                <c:formatCode>#,#00</c:formatCode>
                <c:ptCount val="4"/>
                <c:pt idx="0">
                  <c:v>46.2</c:v>
                </c:pt>
                <c:pt idx="1">
                  <c:v>19.899999999999999</c:v>
                </c:pt>
                <c:pt idx="2">
                  <c:v>22.2</c:v>
                </c:pt>
                <c:pt idx="3">
                  <c:v>11.9</c:v>
                </c:pt>
              </c:numCache>
            </c:numRef>
          </c:val>
          <c:extLst xmlns:c16r2="http://schemas.microsoft.com/office/drawing/2015/06/chart">
            <c:ext xmlns:c16="http://schemas.microsoft.com/office/drawing/2014/chart" uri="{C3380CC4-5D6E-409C-BE32-E72D297353CC}">
              <c16:uniqueId val="{00000002-1B28-4295-A4EB-D49874421D45}"/>
            </c:ext>
          </c:extLst>
        </c:ser>
        <c:ser>
          <c:idx val="3"/>
          <c:order val="2"/>
          <c:tx>
            <c:strRef>
              <c:f>'H2'!$A$4</c:f>
              <c:strCache>
                <c:ptCount val="1"/>
                <c:pt idx="0">
                  <c:v>2014</c:v>
                </c:pt>
              </c:strCache>
            </c:strRef>
          </c:tx>
          <c:spPr>
            <a:pattFill prst="horzBrick">
              <a:fgClr>
                <a:schemeClr val="tx1">
                  <a:lumMod val="75000"/>
                  <a:lumOff val="25000"/>
                </a:schemeClr>
              </a:fgClr>
              <a:bgClr>
                <a:schemeClr val="bg1"/>
              </a:bgClr>
            </a:pattFill>
            <a:ln>
              <a:noFill/>
            </a:ln>
            <a:effectLst/>
          </c:spPr>
          <c:dLbls>
            <c:dLbl>
              <c:idx val="0"/>
              <c:tx>
                <c:rich>
                  <a:bodyPr/>
                  <a:lstStyle/>
                  <a:p>
                    <a:r>
                      <a:rPr lang="en-US"/>
                      <a:t>47,5</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676E-48A4-BBA2-05940DDE0C08}"/>
                </c:ext>
              </c:extLst>
            </c:dLbl>
            <c:dLbl>
              <c:idx val="1"/>
              <c:tx>
                <c:rich>
                  <a:bodyPr/>
                  <a:lstStyle/>
                  <a:p>
                    <a:r>
                      <a:rPr lang="en-US"/>
                      <a:t>17,4</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676E-48A4-BBA2-05940DDE0C08}"/>
                </c:ext>
              </c:extLst>
            </c:dLbl>
            <c:dLbl>
              <c:idx val="2"/>
              <c:tx>
                <c:rich>
                  <a:bodyPr/>
                  <a:lstStyle/>
                  <a:p>
                    <a:r>
                      <a:rPr lang="en-US"/>
                      <a:t>22,4</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676E-48A4-BBA2-05940DDE0C08}"/>
                </c:ext>
              </c:extLst>
            </c:dLbl>
            <c:dLbl>
              <c:idx val="3"/>
              <c:tx>
                <c:rich>
                  <a:bodyPr/>
                  <a:lstStyle/>
                  <a:p>
                    <a:r>
                      <a:rPr lang="en-US"/>
                      <a:t>12,7</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676E-48A4-BBA2-05940DDE0C08}"/>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'H2'!$B$1:$E$1</c:f>
              <c:strCache>
                <c:ptCount val="4"/>
                <c:pt idx="0">
                  <c:v>Tiền lương tiền công</c:v>
                </c:pt>
                <c:pt idx="1">
                  <c:v>Nông, lâm nghiệp, thủy sản</c:v>
                </c:pt>
                <c:pt idx="2">
                  <c:v>Phi nông, lâm nghiệp, thủy sản</c:v>
                </c:pt>
                <c:pt idx="3">
                  <c:v>Khác</c:v>
                </c:pt>
              </c:strCache>
            </c:strRef>
          </c:cat>
          <c:val>
            <c:numRef>
              <c:f>'H2'!$B$4:$E$4</c:f>
              <c:numCache>
                <c:formatCode>#,#00</c:formatCode>
                <c:ptCount val="4"/>
                <c:pt idx="0">
                  <c:v>47.5</c:v>
                </c:pt>
                <c:pt idx="1">
                  <c:v>17.399999999999999</c:v>
                </c:pt>
                <c:pt idx="2">
                  <c:v>22.4</c:v>
                </c:pt>
                <c:pt idx="3">
                  <c:v>12.7</c:v>
                </c:pt>
              </c:numCache>
            </c:numRef>
          </c:val>
          <c:extLst xmlns:c16r2="http://schemas.microsoft.com/office/drawing/2015/06/chart">
            <c:ext xmlns:c16="http://schemas.microsoft.com/office/drawing/2014/chart" uri="{C3380CC4-5D6E-409C-BE32-E72D297353CC}">
              <c16:uniqueId val="{00000003-1B28-4295-A4EB-D49874421D45}"/>
            </c:ext>
          </c:extLst>
        </c:ser>
        <c:ser>
          <c:idx val="0"/>
          <c:order val="3"/>
          <c:tx>
            <c:strRef>
              <c:f>'H2'!$A$5</c:f>
              <c:strCache>
                <c:ptCount val="1"/>
                <c:pt idx="0">
                  <c:v>2016</c:v>
                </c:pt>
              </c:strCache>
            </c:strRef>
          </c:tx>
          <c:spPr>
            <a:pattFill prst="dkUpDiag">
              <a:fgClr>
                <a:schemeClr val="tx1">
                  <a:lumMod val="75000"/>
                  <a:lumOff val="25000"/>
                </a:schemeClr>
              </a:fgClr>
              <a:bgClr>
                <a:schemeClr val="bg1"/>
              </a:bgClr>
            </a:pattFill>
            <a:ln>
              <a:noFill/>
            </a:ln>
            <a:effectLst/>
          </c:spPr>
          <c:dLbls>
            <c:dLbl>
              <c:idx val="0"/>
              <c:tx>
                <c:rich>
                  <a:bodyPr/>
                  <a:lstStyle/>
                  <a:p>
                    <a:r>
                      <a:rPr lang="en-US"/>
                      <a:t>48,0</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676E-48A4-BBA2-05940DDE0C08}"/>
                </c:ext>
              </c:extLst>
            </c:dLbl>
            <c:dLbl>
              <c:idx val="1"/>
              <c:tx>
                <c:rich>
                  <a:bodyPr/>
                  <a:lstStyle/>
                  <a:p>
                    <a:r>
                      <a:rPr lang="en-US"/>
                      <a:t>16,5</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676E-48A4-BBA2-05940DDE0C08}"/>
                </c:ext>
              </c:extLst>
            </c:dLbl>
            <c:dLbl>
              <c:idx val="2"/>
              <c:tx>
                <c:rich>
                  <a:bodyPr/>
                  <a:lstStyle/>
                  <a:p>
                    <a:r>
                      <a:rPr lang="en-US"/>
                      <a:t>24,2</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E-676E-48A4-BBA2-05940DDE0C08}"/>
                </c:ext>
              </c:extLst>
            </c:dLbl>
            <c:dLbl>
              <c:idx val="3"/>
              <c:tx>
                <c:rich>
                  <a:bodyPr/>
                  <a:lstStyle/>
                  <a:p>
                    <a:r>
                      <a:rPr lang="en-US"/>
                      <a:t>11,4</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F-676E-48A4-BBA2-05940DDE0C08}"/>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'H2'!$B$1:$E$1</c:f>
              <c:strCache>
                <c:ptCount val="4"/>
                <c:pt idx="0">
                  <c:v>Tiền lương tiền công</c:v>
                </c:pt>
                <c:pt idx="1">
                  <c:v>Nông, lâm nghiệp, thủy sản</c:v>
                </c:pt>
                <c:pt idx="2">
                  <c:v>Phi nông, lâm nghiệp, thủy sản</c:v>
                </c:pt>
                <c:pt idx="3">
                  <c:v>Khác</c:v>
                </c:pt>
              </c:strCache>
            </c:strRef>
          </c:cat>
          <c:val>
            <c:numRef>
              <c:f>'H2'!$B$5:$E$5</c:f>
              <c:numCache>
                <c:formatCode>#,#00</c:formatCode>
                <c:ptCount val="4"/>
                <c:pt idx="0">
                  <c:v>48</c:v>
                </c:pt>
                <c:pt idx="1">
                  <c:v>16.5</c:v>
                </c:pt>
                <c:pt idx="2">
                  <c:v>24.2</c:v>
                </c:pt>
                <c:pt idx="3">
                  <c:v>11.4</c:v>
                </c:pt>
              </c:numCache>
            </c:numRef>
          </c:val>
          <c:extLst xmlns:c16r2="http://schemas.microsoft.com/office/drawing/2015/06/chart">
            <c:ext xmlns:c16="http://schemas.microsoft.com/office/drawing/2014/chart" uri="{C3380CC4-5D6E-409C-BE32-E72D297353CC}">
              <c16:uniqueId val="{00000010-676E-48A4-BBA2-05940DDE0C08}"/>
            </c:ext>
          </c:extLst>
        </c:ser>
        <c:ser>
          <c:idx val="4"/>
          <c:order val="4"/>
          <c:tx>
            <c:strRef>
              <c:f>'H2'!$A$6</c:f>
              <c:strCache>
                <c:ptCount val="1"/>
                <c:pt idx="0">
                  <c:v>2018</c:v>
                </c:pt>
              </c:strCache>
            </c:strRef>
          </c:tx>
          <c:spPr>
            <a:pattFill prst="dashUpDiag">
              <a:fgClr>
                <a:schemeClr val="tx1">
                  <a:lumMod val="75000"/>
                  <a:lumOff val="25000"/>
                </a:schemeClr>
              </a:fgClr>
              <a:bgClr>
                <a:schemeClr val="bg1"/>
              </a:bgClr>
            </a:pattFill>
            <a:ln>
              <a:noFill/>
            </a:ln>
            <a:effectLst/>
          </c:spPr>
          <c:dLbls>
            <c:dLbl>
              <c:idx val="0"/>
              <c:tx>
                <c:rich>
                  <a:bodyPr/>
                  <a:lstStyle/>
                  <a:p>
                    <a:r>
                      <a:rPr lang="en-US"/>
                      <a:t>51,1</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1-676E-48A4-BBA2-05940DDE0C08}"/>
                </c:ext>
              </c:extLst>
            </c:dLbl>
            <c:dLbl>
              <c:idx val="1"/>
              <c:tx>
                <c:rich>
                  <a:bodyPr/>
                  <a:lstStyle/>
                  <a:p>
                    <a:r>
                      <a:rPr lang="en-US"/>
                      <a:t>13,3</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2-676E-48A4-BBA2-05940DDE0C08}"/>
                </c:ext>
              </c:extLst>
            </c:dLbl>
            <c:dLbl>
              <c:idx val="2"/>
              <c:tx>
                <c:rich>
                  <a:bodyPr/>
                  <a:lstStyle/>
                  <a:p>
                    <a:r>
                      <a:rPr lang="en-US"/>
                      <a:t>22,9</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3-676E-48A4-BBA2-05940DDE0C08}"/>
                </c:ext>
              </c:extLst>
            </c:dLbl>
            <c:dLbl>
              <c:idx val="3"/>
              <c:tx>
                <c:rich>
                  <a:bodyPr/>
                  <a:lstStyle/>
                  <a:p>
                    <a:r>
                      <a:rPr lang="en-US"/>
                      <a:t>12,8</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4-676E-48A4-BBA2-05940DDE0C08}"/>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'H2'!$B$1:$E$1</c:f>
              <c:strCache>
                <c:ptCount val="4"/>
                <c:pt idx="0">
                  <c:v>Tiền lương tiền công</c:v>
                </c:pt>
                <c:pt idx="1">
                  <c:v>Nông, lâm nghiệp, thủy sản</c:v>
                </c:pt>
                <c:pt idx="2">
                  <c:v>Phi nông, lâm nghiệp, thủy sản</c:v>
                </c:pt>
                <c:pt idx="3">
                  <c:v>Khác</c:v>
                </c:pt>
              </c:strCache>
            </c:strRef>
          </c:cat>
          <c:val>
            <c:numRef>
              <c:f>'H2'!$B$6:$E$6</c:f>
              <c:numCache>
                <c:formatCode>#,#00</c:formatCode>
                <c:ptCount val="4"/>
                <c:pt idx="0">
                  <c:v>51.1</c:v>
                </c:pt>
                <c:pt idx="1">
                  <c:v>13.3</c:v>
                </c:pt>
                <c:pt idx="2">
                  <c:v>22.9</c:v>
                </c:pt>
                <c:pt idx="3">
                  <c:v>12.8</c:v>
                </c:pt>
              </c:numCache>
            </c:numRef>
          </c:val>
          <c:extLst xmlns:c16r2="http://schemas.microsoft.com/office/drawing/2015/06/chart">
            <c:ext xmlns:c16="http://schemas.microsoft.com/office/drawing/2014/chart" uri="{C3380CC4-5D6E-409C-BE32-E72D297353CC}">
              <c16:uniqueId val="{00000015-676E-48A4-BBA2-05940DDE0C08}"/>
            </c:ext>
          </c:extLst>
        </c:ser>
        <c:ser>
          <c:idx val="5"/>
          <c:order val="5"/>
          <c:tx>
            <c:strRef>
              <c:f>'H2'!$A$7</c:f>
              <c:strCache>
                <c:ptCount val="1"/>
                <c:pt idx="0">
                  <c:v>2020</c:v>
                </c:pt>
              </c:strCache>
            </c:strRef>
          </c:tx>
          <c:spPr>
            <a:pattFill prst="pct40">
              <a:fgClr>
                <a:schemeClr val="tx1">
                  <a:lumMod val="75000"/>
                  <a:lumOff val="25000"/>
                </a:schemeClr>
              </a:fgClr>
              <a:bgClr>
                <a:schemeClr val="bg1"/>
              </a:bgClr>
            </a:pattFill>
            <a:ln>
              <a:noFill/>
            </a:ln>
            <a:effectLst/>
          </c:spPr>
          <c:dLbls>
            <c:dLbl>
              <c:idx val="0"/>
              <c:tx>
                <c:rich>
                  <a:bodyPr/>
                  <a:lstStyle/>
                  <a:p>
                    <a:r>
                      <a:rPr lang="en-US"/>
                      <a:t>55,4</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6-676E-48A4-BBA2-05940DDE0C08}"/>
                </c:ext>
              </c:extLst>
            </c:dLbl>
            <c:dLbl>
              <c:idx val="1"/>
              <c:tx>
                <c:rich>
                  <a:bodyPr/>
                  <a:lstStyle/>
                  <a:p>
                    <a:r>
                      <a:rPr lang="en-US"/>
                      <a:t>11,2</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7-676E-48A4-BBA2-05940DDE0C08}"/>
                </c:ext>
              </c:extLst>
            </c:dLbl>
            <c:dLbl>
              <c:idx val="2"/>
              <c:tx>
                <c:rich>
                  <a:bodyPr/>
                  <a:lstStyle/>
                  <a:p>
                    <a:r>
                      <a:rPr lang="en-US"/>
                      <a:t>22,9</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8-676E-48A4-BBA2-05940DDE0C08}"/>
                </c:ext>
              </c:extLst>
            </c:dLbl>
            <c:dLbl>
              <c:idx val="3"/>
              <c:tx>
                <c:rich>
                  <a:bodyPr/>
                  <a:lstStyle/>
                  <a:p>
                    <a:r>
                      <a:rPr lang="en-US"/>
                      <a:t>10,5</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9-676E-48A4-BBA2-05940DDE0C08}"/>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'H2'!$B$1:$E$1</c:f>
              <c:strCache>
                <c:ptCount val="4"/>
                <c:pt idx="0">
                  <c:v>Tiền lương tiền công</c:v>
                </c:pt>
                <c:pt idx="1">
                  <c:v>Nông, lâm nghiệp, thủy sản</c:v>
                </c:pt>
                <c:pt idx="2">
                  <c:v>Phi nông, lâm nghiệp, thủy sản</c:v>
                </c:pt>
                <c:pt idx="3">
                  <c:v>Khác</c:v>
                </c:pt>
              </c:strCache>
            </c:strRef>
          </c:cat>
          <c:val>
            <c:numRef>
              <c:f>'H2'!$B$7:$E$7</c:f>
              <c:numCache>
                <c:formatCode>#,#00</c:formatCode>
                <c:ptCount val="4"/>
                <c:pt idx="0">
                  <c:v>55.4</c:v>
                </c:pt>
                <c:pt idx="1">
                  <c:v>11.176234875815018</c:v>
                </c:pt>
                <c:pt idx="2">
                  <c:v>22.912488947938289</c:v>
                </c:pt>
                <c:pt idx="3">
                  <c:v>10.5</c:v>
                </c:pt>
              </c:numCache>
            </c:numRef>
          </c:val>
          <c:extLst xmlns:c16r2="http://schemas.microsoft.com/office/drawing/2015/06/chart">
            <c:ext xmlns:c16="http://schemas.microsoft.com/office/drawing/2014/chart" uri="{C3380CC4-5D6E-409C-BE32-E72D297353CC}">
              <c16:uniqueId val="{0000001A-676E-48A4-BBA2-05940DDE0C08}"/>
            </c:ext>
          </c:extLst>
        </c:ser>
        <c:dLbls>
          <c:showVal val="1"/>
        </c:dLbls>
        <c:gapWidth val="42"/>
        <c:overlap val="-9"/>
        <c:axId val="26561536"/>
        <c:axId val="83571456"/>
        <c:extLst xmlns:c16r2="http://schemas.microsoft.com/office/drawing/2015/06/chart"/>
      </c:barChart>
      <c:catAx>
        <c:axId val="265615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571456"/>
        <c:crosses val="autoZero"/>
        <c:auto val="1"/>
        <c:lblAlgn val="ctr"/>
        <c:lblOffset val="100"/>
      </c:catAx>
      <c:valAx>
        <c:axId val="83571456"/>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6561536"/>
        <c:crosses val="autoZero"/>
        <c:crossBetween val="between"/>
      </c:valAx>
      <c:spPr>
        <a:noFill/>
        <a:ln w="25400">
          <a:noFill/>
        </a:ln>
        <a:effectLst>
          <a:glow rad="863600">
            <a:schemeClr val="accent1">
              <a:alpha val="40000"/>
            </a:schemeClr>
          </a:glow>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1"/>
          <c:order val="0"/>
          <c:tx>
            <c:strRef>
              <c:f>'[Hinh ve KSMS2020.xlsx]H3'!$A$3</c:f>
              <c:strCache>
                <c:ptCount val="1"/>
                <c:pt idx="0">
                  <c:v>Cả nước</c:v>
                </c:pt>
              </c:strCache>
            </c:strRef>
          </c:tx>
          <c:spPr>
            <a:pattFill prst="horzBrick">
              <a:fgClr>
                <a:schemeClr val="tx1">
                  <a:lumMod val="75000"/>
                  <a:lumOff val="25000"/>
                </a:schemeClr>
              </a:fgClr>
              <a:bgClr>
                <a:schemeClr val="bg1"/>
              </a:bgClr>
            </a:pattFill>
            <a:ln>
              <a:noFill/>
            </a:ln>
            <a:effectLst/>
          </c:spPr>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'[Hinh ve KSMS2020.xlsx]H3'!$B$1:$G$1</c:f>
              <c:numCache>
                <c:formatCode>General</c:formatCode>
                <c:ptCount val="6"/>
                <c:pt idx="0" formatCode="0">
                  <c:v>2010</c:v>
                </c:pt>
                <c:pt idx="1">
                  <c:v>2012</c:v>
                </c:pt>
                <c:pt idx="2">
                  <c:v>2014</c:v>
                </c:pt>
                <c:pt idx="3">
                  <c:v>2016</c:v>
                </c:pt>
                <c:pt idx="4">
                  <c:v>2018</c:v>
                </c:pt>
                <c:pt idx="5">
                  <c:v>2020</c:v>
                </c:pt>
              </c:numCache>
            </c:numRef>
          </c:cat>
          <c:val>
            <c:numRef>
              <c:f>'[Hinh ve KSMS2020.xlsx]H3'!$B$3:$G$3</c:f>
              <c:numCache>
                <c:formatCode>General</c:formatCode>
                <c:ptCount val="6"/>
                <c:pt idx="0">
                  <c:v>1211</c:v>
                </c:pt>
                <c:pt idx="1">
                  <c:v>1603</c:v>
                </c:pt>
                <c:pt idx="2" formatCode="0">
                  <c:v>1887.72</c:v>
                </c:pt>
                <c:pt idx="3" formatCode="0">
                  <c:v>2156.8100000000004</c:v>
                </c:pt>
                <c:pt idx="4" formatCode="0">
                  <c:v>2545.8000000000002</c:v>
                </c:pt>
                <c:pt idx="5" formatCode="0">
                  <c:v>2891.5239999999999</c:v>
                </c:pt>
              </c:numCache>
            </c:numRef>
          </c:val>
          <c:extLst xmlns:c16r2="http://schemas.microsoft.com/office/drawing/2015/06/chart">
            <c:ext xmlns:c16="http://schemas.microsoft.com/office/drawing/2014/chart" uri="{C3380CC4-5D6E-409C-BE32-E72D297353CC}">
              <c16:uniqueId val="{00000000-C0C7-42EB-85A8-74CD06EDFD67}"/>
            </c:ext>
          </c:extLst>
        </c:ser>
        <c:ser>
          <c:idx val="2"/>
          <c:order val="1"/>
          <c:tx>
            <c:strRef>
              <c:f>'[Hinh ve KSMS2020.xlsx]H3'!$A$4</c:f>
              <c:strCache>
                <c:ptCount val="1"/>
                <c:pt idx="0">
                  <c:v>Thành thị</c:v>
                </c:pt>
              </c:strCache>
            </c:strRef>
          </c:tx>
          <c:spPr>
            <a:pattFill prst="ltHorz">
              <a:fgClr>
                <a:schemeClr val="tx1">
                  <a:lumMod val="75000"/>
                  <a:lumOff val="25000"/>
                </a:schemeClr>
              </a:fgClr>
              <a:bgClr>
                <a:schemeClr val="bg1"/>
              </a:bgClr>
            </a:pattFill>
            <a:ln>
              <a:noFill/>
            </a:ln>
            <a:effectLst/>
          </c:spPr>
          <c:dLbls>
            <c:dLbl>
              <c:idx val="5"/>
              <c:layout>
                <c:manualLayout>
                  <c:x val="-1.7460115759570293E-16"/>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AAA-4999-A653-E9520ACA1D13}"/>
                </c:ext>
              </c:extLst>
            </c:dLbl>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'[Hinh ve KSMS2020.xlsx]H3'!$B$1:$G$1</c:f>
              <c:numCache>
                <c:formatCode>General</c:formatCode>
                <c:ptCount val="6"/>
                <c:pt idx="0" formatCode="0">
                  <c:v>2010</c:v>
                </c:pt>
                <c:pt idx="1">
                  <c:v>2012</c:v>
                </c:pt>
                <c:pt idx="2">
                  <c:v>2014</c:v>
                </c:pt>
                <c:pt idx="3">
                  <c:v>2016</c:v>
                </c:pt>
                <c:pt idx="4">
                  <c:v>2018</c:v>
                </c:pt>
                <c:pt idx="5">
                  <c:v>2020</c:v>
                </c:pt>
              </c:numCache>
            </c:numRef>
          </c:cat>
          <c:val>
            <c:numRef>
              <c:f>'[Hinh ve KSMS2020.xlsx]H3'!$B$4:$G$4</c:f>
              <c:numCache>
                <c:formatCode>General</c:formatCode>
                <c:ptCount val="6"/>
                <c:pt idx="0">
                  <c:v>1828</c:v>
                </c:pt>
                <c:pt idx="1">
                  <c:v>2288</c:v>
                </c:pt>
                <c:pt idx="2" formatCode="0">
                  <c:v>2613.11</c:v>
                </c:pt>
                <c:pt idx="3" formatCode="0">
                  <c:v>3058.77</c:v>
                </c:pt>
                <c:pt idx="4" formatCode="0">
                  <c:v>3496.4</c:v>
                </c:pt>
                <c:pt idx="5" formatCode="0">
                  <c:v>3775.5720000000001</c:v>
                </c:pt>
              </c:numCache>
            </c:numRef>
          </c:val>
          <c:extLst xmlns:c16r2="http://schemas.microsoft.com/office/drawing/2015/06/chart">
            <c:ext xmlns:c16="http://schemas.microsoft.com/office/drawing/2014/chart" uri="{C3380CC4-5D6E-409C-BE32-E72D297353CC}">
              <c16:uniqueId val="{00000001-C0C7-42EB-85A8-74CD06EDFD67}"/>
            </c:ext>
          </c:extLst>
        </c:ser>
        <c:ser>
          <c:idx val="3"/>
          <c:order val="2"/>
          <c:tx>
            <c:strRef>
              <c:f>'[Hinh ve KSMS2020.xlsx]H3'!$A$5</c:f>
              <c:strCache>
                <c:ptCount val="1"/>
                <c:pt idx="0">
                  <c:v>Nông thôn</c:v>
                </c:pt>
              </c:strCache>
            </c:strRef>
          </c:tx>
          <c:spPr>
            <a:pattFill prst="diagBrick">
              <a:fgClr>
                <a:schemeClr val="tx1">
                  <a:lumMod val="75000"/>
                  <a:lumOff val="25000"/>
                </a:schemeClr>
              </a:fgClr>
              <a:bgClr>
                <a:schemeClr val="bg1"/>
              </a:bgClr>
            </a:pattFill>
            <a:ln>
              <a:noFill/>
            </a:ln>
            <a:effectLst/>
          </c:spPr>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'[Hinh ve KSMS2020.xlsx]H3'!$B$1:$G$1</c:f>
              <c:numCache>
                <c:formatCode>General</c:formatCode>
                <c:ptCount val="6"/>
                <c:pt idx="0" formatCode="0">
                  <c:v>2010</c:v>
                </c:pt>
                <c:pt idx="1">
                  <c:v>2012</c:v>
                </c:pt>
                <c:pt idx="2">
                  <c:v>2014</c:v>
                </c:pt>
                <c:pt idx="3">
                  <c:v>2016</c:v>
                </c:pt>
                <c:pt idx="4">
                  <c:v>2018</c:v>
                </c:pt>
                <c:pt idx="5">
                  <c:v>2020</c:v>
                </c:pt>
              </c:numCache>
            </c:numRef>
          </c:cat>
          <c:val>
            <c:numRef>
              <c:f>'[Hinh ve KSMS2020.xlsx]H3'!$B$5:$G$5</c:f>
              <c:numCache>
                <c:formatCode>General</c:formatCode>
                <c:ptCount val="6"/>
                <c:pt idx="0">
                  <c:v>950</c:v>
                </c:pt>
                <c:pt idx="1">
                  <c:v>1315</c:v>
                </c:pt>
                <c:pt idx="2" formatCode="0">
                  <c:v>1557.06</c:v>
                </c:pt>
                <c:pt idx="3" formatCode="0">
                  <c:v>1734.93</c:v>
                </c:pt>
                <c:pt idx="4" formatCode="0">
                  <c:v>2069.1999999999998</c:v>
                </c:pt>
                <c:pt idx="5" formatCode="0">
                  <c:v>2385.8760000000002</c:v>
                </c:pt>
              </c:numCache>
            </c:numRef>
          </c:val>
          <c:extLst xmlns:c16r2="http://schemas.microsoft.com/office/drawing/2015/06/chart">
            <c:ext xmlns:c16="http://schemas.microsoft.com/office/drawing/2014/chart" uri="{C3380CC4-5D6E-409C-BE32-E72D297353CC}">
              <c16:uniqueId val="{00000002-C0C7-42EB-85A8-74CD06EDFD67}"/>
            </c:ext>
          </c:extLst>
        </c:ser>
        <c:dLbls/>
        <c:gapWidth val="76"/>
        <c:overlap val="-39"/>
        <c:axId val="83636992"/>
        <c:axId val="8363852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'[Hinh ve KSMS2020.xlsx]H3'!$A$2</c15:sqref>
                        </c15:formulaRef>
                      </c:ext>
                    </c:extLst>
                    <c:strCache>
                      <c:ptCount val="1"/>
                    </c:strCache>
                  </c:strRef>
                </c:tx>
                <c:spPr>
                  <a:solidFill>
                    <a:schemeClr val="accent1"/>
                  </a:solidFill>
                  <a:ln>
                    <a:noFill/>
                  </a:ln>
                  <a:effectLst/>
                </c:spPr>
                <c:invertIfNegative val="0"/>
                <c:cat>
                  <c:numRef>
                    <c:extLst>
                      <c:ext uri="{02D57815-91ED-43cb-92C2-25804820EDAC}">
                        <c15:formulaRef>
                          <c15:sqref>'[Hinh ve KSMS2020.xlsx]H3'!$B$1:$G$1</c15:sqref>
                        </c15:formulaRef>
                      </c:ext>
                    </c:extLst>
                    <c:numCache>
                      <c:formatCode>General</c:formatCode>
                      <c:ptCount val="6"/>
                      <c:pt idx="0" formatCode="0">
                        <c:v>2010</c:v>
                      </c:pt>
                      <c:pt idx="1">
                        <c:v>2012</c:v>
                      </c:pt>
                      <c:pt idx="2">
                        <c:v>2014</c:v>
                      </c:pt>
                      <c:pt idx="3">
                        <c:v>2016</c:v>
                      </c:pt>
                      <c:pt idx="4">
                        <c:v>2018</c:v>
                      </c:pt>
                      <c:pt idx="5">
                        <c:v>2020</c:v>
                      </c:pt>
                    </c:numCache>
                  </c:numRef>
                </c:cat>
                <c:val>
                  <c:numRef>
                    <c:extLst>
                      <c:ext uri="{02D57815-91ED-43cb-92C2-25804820EDAC}">
                        <c15:formulaRef>
                          <c15:sqref>'[Hinh ve KSMS2020.xlsx]H3'!$B$2:$G$2</c15:sqref>
                        </c15:formulaRef>
                      </c:ext>
                    </c:extLst>
                    <c:numCache>
                      <c:formatCode>General</c:formatCode>
                      <c:ptCount val="6"/>
                    </c:numCache>
                  </c:numRef>
                </c:val>
                <c:extLst>
                  <c:ext xmlns:c16="http://schemas.microsoft.com/office/drawing/2014/chart" uri="{C3380CC4-5D6E-409C-BE32-E72D297353CC}">
                    <c16:uniqueId val="{00000003-C0C7-42EB-85A8-74CD06EDFD67}"/>
                  </c:ext>
                </c:extLst>
              </c15:ser>
            </c15:filteredBarSeries>
          </c:ext>
        </c:extLst>
      </c:barChart>
      <c:catAx>
        <c:axId val="83636992"/>
        <c:scaling>
          <c:orientation val="minMax"/>
        </c:scaling>
        <c:axPos val="b"/>
        <c:numFmt formatCode="0"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638528"/>
        <c:crosses val="autoZero"/>
        <c:auto val="1"/>
        <c:lblAlgn val="ctr"/>
        <c:lblOffset val="100"/>
      </c:catAx>
      <c:valAx>
        <c:axId val="836385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6369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spPr>
            <a:pattFill prst="horzBrick">
              <a:fgClr>
                <a:schemeClr val="tx1"/>
              </a:fgClr>
              <a:bgClr>
                <a:schemeClr val="bg1"/>
              </a:bgClr>
            </a:pattFill>
            <a:ln>
              <a:solidFill>
                <a:schemeClr val="tx1"/>
              </a:solidFill>
            </a:ln>
            <a:effectLst/>
          </c:spPr>
          <c:dLbls>
            <c:dLbl>
              <c:idx val="0"/>
              <c:tx>
                <c:rich>
                  <a:bodyPr/>
                  <a:lstStyle/>
                  <a:p>
                    <a:r>
                      <a:rPr lang="en-US"/>
                      <a:t>3,9</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26A3-4C5E-97AE-E86B2FAAA6DA}"/>
                </c:ext>
              </c:extLst>
            </c:dLbl>
            <c:dLbl>
              <c:idx val="1"/>
              <c:tx>
                <c:rich>
                  <a:bodyPr/>
                  <a:lstStyle/>
                  <a:p>
                    <a:r>
                      <a:rPr lang="en-US"/>
                      <a:t>3,9</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26A3-4C5E-97AE-E86B2FAAA6DA}"/>
                </c:ext>
              </c:extLst>
            </c:dLbl>
            <c:dLbl>
              <c:idx val="2"/>
              <c:tx>
                <c:rich>
                  <a:bodyPr/>
                  <a:lstStyle/>
                  <a:p>
                    <a:r>
                      <a:rPr lang="en-US"/>
                      <a:t>3,8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26A3-4C5E-97AE-E86B2FAAA6DA}"/>
                </c:ext>
              </c:extLst>
            </c:dLbl>
            <c:dLbl>
              <c:idx val="3"/>
              <c:tx>
                <c:rich>
                  <a:bodyPr/>
                  <a:lstStyle/>
                  <a:p>
                    <a:r>
                      <a:rPr lang="en-US"/>
                      <a:t>3,6</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26A3-4C5E-97AE-E86B2FAAA6DA}"/>
                </c:ext>
              </c:extLst>
            </c:dLbl>
            <c:dLbl>
              <c:idx val="4"/>
              <c:tx>
                <c:rich>
                  <a:bodyPr/>
                  <a:lstStyle/>
                  <a:p>
                    <a:r>
                      <a:rPr lang="en-US"/>
                      <a:t>3,1</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26A3-4C5E-97AE-E86B2FAAA6D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'quy mô hộ'!$A$1:$A$5</c:f>
              <c:strCache>
                <c:ptCount val="5"/>
                <c:pt idx="0">
                  <c:v>Nhóm 1</c:v>
                </c:pt>
                <c:pt idx="1">
                  <c:v>Nhóm 2</c:v>
                </c:pt>
                <c:pt idx="2">
                  <c:v>Nhóm 3</c:v>
                </c:pt>
                <c:pt idx="3">
                  <c:v>Nhóm 4</c:v>
                </c:pt>
                <c:pt idx="4">
                  <c:v>Nhóm 5</c:v>
                </c:pt>
              </c:strCache>
            </c:strRef>
          </c:cat>
          <c:val>
            <c:numRef>
              <c:f>'quy mô hộ'!$B$1:$B$5</c:f>
              <c:numCache>
                <c:formatCode>General</c:formatCode>
                <c:ptCount val="5"/>
                <c:pt idx="0">
                  <c:v>3.8499999999999996</c:v>
                </c:pt>
                <c:pt idx="1">
                  <c:v>3.88</c:v>
                </c:pt>
                <c:pt idx="2">
                  <c:v>3.82</c:v>
                </c:pt>
                <c:pt idx="3">
                  <c:v>3.63</c:v>
                </c:pt>
                <c:pt idx="4">
                  <c:v>3.11</c:v>
                </c:pt>
              </c:numCache>
            </c:numRef>
          </c:val>
          <c:extLst xmlns:c16r2="http://schemas.microsoft.com/office/drawing/2015/06/chart">
            <c:ext xmlns:c16="http://schemas.microsoft.com/office/drawing/2014/chart" uri="{C3380CC4-5D6E-409C-BE32-E72D297353CC}">
              <c16:uniqueId val="{00000005-26A3-4C5E-97AE-E86B2FAAA6DA}"/>
            </c:ext>
          </c:extLst>
        </c:ser>
        <c:dLbls/>
        <c:gapWidth val="161"/>
        <c:overlap val="67"/>
        <c:axId val="83669376"/>
        <c:axId val="83670912"/>
      </c:barChart>
      <c:catAx>
        <c:axId val="836693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670912"/>
        <c:crosses val="autoZero"/>
        <c:auto val="1"/>
        <c:lblAlgn val="ctr"/>
        <c:lblOffset val="100"/>
      </c:catAx>
      <c:valAx>
        <c:axId val="8367091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0"/>
        <c:majorTickMark val="none"/>
        <c:tickLblPos val="none"/>
        <c:crossAx val="83669376"/>
        <c:crosses val="autoZero"/>
        <c:crossBetween val="between"/>
      </c:valAx>
      <c:spPr>
        <a:noFill/>
        <a:ln>
          <a:solidFill>
            <a:schemeClr val="bg2"/>
          </a:solidFill>
        </a:ln>
        <a:effectLst/>
      </c:spPr>
    </c:plotArea>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spPr>
            <a:pattFill prst="horzBrick">
              <a:fgClr>
                <a:schemeClr val="tx1"/>
              </a:fgClr>
              <a:bgClr>
                <a:schemeClr val="bg1"/>
              </a:bgClr>
            </a:pattFill>
            <a:ln>
              <a:solidFill>
                <a:schemeClr val="tx1"/>
              </a:solidFill>
            </a:ln>
            <a:effectLst/>
          </c:spPr>
          <c:dLbls>
            <c:dLbl>
              <c:idx val="0"/>
              <c:tx>
                <c:rich>
                  <a:bodyPr/>
                  <a:lstStyle/>
                  <a:p>
                    <a:r>
                      <a:rPr lang="en-US"/>
                      <a:t>0,96</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95B-4635-BD2B-705B80E65616}"/>
                </c:ext>
              </c:extLst>
            </c:dLbl>
            <c:dLbl>
              <c:idx val="1"/>
              <c:tx>
                <c:rich>
                  <a:bodyPr/>
                  <a:lstStyle/>
                  <a:p>
                    <a:r>
                      <a:rPr lang="en-US"/>
                      <a:t>0,82</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95B-4635-BD2B-705B80E65616}"/>
                </c:ext>
              </c:extLst>
            </c:dLbl>
            <c:dLbl>
              <c:idx val="2"/>
              <c:tx>
                <c:rich>
                  <a:bodyPr/>
                  <a:lstStyle/>
                  <a:p>
                    <a:r>
                      <a:rPr lang="en-US"/>
                      <a:t>0,72</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495B-4635-BD2B-705B80E65616}"/>
                </c:ext>
              </c:extLst>
            </c:dLbl>
            <c:dLbl>
              <c:idx val="3"/>
              <c:tx>
                <c:rich>
                  <a:bodyPr/>
                  <a:lstStyle/>
                  <a:p>
                    <a:r>
                      <a:rPr lang="en-US"/>
                      <a:t>0,60</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495B-4635-BD2B-705B80E65616}"/>
                </c:ext>
              </c:extLst>
            </c:dLbl>
            <c:dLbl>
              <c:idx val="4"/>
              <c:tx>
                <c:rich>
                  <a:bodyPr/>
                  <a:lstStyle/>
                  <a:p>
                    <a:r>
                      <a:rPr lang="en-US"/>
                      <a:t>0,46</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495B-4635-BD2B-705B80E65616}"/>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'tỷ lệ phụ thuộc'!$A$1:$A$5</c:f>
              <c:strCache>
                <c:ptCount val="5"/>
                <c:pt idx="0">
                  <c:v>Nhóm 1</c:v>
                </c:pt>
                <c:pt idx="1">
                  <c:v>Nhóm 2</c:v>
                </c:pt>
                <c:pt idx="2">
                  <c:v>Nhóm 3</c:v>
                </c:pt>
                <c:pt idx="3">
                  <c:v>Nhóm 4</c:v>
                </c:pt>
                <c:pt idx="4">
                  <c:v>Nhóm 5</c:v>
                </c:pt>
              </c:strCache>
            </c:strRef>
          </c:cat>
          <c:val>
            <c:numRef>
              <c:f>'tỷ lệ phụ thuộc'!$B$1:$B$5</c:f>
              <c:numCache>
                <c:formatCode>0.00</c:formatCode>
                <c:ptCount val="5"/>
                <c:pt idx="0">
                  <c:v>0.95918367346938782</c:v>
                </c:pt>
                <c:pt idx="1">
                  <c:v>0.81775700934579443</c:v>
                </c:pt>
                <c:pt idx="2">
                  <c:v>0.71945701357466063</c:v>
                </c:pt>
                <c:pt idx="3">
                  <c:v>0.59911894273127742</c:v>
                </c:pt>
                <c:pt idx="4">
                  <c:v>0.4647887323943663</c:v>
                </c:pt>
              </c:numCache>
            </c:numRef>
          </c:val>
          <c:extLst xmlns:c16r2="http://schemas.microsoft.com/office/drawing/2015/06/chart">
            <c:ext xmlns:c16="http://schemas.microsoft.com/office/drawing/2014/chart" uri="{C3380CC4-5D6E-409C-BE32-E72D297353CC}">
              <c16:uniqueId val="{00000005-495B-4635-BD2B-705B80E65616}"/>
            </c:ext>
          </c:extLst>
        </c:ser>
        <c:dLbls>
          <c:showVal val="1"/>
        </c:dLbls>
        <c:gapWidth val="161"/>
        <c:overlap val="67"/>
        <c:axId val="83766656"/>
        <c:axId val="83776640"/>
      </c:barChart>
      <c:catAx>
        <c:axId val="837666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776640"/>
        <c:crosses val="autoZero"/>
        <c:auto val="1"/>
        <c:lblAlgn val="ctr"/>
        <c:lblOffset val="100"/>
      </c:catAx>
      <c:valAx>
        <c:axId val="8377664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0"/>
        <c:majorTickMark val="none"/>
        <c:tickLblPos val="none"/>
        <c:crossAx val="83766656"/>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8.7631886749225257E-2"/>
          <c:y val="6.3001145475372264E-2"/>
          <c:w val="0.88174024188783451"/>
          <c:h val="0.80413363278043859"/>
        </c:manualLayout>
      </c:layout>
      <c:barChart>
        <c:barDir val="col"/>
        <c:grouping val="clustered"/>
        <c:ser>
          <c:idx val="0"/>
          <c:order val="0"/>
          <c:spPr>
            <a:pattFill prst="horzBrick">
              <a:fgClr>
                <a:schemeClr val="tx1"/>
              </a:fgClr>
              <a:bgClr>
                <a:schemeClr val="bg1"/>
              </a:bgClr>
            </a:pattFill>
            <a:ln>
              <a:noFill/>
            </a:ln>
            <a:effectLst/>
          </c:spP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chigd!$A$1:$A$8</c:f>
              <c:numCache>
                <c:formatCode>General</c:formatCode>
                <c:ptCount val="8"/>
                <c:pt idx="0">
                  <c:v>2006</c:v>
                </c:pt>
                <c:pt idx="1">
                  <c:v>2008</c:v>
                </c:pt>
                <c:pt idx="2">
                  <c:v>2010</c:v>
                </c:pt>
                <c:pt idx="3">
                  <c:v>2012</c:v>
                </c:pt>
                <c:pt idx="4">
                  <c:v>2014</c:v>
                </c:pt>
                <c:pt idx="5">
                  <c:v>2016</c:v>
                </c:pt>
                <c:pt idx="6">
                  <c:v>2018</c:v>
                </c:pt>
                <c:pt idx="7">
                  <c:v>2020</c:v>
                </c:pt>
              </c:numCache>
            </c:numRef>
          </c:cat>
          <c:val>
            <c:numRef>
              <c:f>chigd!$B$1:$B$8</c:f>
              <c:numCache>
                <c:formatCode>#,##0</c:formatCode>
                <c:ptCount val="8"/>
                <c:pt idx="0">
                  <c:v>1211</c:v>
                </c:pt>
                <c:pt idx="1">
                  <c:v>1844</c:v>
                </c:pt>
                <c:pt idx="2">
                  <c:v>3028</c:v>
                </c:pt>
                <c:pt idx="3">
                  <c:v>4082</c:v>
                </c:pt>
                <c:pt idx="4">
                  <c:v>4557</c:v>
                </c:pt>
                <c:pt idx="5">
                  <c:v>5459</c:v>
                </c:pt>
                <c:pt idx="6">
                  <c:v>6623</c:v>
                </c:pt>
                <c:pt idx="7">
                  <c:v>7075</c:v>
                </c:pt>
              </c:numCache>
            </c:numRef>
          </c:val>
          <c:extLst xmlns:c16r2="http://schemas.microsoft.com/office/drawing/2015/06/chart">
            <c:ext xmlns:c16="http://schemas.microsoft.com/office/drawing/2014/chart" uri="{C3380CC4-5D6E-409C-BE32-E72D297353CC}">
              <c16:uniqueId val="{00000000-D77F-41A7-8416-46A899B8977B}"/>
            </c:ext>
          </c:extLst>
        </c:ser>
        <c:dLbls/>
        <c:gapWidth val="224"/>
        <c:overlap val="-13"/>
        <c:axId val="83809024"/>
        <c:axId val="83810560"/>
      </c:barChart>
      <c:catAx>
        <c:axId val="838090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10560"/>
        <c:crosses val="autoZero"/>
        <c:auto val="1"/>
        <c:lblAlgn val="ctr"/>
        <c:lblOffset val="100"/>
      </c:catAx>
      <c:valAx>
        <c:axId val="83810560"/>
        <c:scaling>
          <c:orientation val="minMax"/>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09024"/>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8.4586357039187224E-2"/>
          <c:y val="0.16589821009215955"/>
          <c:w val="0.88995103297649969"/>
          <c:h val="0.54226290752298734"/>
        </c:manualLayout>
      </c:layout>
      <c:barChart>
        <c:barDir val="col"/>
        <c:grouping val="clustered"/>
        <c:ser>
          <c:idx val="1"/>
          <c:order val="0"/>
          <c:tx>
            <c:strRef>
              <c:f>'H4'!$A$3</c:f>
              <c:strCache>
                <c:ptCount val="1"/>
                <c:pt idx="0">
                  <c:v>Nguồn nước hợp vệ sinh</c:v>
                </c:pt>
              </c:strCache>
            </c:strRef>
          </c:tx>
          <c:spPr>
            <a:pattFill prst="horzBrick">
              <a:fgClr>
                <a:schemeClr val="tx1">
                  <a:lumMod val="75000"/>
                  <a:lumOff val="25000"/>
                </a:schemeClr>
              </a:fgClr>
              <a:bgClr>
                <a:schemeClr val="bg1"/>
              </a:bgClr>
            </a:pattFill>
            <a:ln>
              <a:noFill/>
            </a:ln>
            <a:effectLst/>
          </c:spPr>
          <c:dLbls>
            <c:dLbl>
              <c:idx val="0"/>
              <c:tx>
                <c:rich>
                  <a:bodyPr/>
                  <a:lstStyle/>
                  <a:p>
                    <a:r>
                      <a:rPr lang="en-US"/>
                      <a:t>90,5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3E46-4E6A-83DC-87ED4A653360}"/>
                </c:ext>
              </c:extLst>
            </c:dLbl>
            <c:dLbl>
              <c:idx val="1"/>
              <c:tx>
                <c:rich>
                  <a:bodyPr/>
                  <a:lstStyle/>
                  <a:p>
                    <a:r>
                      <a:rPr lang="en-US"/>
                      <a:t>91,0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3E46-4E6A-83DC-87ED4A653360}"/>
                </c:ext>
              </c:extLst>
            </c:dLbl>
            <c:dLbl>
              <c:idx val="2"/>
              <c:tx>
                <c:rich>
                  <a:bodyPr/>
                  <a:lstStyle/>
                  <a:p>
                    <a:r>
                      <a:rPr lang="en-US"/>
                      <a:t>93,0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3E46-4E6A-83DC-87ED4A653360}"/>
                </c:ext>
              </c:extLst>
            </c:dLbl>
            <c:dLbl>
              <c:idx val="3"/>
              <c:tx>
                <c:rich>
                  <a:bodyPr/>
                  <a:lstStyle/>
                  <a:p>
                    <a:r>
                      <a:rPr lang="en-US"/>
                      <a:t>93,4</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3E46-4E6A-83DC-87ED4A653360}"/>
                </c:ext>
              </c:extLst>
            </c:dLbl>
            <c:dLbl>
              <c:idx val="4"/>
              <c:tx>
                <c:rich>
                  <a:bodyPr/>
                  <a:lstStyle/>
                  <a:p>
                    <a:r>
                      <a:rPr lang="en-US"/>
                      <a:t>95,7</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3E46-4E6A-83DC-87ED4A653360}"/>
                </c:ext>
              </c:extLst>
            </c:dLbl>
            <c:dLbl>
              <c:idx val="5"/>
              <c:tx>
                <c:rich>
                  <a:bodyPr/>
                  <a:lstStyle/>
                  <a:p>
                    <a:r>
                      <a:rPr lang="en-US"/>
                      <a:t>97,4</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3E46-4E6A-83DC-87ED4A653360}"/>
                </c:ext>
              </c:extLst>
            </c:dLbl>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'H4'!$B$1:$G$1</c:f>
              <c:numCache>
                <c:formatCode>General</c:formatCode>
                <c:ptCount val="6"/>
                <c:pt idx="0" formatCode="0">
                  <c:v>2010</c:v>
                </c:pt>
                <c:pt idx="1">
                  <c:v>2012</c:v>
                </c:pt>
                <c:pt idx="2">
                  <c:v>2014</c:v>
                </c:pt>
                <c:pt idx="3">
                  <c:v>2016</c:v>
                </c:pt>
                <c:pt idx="4">
                  <c:v>2018</c:v>
                </c:pt>
                <c:pt idx="5">
                  <c:v>2020</c:v>
                </c:pt>
              </c:numCache>
            </c:numRef>
          </c:cat>
          <c:val>
            <c:numRef>
              <c:f>'H4'!$B$3:$G$3</c:f>
              <c:numCache>
                <c:formatCode>0.0</c:formatCode>
                <c:ptCount val="6"/>
                <c:pt idx="0">
                  <c:v>90.5</c:v>
                </c:pt>
                <c:pt idx="1">
                  <c:v>91</c:v>
                </c:pt>
                <c:pt idx="2">
                  <c:v>93</c:v>
                </c:pt>
                <c:pt idx="3">
                  <c:v>93.410000000000025</c:v>
                </c:pt>
                <c:pt idx="4">
                  <c:v>95.7</c:v>
                </c:pt>
                <c:pt idx="5">
                  <c:v>97.4</c:v>
                </c:pt>
              </c:numCache>
            </c:numRef>
          </c:val>
          <c:extLst xmlns:c16r2="http://schemas.microsoft.com/office/drawing/2015/06/chart">
            <c:ext xmlns:c16="http://schemas.microsoft.com/office/drawing/2014/chart" uri="{C3380CC4-5D6E-409C-BE32-E72D297353CC}">
              <c16:uniqueId val="{00000000-3A1E-42B1-BBF1-CCA8A1042158}"/>
            </c:ext>
          </c:extLst>
        </c:ser>
        <c:ser>
          <c:idx val="2"/>
          <c:order val="1"/>
          <c:tx>
            <c:strRef>
              <c:f>'H4'!$A$4</c:f>
              <c:strCache>
                <c:ptCount val="1"/>
                <c:pt idx="0">
                  <c:v>Hố xí hợp vệ sinh</c:v>
                </c:pt>
              </c:strCache>
            </c:strRef>
          </c:tx>
          <c:spPr>
            <a:pattFill prst="ltHorz">
              <a:fgClr>
                <a:schemeClr val="tx1">
                  <a:lumMod val="75000"/>
                  <a:lumOff val="25000"/>
                </a:schemeClr>
              </a:fgClr>
              <a:bgClr>
                <a:schemeClr val="bg1"/>
              </a:bgClr>
            </a:pattFill>
            <a:ln>
              <a:noFill/>
            </a:ln>
            <a:effectLst/>
          </c:spPr>
          <c:dLbls>
            <c:dLbl>
              <c:idx val="0"/>
              <c:tx>
                <c:rich>
                  <a:bodyPr/>
                  <a:lstStyle/>
                  <a:p>
                    <a:r>
                      <a:rPr lang="en-US"/>
                      <a:t>75,7</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3E46-4E6A-83DC-87ED4A653360}"/>
                </c:ext>
              </c:extLst>
            </c:dLbl>
            <c:dLbl>
              <c:idx val="1"/>
              <c:tx>
                <c:rich>
                  <a:bodyPr/>
                  <a:lstStyle/>
                  <a:p>
                    <a:r>
                      <a:rPr lang="en-US"/>
                      <a:t>77,4</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3E46-4E6A-83DC-87ED4A653360}"/>
                </c:ext>
              </c:extLst>
            </c:dLbl>
            <c:dLbl>
              <c:idx val="2"/>
              <c:tx>
                <c:rich>
                  <a:bodyPr/>
                  <a:lstStyle/>
                  <a:p>
                    <a:r>
                      <a:rPr lang="en-US"/>
                      <a:t>80,1</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3E46-4E6A-83DC-87ED4A653360}"/>
                </c:ext>
              </c:extLst>
            </c:dLbl>
            <c:dLbl>
              <c:idx val="3"/>
              <c:tx>
                <c:rich>
                  <a:bodyPr/>
                  <a:lstStyle/>
                  <a:p>
                    <a:r>
                      <a:rPr lang="en-US"/>
                      <a:t>83,3</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3E46-4E6A-83DC-87ED4A653360}"/>
                </c:ext>
              </c:extLst>
            </c:dLbl>
            <c:dLbl>
              <c:idx val="4"/>
              <c:tx>
                <c:rich>
                  <a:bodyPr/>
                  <a:lstStyle/>
                  <a:p>
                    <a:r>
                      <a:rPr lang="en-US"/>
                      <a:t>90,3</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3E46-4E6A-83DC-87ED4A653360}"/>
                </c:ext>
              </c:extLst>
            </c:dLbl>
            <c:dLbl>
              <c:idx val="5"/>
              <c:tx>
                <c:rich>
                  <a:bodyPr/>
                  <a:lstStyle/>
                  <a:p>
                    <a:r>
                      <a:rPr lang="en-US"/>
                      <a:t>94,0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3E46-4E6A-83DC-87ED4A653360}"/>
                </c:ext>
              </c:extLst>
            </c:dLbl>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'H4'!$B$1:$G$1</c:f>
              <c:numCache>
                <c:formatCode>General</c:formatCode>
                <c:ptCount val="6"/>
                <c:pt idx="0" formatCode="0">
                  <c:v>2010</c:v>
                </c:pt>
                <c:pt idx="1">
                  <c:v>2012</c:v>
                </c:pt>
                <c:pt idx="2">
                  <c:v>2014</c:v>
                </c:pt>
                <c:pt idx="3">
                  <c:v>2016</c:v>
                </c:pt>
                <c:pt idx="4">
                  <c:v>2018</c:v>
                </c:pt>
                <c:pt idx="5">
                  <c:v>2020</c:v>
                </c:pt>
              </c:numCache>
            </c:numRef>
          </c:cat>
          <c:val>
            <c:numRef>
              <c:f>'H4'!$B$4:$G$4</c:f>
              <c:numCache>
                <c:formatCode>0.0</c:formatCode>
                <c:ptCount val="6"/>
                <c:pt idx="0">
                  <c:v>75.7</c:v>
                </c:pt>
                <c:pt idx="1">
                  <c:v>77.400000000000006</c:v>
                </c:pt>
                <c:pt idx="2">
                  <c:v>80.11</c:v>
                </c:pt>
                <c:pt idx="3">
                  <c:v>83.289999999999992</c:v>
                </c:pt>
                <c:pt idx="4">
                  <c:v>90.3</c:v>
                </c:pt>
                <c:pt idx="5">
                  <c:v>94</c:v>
                </c:pt>
              </c:numCache>
            </c:numRef>
          </c:val>
          <c:extLst xmlns:c16r2="http://schemas.microsoft.com/office/drawing/2015/06/chart">
            <c:ext xmlns:c16="http://schemas.microsoft.com/office/drawing/2014/chart" uri="{C3380CC4-5D6E-409C-BE32-E72D297353CC}">
              <c16:uniqueId val="{00000001-3A1E-42B1-BBF1-CCA8A1042158}"/>
            </c:ext>
          </c:extLst>
        </c:ser>
        <c:dLbls/>
        <c:gapWidth val="76"/>
        <c:overlap val="-39"/>
        <c:axId val="85054208"/>
        <c:axId val="85055744"/>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'H4'!$A$2</c15:sqref>
                        </c15:formulaRef>
                      </c:ext>
                    </c:extLst>
                    <c:strCache>
                      <c:ptCount val="1"/>
                    </c:strCache>
                  </c:strRef>
                </c:tx>
                <c:spPr>
                  <a:solidFill>
                    <a:schemeClr val="accent1"/>
                  </a:solidFill>
                  <a:ln>
                    <a:noFill/>
                  </a:ln>
                  <a:effectLst/>
                </c:spPr>
                <c:invertIfNegative val="0"/>
                <c:cat>
                  <c:numRef>
                    <c:extLst>
                      <c:ext uri="{02D57815-91ED-43cb-92C2-25804820EDAC}">
                        <c15:formulaRef>
                          <c15:sqref>'H4'!$B$1:$G$1</c15:sqref>
                        </c15:formulaRef>
                      </c:ext>
                    </c:extLst>
                    <c:numCache>
                      <c:formatCode>General</c:formatCode>
                      <c:ptCount val="6"/>
                      <c:pt idx="0" formatCode="0">
                        <c:v>2010</c:v>
                      </c:pt>
                      <c:pt idx="1">
                        <c:v>2012</c:v>
                      </c:pt>
                      <c:pt idx="2">
                        <c:v>2014</c:v>
                      </c:pt>
                      <c:pt idx="3">
                        <c:v>2016</c:v>
                      </c:pt>
                      <c:pt idx="4">
                        <c:v>2018</c:v>
                      </c:pt>
                      <c:pt idx="5">
                        <c:v>2020</c:v>
                      </c:pt>
                    </c:numCache>
                  </c:numRef>
                </c:cat>
                <c:val>
                  <c:numRef>
                    <c:extLst>
                      <c:ext uri="{02D57815-91ED-43cb-92C2-25804820EDAC}">
                        <c15:formulaRef>
                          <c15:sqref>'H4'!$B$2:$G$2</c15:sqref>
                        </c15:formulaRef>
                      </c:ext>
                    </c:extLst>
                    <c:numCache>
                      <c:formatCode>General</c:formatCode>
                      <c:ptCount val="6"/>
                    </c:numCache>
                  </c:numRef>
                </c:val>
                <c:extLst>
                  <c:ext xmlns:c16="http://schemas.microsoft.com/office/drawing/2014/chart" uri="{C3380CC4-5D6E-409C-BE32-E72D297353CC}">
                    <c16:uniqueId val="{00000002-3A1E-42B1-BBF1-CCA8A1042158}"/>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'H4'!#REF!</c15:sqref>
                        </c15:formulaRef>
                      </c:ext>
                    </c:extLst>
                    <c:strCache>
                      <c:ptCount val="1"/>
                      <c:pt idx="0">
                        <c:v>#REF!</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'H4'!$B$1:$G$1</c15:sqref>
                        </c15:formulaRef>
                      </c:ext>
                    </c:extLst>
                    <c:numCache>
                      <c:formatCode>General</c:formatCode>
                      <c:ptCount val="6"/>
                      <c:pt idx="0" formatCode="0">
                        <c:v>2010</c:v>
                      </c:pt>
                      <c:pt idx="1">
                        <c:v>2012</c:v>
                      </c:pt>
                      <c:pt idx="2">
                        <c:v>2014</c:v>
                      </c:pt>
                      <c:pt idx="3">
                        <c:v>2016</c:v>
                      </c:pt>
                      <c:pt idx="4">
                        <c:v>2018</c:v>
                      </c:pt>
                      <c:pt idx="5">
                        <c:v>2020</c:v>
                      </c:pt>
                    </c:numCache>
                  </c:numRef>
                </c:cat>
                <c:val>
                  <c:numRef>
                    <c:extLst xmlns:c15="http://schemas.microsoft.com/office/drawing/2012/chart">
                      <c:ext xmlns:c15="http://schemas.microsoft.com/office/drawing/2012/chart" uri="{02D57815-91ED-43cb-92C2-25804820EDAC}">
                        <c15:formulaRef>
                          <c15:sqref>'H4'!#REF!</c15:sqref>
                        </c15:formulaRef>
                      </c:ext>
                    </c:extLst>
                    <c:numCache>
                      <c:formatCode>General</c:formatCode>
                      <c:ptCount val="1"/>
                      <c:pt idx="0">
                        <c:v>1</c:v>
                      </c:pt>
                    </c:numCache>
                  </c:numRef>
                </c:val>
                <c:extLst xmlns:c15="http://schemas.microsoft.com/office/drawing/2012/chart">
                  <c:ext xmlns:c16="http://schemas.microsoft.com/office/drawing/2014/chart" uri="{C3380CC4-5D6E-409C-BE32-E72D297353CC}">
                    <c16:uniqueId val="{00000003-3A1E-42B1-BBF1-CCA8A1042158}"/>
                  </c:ext>
                </c:extLst>
              </c15:ser>
            </c15:filteredBarSeries>
          </c:ext>
        </c:extLst>
      </c:barChart>
      <c:catAx>
        <c:axId val="85054208"/>
        <c:scaling>
          <c:orientation val="minMax"/>
        </c:scaling>
        <c:axPos val="b"/>
        <c:numFmt formatCode="0"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055744"/>
        <c:crosses val="autoZero"/>
        <c:auto val="1"/>
        <c:lblAlgn val="ctr"/>
        <c:lblOffset val="100"/>
      </c:catAx>
      <c:valAx>
        <c:axId val="85055744"/>
        <c:scaling>
          <c:orientation val="minMax"/>
          <c:max val="100"/>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054208"/>
        <c:crosses val="autoZero"/>
        <c:crossBetween val="between"/>
        <c:majorUnit val="20"/>
      </c:valAx>
      <c:spPr>
        <a:noFill/>
        <a:ln>
          <a:noFill/>
        </a:ln>
        <a:effectLst/>
      </c:spPr>
    </c:plotArea>
    <c:legend>
      <c:legendPos val="b"/>
      <c:layout>
        <c:manualLayout>
          <c:xMode val="edge"/>
          <c:yMode val="edge"/>
          <c:x val="0.230937919481017"/>
          <c:y val="0.81075831001803389"/>
          <c:w val="0.57153040649123377"/>
          <c:h val="0.101333438847782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26805555555555555"/>
          <c:y val="0.15509259259259264"/>
          <c:w val="0.46388888888888902"/>
          <c:h val="0.77314814814814825"/>
        </c:manualLayout>
      </c:layout>
      <c:pieChart>
        <c:varyColors val="1"/>
        <c:ser>
          <c:idx val="0"/>
          <c:order val="0"/>
          <c:spPr>
            <a:pattFill prst="horzBrick">
              <a:fgClr>
                <a:schemeClr val="tx1">
                  <a:lumMod val="75000"/>
                  <a:lumOff val="25000"/>
                </a:schemeClr>
              </a:fgClr>
              <a:bgClr>
                <a:schemeClr val="bg1"/>
              </a:bgClr>
            </a:pattFill>
          </c:spPr>
          <c:dPt>
            <c:idx val="0"/>
            <c:spPr>
              <a:pattFill prst="diagBrick">
                <a:fgClr>
                  <a:schemeClr val="tx1">
                    <a:lumMod val="75000"/>
                    <a:lumOff val="25000"/>
                  </a:schemeClr>
                </a:fgClr>
                <a:bgClr>
                  <a:schemeClr val="bg1"/>
                </a:bgClr>
              </a:pattFill>
              <a:ln w="19050">
                <a:solidFill>
                  <a:schemeClr val="lt1"/>
                </a:solidFill>
              </a:ln>
              <a:effectLst/>
            </c:spPr>
            <c:extLst xmlns:c16r2="http://schemas.microsoft.com/office/drawing/2015/06/chart">
              <c:ext xmlns:c16="http://schemas.microsoft.com/office/drawing/2014/chart" uri="{C3380CC4-5D6E-409C-BE32-E72D297353CC}">
                <c16:uniqueId val="{00000001-4A6C-441A-A129-072EE824F2F4}"/>
              </c:ext>
            </c:extLst>
          </c:dPt>
          <c:dPt>
            <c:idx val="1"/>
            <c:spPr>
              <a:pattFill prst="horzBrick">
                <a:fgClr>
                  <a:schemeClr val="tx1">
                    <a:lumMod val="75000"/>
                    <a:lumOff val="25000"/>
                  </a:schemeClr>
                </a:fgClr>
                <a:bgClr>
                  <a:schemeClr val="bg1"/>
                </a:bgClr>
              </a:pattFill>
              <a:ln w="19050">
                <a:solidFill>
                  <a:schemeClr val="lt1"/>
                </a:solidFill>
              </a:ln>
              <a:effectLst/>
            </c:spPr>
            <c:extLst xmlns:c16r2="http://schemas.microsoft.com/office/drawing/2015/06/chart">
              <c:ext xmlns:c16="http://schemas.microsoft.com/office/drawing/2014/chart" uri="{C3380CC4-5D6E-409C-BE32-E72D297353CC}">
                <c16:uniqueId val="{00000003-4A6C-441A-A129-072EE824F2F4}"/>
              </c:ext>
            </c:extLst>
          </c:dPt>
          <c:dPt>
            <c:idx val="2"/>
            <c:spPr>
              <a:pattFill prst="divot">
                <a:fgClr>
                  <a:schemeClr val="tx1">
                    <a:lumMod val="75000"/>
                    <a:lumOff val="25000"/>
                  </a:schemeClr>
                </a:fgClr>
                <a:bgClr>
                  <a:schemeClr val="bg1"/>
                </a:bgClr>
              </a:pattFill>
              <a:ln w="19050">
                <a:solidFill>
                  <a:schemeClr val="lt1"/>
                </a:solidFill>
              </a:ln>
              <a:effectLst/>
            </c:spPr>
            <c:extLst xmlns:c16r2="http://schemas.microsoft.com/office/drawing/2015/06/chart">
              <c:ext xmlns:c16="http://schemas.microsoft.com/office/drawing/2014/chart" uri="{C3380CC4-5D6E-409C-BE32-E72D297353CC}">
                <c16:uniqueId val="{00000005-4A6C-441A-A129-072EE824F2F4}"/>
              </c:ext>
            </c:extLst>
          </c:dPt>
          <c:dPt>
            <c:idx val="3"/>
            <c:spPr>
              <a:pattFill prst="dashVert">
                <a:fgClr>
                  <a:schemeClr val="tx1">
                    <a:lumMod val="75000"/>
                    <a:lumOff val="25000"/>
                  </a:schemeClr>
                </a:fgClr>
                <a:bgClr>
                  <a:schemeClr val="bg1"/>
                </a:bgClr>
              </a:pattFill>
              <a:ln w="19050">
                <a:solidFill>
                  <a:schemeClr val="lt1"/>
                </a:solidFill>
              </a:ln>
              <a:effectLst/>
            </c:spPr>
            <c:extLst xmlns:c16r2="http://schemas.microsoft.com/office/drawing/2015/06/chart">
              <c:ext xmlns:c16="http://schemas.microsoft.com/office/drawing/2014/chart" uri="{C3380CC4-5D6E-409C-BE32-E72D297353CC}">
                <c16:uniqueId val="{00000007-4A6C-441A-A129-072EE824F2F4}"/>
              </c:ext>
            </c:extLst>
          </c:dPt>
          <c:dLbls>
            <c:dLbl>
              <c:idx val="0"/>
              <c:tx>
                <c:rich>
                  <a:bodyPr/>
                  <a:lstStyle/>
                  <a:p>
                    <a:fld id="{A72163B1-2F89-4860-9B9C-5283B66F9D13}" type="CATEGORYNAME">
                      <a:rPr lang="en-US"/>
                      <a:pPr/>
                      <a:t>[CATEGORY NAME]</a:t>
                    </a:fld>
                    <a:r>
                      <a:rPr lang="en-US" baseline="0"/>
                      <a:t>, 49,7</a:t>
                    </a:r>
                  </a:p>
                </c:rich>
              </c:tx>
              <c:dLblPos val="outEnd"/>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4A6C-441A-A129-072EE824F2F4}"/>
                </c:ext>
              </c:extLst>
            </c:dLbl>
            <c:dLbl>
              <c:idx val="1"/>
              <c:tx>
                <c:rich>
                  <a:bodyPr/>
                  <a:lstStyle/>
                  <a:p>
                    <a:fld id="{CB00C882-F882-451E-9C57-DA076120E1C1}" type="CATEGORYNAME">
                      <a:rPr lang="en-US"/>
                      <a:pPr/>
                      <a:t>[CATEGORY NAME]</a:t>
                    </a:fld>
                    <a:r>
                      <a:rPr lang="en-US" baseline="0"/>
                      <a:t>, 45,9</a:t>
                    </a:r>
                  </a:p>
                </c:rich>
              </c:tx>
              <c:dLblPos val="outEnd"/>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4A6C-441A-A129-072EE824F2F4}"/>
                </c:ext>
              </c:extLst>
            </c:dLbl>
            <c:dLbl>
              <c:idx val="2"/>
              <c:layout>
                <c:manualLayout>
                  <c:x val="-8.3333333333333343E-2"/>
                  <c:y val="0"/>
                </c:manualLayout>
              </c:layout>
              <c:tx>
                <c:rich>
                  <a:bodyPr/>
                  <a:lstStyle/>
                  <a:p>
                    <a:fld id="{56AFB7D5-3F3E-4918-87B1-2A97A733415E}" type="CATEGORYNAME">
                      <a:rPr lang="en-US"/>
                      <a:pPr/>
                      <a:t>[CATEGORY NAME]</a:t>
                    </a:fld>
                    <a:r>
                      <a:rPr lang="en-US" baseline="0"/>
                      <a:t>, 3,2</a:t>
                    </a:r>
                  </a:p>
                </c:rich>
              </c:tx>
              <c:dLblPos val="bestFit"/>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4A6C-441A-A129-072EE824F2F4}"/>
                </c:ext>
              </c:extLst>
            </c:dLbl>
            <c:dLbl>
              <c:idx val="3"/>
              <c:layout>
                <c:manualLayout>
                  <c:x val="0.16388888888888878"/>
                  <c:y val="-1.3888888888888897E-2"/>
                </c:manualLayout>
              </c:layout>
              <c:tx>
                <c:rich>
                  <a:bodyPr/>
                  <a:lstStyle/>
                  <a:p>
                    <a:fld id="{64428F06-D6E6-4207-AA43-538C01F3C583}" type="CATEGORYNAME">
                      <a:rPr lang="vi-VN"/>
                      <a:pPr/>
                      <a:t>[CATEGORY NAME]</a:t>
                    </a:fld>
                    <a:r>
                      <a:rPr lang="vi-VN" baseline="0"/>
                      <a:t>, 1,2</a:t>
                    </a:r>
                  </a:p>
                </c:rich>
              </c:tx>
              <c:dLblPos val="bestFit"/>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4A6C-441A-A129-072EE824F2F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'H5'!$B$1:$E$1</c:f>
              <c:strCache>
                <c:ptCount val="4"/>
                <c:pt idx="0">
                  <c:v>Nhà kiên cố</c:v>
                </c:pt>
                <c:pt idx="1">
                  <c:v>Nhà bán kiên cố</c:v>
                </c:pt>
                <c:pt idx="2">
                  <c:v>Nhà thiếu kiên cố</c:v>
                </c:pt>
                <c:pt idx="3">
                  <c:v>Nhà đơn sơ</c:v>
                </c:pt>
              </c:strCache>
            </c:strRef>
          </c:cat>
          <c:val>
            <c:numRef>
              <c:f>'H5'!$B$2:$E$2</c:f>
              <c:numCache>
                <c:formatCode>0.0</c:formatCode>
                <c:ptCount val="4"/>
                <c:pt idx="0">
                  <c:v>49.7</c:v>
                </c:pt>
                <c:pt idx="1">
                  <c:v>45.9</c:v>
                </c:pt>
                <c:pt idx="2">
                  <c:v>3.2</c:v>
                </c:pt>
                <c:pt idx="3">
                  <c:v>1.2000000000000028</c:v>
                </c:pt>
              </c:numCache>
            </c:numRef>
          </c:val>
          <c:extLst xmlns:c16r2="http://schemas.microsoft.com/office/drawing/2015/06/chart">
            <c:ext xmlns:c16="http://schemas.microsoft.com/office/drawing/2014/chart" uri="{C3380CC4-5D6E-409C-BE32-E72D297353CC}">
              <c16:uniqueId val="{00000008-4A6C-441A-A129-072EE824F2F4}"/>
            </c:ext>
          </c:extLst>
        </c:ser>
        <c:dLbls/>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1"/>
          <c:order val="0"/>
          <c:tx>
            <c:strRef>
              <c:f>'H6'!$B$1:$B$2</c:f>
              <c:strCache>
                <c:ptCount val="2"/>
                <c:pt idx="0">
                  <c:v>2016</c:v>
                </c:pt>
              </c:strCache>
            </c:strRef>
          </c:tx>
          <c:spPr>
            <a:pattFill prst="horzBrick">
              <a:fgClr>
                <a:schemeClr val="tx1">
                  <a:lumMod val="75000"/>
                  <a:lumOff val="25000"/>
                </a:schemeClr>
              </a:fgClr>
              <a:bgClr>
                <a:schemeClr val="bg1"/>
              </a:bgClr>
            </a:pattFill>
            <a:ln w="3175">
              <a:solidFill>
                <a:schemeClr val="tx1"/>
              </a:solidFill>
            </a:ln>
            <a:effectLst/>
          </c:spPr>
          <c:dLbls>
            <c:dLbl>
              <c:idx val="0"/>
              <c:tx>
                <c:rich>
                  <a:bodyPr/>
                  <a:lstStyle/>
                  <a:p>
                    <a:r>
                      <a:rPr lang="en-US"/>
                      <a:t>9,2</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A64-41DF-BA9E-41107291381F}"/>
                </c:ext>
              </c:extLst>
            </c:dLbl>
            <c:dLbl>
              <c:idx val="2"/>
              <c:tx>
                <c:rich>
                  <a:bodyPr/>
                  <a:lstStyle/>
                  <a:p>
                    <a:r>
                      <a:rPr lang="en-US"/>
                      <a:t>3,5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AA64-41DF-BA9E-41107291381F}"/>
                </c:ext>
              </c:extLst>
            </c:dLbl>
            <c:dLbl>
              <c:idx val="3"/>
              <c:tx>
                <c:rich>
                  <a:bodyPr/>
                  <a:lstStyle/>
                  <a:p>
                    <a:r>
                      <a:rPr lang="en-US"/>
                      <a:t>11,8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AA64-41DF-BA9E-41107291381F}"/>
                </c:ext>
              </c:extLst>
            </c:dLbl>
            <c:dLbl>
              <c:idx val="5"/>
              <c:tx>
                <c:rich>
                  <a:bodyPr/>
                  <a:lstStyle/>
                  <a:p>
                    <a:r>
                      <a:rPr lang="en-US"/>
                      <a:t>3,1</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AA64-41DF-BA9E-41107291381F}"/>
                </c:ext>
              </c:extLst>
            </c:dLbl>
            <c:dLbl>
              <c:idx val="6"/>
              <c:tx>
                <c:rich>
                  <a:bodyPr/>
                  <a:lstStyle/>
                  <a:p>
                    <a:r>
                      <a:rPr lang="en-US"/>
                      <a:t>23,0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AA64-41DF-BA9E-41107291381F}"/>
                </c:ext>
              </c:extLst>
            </c:dLbl>
            <c:dLbl>
              <c:idx val="7"/>
              <c:tx>
                <c:rich>
                  <a:bodyPr/>
                  <a:lstStyle/>
                  <a:p>
                    <a:r>
                      <a:rPr lang="en-US"/>
                      <a:t>11,6</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AA64-41DF-BA9E-41107291381F}"/>
                </c:ext>
              </c:extLst>
            </c:dLbl>
            <c:dLbl>
              <c:idx val="8"/>
              <c:tx>
                <c:rich>
                  <a:bodyPr/>
                  <a:lstStyle/>
                  <a:p>
                    <a:r>
                      <a:rPr lang="en-US"/>
                      <a:t>18,5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AA64-41DF-BA9E-41107291381F}"/>
                </c:ext>
              </c:extLst>
            </c:dLbl>
            <c:dLbl>
              <c:idx val="9"/>
              <c:tx>
                <c:rich>
                  <a:bodyPr/>
                  <a:lstStyle/>
                  <a:p>
                    <a:r>
                      <a:rPr lang="en-US"/>
                      <a:t>1,0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AA64-41DF-BA9E-41107291381F}"/>
                </c:ext>
              </c:extLst>
            </c:dLbl>
            <c:dLbl>
              <c:idx val="10"/>
              <c:tx>
                <c:rich>
                  <a:bodyPr/>
                  <a:lstStyle/>
                  <a:p>
                    <a:r>
                      <a:rPr lang="en-US"/>
                      <a:t>8,6</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AA64-41DF-BA9E-41107291381F}"/>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'H6'!$A$3:$A$13</c:f>
              <c:strCache>
                <c:ptCount val="11"/>
                <c:pt idx="0">
                  <c:v>Cả nước</c:v>
                </c:pt>
                <c:pt idx="2">
                  <c:v>Thành thị</c:v>
                </c:pt>
                <c:pt idx="3">
                  <c:v>Nông thôn</c:v>
                </c:pt>
                <c:pt idx="5">
                  <c:v>Đồng bằng sông Hồng</c:v>
                </c:pt>
                <c:pt idx="6">
                  <c:v>Trung du và miền núi phía Bắc</c:v>
                </c:pt>
                <c:pt idx="7">
                  <c:v>Bắc Trung Bộ và duyên hải miền Trung</c:v>
                </c:pt>
                <c:pt idx="8">
                  <c:v>Tây Nguyên</c:v>
                </c:pt>
                <c:pt idx="9">
                  <c:v>Đông Nam Bộ</c:v>
                </c:pt>
                <c:pt idx="10">
                  <c:v>Đồng bằng sông Cửu Long</c:v>
                </c:pt>
              </c:strCache>
            </c:strRef>
          </c:cat>
          <c:val>
            <c:numRef>
              <c:f>'H6'!$B$3:$B$13</c:f>
              <c:numCache>
                <c:formatCode>General</c:formatCode>
                <c:ptCount val="11"/>
                <c:pt idx="0" formatCode="0.0">
                  <c:v>9.2000000000000011</c:v>
                </c:pt>
                <c:pt idx="2" formatCode="0.0">
                  <c:v>3.5</c:v>
                </c:pt>
                <c:pt idx="3" formatCode="0.0">
                  <c:v>11.8</c:v>
                </c:pt>
                <c:pt idx="5" formatCode="0.0">
                  <c:v>3.1</c:v>
                </c:pt>
                <c:pt idx="6" formatCode="0.0">
                  <c:v>23</c:v>
                </c:pt>
                <c:pt idx="7" formatCode="0.0">
                  <c:v>11.6</c:v>
                </c:pt>
                <c:pt idx="8" formatCode="0.0">
                  <c:v>18.5</c:v>
                </c:pt>
                <c:pt idx="9" formatCode="0.0">
                  <c:v>1</c:v>
                </c:pt>
                <c:pt idx="10" formatCode="0.0">
                  <c:v>8.6</c:v>
                </c:pt>
              </c:numCache>
            </c:numRef>
          </c:val>
          <c:extLst xmlns:c16r2="http://schemas.microsoft.com/office/drawing/2015/06/chart">
            <c:ext xmlns:c16="http://schemas.microsoft.com/office/drawing/2014/chart" uri="{C3380CC4-5D6E-409C-BE32-E72D297353CC}">
              <c16:uniqueId val="{00000001-1B28-4295-A4EB-D49874421D45}"/>
            </c:ext>
          </c:extLst>
        </c:ser>
        <c:ser>
          <c:idx val="2"/>
          <c:order val="1"/>
          <c:tx>
            <c:strRef>
              <c:f>'H6'!$C$1:$C$2</c:f>
              <c:strCache>
                <c:ptCount val="2"/>
                <c:pt idx="0">
                  <c:v>2017</c:v>
                </c:pt>
              </c:strCache>
            </c:strRef>
          </c:tx>
          <c:spPr>
            <a:pattFill prst="openDmnd">
              <a:fgClr>
                <a:schemeClr val="tx1">
                  <a:lumMod val="75000"/>
                  <a:lumOff val="25000"/>
                </a:schemeClr>
              </a:fgClr>
              <a:bgClr>
                <a:schemeClr val="bg1"/>
              </a:bgClr>
            </a:pattFill>
            <a:ln w="3175">
              <a:solidFill>
                <a:schemeClr val="tx1"/>
              </a:solidFill>
            </a:ln>
            <a:effectLst/>
          </c:spPr>
          <c:dLbls>
            <c:dLbl>
              <c:idx val="0"/>
              <c:tx>
                <c:rich>
                  <a:bodyPr/>
                  <a:lstStyle/>
                  <a:p>
                    <a:r>
                      <a:rPr lang="en-US"/>
                      <a:t>7,9</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AA64-41DF-BA9E-41107291381F}"/>
                </c:ext>
              </c:extLst>
            </c:dLbl>
            <c:dLbl>
              <c:idx val="2"/>
              <c:tx>
                <c:rich>
                  <a:bodyPr/>
                  <a:lstStyle/>
                  <a:p>
                    <a:r>
                      <a:rPr lang="en-US"/>
                      <a:t>2,7</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AA64-41DF-BA9E-41107291381F}"/>
                </c:ext>
              </c:extLst>
            </c:dLbl>
            <c:dLbl>
              <c:idx val="3"/>
              <c:tx>
                <c:rich>
                  <a:bodyPr/>
                  <a:lstStyle/>
                  <a:p>
                    <a:r>
                      <a:rPr lang="en-US"/>
                      <a:t>10,8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AA64-41DF-BA9E-41107291381F}"/>
                </c:ext>
              </c:extLst>
            </c:dLbl>
            <c:dLbl>
              <c:idx val="5"/>
              <c:tx>
                <c:rich>
                  <a:bodyPr/>
                  <a:lstStyle/>
                  <a:p>
                    <a:r>
                      <a:rPr lang="en-US"/>
                      <a:t>2,6</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AA64-41DF-BA9E-41107291381F}"/>
                </c:ext>
              </c:extLst>
            </c:dLbl>
            <c:dLbl>
              <c:idx val="6"/>
              <c:tx>
                <c:rich>
                  <a:bodyPr/>
                  <a:lstStyle/>
                  <a:p>
                    <a:r>
                      <a:rPr lang="en-US"/>
                      <a:t>21,0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AA64-41DF-BA9E-41107291381F}"/>
                </c:ext>
              </c:extLst>
            </c:dLbl>
            <c:dLbl>
              <c:idx val="7"/>
              <c:tx>
                <c:rich>
                  <a:bodyPr/>
                  <a:lstStyle/>
                  <a:p>
                    <a:r>
                      <a:rPr lang="en-US"/>
                      <a:t>10,2</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E-AA64-41DF-BA9E-41107291381F}"/>
                </c:ext>
              </c:extLst>
            </c:dLbl>
            <c:dLbl>
              <c:idx val="8"/>
              <c:tx>
                <c:rich>
                  <a:bodyPr/>
                  <a:lstStyle/>
                  <a:p>
                    <a:r>
                      <a:rPr lang="en-US"/>
                      <a:t>17,1</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F-AA64-41DF-BA9E-41107291381F}"/>
                </c:ext>
              </c:extLst>
            </c:dLbl>
            <c:dLbl>
              <c:idx val="9"/>
              <c:tx>
                <c:rich>
                  <a:bodyPr/>
                  <a:lstStyle/>
                  <a:p>
                    <a:r>
                      <a:rPr lang="en-US"/>
                      <a:t>0,9</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0-AA64-41DF-BA9E-41107291381F}"/>
                </c:ext>
              </c:extLst>
            </c:dLbl>
            <c:dLbl>
              <c:idx val="10"/>
              <c:tx>
                <c:rich>
                  <a:bodyPr/>
                  <a:lstStyle/>
                  <a:p>
                    <a:r>
                      <a:rPr lang="en-US"/>
                      <a:t>7,4</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1-AA64-41DF-BA9E-41107291381F}"/>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'H6'!$A$3:$A$13</c:f>
              <c:strCache>
                <c:ptCount val="11"/>
                <c:pt idx="0">
                  <c:v>Cả nước</c:v>
                </c:pt>
                <c:pt idx="2">
                  <c:v>Thành thị</c:v>
                </c:pt>
                <c:pt idx="3">
                  <c:v>Nông thôn</c:v>
                </c:pt>
                <c:pt idx="5">
                  <c:v>Đồng bằng sông Hồng</c:v>
                </c:pt>
                <c:pt idx="6">
                  <c:v>Trung du và miền núi phía Bắc</c:v>
                </c:pt>
                <c:pt idx="7">
                  <c:v>Bắc Trung Bộ và duyên hải miền Trung</c:v>
                </c:pt>
                <c:pt idx="8">
                  <c:v>Tây Nguyên</c:v>
                </c:pt>
                <c:pt idx="9">
                  <c:v>Đông Nam Bộ</c:v>
                </c:pt>
                <c:pt idx="10">
                  <c:v>Đồng bằng sông Cửu Long</c:v>
                </c:pt>
              </c:strCache>
            </c:strRef>
          </c:cat>
          <c:val>
            <c:numRef>
              <c:f>'H6'!$C$3:$C$13</c:f>
              <c:numCache>
                <c:formatCode>General</c:formatCode>
                <c:ptCount val="11"/>
                <c:pt idx="0" formatCode="0.0">
                  <c:v>7.9</c:v>
                </c:pt>
                <c:pt idx="2" formatCode="0.0">
                  <c:v>2.7</c:v>
                </c:pt>
                <c:pt idx="3" formatCode="0.0">
                  <c:v>10.8</c:v>
                </c:pt>
                <c:pt idx="5" formatCode="0.0">
                  <c:v>2.6</c:v>
                </c:pt>
                <c:pt idx="6" formatCode="0.0">
                  <c:v>21</c:v>
                </c:pt>
                <c:pt idx="7" formatCode="0.0">
                  <c:v>10.200000000000001</c:v>
                </c:pt>
                <c:pt idx="8" formatCode="0.0">
                  <c:v>17.100000000000001</c:v>
                </c:pt>
                <c:pt idx="9" formatCode="0.0">
                  <c:v>0.9</c:v>
                </c:pt>
                <c:pt idx="10" formatCode="0.0">
                  <c:v>7.4</c:v>
                </c:pt>
              </c:numCache>
            </c:numRef>
          </c:val>
          <c:extLst xmlns:c16r2="http://schemas.microsoft.com/office/drawing/2015/06/chart">
            <c:ext xmlns:c16="http://schemas.microsoft.com/office/drawing/2014/chart" uri="{C3380CC4-5D6E-409C-BE32-E72D297353CC}">
              <c16:uniqueId val="{00000002-1B28-4295-A4EB-D49874421D45}"/>
            </c:ext>
          </c:extLst>
        </c:ser>
        <c:ser>
          <c:idx val="3"/>
          <c:order val="2"/>
          <c:tx>
            <c:strRef>
              <c:f>'H6'!$D$1:$D$2</c:f>
              <c:strCache>
                <c:ptCount val="2"/>
                <c:pt idx="0">
                  <c:v>2018</c:v>
                </c:pt>
              </c:strCache>
            </c:strRef>
          </c:tx>
          <c:spPr>
            <a:pattFill prst="pct50">
              <a:fgClr>
                <a:schemeClr val="tx1">
                  <a:lumMod val="75000"/>
                  <a:lumOff val="25000"/>
                </a:schemeClr>
              </a:fgClr>
              <a:bgClr>
                <a:schemeClr val="bg1"/>
              </a:bgClr>
            </a:pattFill>
            <a:ln w="3175">
              <a:solidFill>
                <a:schemeClr val="tx1"/>
              </a:solidFill>
            </a:ln>
            <a:effectLst/>
          </c:spPr>
          <c:dLbls>
            <c:dLbl>
              <c:idx val="0"/>
              <c:tx>
                <c:rich>
                  <a:bodyPr/>
                  <a:lstStyle/>
                  <a:p>
                    <a:r>
                      <a:rPr lang="en-US"/>
                      <a:t>6,8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2-AA64-41DF-BA9E-41107291381F}"/>
                </c:ext>
              </c:extLst>
            </c:dLbl>
            <c:dLbl>
              <c:idx val="2"/>
              <c:tx>
                <c:rich>
                  <a:bodyPr/>
                  <a:lstStyle/>
                  <a:p>
                    <a:r>
                      <a:rPr lang="en-US"/>
                      <a:t>1,5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3-AA64-41DF-BA9E-41107291381F}"/>
                </c:ext>
              </c:extLst>
            </c:dLbl>
            <c:dLbl>
              <c:idx val="3"/>
              <c:tx>
                <c:rich>
                  <a:bodyPr/>
                  <a:lstStyle/>
                  <a:p>
                    <a:r>
                      <a:rPr lang="en-US"/>
                      <a:t>9,6</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4-AA64-41DF-BA9E-41107291381F}"/>
                </c:ext>
              </c:extLst>
            </c:dLbl>
            <c:dLbl>
              <c:idx val="5"/>
              <c:tx>
                <c:rich>
                  <a:bodyPr/>
                  <a:lstStyle/>
                  <a:p>
                    <a:r>
                      <a:rPr lang="en-US"/>
                      <a:t>1,9</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5-AA64-41DF-BA9E-41107291381F}"/>
                </c:ext>
              </c:extLst>
            </c:dLbl>
            <c:dLbl>
              <c:idx val="6"/>
              <c:tx>
                <c:rich>
                  <a:bodyPr/>
                  <a:lstStyle/>
                  <a:p>
                    <a:r>
                      <a:rPr lang="en-US"/>
                      <a:t>18,4</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6-AA64-41DF-BA9E-41107291381F}"/>
                </c:ext>
              </c:extLst>
            </c:dLbl>
            <c:dLbl>
              <c:idx val="7"/>
              <c:tx>
                <c:rich>
                  <a:bodyPr/>
                  <a:lstStyle/>
                  <a:p>
                    <a:r>
                      <a:rPr lang="en-US"/>
                      <a:t>8,7</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7-AA64-41DF-BA9E-41107291381F}"/>
                </c:ext>
              </c:extLst>
            </c:dLbl>
            <c:dLbl>
              <c:idx val="8"/>
              <c:tx>
                <c:rich>
                  <a:bodyPr/>
                  <a:lstStyle/>
                  <a:p>
                    <a:r>
                      <a:rPr lang="en-US"/>
                      <a:t>13,9</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8-AA64-41DF-BA9E-41107291381F}"/>
                </c:ext>
              </c:extLst>
            </c:dLbl>
            <c:dLbl>
              <c:idx val="9"/>
              <c:tx>
                <c:rich>
                  <a:bodyPr/>
                  <a:lstStyle/>
                  <a:p>
                    <a:r>
                      <a:rPr lang="en-US"/>
                      <a:t>0,6</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9-AA64-41DF-BA9E-41107291381F}"/>
                </c:ext>
              </c:extLst>
            </c:dLbl>
            <c:dLbl>
              <c:idx val="10"/>
              <c:tx>
                <c:rich>
                  <a:bodyPr/>
                  <a:lstStyle/>
                  <a:p>
                    <a:r>
                      <a:rPr lang="en-US"/>
                      <a:t>5,8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A-AA64-41DF-BA9E-41107291381F}"/>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'H6'!$A$3:$A$13</c:f>
              <c:strCache>
                <c:ptCount val="11"/>
                <c:pt idx="0">
                  <c:v>Cả nước</c:v>
                </c:pt>
                <c:pt idx="2">
                  <c:v>Thành thị</c:v>
                </c:pt>
                <c:pt idx="3">
                  <c:v>Nông thôn</c:v>
                </c:pt>
                <c:pt idx="5">
                  <c:v>Đồng bằng sông Hồng</c:v>
                </c:pt>
                <c:pt idx="6">
                  <c:v>Trung du và miền núi phía Bắc</c:v>
                </c:pt>
                <c:pt idx="7">
                  <c:v>Bắc Trung Bộ và duyên hải miền Trung</c:v>
                </c:pt>
                <c:pt idx="8">
                  <c:v>Tây Nguyên</c:v>
                </c:pt>
                <c:pt idx="9">
                  <c:v>Đông Nam Bộ</c:v>
                </c:pt>
                <c:pt idx="10">
                  <c:v>Đồng bằng sông Cửu Long</c:v>
                </c:pt>
              </c:strCache>
            </c:strRef>
          </c:cat>
          <c:val>
            <c:numRef>
              <c:f>'H6'!$D$3:$D$13</c:f>
              <c:numCache>
                <c:formatCode>General</c:formatCode>
                <c:ptCount val="11"/>
                <c:pt idx="0" formatCode="0.0">
                  <c:v>6.8</c:v>
                </c:pt>
                <c:pt idx="2" formatCode="0.0">
                  <c:v>1.5</c:v>
                </c:pt>
                <c:pt idx="3" formatCode="0.0">
                  <c:v>9.6</c:v>
                </c:pt>
                <c:pt idx="5" formatCode="0.0">
                  <c:v>1.9000000000000001</c:v>
                </c:pt>
                <c:pt idx="6" formatCode="0.0">
                  <c:v>18.399999999999999</c:v>
                </c:pt>
                <c:pt idx="7" formatCode="0.0">
                  <c:v>8.7000000000000011</c:v>
                </c:pt>
                <c:pt idx="8" formatCode="0.0">
                  <c:v>13.9</c:v>
                </c:pt>
                <c:pt idx="9" formatCode="0.0">
                  <c:v>0.60000000000000009</c:v>
                </c:pt>
                <c:pt idx="10" formatCode="0.0">
                  <c:v>5.8</c:v>
                </c:pt>
              </c:numCache>
            </c:numRef>
          </c:val>
          <c:extLst xmlns:c16r2="http://schemas.microsoft.com/office/drawing/2015/06/chart">
            <c:ext xmlns:c16="http://schemas.microsoft.com/office/drawing/2014/chart" uri="{C3380CC4-5D6E-409C-BE32-E72D297353CC}">
              <c16:uniqueId val="{00000003-1B28-4295-A4EB-D49874421D45}"/>
            </c:ext>
          </c:extLst>
        </c:ser>
        <c:ser>
          <c:idx val="0"/>
          <c:order val="3"/>
          <c:tx>
            <c:strRef>
              <c:f>'H6'!$E$1:$E$2</c:f>
              <c:strCache>
                <c:ptCount val="2"/>
                <c:pt idx="0">
                  <c:v>2019</c:v>
                </c:pt>
              </c:strCache>
            </c:strRef>
          </c:tx>
          <c:spPr>
            <a:pattFill prst="ltUpDiag">
              <a:fgClr>
                <a:schemeClr val="tx1"/>
              </a:fgClr>
              <a:bgClr>
                <a:schemeClr val="bg1"/>
              </a:bgClr>
            </a:pattFill>
            <a:ln w="317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dLbls>
            <c:dLbl>
              <c:idx val="0"/>
              <c:tx>
                <c:rich>
                  <a:bodyPr/>
                  <a:lstStyle/>
                  <a:p>
                    <a:r>
                      <a:rPr lang="en-US"/>
                      <a:t>5,7</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B-AA64-41DF-BA9E-41107291381F}"/>
                </c:ext>
              </c:extLst>
            </c:dLbl>
            <c:dLbl>
              <c:idx val="2"/>
              <c:tx>
                <c:rich>
                  <a:bodyPr/>
                  <a:lstStyle/>
                  <a:p>
                    <a:r>
                      <a:rPr lang="en-US"/>
                      <a:t>1,2</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C-AA64-41DF-BA9E-41107291381F}"/>
                </c:ext>
              </c:extLst>
            </c:dLbl>
            <c:dLbl>
              <c:idx val="3"/>
              <c:tx>
                <c:rich>
                  <a:bodyPr/>
                  <a:lstStyle/>
                  <a:p>
                    <a:r>
                      <a:rPr lang="en-US"/>
                      <a:t>8,0</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D-AA64-41DF-BA9E-41107291381F}"/>
                </c:ext>
              </c:extLst>
            </c:dLbl>
            <c:dLbl>
              <c:idx val="5"/>
              <c:tx>
                <c:rich>
                  <a:bodyPr/>
                  <a:lstStyle/>
                  <a:p>
                    <a:r>
                      <a:rPr lang="en-US"/>
                      <a:t>1,6</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E-AA64-41DF-BA9E-41107291381F}"/>
                </c:ext>
              </c:extLst>
            </c:dLbl>
            <c:dLbl>
              <c:idx val="6"/>
              <c:tx>
                <c:rich>
                  <a:bodyPr/>
                  <a:lstStyle/>
                  <a:p>
                    <a:r>
                      <a:rPr lang="en-US"/>
                      <a:t>16,4</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F-AA64-41DF-BA9E-41107291381F}"/>
                </c:ext>
              </c:extLst>
            </c:dLbl>
            <c:dLbl>
              <c:idx val="7"/>
              <c:tx>
                <c:rich>
                  <a:bodyPr/>
                  <a:lstStyle/>
                  <a:p>
                    <a:r>
                      <a:rPr lang="en-US"/>
                      <a:t>7,4</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0-AA64-41DF-BA9E-41107291381F}"/>
                </c:ext>
              </c:extLst>
            </c:dLbl>
            <c:dLbl>
              <c:idx val="8"/>
              <c:tx>
                <c:rich>
                  <a:bodyPr/>
                  <a:lstStyle/>
                  <a:p>
                    <a:r>
                      <a:rPr lang="en-US"/>
                      <a:t>12,4</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1-AA64-41DF-BA9E-41107291381F}"/>
                </c:ext>
              </c:extLst>
            </c:dLbl>
            <c:dLbl>
              <c:idx val="9"/>
              <c:tx>
                <c:rich>
                  <a:bodyPr/>
                  <a:lstStyle/>
                  <a:p>
                    <a:r>
                      <a:rPr lang="en-US"/>
                      <a:t>0,5</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2-AA64-41DF-BA9E-41107291381F}"/>
                </c:ext>
              </c:extLst>
            </c:dLbl>
            <c:dLbl>
              <c:idx val="10"/>
              <c:tx>
                <c:rich>
                  <a:bodyPr/>
                  <a:lstStyle/>
                  <a:p>
                    <a:r>
                      <a:rPr lang="en-US"/>
                      <a:t>4,8</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3-AA64-41DF-BA9E-41107291381F}"/>
                </c:ext>
              </c:extLst>
            </c:dLbl>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'H6'!$A$3:$A$13</c:f>
              <c:strCache>
                <c:ptCount val="11"/>
                <c:pt idx="0">
                  <c:v>Cả nước</c:v>
                </c:pt>
                <c:pt idx="2">
                  <c:v>Thành thị</c:v>
                </c:pt>
                <c:pt idx="3">
                  <c:v>Nông thôn</c:v>
                </c:pt>
                <c:pt idx="5">
                  <c:v>Đồng bằng sông Hồng</c:v>
                </c:pt>
                <c:pt idx="6">
                  <c:v>Trung du và miền núi phía Bắc</c:v>
                </c:pt>
                <c:pt idx="7">
                  <c:v>Bắc Trung Bộ và duyên hải miền Trung</c:v>
                </c:pt>
                <c:pt idx="8">
                  <c:v>Tây Nguyên</c:v>
                </c:pt>
                <c:pt idx="9">
                  <c:v>Đông Nam Bộ</c:v>
                </c:pt>
                <c:pt idx="10">
                  <c:v>Đồng bằng sông Cửu Long</c:v>
                </c:pt>
              </c:strCache>
            </c:strRef>
          </c:cat>
          <c:val>
            <c:numRef>
              <c:f>'H6'!$E$3:$E$13</c:f>
              <c:numCache>
                <c:formatCode>General</c:formatCode>
                <c:ptCount val="11"/>
                <c:pt idx="0" formatCode="0.0">
                  <c:v>5.7</c:v>
                </c:pt>
                <c:pt idx="2" formatCode="0.0">
                  <c:v>1.2</c:v>
                </c:pt>
                <c:pt idx="3" formatCode="0.0">
                  <c:v>8</c:v>
                </c:pt>
                <c:pt idx="5" formatCode="0.0">
                  <c:v>1.6</c:v>
                </c:pt>
                <c:pt idx="6" formatCode="0.0">
                  <c:v>16.399999999999999</c:v>
                </c:pt>
                <c:pt idx="7" formatCode="0.0">
                  <c:v>7.4</c:v>
                </c:pt>
                <c:pt idx="8" formatCode="0.0">
                  <c:v>12.4</c:v>
                </c:pt>
                <c:pt idx="9" formatCode="0.0">
                  <c:v>0.5</c:v>
                </c:pt>
                <c:pt idx="10" formatCode="0.0">
                  <c:v>4.8</c:v>
                </c:pt>
              </c:numCache>
            </c:numRef>
          </c:val>
          <c:extLst xmlns:c16r2="http://schemas.microsoft.com/office/drawing/2015/06/chart">
            <c:ext xmlns:c16="http://schemas.microsoft.com/office/drawing/2014/chart" uri="{C3380CC4-5D6E-409C-BE32-E72D297353CC}">
              <c16:uniqueId val="{00000024-AA64-41DF-BA9E-41107291381F}"/>
            </c:ext>
          </c:extLst>
        </c:ser>
        <c:ser>
          <c:idx val="4"/>
          <c:order val="4"/>
          <c:tx>
            <c:strRef>
              <c:f>'H6'!$F$1:$F$2</c:f>
              <c:strCache>
                <c:ptCount val="2"/>
                <c:pt idx="0">
                  <c:v>2020</c:v>
                </c:pt>
              </c:strCache>
            </c:strRef>
          </c:tx>
          <c:spPr>
            <a:pattFill prst="pct40">
              <a:fgClr>
                <a:schemeClr val="tx1"/>
              </a:fgClr>
              <a:bgClr>
                <a:schemeClr val="bg1"/>
              </a:bgClr>
            </a:pattFill>
            <a:ln w="3175" cap="flat">
              <a:gradFill>
                <a:gsLst>
                  <a:gs pos="55500">
                    <a:srgbClr val="BECEEA"/>
                  </a:gs>
                  <a:gs pos="37000">
                    <a:srgbClr val="D1DCF0"/>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dLbls>
            <c:dLbl>
              <c:idx val="0"/>
              <c:tx>
                <c:rich>
                  <a:bodyPr/>
                  <a:lstStyle/>
                  <a:p>
                    <a:r>
                      <a:rPr lang="en-US"/>
                      <a:t>4,8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5-AA64-41DF-BA9E-41107291381F}"/>
                </c:ext>
              </c:extLst>
            </c:dLbl>
            <c:dLbl>
              <c:idx val="2"/>
              <c:tx>
                <c:rich>
                  <a:bodyPr/>
                  <a:lstStyle/>
                  <a:p>
                    <a:r>
                      <a:rPr lang="en-US"/>
                      <a:t>1,1</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6-AA64-41DF-BA9E-41107291381F}"/>
                </c:ext>
              </c:extLst>
            </c:dLbl>
            <c:dLbl>
              <c:idx val="3"/>
              <c:tx>
                <c:rich>
                  <a:bodyPr/>
                  <a:lstStyle/>
                  <a:p>
                    <a:r>
                      <a:rPr lang="en-US"/>
                      <a:t>7,1</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7-AA64-41DF-BA9E-41107291381F}"/>
                </c:ext>
              </c:extLst>
            </c:dLbl>
            <c:dLbl>
              <c:idx val="5"/>
              <c:tx>
                <c:rich>
                  <a:bodyPr/>
                  <a:lstStyle/>
                  <a:p>
                    <a:r>
                      <a:rPr lang="en-US"/>
                      <a:t>1,3</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8-AA64-41DF-BA9E-41107291381F}"/>
                </c:ext>
              </c:extLst>
            </c:dLbl>
            <c:dLbl>
              <c:idx val="6"/>
              <c:tx>
                <c:rich>
                  <a:bodyPr/>
                  <a:lstStyle/>
                  <a:p>
                    <a:r>
                      <a:rPr lang="en-US"/>
                      <a:t>14,4</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9-AA64-41DF-BA9E-41107291381F}"/>
                </c:ext>
              </c:extLst>
            </c:dLbl>
            <c:dLbl>
              <c:idx val="7"/>
              <c:tx>
                <c:rich>
                  <a:bodyPr/>
                  <a:lstStyle/>
                  <a:p>
                    <a:r>
                      <a:rPr lang="en-US"/>
                      <a:t>6,5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A-AA64-41DF-BA9E-41107291381F}"/>
                </c:ext>
              </c:extLst>
            </c:dLbl>
            <c:dLbl>
              <c:idx val="8"/>
              <c:tx>
                <c:rich>
                  <a:bodyPr/>
                  <a:lstStyle/>
                  <a:p>
                    <a:r>
                      <a:rPr lang="en-US"/>
                      <a:t>11,0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B-AA64-41DF-BA9E-41107291381F}"/>
                </c:ext>
              </c:extLst>
            </c:dLbl>
            <c:dLbl>
              <c:idx val="9"/>
              <c:tx>
                <c:rich>
                  <a:bodyPr/>
                  <a:lstStyle/>
                  <a:p>
                    <a:r>
                      <a:rPr lang="en-US"/>
                      <a:t>0,3</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C-AA64-41DF-BA9E-41107291381F}"/>
                </c:ext>
              </c:extLst>
            </c:dLbl>
            <c:dLbl>
              <c:idx val="10"/>
              <c:tx>
                <c:rich>
                  <a:bodyPr/>
                  <a:lstStyle/>
                  <a:p>
                    <a:r>
                      <a:rPr lang="en-US"/>
                      <a:t>4,2</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2D-AA64-41DF-BA9E-41107291381F}"/>
                </c:ext>
              </c:extLst>
            </c:dLbl>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'H6'!$A$3:$A$13</c:f>
              <c:strCache>
                <c:ptCount val="11"/>
                <c:pt idx="0">
                  <c:v>Cả nước</c:v>
                </c:pt>
                <c:pt idx="2">
                  <c:v>Thành thị</c:v>
                </c:pt>
                <c:pt idx="3">
                  <c:v>Nông thôn</c:v>
                </c:pt>
                <c:pt idx="5">
                  <c:v>Đồng bằng sông Hồng</c:v>
                </c:pt>
                <c:pt idx="6">
                  <c:v>Trung du và miền núi phía Bắc</c:v>
                </c:pt>
                <c:pt idx="7">
                  <c:v>Bắc Trung Bộ và duyên hải miền Trung</c:v>
                </c:pt>
                <c:pt idx="8">
                  <c:v>Tây Nguyên</c:v>
                </c:pt>
                <c:pt idx="9">
                  <c:v>Đông Nam Bộ</c:v>
                </c:pt>
                <c:pt idx="10">
                  <c:v>Đồng bằng sông Cửu Long</c:v>
                </c:pt>
              </c:strCache>
            </c:strRef>
          </c:cat>
          <c:val>
            <c:numRef>
              <c:f>'H6'!$F$3:$F$13</c:f>
              <c:numCache>
                <c:formatCode>General</c:formatCode>
                <c:ptCount val="11"/>
                <c:pt idx="0" formatCode="0.0">
                  <c:v>4.8</c:v>
                </c:pt>
                <c:pt idx="2" formatCode="0.0">
                  <c:v>1.1000000000000001</c:v>
                </c:pt>
                <c:pt idx="3" formatCode="0.0">
                  <c:v>7.1</c:v>
                </c:pt>
                <c:pt idx="5" formatCode="0.0">
                  <c:v>1.3201000000000001</c:v>
                </c:pt>
                <c:pt idx="6" formatCode="0.0">
                  <c:v>14.4</c:v>
                </c:pt>
                <c:pt idx="7" formatCode="0.0">
                  <c:v>6.5186999999999999</c:v>
                </c:pt>
                <c:pt idx="8" formatCode="0.0">
                  <c:v>11</c:v>
                </c:pt>
                <c:pt idx="9" formatCode="0.0">
                  <c:v>0.28410000000000002</c:v>
                </c:pt>
                <c:pt idx="10" formatCode="0.0">
                  <c:v>4.182199999999999</c:v>
                </c:pt>
              </c:numCache>
            </c:numRef>
          </c:val>
          <c:extLst xmlns:c16r2="http://schemas.microsoft.com/office/drawing/2015/06/chart">
            <c:ext xmlns:c16="http://schemas.microsoft.com/office/drawing/2014/chart" uri="{C3380CC4-5D6E-409C-BE32-E72D297353CC}">
              <c16:uniqueId val="{0000002E-AA64-41DF-BA9E-41107291381F}"/>
            </c:ext>
          </c:extLst>
        </c:ser>
        <c:dLbls/>
        <c:gapWidth val="42"/>
        <c:overlap val="-20"/>
        <c:axId val="85152896"/>
        <c:axId val="85154432"/>
        <c:extLst xmlns:c16r2="http://schemas.microsoft.com/office/drawing/2015/06/chart"/>
      </c:barChart>
      <c:catAx>
        <c:axId val="851528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154432"/>
        <c:crosses val="autoZero"/>
        <c:auto val="1"/>
        <c:lblAlgn val="ctr"/>
        <c:lblOffset val="100"/>
      </c:catAx>
      <c:valAx>
        <c:axId val="851544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tickLblPos val="none"/>
        <c:crossAx val="85152896"/>
        <c:crosses val="autoZero"/>
        <c:crossBetween val="between"/>
      </c:valAx>
      <c:spPr>
        <a:noFill/>
        <a:ln w="25400">
          <a:noFill/>
        </a:ln>
        <a:effectLst>
          <a:glow rad="863600">
            <a:schemeClr val="accent1">
              <a:alpha val="40000"/>
            </a:schemeClr>
          </a:glow>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697E1-EC92-44B6-98A1-B186CEED8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2800</Words>
  <Characters>15960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18723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huyenntt</cp:lastModifiedBy>
  <cp:revision>2</cp:revision>
  <cp:lastPrinted>2021-07-05T08:05:00Z</cp:lastPrinted>
  <dcterms:created xsi:type="dcterms:W3CDTF">2021-07-06T01:57:00Z</dcterms:created>
  <dcterms:modified xsi:type="dcterms:W3CDTF">2021-07-06T01:57:00Z</dcterms:modified>
</cp:coreProperties>
</file>