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drawings/drawing1.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theme/themeOverride5.xml" ContentType="application/vnd.openxmlformats-officedocument.themeOverride+xml"/>
  <Override PartName="/word/charts/chart13.xml" ContentType="application/vnd.openxmlformats-officedocument.drawingml.chart+xml"/>
  <Override PartName="/word/theme/themeOverride6.xml" ContentType="application/vnd.openxmlformats-officedocument.themeOverride+xml"/>
  <Override PartName="/word/charts/chart14.xml" ContentType="application/vnd.openxmlformats-officedocument.drawingml.chart+xml"/>
  <Override PartName="/word/theme/themeOverride7.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970" w:type="dxa"/>
        <w:jc w:val="center"/>
        <w:tblLayout w:type="fixed"/>
        <w:tblLook w:val="0000" w:firstRow="0" w:lastRow="0" w:firstColumn="0" w:lastColumn="0" w:noHBand="0" w:noVBand="0"/>
      </w:tblPr>
      <w:tblGrid>
        <w:gridCol w:w="4189"/>
        <w:gridCol w:w="1516"/>
        <w:gridCol w:w="4206"/>
        <w:gridCol w:w="1059"/>
      </w:tblGrid>
      <w:tr w:rsidR="00D70666" w:rsidRPr="005A7FA3" w14:paraId="200A7998" w14:textId="77777777" w:rsidTr="00D70666">
        <w:trPr>
          <w:trHeight w:val="708"/>
          <w:jc w:val="center"/>
        </w:trPr>
        <w:tc>
          <w:tcPr>
            <w:tcW w:w="5705" w:type="dxa"/>
            <w:gridSpan w:val="2"/>
          </w:tcPr>
          <w:p w14:paraId="0EF99965" w14:textId="77777777" w:rsidR="00D70666" w:rsidRPr="005A7FA3" w:rsidRDefault="00D70666" w:rsidP="00934424">
            <w:pPr>
              <w:pStyle w:val="BodyText3"/>
              <w:jc w:val="center"/>
              <w:rPr>
                <w:rFonts w:ascii="Times New Roman" w:hAnsi="Times New Roman"/>
                <w:i w:val="0"/>
                <w:iCs/>
                <w:szCs w:val="26"/>
                <w:lang w:val="en-GB"/>
              </w:rPr>
            </w:pPr>
            <w:r w:rsidRPr="005A7FA3">
              <w:rPr>
                <w:rFonts w:ascii="Times New Roman" w:hAnsi="Times New Roman"/>
                <w:i w:val="0"/>
                <w:iCs/>
                <w:szCs w:val="26"/>
                <w:lang w:val="en-GB"/>
              </w:rPr>
              <w:t>MINISTRY OF PLANNING AND INVESTMENT</w:t>
            </w:r>
          </w:p>
          <w:p w14:paraId="187E768F" w14:textId="77777777" w:rsidR="00D70666" w:rsidRPr="005A7FA3" w:rsidRDefault="00D70666" w:rsidP="00934424">
            <w:pPr>
              <w:pStyle w:val="BodyText3"/>
              <w:jc w:val="center"/>
              <w:rPr>
                <w:rFonts w:ascii="Times New Roman" w:hAnsi="Times New Roman"/>
                <w:b/>
                <w:i w:val="0"/>
                <w:iCs/>
                <w:szCs w:val="26"/>
                <w:lang w:val="en-GB"/>
              </w:rPr>
            </w:pPr>
            <w:r w:rsidRPr="005A7FA3">
              <w:rPr>
                <w:rFonts w:ascii="Times New Roman" w:hAnsi="Times New Roman"/>
                <w:b/>
                <w:i w:val="0"/>
                <w:iCs/>
                <w:szCs w:val="26"/>
                <w:lang w:val="en-GB"/>
              </w:rPr>
              <w:t>GENERAL STATISTICS OFFICE</w:t>
            </w:r>
          </w:p>
          <w:p w14:paraId="46970EA3" w14:textId="77777777" w:rsidR="00D70666" w:rsidRPr="005A7FA3" w:rsidRDefault="00D70666" w:rsidP="00934424">
            <w:pPr>
              <w:spacing w:line="192" w:lineRule="auto"/>
              <w:jc w:val="center"/>
              <w:rPr>
                <w:b w:val="0"/>
                <w:bCs/>
                <w:i w:val="0"/>
                <w:iCs/>
                <w:snapToGrid w:val="0"/>
                <w:sz w:val="26"/>
                <w:szCs w:val="26"/>
                <w:lang w:val="en-GB"/>
              </w:rPr>
            </w:pPr>
            <w:r w:rsidRPr="005A7FA3">
              <w:rPr>
                <w:b w:val="0"/>
                <w:bCs/>
                <w:i w:val="0"/>
                <w:iCs/>
                <w:noProof/>
                <w:sz w:val="26"/>
                <w:szCs w:val="26"/>
              </w:rPr>
              <mc:AlternateContent>
                <mc:Choice Requires="wps">
                  <w:drawing>
                    <wp:anchor distT="4294967295" distB="4294967295" distL="114300" distR="114300" simplePos="0" relativeHeight="251674624" behindDoc="0" locked="0" layoutInCell="1" allowOverlap="1" wp14:anchorId="12AD3958" wp14:editId="1A7D9826">
                      <wp:simplePos x="0" y="0"/>
                      <wp:positionH relativeFrom="column">
                        <wp:posOffset>938530</wp:posOffset>
                      </wp:positionH>
                      <wp:positionV relativeFrom="paragraph">
                        <wp:posOffset>69215</wp:posOffset>
                      </wp:positionV>
                      <wp:extent cx="14859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859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3A1174" id="Straight Connector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3.9pt,5.45pt" to="190.9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" strokecolor="black [3213]">
                      <o:lock v:ext="edit" shapetype="f"/>
                    </v:line>
                  </w:pict>
                </mc:Fallback>
              </mc:AlternateContent>
            </w:r>
          </w:p>
        </w:tc>
        <w:tc>
          <w:tcPr>
            <w:tcW w:w="5265" w:type="dxa"/>
            <w:gridSpan w:val="2"/>
          </w:tcPr>
          <w:p w14:paraId="2C195005" w14:textId="77777777" w:rsidR="00D70666" w:rsidRPr="005A7FA3" w:rsidRDefault="00D70666" w:rsidP="00934424">
            <w:pPr>
              <w:pStyle w:val="BodyText3"/>
              <w:jc w:val="center"/>
              <w:rPr>
                <w:rFonts w:ascii="Times New Roman" w:hAnsi="Times New Roman"/>
                <w:b/>
                <w:i w:val="0"/>
                <w:iCs/>
                <w:lang w:val="en-GB"/>
              </w:rPr>
            </w:pPr>
            <w:r w:rsidRPr="005A7FA3">
              <w:rPr>
                <w:rFonts w:ascii="Times New Roman" w:hAnsi="Times New Roman"/>
                <w:b/>
                <w:i w:val="0"/>
                <w:iCs/>
                <w:szCs w:val="26"/>
                <w:lang w:val="en-GB"/>
              </w:rPr>
              <w:t>SOCIALIST</w:t>
            </w:r>
            <w:r w:rsidRPr="005A7FA3">
              <w:rPr>
                <w:rFonts w:ascii="Times New Roman" w:hAnsi="Times New Roman"/>
                <w:b/>
                <w:i w:val="0"/>
                <w:iCs/>
                <w:lang w:val="en-GB"/>
              </w:rPr>
              <w:t xml:space="preserve"> REPUBLIC OF VIET NAM</w:t>
            </w:r>
          </w:p>
          <w:p w14:paraId="621F8A42" w14:textId="77777777" w:rsidR="00D70666" w:rsidRPr="005A7FA3" w:rsidRDefault="00D70666" w:rsidP="00934424">
            <w:pPr>
              <w:pStyle w:val="Heading2"/>
              <w:spacing w:before="0"/>
              <w:jc w:val="center"/>
              <w:rPr>
                <w:rFonts w:ascii="Times New Roman" w:hAnsi="Times New Roman"/>
                <w:i w:val="0"/>
                <w:iCs/>
                <w:color w:val="auto"/>
                <w:lang w:val="en-GB"/>
              </w:rPr>
            </w:pPr>
            <w:r w:rsidRPr="005A7FA3">
              <w:rPr>
                <w:rFonts w:ascii="Times New Roman" w:hAnsi="Times New Roman"/>
                <w:i w:val="0"/>
                <w:iCs/>
                <w:color w:val="auto"/>
                <w:lang w:val="en-GB"/>
              </w:rPr>
              <w:t>Independence - Freedom - Happiness</w:t>
            </w:r>
          </w:p>
          <w:p w14:paraId="6F07F9E3" w14:textId="77777777" w:rsidR="00D70666" w:rsidRPr="005A7FA3" w:rsidRDefault="00D70666" w:rsidP="00934424">
            <w:pPr>
              <w:pStyle w:val="Heading5"/>
              <w:spacing w:before="0"/>
              <w:rPr>
                <w:rFonts w:ascii="Times New Roman" w:hAnsi="Times New Roman" w:cs="Times New Roman"/>
                <w:b w:val="0"/>
                <w:bCs/>
                <w:i w:val="0"/>
                <w:iCs/>
                <w:color w:val="auto"/>
                <w:sz w:val="28"/>
                <w:szCs w:val="28"/>
                <w:lang w:val="en-GB"/>
              </w:rPr>
            </w:pPr>
            <w:r w:rsidRPr="005A7FA3">
              <w:rPr>
                <w:rFonts w:ascii="Times New Roman" w:hAnsi="Times New Roman" w:cs="Times New Roman"/>
                <w:i w:val="0"/>
                <w:iCs/>
                <w:noProof/>
                <w:color w:val="auto"/>
                <w:sz w:val="28"/>
                <w:szCs w:val="28"/>
              </w:rPr>
              <mc:AlternateContent>
                <mc:Choice Requires="wps">
                  <w:drawing>
                    <wp:anchor distT="4294967295" distB="4294967295" distL="114300" distR="114300" simplePos="0" relativeHeight="251675648" behindDoc="0" locked="0" layoutInCell="1" allowOverlap="1" wp14:anchorId="5F429F9A" wp14:editId="19F1C0D2">
                      <wp:simplePos x="0" y="0"/>
                      <wp:positionH relativeFrom="column">
                        <wp:posOffset>782955</wp:posOffset>
                      </wp:positionH>
                      <wp:positionV relativeFrom="paragraph">
                        <wp:posOffset>67310</wp:posOffset>
                      </wp:positionV>
                      <wp:extent cx="2139315" cy="0"/>
                      <wp:effectExtent l="0" t="0" r="13335"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3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5CF672E" id="Straight Connector 11" o:spid="_x0000_s1026"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65pt,5.3pt" to="230.1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" strokecolor="black [3213]">
                      <o:lock v:ext="edit" shapetype="f"/>
                    </v:line>
                  </w:pict>
                </mc:Fallback>
              </mc:AlternateContent>
            </w:r>
          </w:p>
        </w:tc>
      </w:tr>
      <w:tr w:rsidR="00E42632" w:rsidRPr="0005391C" w14:paraId="2C705F7E" w14:textId="77777777" w:rsidTr="00D70666">
        <w:trPr>
          <w:gridAfter w:val="1"/>
          <w:wAfter w:w="1059" w:type="dxa"/>
          <w:trHeight w:val="454"/>
          <w:jc w:val="center"/>
        </w:trPr>
        <w:tc>
          <w:tcPr>
            <w:tcW w:w="4189" w:type="dxa"/>
          </w:tcPr>
          <w:p w14:paraId="34F81782" w14:textId="77777777" w:rsidR="00E42632" w:rsidRPr="0005391C" w:rsidRDefault="00E42632" w:rsidP="00AE75EB">
            <w:pPr>
              <w:rPr>
                <w:b w:val="0"/>
                <w:i w:val="0"/>
                <w:iCs/>
                <w:snapToGrid w:val="0"/>
                <w:szCs w:val="26"/>
                <w:lang w:val="en-GB"/>
              </w:rPr>
            </w:pPr>
            <w:bookmarkStart w:id="0" w:name="_Hlk45022207"/>
          </w:p>
        </w:tc>
        <w:tc>
          <w:tcPr>
            <w:tcW w:w="5722" w:type="dxa"/>
            <w:gridSpan w:val="2"/>
          </w:tcPr>
          <w:p w14:paraId="2CAAB862" w14:textId="4BDEC902" w:rsidR="00E42632" w:rsidRPr="0005391C" w:rsidRDefault="00B00857" w:rsidP="00D70666">
            <w:pPr>
              <w:pStyle w:val="Heading4"/>
              <w:spacing w:before="0"/>
              <w:jc w:val="right"/>
              <w:rPr>
                <w:rFonts w:ascii="Times New Roman" w:hAnsi="Times New Roman"/>
                <w:i/>
                <w:snapToGrid w:val="0"/>
                <w:color w:val="auto"/>
                <w:sz w:val="26"/>
                <w:szCs w:val="28"/>
                <w:lang w:val="en-GB"/>
              </w:rPr>
            </w:pPr>
            <w:r w:rsidRPr="0005391C">
              <w:rPr>
                <w:rFonts w:ascii="Times New Roman" w:hAnsi="Times New Roman"/>
                <w:i/>
                <w:color w:val="auto"/>
                <w:sz w:val="26"/>
                <w:szCs w:val="28"/>
                <w:lang w:val="en-GB"/>
              </w:rPr>
              <w:t>Ha Noi, October 12, 2021</w:t>
            </w:r>
          </w:p>
        </w:tc>
      </w:tr>
    </w:tbl>
    <w:p w14:paraId="6729BA70" w14:textId="32225FAD" w:rsidR="005C6920" w:rsidRPr="0005391C" w:rsidRDefault="00B00857" w:rsidP="00AE75EB">
      <w:pPr>
        <w:spacing w:before="80" w:after="80"/>
        <w:jc w:val="center"/>
        <w:rPr>
          <w:rFonts w:asciiTheme="minorHAnsi" w:hAnsiTheme="minorHAnsi"/>
          <w:i w:val="0"/>
          <w:spacing w:val="-6"/>
          <w:sz w:val="26"/>
          <w:szCs w:val="28"/>
          <w:lang w:val="en-GB"/>
        </w:rPr>
      </w:pPr>
      <w:bookmarkStart w:id="1" w:name="_Hlk35690362"/>
      <w:bookmarkStart w:id="2" w:name="_Hlk35690343"/>
      <w:bookmarkEnd w:id="0"/>
      <w:r w:rsidRPr="0005391C">
        <w:rPr>
          <w:rFonts w:ascii="Times New Roman Bold" w:hAnsi="Times New Roman Bold"/>
          <w:i w:val="0"/>
          <w:spacing w:val="-6"/>
          <w:sz w:val="26"/>
          <w:szCs w:val="28"/>
          <w:lang w:val="en-GB"/>
        </w:rPr>
        <w:t xml:space="preserve">REPORT ON THE </w:t>
      </w:r>
      <w:r w:rsidR="007A7FD7" w:rsidRPr="0005391C">
        <w:rPr>
          <w:rFonts w:ascii="Times New Roman Bold" w:hAnsi="Times New Roman Bold"/>
          <w:i w:val="0"/>
          <w:spacing w:val="-6"/>
          <w:sz w:val="26"/>
          <w:szCs w:val="28"/>
          <w:lang w:val="en-GB"/>
        </w:rPr>
        <w:t>COVID-19</w:t>
      </w:r>
      <w:r w:rsidRPr="0005391C">
        <w:rPr>
          <w:rFonts w:ascii="Times New Roman Bold" w:hAnsi="Times New Roman Bold"/>
          <w:i w:val="0"/>
          <w:spacing w:val="-6"/>
          <w:sz w:val="26"/>
          <w:szCs w:val="28"/>
          <w:lang w:val="en-GB"/>
        </w:rPr>
        <w:t xml:space="preserve"> IMPACTS ON LABOUR AND EMPLOYMENT SITUATION IN THE THIRD QUARTER OF 2021</w:t>
      </w:r>
      <w:r w:rsidR="005C6920" w:rsidRPr="0005391C">
        <w:rPr>
          <w:rStyle w:val="FootnoteReference"/>
          <w:rFonts w:ascii="Times New Roman Bold" w:hAnsi="Times New Roman Bold"/>
          <w:i w:val="0"/>
          <w:spacing w:val="-6"/>
          <w:sz w:val="26"/>
          <w:szCs w:val="28"/>
          <w:lang w:val="en-GB"/>
        </w:rPr>
        <w:footnoteReference w:id="1"/>
      </w:r>
    </w:p>
    <w:p w14:paraId="46E2459C" w14:textId="77777777" w:rsidR="005C6920" w:rsidRPr="0005391C" w:rsidRDefault="005C6920" w:rsidP="00AE75EB">
      <w:pPr>
        <w:jc w:val="center"/>
        <w:rPr>
          <w:i w:val="0"/>
          <w:sz w:val="26"/>
          <w:szCs w:val="28"/>
          <w:lang w:val="en-GB"/>
        </w:rPr>
      </w:pPr>
      <w:r w:rsidRPr="0005391C">
        <w:rPr>
          <w:i w:val="0"/>
          <w:noProof/>
          <w:sz w:val="22"/>
          <w:szCs w:val="26"/>
        </w:rPr>
        <mc:AlternateContent>
          <mc:Choice Requires="wps">
            <w:drawing>
              <wp:anchor distT="4294967291" distB="4294967291" distL="114300" distR="114300" simplePos="0" relativeHeight="251662336" behindDoc="0" locked="0" layoutInCell="1" allowOverlap="1" wp14:anchorId="6C02A34A" wp14:editId="3C3F3C67">
                <wp:simplePos x="0" y="0"/>
                <wp:positionH relativeFrom="column">
                  <wp:posOffset>2258695</wp:posOffset>
                </wp:positionH>
                <wp:positionV relativeFrom="paragraph">
                  <wp:posOffset>40004</wp:posOffset>
                </wp:positionV>
                <wp:extent cx="1295400" cy="0"/>
                <wp:effectExtent l="0" t="0" r="19050" b="19050"/>
                <wp:wrapNone/>
                <wp:docPr id="2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658A63" id="_x0000_t32" coordsize="21600,21600" o:spt="32" o:oned="t" path="m,l21600,21600e" filled="f">
                <v:path arrowok="t" fillok="f" o:connecttype="none"/>
                <o:lock v:ext="edit" shapetype="t"/>
              </v:shapetype>
              <v:shape id="AutoShape 3" o:spid="_x0000_s1026" type="#_x0000_t32" style="position:absolute;margin-left:177.85pt;margin-top:3.15pt;width:102pt;height:0;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yN+HwIAADw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"/>
            </w:pict>
          </mc:Fallback>
        </mc:AlternateContent>
      </w:r>
    </w:p>
    <w:p w14:paraId="7195533A" w14:textId="3F133645" w:rsidR="005C6920" w:rsidRPr="0005391C" w:rsidRDefault="00B00857" w:rsidP="00AE75EB">
      <w:pPr>
        <w:numPr>
          <w:ilvl w:val="0"/>
          <w:numId w:val="21"/>
        </w:numPr>
        <w:spacing w:before="120" w:after="120"/>
        <w:ind w:left="1077" w:hanging="357"/>
        <w:jc w:val="both"/>
        <w:rPr>
          <w:rFonts w:eastAsia="Calibri"/>
          <w:i w:val="0"/>
          <w:sz w:val="26"/>
          <w:szCs w:val="28"/>
          <w:lang w:val="en-GB"/>
        </w:rPr>
      </w:pPr>
      <w:bookmarkStart w:id="3" w:name="OLE_LINK19"/>
      <w:bookmarkStart w:id="4" w:name="OLE_LINK20"/>
      <w:r w:rsidRPr="0005391C">
        <w:rPr>
          <w:rFonts w:eastAsia="Calibri"/>
          <w:i w:val="0"/>
          <w:sz w:val="26"/>
          <w:szCs w:val="28"/>
          <w:lang w:val="en-GB"/>
        </w:rPr>
        <w:t>International and national economic contexts</w:t>
      </w:r>
    </w:p>
    <w:p w14:paraId="68309FCE" w14:textId="60BF8104" w:rsidR="00B00857" w:rsidRPr="0005391C" w:rsidRDefault="00B00857" w:rsidP="00CB2AFD">
      <w:pPr>
        <w:overflowPunct w:val="0"/>
        <w:autoSpaceDE w:val="0"/>
        <w:autoSpaceDN w:val="0"/>
        <w:adjustRightInd w:val="0"/>
        <w:spacing w:before="120" w:after="120" w:line="288" w:lineRule="auto"/>
        <w:ind w:firstLine="709"/>
        <w:jc w:val="both"/>
        <w:rPr>
          <w:rFonts w:eastAsia="Calibri"/>
          <w:b w:val="0"/>
          <w:i w:val="0"/>
          <w:sz w:val="26"/>
          <w:szCs w:val="28"/>
          <w:lang w:val="en-GB"/>
        </w:rPr>
      </w:pPr>
      <w:bookmarkStart w:id="5" w:name="OLE_LINK8"/>
      <w:bookmarkStart w:id="6" w:name="OLE_LINK10"/>
      <w:r w:rsidRPr="0005391C">
        <w:rPr>
          <w:rFonts w:eastAsia="Calibri"/>
          <w:b w:val="0"/>
          <w:i w:val="0"/>
          <w:sz w:val="26"/>
          <w:szCs w:val="28"/>
          <w:lang w:val="en-GB"/>
        </w:rPr>
        <w:t xml:space="preserve">In the third quarter of 2021, the world economy </w:t>
      </w:r>
      <w:r w:rsidR="0050784A" w:rsidRPr="0005391C">
        <w:rPr>
          <w:rFonts w:eastAsia="Calibri"/>
          <w:b w:val="0"/>
          <w:i w:val="0"/>
          <w:sz w:val="26"/>
          <w:szCs w:val="28"/>
          <w:lang w:val="en-GB"/>
        </w:rPr>
        <w:t xml:space="preserve">continue its momentum of recovery </w:t>
      </w:r>
      <w:r w:rsidR="00CB6862" w:rsidRPr="0005391C">
        <w:rPr>
          <w:rFonts w:eastAsia="Calibri"/>
          <w:b w:val="0"/>
          <w:i w:val="0"/>
          <w:sz w:val="26"/>
          <w:szCs w:val="28"/>
          <w:lang w:val="en-GB"/>
        </w:rPr>
        <w:t>following</w:t>
      </w:r>
      <w:r w:rsidRPr="0005391C">
        <w:rPr>
          <w:rFonts w:eastAsia="Calibri"/>
          <w:b w:val="0"/>
          <w:i w:val="0"/>
          <w:sz w:val="26"/>
          <w:szCs w:val="28"/>
          <w:lang w:val="en-GB"/>
        </w:rPr>
        <w:t xml:space="preserve"> heavy losses caused by the Covid-19 pandemic.</w:t>
      </w:r>
      <w:r w:rsidR="00466218" w:rsidRPr="0005391C">
        <w:rPr>
          <w:rFonts w:eastAsia="Calibri"/>
          <w:b w:val="0"/>
          <w:i w:val="0"/>
          <w:sz w:val="26"/>
          <w:szCs w:val="28"/>
          <w:lang w:val="en-GB"/>
        </w:rPr>
        <w:t xml:space="preserve"> The International Monetary Fund (IMF) expects global economic growth in 2021 to fall below 6%</w:t>
      </w:r>
      <w:r w:rsidR="00960162" w:rsidRPr="0005391C">
        <w:rPr>
          <w:rFonts w:eastAsia="Calibri"/>
          <w:b w:val="0"/>
          <w:i w:val="0"/>
          <w:sz w:val="26"/>
          <w:szCs w:val="28"/>
          <w:lang w:val="en-GB"/>
        </w:rPr>
        <w:t xml:space="preserve"> as </w:t>
      </w:r>
      <w:r w:rsidR="00CB6862" w:rsidRPr="0005391C">
        <w:rPr>
          <w:rFonts w:eastAsia="Calibri"/>
          <w:b w:val="0"/>
          <w:i w:val="0"/>
          <w:sz w:val="26"/>
          <w:szCs w:val="28"/>
          <w:lang w:val="en-GB"/>
        </w:rPr>
        <w:t xml:space="preserve">already </w:t>
      </w:r>
      <w:r w:rsidR="00960162" w:rsidRPr="0005391C">
        <w:rPr>
          <w:rFonts w:eastAsia="Calibri"/>
          <w:b w:val="0"/>
          <w:i w:val="0"/>
          <w:sz w:val="26"/>
          <w:szCs w:val="28"/>
          <w:lang w:val="en-GB"/>
        </w:rPr>
        <w:t>forecast</w:t>
      </w:r>
      <w:r w:rsidR="00CB6862" w:rsidRPr="0005391C">
        <w:rPr>
          <w:rFonts w:eastAsia="Calibri"/>
          <w:b w:val="0"/>
          <w:i w:val="0"/>
          <w:sz w:val="26"/>
          <w:szCs w:val="28"/>
          <w:lang w:val="en-GB"/>
        </w:rPr>
        <w:t>ed</w:t>
      </w:r>
      <w:r w:rsidR="00960162" w:rsidRPr="0005391C">
        <w:rPr>
          <w:rFonts w:eastAsia="Calibri"/>
          <w:b w:val="0"/>
          <w:i w:val="0"/>
          <w:sz w:val="26"/>
          <w:szCs w:val="28"/>
          <w:lang w:val="en-GB"/>
        </w:rPr>
        <w:t xml:space="preserve"> in July.</w:t>
      </w:r>
      <w:r w:rsidR="00466218" w:rsidRPr="0005391C">
        <w:rPr>
          <w:rStyle w:val="FootnoteReference"/>
          <w:rFonts w:eastAsia="Calibri"/>
          <w:b w:val="0"/>
          <w:i w:val="0"/>
          <w:sz w:val="26"/>
          <w:szCs w:val="28"/>
          <w:lang w:val="en-GB"/>
        </w:rPr>
        <w:footnoteReference w:id="2"/>
      </w:r>
      <w:r w:rsidRPr="0005391C">
        <w:rPr>
          <w:rFonts w:eastAsia="Calibri"/>
          <w:b w:val="0"/>
          <w:i w:val="0"/>
          <w:sz w:val="26"/>
          <w:szCs w:val="28"/>
          <w:lang w:val="en-GB"/>
        </w:rPr>
        <w:t xml:space="preserve"> However, in Southeast Asia, GDP growth is forecasted</w:t>
      </w:r>
      <w:r w:rsidR="00466218" w:rsidRPr="0005391C">
        <w:rPr>
          <w:rStyle w:val="FootnoteReference"/>
          <w:rFonts w:eastAsia="Calibri"/>
          <w:b w:val="0"/>
          <w:i w:val="0"/>
          <w:sz w:val="26"/>
          <w:szCs w:val="28"/>
          <w:lang w:val="en-GB"/>
        </w:rPr>
        <w:footnoteReference w:id="3"/>
      </w:r>
      <w:r w:rsidRPr="0005391C">
        <w:rPr>
          <w:rFonts w:eastAsia="Calibri"/>
          <w:b w:val="0"/>
          <w:i w:val="0"/>
          <w:sz w:val="26"/>
          <w:szCs w:val="28"/>
          <w:lang w:val="en-GB"/>
        </w:rPr>
        <w:t xml:space="preserve"> by ADB at 3.1% in 2021, down from</w:t>
      </w:r>
      <w:r w:rsidR="00960162" w:rsidRPr="0005391C">
        <w:rPr>
          <w:rFonts w:eastAsia="Calibri"/>
          <w:b w:val="0"/>
          <w:i w:val="0"/>
          <w:sz w:val="26"/>
          <w:szCs w:val="28"/>
          <w:lang w:val="en-GB"/>
        </w:rPr>
        <w:t xml:space="preserve"> the forecasted</w:t>
      </w:r>
      <w:r w:rsidRPr="0005391C">
        <w:rPr>
          <w:rFonts w:eastAsia="Calibri"/>
          <w:b w:val="0"/>
          <w:i w:val="0"/>
          <w:sz w:val="26"/>
          <w:szCs w:val="28"/>
          <w:lang w:val="en-GB"/>
        </w:rPr>
        <w:t xml:space="preserve"> 4.4% in April 2021 </w:t>
      </w:r>
      <w:r w:rsidR="00466218" w:rsidRPr="0005391C">
        <w:rPr>
          <w:rFonts w:eastAsia="Calibri"/>
          <w:b w:val="0"/>
          <w:i w:val="0"/>
          <w:sz w:val="26"/>
          <w:szCs w:val="28"/>
          <w:lang w:val="en-GB"/>
        </w:rPr>
        <w:t>as the region is still dealing with the highly contagious Delta variant</w:t>
      </w:r>
      <w:r w:rsidR="001D421F" w:rsidRPr="0005391C">
        <w:rPr>
          <w:rFonts w:eastAsia="Calibri"/>
          <w:b w:val="0"/>
          <w:i w:val="0"/>
          <w:sz w:val="26"/>
          <w:szCs w:val="28"/>
          <w:lang w:val="en-GB"/>
        </w:rPr>
        <w:t>.</w:t>
      </w:r>
    </w:p>
    <w:p w14:paraId="324ABAE0" w14:textId="29AB17EA" w:rsidR="00C86E43" w:rsidRPr="00CB2AFD" w:rsidRDefault="00C86E43" w:rsidP="00CB2AFD">
      <w:pPr>
        <w:overflowPunct w:val="0"/>
        <w:autoSpaceDE w:val="0"/>
        <w:autoSpaceDN w:val="0"/>
        <w:adjustRightInd w:val="0"/>
        <w:spacing w:before="120" w:after="120" w:line="288" w:lineRule="auto"/>
        <w:ind w:firstLine="709"/>
        <w:jc w:val="both"/>
        <w:rPr>
          <w:rFonts w:eastAsia="Calibri"/>
          <w:b w:val="0"/>
          <w:i w:val="0"/>
          <w:spacing w:val="-4"/>
          <w:sz w:val="26"/>
          <w:szCs w:val="28"/>
          <w:lang w:val="en-GB"/>
        </w:rPr>
      </w:pPr>
      <w:r w:rsidRPr="00CB2AFD">
        <w:rPr>
          <w:rFonts w:eastAsia="Calibri"/>
          <w:b w:val="0"/>
          <w:i w:val="0"/>
          <w:spacing w:val="-4"/>
          <w:sz w:val="26"/>
          <w:szCs w:val="28"/>
          <w:lang w:val="en-GB"/>
        </w:rPr>
        <w:t xml:space="preserve">The International </w:t>
      </w:r>
      <w:r w:rsidR="005D4523" w:rsidRPr="00CB2AFD">
        <w:rPr>
          <w:rFonts w:eastAsia="Calibri"/>
          <w:b w:val="0"/>
          <w:i w:val="0"/>
          <w:spacing w:val="-4"/>
          <w:sz w:val="26"/>
          <w:szCs w:val="28"/>
          <w:lang w:val="en-GB"/>
        </w:rPr>
        <w:t>Labour</w:t>
      </w:r>
      <w:r w:rsidRPr="00CB2AFD">
        <w:rPr>
          <w:rFonts w:eastAsia="Calibri"/>
          <w:b w:val="0"/>
          <w:i w:val="0"/>
          <w:spacing w:val="-4"/>
          <w:sz w:val="26"/>
          <w:szCs w:val="28"/>
          <w:lang w:val="en-GB"/>
        </w:rPr>
        <w:t xml:space="preserve"> Organization (ILO) estimates the global unemployment rate in 2022</w:t>
      </w:r>
      <w:r w:rsidR="00466218" w:rsidRPr="00CB2AFD">
        <w:rPr>
          <w:rStyle w:val="FootnoteReference"/>
          <w:rFonts w:eastAsia="Calibri"/>
          <w:b w:val="0"/>
          <w:i w:val="0"/>
          <w:spacing w:val="-4"/>
          <w:sz w:val="26"/>
          <w:szCs w:val="28"/>
          <w:lang w:val="en-GB"/>
        </w:rPr>
        <w:footnoteReference w:id="4"/>
      </w:r>
      <w:r w:rsidRPr="00CB2AFD">
        <w:rPr>
          <w:rFonts w:eastAsia="Calibri"/>
          <w:b w:val="0"/>
          <w:i w:val="0"/>
          <w:spacing w:val="-4"/>
          <w:sz w:val="26"/>
          <w:szCs w:val="28"/>
          <w:lang w:val="en-GB"/>
        </w:rPr>
        <w:t xml:space="preserve"> to be 5.7%,</w:t>
      </w:r>
      <w:r w:rsidR="00525006" w:rsidRPr="00CB2AFD">
        <w:rPr>
          <w:rFonts w:eastAsia="Calibri"/>
          <w:b w:val="0"/>
          <w:i w:val="0"/>
          <w:spacing w:val="-4"/>
          <w:sz w:val="26"/>
          <w:szCs w:val="28"/>
          <w:lang w:val="en-GB"/>
        </w:rPr>
        <w:t xml:space="preserve"> or</w:t>
      </w:r>
      <w:r w:rsidRPr="00CB2AFD">
        <w:rPr>
          <w:rFonts w:eastAsia="Calibri"/>
          <w:b w:val="0"/>
          <w:i w:val="0"/>
          <w:spacing w:val="-4"/>
          <w:sz w:val="26"/>
          <w:szCs w:val="28"/>
          <w:lang w:val="en-GB"/>
        </w:rPr>
        <w:t xml:space="preserve"> equivalent to 205 million unemployed people, surpassing 187 million people in 2019. ILO also forecasts</w:t>
      </w:r>
      <w:r w:rsidR="002B1C86" w:rsidRPr="00CB2AFD">
        <w:rPr>
          <w:rStyle w:val="FootnoteReference"/>
          <w:rFonts w:eastAsia="Calibri"/>
          <w:b w:val="0"/>
          <w:i w:val="0"/>
          <w:spacing w:val="-4"/>
          <w:sz w:val="26"/>
          <w:szCs w:val="28"/>
          <w:lang w:val="en-GB"/>
        </w:rPr>
        <w:footnoteReference w:id="5"/>
      </w:r>
      <w:r w:rsidRPr="00CB2AFD">
        <w:rPr>
          <w:rFonts w:eastAsia="Calibri"/>
          <w:b w:val="0"/>
          <w:i w:val="0"/>
          <w:spacing w:val="-4"/>
          <w:sz w:val="26"/>
          <w:szCs w:val="28"/>
          <w:lang w:val="en-GB"/>
        </w:rPr>
        <w:t xml:space="preserve"> that employment in the ASEAN region will </w:t>
      </w:r>
      <w:r w:rsidR="00960162" w:rsidRPr="00CB2AFD">
        <w:rPr>
          <w:rFonts w:eastAsia="Calibri"/>
          <w:b w:val="0"/>
          <w:i w:val="0"/>
          <w:spacing w:val="-4"/>
          <w:sz w:val="26"/>
          <w:szCs w:val="28"/>
          <w:lang w:val="en-GB"/>
        </w:rPr>
        <w:t xml:space="preserve">experience the slow </w:t>
      </w:r>
      <w:r w:rsidRPr="00CB2AFD">
        <w:rPr>
          <w:rFonts w:eastAsia="Calibri"/>
          <w:b w:val="0"/>
          <w:i w:val="0"/>
          <w:spacing w:val="-4"/>
          <w:sz w:val="26"/>
          <w:szCs w:val="28"/>
          <w:lang w:val="en-GB"/>
        </w:rPr>
        <w:t>recover</w:t>
      </w:r>
      <w:r w:rsidR="00960162" w:rsidRPr="00CB2AFD">
        <w:rPr>
          <w:rFonts w:eastAsia="Calibri"/>
          <w:b w:val="0"/>
          <w:i w:val="0"/>
          <w:spacing w:val="-4"/>
          <w:sz w:val="26"/>
          <w:szCs w:val="28"/>
          <w:lang w:val="en-GB"/>
        </w:rPr>
        <w:t xml:space="preserve">y </w:t>
      </w:r>
      <w:r w:rsidRPr="00CB2AFD">
        <w:rPr>
          <w:rFonts w:eastAsia="Calibri"/>
          <w:b w:val="0"/>
          <w:i w:val="0"/>
          <w:spacing w:val="-4"/>
          <w:sz w:val="26"/>
          <w:szCs w:val="28"/>
          <w:lang w:val="en-GB"/>
        </w:rPr>
        <w:t xml:space="preserve">due to the severe impact of the </w:t>
      </w:r>
      <w:r w:rsidR="007A7FD7" w:rsidRPr="00CB2AFD">
        <w:rPr>
          <w:rFonts w:eastAsia="Calibri"/>
          <w:b w:val="0"/>
          <w:i w:val="0"/>
          <w:spacing w:val="-4"/>
          <w:sz w:val="26"/>
          <w:szCs w:val="28"/>
          <w:lang w:val="en-GB"/>
        </w:rPr>
        <w:t>Covid-19</w:t>
      </w:r>
      <w:r w:rsidRPr="00CB2AFD">
        <w:rPr>
          <w:rFonts w:eastAsia="Calibri"/>
          <w:b w:val="0"/>
          <w:i w:val="0"/>
          <w:spacing w:val="-4"/>
          <w:sz w:val="26"/>
          <w:szCs w:val="28"/>
          <w:lang w:val="en-GB"/>
        </w:rPr>
        <w:t xml:space="preserve"> pandemic. The ongoing Covid-19 pandemic has caused a loss of over 7% of the working time of workers in the ASEAN region. It is forecast</w:t>
      </w:r>
      <w:r w:rsidR="00FC2F1A" w:rsidRPr="00CB2AFD">
        <w:rPr>
          <w:rFonts w:eastAsia="Calibri"/>
          <w:b w:val="0"/>
          <w:i w:val="0"/>
          <w:spacing w:val="-4"/>
          <w:sz w:val="26"/>
          <w:szCs w:val="28"/>
          <w:lang w:val="en-GB"/>
        </w:rPr>
        <w:t>ed</w:t>
      </w:r>
      <w:r w:rsidRPr="00CB2AFD">
        <w:rPr>
          <w:rFonts w:eastAsia="Calibri"/>
          <w:b w:val="0"/>
          <w:i w:val="0"/>
          <w:spacing w:val="-4"/>
          <w:sz w:val="26"/>
          <w:szCs w:val="28"/>
          <w:lang w:val="en-GB"/>
        </w:rPr>
        <w:t xml:space="preserve"> that the ongoing wave of</w:t>
      </w:r>
      <w:r w:rsidR="00E03909" w:rsidRPr="00CB2AFD">
        <w:rPr>
          <w:rFonts w:eastAsia="Calibri"/>
          <w:b w:val="0"/>
          <w:i w:val="0"/>
          <w:spacing w:val="-4"/>
          <w:sz w:val="26"/>
          <w:szCs w:val="28"/>
          <w:lang w:val="en-GB"/>
        </w:rPr>
        <w:t xml:space="preserve"> Covid-19 pan</w:t>
      </w:r>
      <w:r w:rsidRPr="00CB2AFD">
        <w:rPr>
          <w:rFonts w:eastAsia="Calibri"/>
          <w:b w:val="0"/>
          <w:i w:val="0"/>
          <w:spacing w:val="-4"/>
          <w:sz w:val="26"/>
          <w:szCs w:val="28"/>
          <w:lang w:val="en-GB"/>
        </w:rPr>
        <w:t xml:space="preserve">demic will make the </w:t>
      </w:r>
      <w:r w:rsidR="005D4523" w:rsidRPr="00CB2AFD">
        <w:rPr>
          <w:rFonts w:eastAsia="Calibri"/>
          <w:b w:val="0"/>
          <w:i w:val="0"/>
          <w:spacing w:val="-4"/>
          <w:sz w:val="26"/>
          <w:szCs w:val="28"/>
          <w:lang w:val="en-GB"/>
        </w:rPr>
        <w:t>labour</w:t>
      </w:r>
      <w:r w:rsidRPr="00CB2AFD">
        <w:rPr>
          <w:rFonts w:eastAsia="Calibri"/>
          <w:b w:val="0"/>
          <w:i w:val="0"/>
          <w:spacing w:val="-4"/>
          <w:sz w:val="26"/>
          <w:szCs w:val="28"/>
          <w:lang w:val="en-GB"/>
        </w:rPr>
        <w:t xml:space="preserve"> market in the second half of 2021 in this region continue to deteriorate further.</w:t>
      </w:r>
    </w:p>
    <w:p w14:paraId="6A094A7F" w14:textId="0AD5212F" w:rsidR="00E03909" w:rsidRPr="0005391C" w:rsidRDefault="00E03909" w:rsidP="00CB2AFD">
      <w:pPr>
        <w:spacing w:before="40" w:after="40" w:line="288" w:lineRule="auto"/>
        <w:ind w:firstLine="567"/>
        <w:jc w:val="both"/>
        <w:rPr>
          <w:b w:val="0"/>
          <w:i w:val="0"/>
          <w:spacing w:val="-4"/>
          <w:sz w:val="26"/>
          <w:szCs w:val="28"/>
          <w:lang w:val="en-GB"/>
        </w:rPr>
      </w:pPr>
      <w:r w:rsidRPr="0005391C">
        <w:rPr>
          <w:b w:val="0"/>
          <w:i w:val="0"/>
          <w:spacing w:val="-4"/>
          <w:sz w:val="26"/>
          <w:szCs w:val="28"/>
          <w:lang w:val="en-GB"/>
        </w:rPr>
        <w:t>In the national context, building on the results achieved in 2020, Viet Nam</w:t>
      </w:r>
      <w:r w:rsidR="007A7FD7" w:rsidRPr="0005391C">
        <w:rPr>
          <w:b w:val="0"/>
          <w:i w:val="0"/>
          <w:spacing w:val="-4"/>
          <w:sz w:val="26"/>
          <w:szCs w:val="28"/>
          <w:lang w:val="en-GB"/>
        </w:rPr>
        <w:t>’</w:t>
      </w:r>
      <w:r w:rsidRPr="0005391C">
        <w:rPr>
          <w:b w:val="0"/>
          <w:i w:val="0"/>
          <w:spacing w:val="-4"/>
          <w:sz w:val="26"/>
          <w:szCs w:val="28"/>
          <w:lang w:val="en-GB"/>
        </w:rPr>
        <w:t>s macro-economy continued to be stable and started to prosper in the first months of 2021. However, the wave of Covid-19 pandemic that broke out at the end of April</w:t>
      </w:r>
      <w:r w:rsidR="00657DA9" w:rsidRPr="0005391C">
        <w:rPr>
          <w:b w:val="0"/>
          <w:i w:val="0"/>
          <w:spacing w:val="-4"/>
          <w:sz w:val="26"/>
          <w:szCs w:val="28"/>
          <w:lang w:val="en-GB"/>
        </w:rPr>
        <w:t>,</w:t>
      </w:r>
      <w:r w:rsidRPr="0005391C">
        <w:rPr>
          <w:b w:val="0"/>
          <w:i w:val="0"/>
          <w:spacing w:val="-4"/>
          <w:sz w:val="26"/>
          <w:szCs w:val="28"/>
          <w:lang w:val="en-GB"/>
        </w:rPr>
        <w:t xml:space="preserve"> with a new fast-spreading variant that has resulted in dangerous and complicated developments in many provinces, especially in</w:t>
      </w:r>
      <w:r w:rsidR="007E1E95" w:rsidRPr="0005391C">
        <w:rPr>
          <w:b w:val="0"/>
          <w:i w:val="0"/>
          <w:spacing w:val="-4"/>
          <w:sz w:val="26"/>
          <w:szCs w:val="28"/>
          <w:lang w:val="en-GB"/>
        </w:rPr>
        <w:t xml:space="preserve"> those with</w:t>
      </w:r>
      <w:r w:rsidRPr="0005391C">
        <w:rPr>
          <w:b w:val="0"/>
          <w:i w:val="0"/>
          <w:spacing w:val="-4"/>
          <w:sz w:val="26"/>
          <w:szCs w:val="28"/>
          <w:lang w:val="en-GB"/>
        </w:rPr>
        <w:t xml:space="preserve"> key economic zones</w:t>
      </w:r>
      <w:r w:rsidR="00657DA9" w:rsidRPr="0005391C">
        <w:rPr>
          <w:b w:val="0"/>
          <w:i w:val="0"/>
          <w:spacing w:val="-4"/>
          <w:sz w:val="26"/>
          <w:szCs w:val="28"/>
          <w:lang w:val="en-GB"/>
        </w:rPr>
        <w:t>,</w:t>
      </w:r>
      <w:r w:rsidRPr="0005391C">
        <w:rPr>
          <w:b w:val="0"/>
          <w:i w:val="0"/>
          <w:spacing w:val="-4"/>
          <w:sz w:val="26"/>
          <w:szCs w:val="28"/>
          <w:lang w:val="en-GB"/>
        </w:rPr>
        <w:t xml:space="preserve"> has seriously affected the health and lives of people and </w:t>
      </w:r>
      <w:r w:rsidR="00CB6862" w:rsidRPr="0005391C">
        <w:rPr>
          <w:b w:val="0"/>
          <w:i w:val="0"/>
          <w:spacing w:val="-4"/>
          <w:sz w:val="26"/>
          <w:szCs w:val="28"/>
          <w:lang w:val="en-GB"/>
        </w:rPr>
        <w:t>disrupted the</w:t>
      </w:r>
      <w:r w:rsidR="0078651D" w:rsidRPr="0005391C">
        <w:rPr>
          <w:b w:val="0"/>
          <w:i w:val="0"/>
          <w:spacing w:val="-4"/>
          <w:sz w:val="26"/>
          <w:szCs w:val="28"/>
          <w:lang w:val="en-GB"/>
        </w:rPr>
        <w:t xml:space="preserve"> </w:t>
      </w:r>
      <w:r w:rsidRPr="0005391C">
        <w:rPr>
          <w:b w:val="0"/>
          <w:i w:val="0"/>
          <w:spacing w:val="-4"/>
          <w:sz w:val="26"/>
          <w:szCs w:val="28"/>
          <w:lang w:val="en-GB"/>
        </w:rPr>
        <w:t xml:space="preserve">production and business operations. Gross domestic product (GDP) in the third quarter of 2021 was estimated to decrease by 6.17% over the same period last year, the deepest </w:t>
      </w:r>
      <w:r w:rsidR="00CB6862" w:rsidRPr="0005391C">
        <w:rPr>
          <w:b w:val="0"/>
          <w:i w:val="0"/>
          <w:spacing w:val="-4"/>
          <w:sz w:val="26"/>
          <w:szCs w:val="28"/>
          <w:lang w:val="en-GB"/>
        </w:rPr>
        <w:t>decline</w:t>
      </w:r>
      <w:r w:rsidRPr="0005391C">
        <w:rPr>
          <w:b w:val="0"/>
          <w:i w:val="0"/>
          <w:spacing w:val="-4"/>
          <w:sz w:val="26"/>
          <w:szCs w:val="28"/>
          <w:lang w:val="en-GB"/>
        </w:rPr>
        <w:t xml:space="preserve"> </w:t>
      </w:r>
      <w:r w:rsidR="0078651D" w:rsidRPr="0005391C">
        <w:rPr>
          <w:b w:val="0"/>
          <w:i w:val="0"/>
          <w:spacing w:val="-4"/>
          <w:sz w:val="26"/>
          <w:szCs w:val="28"/>
          <w:lang w:val="en-GB"/>
        </w:rPr>
        <w:t>since Viet N</w:t>
      </w:r>
      <w:r w:rsidRPr="0005391C">
        <w:rPr>
          <w:b w:val="0"/>
          <w:i w:val="0"/>
          <w:spacing w:val="-4"/>
          <w:sz w:val="26"/>
          <w:szCs w:val="28"/>
          <w:lang w:val="en-GB"/>
        </w:rPr>
        <w:t xml:space="preserve">am </w:t>
      </w:r>
      <w:r w:rsidR="00E40A4D" w:rsidRPr="0005391C">
        <w:rPr>
          <w:b w:val="0"/>
          <w:i w:val="0"/>
          <w:spacing w:val="-4"/>
          <w:sz w:val="26"/>
          <w:szCs w:val="28"/>
          <w:lang w:val="en-GB"/>
        </w:rPr>
        <w:t xml:space="preserve">started to </w:t>
      </w:r>
      <w:r w:rsidRPr="0005391C">
        <w:rPr>
          <w:b w:val="0"/>
          <w:i w:val="0"/>
          <w:spacing w:val="-4"/>
          <w:sz w:val="26"/>
          <w:szCs w:val="28"/>
          <w:lang w:val="en-GB"/>
        </w:rPr>
        <w:t xml:space="preserve">calculate and </w:t>
      </w:r>
      <w:r w:rsidR="00E40A4D" w:rsidRPr="0005391C">
        <w:rPr>
          <w:b w:val="0"/>
          <w:i w:val="0"/>
          <w:spacing w:val="-4"/>
          <w:sz w:val="26"/>
          <w:szCs w:val="28"/>
          <w:lang w:val="en-GB"/>
        </w:rPr>
        <w:t>publish</w:t>
      </w:r>
      <w:r w:rsidR="0078651D" w:rsidRPr="0005391C">
        <w:rPr>
          <w:b w:val="0"/>
          <w:i w:val="0"/>
          <w:spacing w:val="-4"/>
          <w:sz w:val="26"/>
          <w:szCs w:val="28"/>
          <w:lang w:val="en-GB"/>
        </w:rPr>
        <w:t xml:space="preserve"> its</w:t>
      </w:r>
      <w:r w:rsidRPr="0005391C">
        <w:rPr>
          <w:b w:val="0"/>
          <w:i w:val="0"/>
          <w:spacing w:val="-4"/>
          <w:sz w:val="26"/>
          <w:szCs w:val="28"/>
          <w:lang w:val="en-GB"/>
        </w:rPr>
        <w:t xml:space="preserve"> quarterly GDP. The </w:t>
      </w:r>
      <w:r w:rsidR="005D4523" w:rsidRPr="0005391C">
        <w:rPr>
          <w:b w:val="0"/>
          <w:i w:val="0"/>
          <w:spacing w:val="-4"/>
          <w:sz w:val="26"/>
          <w:szCs w:val="28"/>
          <w:lang w:val="en-GB"/>
        </w:rPr>
        <w:t>labour</w:t>
      </w:r>
      <w:r w:rsidRPr="0005391C">
        <w:rPr>
          <w:b w:val="0"/>
          <w:i w:val="0"/>
          <w:spacing w:val="-4"/>
          <w:sz w:val="26"/>
          <w:szCs w:val="28"/>
          <w:lang w:val="en-GB"/>
        </w:rPr>
        <w:t xml:space="preserve"> market </w:t>
      </w:r>
      <w:r w:rsidR="00165E99" w:rsidRPr="0005391C">
        <w:rPr>
          <w:b w:val="0"/>
          <w:i w:val="0"/>
          <w:spacing w:val="-4"/>
          <w:sz w:val="26"/>
          <w:szCs w:val="28"/>
          <w:lang w:val="en-GB"/>
        </w:rPr>
        <w:t>has</w:t>
      </w:r>
      <w:r w:rsidRPr="0005391C">
        <w:rPr>
          <w:b w:val="0"/>
          <w:i w:val="0"/>
          <w:spacing w:val="-4"/>
          <w:sz w:val="26"/>
          <w:szCs w:val="28"/>
          <w:lang w:val="en-GB"/>
        </w:rPr>
        <w:t xml:space="preserve"> fac</w:t>
      </w:r>
      <w:r w:rsidR="00165E99" w:rsidRPr="0005391C">
        <w:rPr>
          <w:b w:val="0"/>
          <w:i w:val="0"/>
          <w:spacing w:val="-4"/>
          <w:sz w:val="26"/>
          <w:szCs w:val="28"/>
          <w:lang w:val="en-GB"/>
        </w:rPr>
        <w:t>ed</w:t>
      </w:r>
      <w:r w:rsidRPr="0005391C">
        <w:rPr>
          <w:b w:val="0"/>
          <w:i w:val="0"/>
          <w:spacing w:val="-4"/>
          <w:sz w:val="26"/>
          <w:szCs w:val="28"/>
          <w:lang w:val="en-GB"/>
        </w:rPr>
        <w:t xml:space="preserve"> </w:t>
      </w:r>
      <w:r w:rsidR="0096269B" w:rsidRPr="0005391C">
        <w:rPr>
          <w:b w:val="0"/>
          <w:i w:val="0"/>
          <w:spacing w:val="-4"/>
          <w:sz w:val="26"/>
          <w:szCs w:val="28"/>
          <w:lang w:val="en-GB"/>
        </w:rPr>
        <w:t xml:space="preserve">a serious crisis </w:t>
      </w:r>
      <w:r w:rsidRPr="0005391C">
        <w:rPr>
          <w:b w:val="0"/>
          <w:i w:val="0"/>
          <w:spacing w:val="-4"/>
          <w:sz w:val="26"/>
          <w:szCs w:val="28"/>
          <w:lang w:val="en-GB"/>
        </w:rPr>
        <w:t xml:space="preserve">with a series of negative records being set, millions of workers </w:t>
      </w:r>
      <w:r w:rsidR="00165E99" w:rsidRPr="0005391C">
        <w:rPr>
          <w:b w:val="0"/>
          <w:i w:val="0"/>
          <w:spacing w:val="-4"/>
          <w:sz w:val="26"/>
          <w:szCs w:val="28"/>
          <w:lang w:val="en-GB"/>
        </w:rPr>
        <w:t xml:space="preserve">suffering job losses and income </w:t>
      </w:r>
      <w:r w:rsidR="004672C9" w:rsidRPr="0005391C">
        <w:rPr>
          <w:b w:val="0"/>
          <w:i w:val="0"/>
          <w:spacing w:val="-4"/>
          <w:sz w:val="26"/>
          <w:szCs w:val="28"/>
          <w:lang w:val="en-GB"/>
        </w:rPr>
        <w:t>reductions</w:t>
      </w:r>
      <w:r w:rsidRPr="0005391C">
        <w:rPr>
          <w:b w:val="0"/>
          <w:i w:val="0"/>
          <w:spacing w:val="-4"/>
          <w:sz w:val="26"/>
          <w:szCs w:val="28"/>
          <w:lang w:val="en-GB"/>
        </w:rPr>
        <w:t>. Employment opportunities for workers have become more difficult than ever.</w:t>
      </w:r>
    </w:p>
    <w:bookmarkEnd w:id="3"/>
    <w:bookmarkEnd w:id="4"/>
    <w:bookmarkEnd w:id="5"/>
    <w:bookmarkEnd w:id="6"/>
    <w:p w14:paraId="6282584F" w14:textId="62F48DF2" w:rsidR="005C6920" w:rsidRPr="0005391C" w:rsidRDefault="005C6920" w:rsidP="00AE75EB">
      <w:pPr>
        <w:overflowPunct w:val="0"/>
        <w:autoSpaceDE w:val="0"/>
        <w:autoSpaceDN w:val="0"/>
        <w:adjustRightInd w:val="0"/>
        <w:spacing w:before="120" w:after="120"/>
        <w:ind w:firstLine="709"/>
        <w:jc w:val="both"/>
        <w:rPr>
          <w:rFonts w:eastAsia="Calibri"/>
          <w:i w:val="0"/>
          <w:iCs/>
          <w:sz w:val="26"/>
          <w:szCs w:val="28"/>
          <w:lang w:val="en-GB"/>
        </w:rPr>
      </w:pPr>
      <w:r w:rsidRPr="0005391C">
        <w:rPr>
          <w:rFonts w:eastAsia="Calibri"/>
          <w:i w:val="0"/>
          <w:iCs/>
          <w:sz w:val="26"/>
          <w:szCs w:val="22"/>
          <w:lang w:val="en-GB"/>
        </w:rPr>
        <w:lastRenderedPageBreak/>
        <w:t xml:space="preserve">2. </w:t>
      </w:r>
      <w:r w:rsidR="00B00857" w:rsidRPr="0005391C">
        <w:rPr>
          <w:rFonts w:eastAsia="Calibri"/>
          <w:i w:val="0"/>
          <w:iCs/>
          <w:sz w:val="26"/>
          <w:szCs w:val="28"/>
          <w:lang w:val="en-GB"/>
        </w:rPr>
        <w:t>Impacts of the Covid-19 pandemic on the labour and employment situation</w:t>
      </w:r>
    </w:p>
    <w:p w14:paraId="64035D99" w14:textId="3F00183D" w:rsidR="00A53A67" w:rsidRPr="0005391C" w:rsidRDefault="00F73703" w:rsidP="00F73703">
      <w:pPr>
        <w:spacing w:after="120"/>
        <w:ind w:firstLine="720"/>
        <w:jc w:val="both"/>
        <w:rPr>
          <w:rFonts w:eastAsia="Calibri"/>
          <w:i w:val="0"/>
          <w:iCs/>
          <w:color w:val="000000" w:themeColor="text1"/>
          <w:sz w:val="26"/>
          <w:szCs w:val="28"/>
          <w:lang w:val="en-GB"/>
        </w:rPr>
      </w:pPr>
      <w:r w:rsidRPr="0005391C">
        <w:rPr>
          <w:rFonts w:eastAsia="Calibri"/>
          <w:i w:val="0"/>
          <w:iCs/>
          <w:color w:val="000000" w:themeColor="text1"/>
          <w:sz w:val="26"/>
          <w:szCs w:val="28"/>
          <w:lang w:val="en-GB"/>
        </w:rPr>
        <w:t>The Delta variant of the corona virus has had a heavy impact on the Vietnamese labour market in the third quarter of 2021. Southeast is the most severely affected region</w:t>
      </w:r>
      <w:r w:rsidR="00A53A67" w:rsidRPr="0005391C">
        <w:rPr>
          <w:rFonts w:eastAsia="Calibri"/>
          <w:i w:val="0"/>
          <w:iCs/>
          <w:color w:val="000000" w:themeColor="text1"/>
          <w:sz w:val="26"/>
          <w:szCs w:val="28"/>
          <w:lang w:val="en-GB"/>
        </w:rPr>
        <w:t>.</w:t>
      </w:r>
    </w:p>
    <w:p w14:paraId="5DDCBB77" w14:textId="59F95919" w:rsidR="00C60CE7" w:rsidRPr="0005391C" w:rsidRDefault="00C60CE7" w:rsidP="00CB2AFD">
      <w:pPr>
        <w:spacing w:after="120" w:line="288" w:lineRule="auto"/>
        <w:ind w:firstLine="720"/>
        <w:jc w:val="both"/>
        <w:rPr>
          <w:rFonts w:eastAsia="Calibri"/>
          <w:b w:val="0"/>
          <w:i w:val="0"/>
          <w:iCs/>
          <w:color w:val="000000" w:themeColor="text1"/>
          <w:sz w:val="26"/>
          <w:szCs w:val="28"/>
          <w:lang w:val="en-GB"/>
        </w:rPr>
      </w:pPr>
      <w:r w:rsidRPr="0005391C">
        <w:rPr>
          <w:rFonts w:eastAsia="Calibri"/>
          <w:b w:val="0"/>
          <w:i w:val="0"/>
          <w:iCs/>
          <w:color w:val="000000" w:themeColor="text1"/>
          <w:sz w:val="26"/>
          <w:szCs w:val="28"/>
          <w:lang w:val="en-GB"/>
        </w:rPr>
        <w:t>In the third quarter of 2021 alone, more than 28.2 million people aged 15 and over were negatively af</w:t>
      </w:r>
      <w:r w:rsidR="00FD0073" w:rsidRPr="0005391C">
        <w:rPr>
          <w:rFonts w:eastAsia="Calibri"/>
          <w:b w:val="0"/>
          <w:i w:val="0"/>
          <w:iCs/>
          <w:color w:val="000000" w:themeColor="text1"/>
          <w:sz w:val="26"/>
          <w:szCs w:val="28"/>
          <w:lang w:val="en-GB"/>
        </w:rPr>
        <w:t xml:space="preserve">fected by the Covid-19 pandemic in various forms of job losses, furloughs, </w:t>
      </w:r>
      <w:r w:rsidR="00CB6862" w:rsidRPr="0005391C">
        <w:rPr>
          <w:rFonts w:eastAsia="Calibri"/>
          <w:b w:val="0"/>
          <w:i w:val="0"/>
          <w:iCs/>
          <w:color w:val="000000" w:themeColor="text1"/>
          <w:sz w:val="26"/>
          <w:szCs w:val="28"/>
          <w:lang w:val="en-GB"/>
        </w:rPr>
        <w:t>alternate</w:t>
      </w:r>
      <w:r w:rsidR="00FD0073" w:rsidRPr="0005391C">
        <w:rPr>
          <w:rFonts w:eastAsia="Calibri"/>
          <w:b w:val="0"/>
          <w:i w:val="0"/>
          <w:iCs/>
          <w:color w:val="000000" w:themeColor="text1"/>
          <w:sz w:val="26"/>
          <w:szCs w:val="28"/>
          <w:lang w:val="en-GB"/>
        </w:rPr>
        <w:t xml:space="preserve"> working shifts</w:t>
      </w:r>
      <w:r w:rsidRPr="0005391C">
        <w:rPr>
          <w:rFonts w:eastAsia="Calibri"/>
          <w:b w:val="0"/>
          <w:i w:val="0"/>
          <w:iCs/>
          <w:color w:val="000000" w:themeColor="text1"/>
          <w:sz w:val="26"/>
          <w:szCs w:val="28"/>
          <w:lang w:val="en-GB"/>
        </w:rPr>
        <w:t xml:space="preserve">, reduced working hours, reduced income, etc. Compared to the previous quarter, the number of </w:t>
      </w:r>
      <w:r w:rsidR="00E75C43" w:rsidRPr="0005391C">
        <w:rPr>
          <w:rFonts w:eastAsia="Calibri"/>
          <w:b w:val="0"/>
          <w:i w:val="0"/>
          <w:iCs/>
          <w:color w:val="000000" w:themeColor="text1"/>
          <w:sz w:val="26"/>
          <w:szCs w:val="28"/>
          <w:lang w:val="en-GB"/>
        </w:rPr>
        <w:t xml:space="preserve">workers </w:t>
      </w:r>
      <w:r w:rsidRPr="0005391C">
        <w:rPr>
          <w:rFonts w:eastAsia="Calibri"/>
          <w:b w:val="0"/>
          <w:i w:val="0"/>
          <w:iCs/>
          <w:color w:val="000000" w:themeColor="text1"/>
          <w:sz w:val="26"/>
          <w:szCs w:val="28"/>
          <w:lang w:val="en-GB"/>
        </w:rPr>
        <w:t>adversely affected by the Covid-19 pandemic in the third quarter increased by 15.4 million people. Most of the affected people are of working age, from 25 to 54 years old, accounting for 73.3% of the total affected workers.</w:t>
      </w:r>
    </w:p>
    <w:p w14:paraId="100F6B56" w14:textId="4998FC5C" w:rsidR="00750FCD" w:rsidRPr="0005391C" w:rsidRDefault="00750FCD" w:rsidP="00CB2AFD">
      <w:pPr>
        <w:spacing w:after="120" w:line="288" w:lineRule="auto"/>
        <w:ind w:firstLine="720"/>
        <w:jc w:val="both"/>
        <w:rPr>
          <w:rFonts w:eastAsia="Calibri"/>
          <w:b w:val="0"/>
          <w:i w:val="0"/>
          <w:iCs/>
          <w:color w:val="000000" w:themeColor="text1"/>
          <w:spacing w:val="-2"/>
          <w:sz w:val="26"/>
          <w:szCs w:val="28"/>
          <w:lang w:val="en-GB"/>
        </w:rPr>
      </w:pPr>
      <w:r w:rsidRPr="0005391C">
        <w:rPr>
          <w:rFonts w:eastAsia="Calibri"/>
          <w:b w:val="0"/>
          <w:i w:val="0"/>
          <w:iCs/>
          <w:color w:val="000000" w:themeColor="text1"/>
          <w:spacing w:val="-2"/>
          <w:sz w:val="26"/>
          <w:szCs w:val="28"/>
          <w:lang w:val="en-GB"/>
        </w:rPr>
        <w:t xml:space="preserve">Out of a total of more than 28.2 million people negatively impacted by the Covid-19 pandemic, 4.7 million people lost their jobs, accounting for 16.5%; 14.7 million people had </w:t>
      </w:r>
      <w:r w:rsidR="00D238B3" w:rsidRPr="0005391C">
        <w:rPr>
          <w:rFonts w:eastAsia="Calibri"/>
          <w:b w:val="0"/>
          <w:i w:val="0"/>
          <w:iCs/>
          <w:color w:val="000000" w:themeColor="text1"/>
          <w:spacing w:val="-2"/>
          <w:sz w:val="26"/>
          <w:szCs w:val="28"/>
          <w:lang w:val="en-GB"/>
        </w:rPr>
        <w:t xml:space="preserve">to </w:t>
      </w:r>
      <w:r w:rsidRPr="0005391C">
        <w:rPr>
          <w:rFonts w:eastAsia="Calibri"/>
          <w:b w:val="0"/>
          <w:i w:val="0"/>
          <w:iCs/>
          <w:color w:val="000000" w:themeColor="text1"/>
          <w:spacing w:val="-2"/>
          <w:sz w:val="26"/>
          <w:szCs w:val="28"/>
          <w:lang w:val="en-GB"/>
        </w:rPr>
        <w:t>suspend production and business operations, accounting for 51.1%; 12.0 million people had</w:t>
      </w:r>
      <w:r w:rsidR="00CC31D4" w:rsidRPr="0005391C">
        <w:rPr>
          <w:rFonts w:eastAsia="Calibri"/>
          <w:b w:val="0"/>
          <w:i w:val="0"/>
          <w:iCs/>
          <w:color w:val="000000" w:themeColor="text1"/>
          <w:spacing w:val="-2"/>
          <w:sz w:val="26"/>
          <w:szCs w:val="28"/>
          <w:lang w:val="en-GB"/>
        </w:rPr>
        <w:t xml:space="preserve"> their working hours cut, got </w:t>
      </w:r>
      <w:r w:rsidRPr="0005391C">
        <w:rPr>
          <w:rFonts w:eastAsia="Calibri"/>
          <w:b w:val="0"/>
          <w:i w:val="0"/>
          <w:iCs/>
          <w:color w:val="000000" w:themeColor="text1"/>
          <w:spacing w:val="-2"/>
          <w:sz w:val="26"/>
          <w:szCs w:val="28"/>
          <w:lang w:val="en-GB"/>
        </w:rPr>
        <w:t>furlough</w:t>
      </w:r>
      <w:r w:rsidR="00CC31D4" w:rsidRPr="0005391C">
        <w:rPr>
          <w:rFonts w:eastAsia="Calibri"/>
          <w:b w:val="0"/>
          <w:i w:val="0"/>
          <w:iCs/>
          <w:color w:val="000000" w:themeColor="text1"/>
          <w:spacing w:val="-2"/>
          <w:sz w:val="26"/>
          <w:szCs w:val="28"/>
          <w:lang w:val="en-GB"/>
        </w:rPr>
        <w:t>ed</w:t>
      </w:r>
      <w:r w:rsidRPr="0005391C">
        <w:rPr>
          <w:rFonts w:eastAsia="Calibri"/>
          <w:b w:val="0"/>
          <w:i w:val="0"/>
          <w:iCs/>
          <w:color w:val="000000" w:themeColor="text1"/>
          <w:spacing w:val="-2"/>
          <w:sz w:val="26"/>
          <w:szCs w:val="28"/>
          <w:lang w:val="en-GB"/>
        </w:rPr>
        <w:t xml:space="preserve"> or </w:t>
      </w:r>
      <w:r w:rsidR="00EA3D8D" w:rsidRPr="0005391C">
        <w:rPr>
          <w:rFonts w:eastAsia="Calibri"/>
          <w:b w:val="0"/>
          <w:i w:val="0"/>
          <w:iCs/>
          <w:color w:val="000000" w:themeColor="text1"/>
          <w:spacing w:val="-2"/>
          <w:sz w:val="26"/>
          <w:szCs w:val="28"/>
          <w:lang w:val="en-GB"/>
        </w:rPr>
        <w:t xml:space="preserve">were forced to </w:t>
      </w:r>
      <w:r w:rsidRPr="0005391C">
        <w:rPr>
          <w:rFonts w:eastAsia="Calibri"/>
          <w:b w:val="0"/>
          <w:i w:val="0"/>
          <w:iCs/>
          <w:color w:val="000000" w:themeColor="text1"/>
          <w:spacing w:val="-2"/>
          <w:sz w:val="26"/>
          <w:szCs w:val="28"/>
          <w:lang w:val="en-GB"/>
        </w:rPr>
        <w:t>work on rotational shifts, accounting for 42.7%; and 18.9 million workers had their income reduced, accounting for 67.2%.</w:t>
      </w:r>
    </w:p>
    <w:p w14:paraId="72F0AC85" w14:textId="7B14DB60" w:rsidR="00A53A67" w:rsidRPr="0005391C" w:rsidRDefault="002B32B3" w:rsidP="00CB2AFD">
      <w:pPr>
        <w:spacing w:after="120" w:line="288" w:lineRule="auto"/>
        <w:ind w:firstLine="720"/>
        <w:jc w:val="both"/>
        <w:rPr>
          <w:rFonts w:eastAsia="Calibri"/>
          <w:b w:val="0"/>
          <w:i w:val="0"/>
          <w:iCs/>
          <w:color w:val="000000" w:themeColor="text1"/>
          <w:spacing w:val="-2"/>
          <w:sz w:val="26"/>
          <w:szCs w:val="28"/>
          <w:lang w:val="en-GB"/>
        </w:rPr>
      </w:pPr>
      <w:r w:rsidRPr="0005391C">
        <w:rPr>
          <w:rFonts w:eastAsia="Calibri"/>
          <w:b w:val="0"/>
          <w:i w:val="0"/>
          <w:iCs/>
          <w:color w:val="000000" w:themeColor="text1"/>
          <w:spacing w:val="-2"/>
          <w:sz w:val="26"/>
          <w:szCs w:val="28"/>
          <w:lang w:val="en-GB"/>
        </w:rPr>
        <w:t xml:space="preserve">Southeast and Mekong River Delta are the two regions that have been hit the hardest. The number of workers in these two regions who </w:t>
      </w:r>
      <w:r w:rsidR="0006251F" w:rsidRPr="0005391C">
        <w:rPr>
          <w:rFonts w:eastAsia="Calibri"/>
          <w:b w:val="0"/>
          <w:i w:val="0"/>
          <w:iCs/>
          <w:color w:val="000000" w:themeColor="text1"/>
          <w:spacing w:val="-2"/>
          <w:sz w:val="26"/>
          <w:szCs w:val="28"/>
          <w:lang w:val="en-GB"/>
        </w:rPr>
        <w:t>reported to have had</w:t>
      </w:r>
      <w:r w:rsidRPr="0005391C">
        <w:rPr>
          <w:rFonts w:eastAsia="Calibri"/>
          <w:b w:val="0"/>
          <w:i w:val="0"/>
          <w:iCs/>
          <w:color w:val="000000" w:themeColor="text1"/>
          <w:spacing w:val="-2"/>
          <w:sz w:val="26"/>
          <w:szCs w:val="28"/>
          <w:lang w:val="en-GB"/>
        </w:rPr>
        <w:t xml:space="preserve"> their jobs negatively impacted by the pandemic accounted for the highest proportion, at 59.</w:t>
      </w:r>
      <w:r w:rsidR="0006251F" w:rsidRPr="0005391C">
        <w:rPr>
          <w:rFonts w:eastAsia="Calibri"/>
          <w:b w:val="0"/>
          <w:i w:val="0"/>
          <w:iCs/>
          <w:color w:val="000000" w:themeColor="text1"/>
          <w:spacing w:val="-2"/>
          <w:sz w:val="26"/>
          <w:szCs w:val="28"/>
          <w:lang w:val="en-GB"/>
        </w:rPr>
        <w:t>1% and 44.7%, respectively. These</w:t>
      </w:r>
      <w:r w:rsidRPr="0005391C">
        <w:rPr>
          <w:rFonts w:eastAsia="Calibri"/>
          <w:b w:val="0"/>
          <w:i w:val="0"/>
          <w:iCs/>
          <w:color w:val="000000" w:themeColor="text1"/>
          <w:spacing w:val="-2"/>
          <w:sz w:val="26"/>
          <w:szCs w:val="28"/>
          <w:lang w:val="en-GB"/>
        </w:rPr>
        <w:t xml:space="preserve"> figure</w:t>
      </w:r>
      <w:r w:rsidR="0006251F" w:rsidRPr="0005391C">
        <w:rPr>
          <w:rFonts w:eastAsia="Calibri"/>
          <w:b w:val="0"/>
          <w:i w:val="0"/>
          <w:iCs/>
          <w:color w:val="000000" w:themeColor="text1"/>
          <w:spacing w:val="-2"/>
          <w:sz w:val="26"/>
          <w:szCs w:val="28"/>
          <w:lang w:val="en-GB"/>
        </w:rPr>
        <w:t>s</w:t>
      </w:r>
      <w:r w:rsidRPr="0005391C">
        <w:rPr>
          <w:rFonts w:eastAsia="Calibri"/>
          <w:b w:val="0"/>
          <w:i w:val="0"/>
          <w:iCs/>
          <w:color w:val="000000" w:themeColor="text1"/>
          <w:spacing w:val="-2"/>
          <w:sz w:val="26"/>
          <w:szCs w:val="28"/>
          <w:lang w:val="en-GB"/>
        </w:rPr>
        <w:t xml:space="preserve"> </w:t>
      </w:r>
      <w:r w:rsidR="0006251F" w:rsidRPr="0005391C">
        <w:rPr>
          <w:rFonts w:eastAsia="Calibri"/>
          <w:b w:val="0"/>
          <w:i w:val="0"/>
          <w:iCs/>
          <w:color w:val="000000" w:themeColor="text1"/>
          <w:spacing w:val="-2"/>
          <w:sz w:val="26"/>
          <w:szCs w:val="28"/>
          <w:lang w:val="en-GB"/>
        </w:rPr>
        <w:t>are</w:t>
      </w:r>
      <w:r w:rsidRPr="0005391C">
        <w:rPr>
          <w:rFonts w:eastAsia="Calibri"/>
          <w:b w:val="0"/>
          <w:i w:val="0"/>
          <w:iCs/>
          <w:color w:val="000000" w:themeColor="text1"/>
          <w:spacing w:val="-2"/>
          <w:sz w:val="26"/>
          <w:szCs w:val="28"/>
          <w:lang w:val="en-GB"/>
        </w:rPr>
        <w:t xml:space="preserve"> much lower in the Northern Midlands and Mountains and the Central Highlands, at 17.4% and 19.7%, respectively.</w:t>
      </w:r>
    </w:p>
    <w:p w14:paraId="1DB0676B" w14:textId="59D0AF8B" w:rsidR="00A441DD" w:rsidRPr="0005391C" w:rsidRDefault="00B00857" w:rsidP="00CB6862">
      <w:pPr>
        <w:jc w:val="center"/>
        <w:rPr>
          <w:rFonts w:eastAsia="Calibri"/>
          <w:i w:val="0"/>
          <w:iCs/>
          <w:spacing w:val="-6"/>
          <w:sz w:val="20"/>
          <w:szCs w:val="28"/>
          <w:lang w:val="en-GB"/>
        </w:rPr>
      </w:pPr>
      <w:r w:rsidRPr="0005391C">
        <w:rPr>
          <w:rFonts w:eastAsia="Calibri"/>
          <w:i w:val="0"/>
          <w:iCs/>
          <w:spacing w:val="-6"/>
          <w:sz w:val="20"/>
          <w:szCs w:val="28"/>
          <w:lang w:val="en-GB"/>
        </w:rPr>
        <w:t>Figure</w:t>
      </w:r>
      <w:r w:rsidR="00A441DD" w:rsidRPr="0005391C">
        <w:rPr>
          <w:rFonts w:eastAsia="Calibri"/>
          <w:i w:val="0"/>
          <w:iCs/>
          <w:spacing w:val="-6"/>
          <w:sz w:val="20"/>
          <w:szCs w:val="28"/>
          <w:lang w:val="en-GB"/>
        </w:rPr>
        <w:t xml:space="preserve"> 1: Percentage of people aged 15 years and </w:t>
      </w:r>
      <w:r w:rsidR="00FC6D7C" w:rsidRPr="0005391C">
        <w:rPr>
          <w:rFonts w:eastAsia="Calibri"/>
          <w:i w:val="0"/>
          <w:iCs/>
          <w:spacing w:val="-6"/>
          <w:sz w:val="20"/>
          <w:szCs w:val="28"/>
          <w:lang w:val="en-GB"/>
        </w:rPr>
        <w:t>older</w:t>
      </w:r>
      <w:r w:rsidR="00A441DD" w:rsidRPr="0005391C">
        <w:rPr>
          <w:rFonts w:eastAsia="Calibri"/>
          <w:i w:val="0"/>
          <w:iCs/>
          <w:spacing w:val="-6"/>
          <w:sz w:val="20"/>
          <w:szCs w:val="28"/>
          <w:lang w:val="en-GB"/>
        </w:rPr>
        <w:t xml:space="preserve"> negatively affected</w:t>
      </w:r>
    </w:p>
    <w:p w14:paraId="1EFB1C1E" w14:textId="5AC5CB8F" w:rsidR="00A441DD" w:rsidRPr="0005391C" w:rsidRDefault="00A441DD" w:rsidP="00CB6862">
      <w:pPr>
        <w:jc w:val="center"/>
        <w:rPr>
          <w:rFonts w:eastAsia="Calibri"/>
          <w:i w:val="0"/>
          <w:iCs/>
          <w:spacing w:val="-6"/>
          <w:sz w:val="20"/>
          <w:szCs w:val="28"/>
          <w:lang w:val="en-GB"/>
        </w:rPr>
      </w:pPr>
      <w:r w:rsidRPr="0005391C">
        <w:rPr>
          <w:rFonts w:eastAsia="Calibri"/>
          <w:i w:val="0"/>
          <w:iCs/>
          <w:spacing w:val="-6"/>
          <w:sz w:val="20"/>
          <w:szCs w:val="28"/>
          <w:lang w:val="en-GB"/>
        </w:rPr>
        <w:t xml:space="preserve">by socio-economic region, </w:t>
      </w:r>
      <w:r w:rsidR="0040164B" w:rsidRPr="0005391C">
        <w:rPr>
          <w:rFonts w:eastAsia="Calibri"/>
          <w:i w:val="0"/>
          <w:iCs/>
          <w:spacing w:val="-6"/>
          <w:sz w:val="20"/>
          <w:szCs w:val="28"/>
          <w:lang w:val="en-GB"/>
        </w:rPr>
        <w:t>Q3/</w:t>
      </w:r>
      <w:r w:rsidRPr="0005391C">
        <w:rPr>
          <w:rFonts w:eastAsia="Calibri"/>
          <w:i w:val="0"/>
          <w:iCs/>
          <w:spacing w:val="-6"/>
          <w:sz w:val="20"/>
          <w:szCs w:val="28"/>
          <w:lang w:val="en-GB"/>
        </w:rPr>
        <w:t>2021</w:t>
      </w:r>
    </w:p>
    <w:p w14:paraId="7B041CA2" w14:textId="6C607644" w:rsidR="00A53A67" w:rsidRPr="0005391C" w:rsidRDefault="00B00857" w:rsidP="00AE75EB">
      <w:pPr>
        <w:spacing w:after="120"/>
        <w:ind w:firstLine="720"/>
        <w:jc w:val="right"/>
        <w:rPr>
          <w:rFonts w:eastAsia="Calibri"/>
          <w:b w:val="0"/>
          <w:i w:val="0"/>
          <w:iCs/>
          <w:color w:val="000000" w:themeColor="text1"/>
          <w:spacing w:val="-2"/>
          <w:sz w:val="26"/>
          <w:szCs w:val="28"/>
          <w:lang w:val="en-GB"/>
        </w:rPr>
      </w:pPr>
      <w:r w:rsidRPr="0005391C">
        <w:rPr>
          <w:rFonts w:eastAsia="Calibri"/>
          <w:b w:val="0"/>
          <w:bCs/>
          <w:iCs/>
          <w:sz w:val="26"/>
          <w:szCs w:val="28"/>
          <w:lang w:val="en-GB"/>
        </w:rPr>
        <w:t>Unit:</w:t>
      </w:r>
      <w:r w:rsidR="00A53A67" w:rsidRPr="0005391C">
        <w:rPr>
          <w:rFonts w:eastAsia="Calibri"/>
          <w:b w:val="0"/>
          <w:bCs/>
          <w:iCs/>
          <w:sz w:val="26"/>
          <w:szCs w:val="28"/>
          <w:lang w:val="en-GB"/>
        </w:rPr>
        <w:t xml:space="preserve"> %</w:t>
      </w:r>
    </w:p>
    <w:p w14:paraId="67CB7467" w14:textId="77777777" w:rsidR="00A53A67" w:rsidRPr="0005391C" w:rsidRDefault="00A53A67" w:rsidP="00AE75EB">
      <w:pPr>
        <w:spacing w:after="120"/>
        <w:jc w:val="center"/>
        <w:rPr>
          <w:rFonts w:eastAsia="Calibri"/>
          <w:b w:val="0"/>
          <w:i w:val="0"/>
          <w:iCs/>
          <w:color w:val="000000" w:themeColor="text1"/>
          <w:spacing w:val="-2"/>
          <w:sz w:val="26"/>
          <w:szCs w:val="28"/>
          <w:lang w:val="en-GB"/>
        </w:rPr>
      </w:pPr>
      <w:r w:rsidRPr="0005391C">
        <w:rPr>
          <w:rFonts w:eastAsia="Calibri"/>
          <w:b w:val="0"/>
          <w:i w:val="0"/>
          <w:iCs/>
          <w:noProof/>
          <w:spacing w:val="-2"/>
          <w:sz w:val="26"/>
          <w:szCs w:val="28"/>
        </w:rPr>
        <w:drawing>
          <wp:inline distT="0" distB="0" distL="0" distR="0" wp14:anchorId="5CD69700" wp14:editId="17899E1D">
            <wp:extent cx="5732780" cy="2004060"/>
            <wp:effectExtent l="0" t="0" r="1270" b="1524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CCC47DB" w14:textId="271E68F3" w:rsidR="00FC6D7C" w:rsidRPr="0005391C" w:rsidRDefault="00FC6D7C" w:rsidP="00CB2AFD">
      <w:pPr>
        <w:spacing w:after="120" w:line="288" w:lineRule="auto"/>
        <w:ind w:firstLine="720"/>
        <w:jc w:val="both"/>
        <w:rPr>
          <w:rFonts w:eastAsia="Calibri"/>
          <w:b w:val="0"/>
          <w:i w:val="0"/>
          <w:iCs/>
          <w:color w:val="000000" w:themeColor="text1"/>
          <w:spacing w:val="-2"/>
          <w:sz w:val="26"/>
          <w:szCs w:val="28"/>
          <w:lang w:val="en-GB"/>
        </w:rPr>
      </w:pPr>
      <w:r w:rsidRPr="0005391C">
        <w:rPr>
          <w:rFonts w:eastAsia="Calibri"/>
          <w:b w:val="0"/>
          <w:i w:val="0"/>
          <w:iCs/>
          <w:color w:val="000000" w:themeColor="text1"/>
          <w:spacing w:val="-2"/>
          <w:sz w:val="26"/>
          <w:szCs w:val="28"/>
          <w:lang w:val="en-GB"/>
        </w:rPr>
        <w:t>Workers in urban areas suffer more damage than in rural areas. 46.2% of workers in urban areas are adversely affected</w:t>
      </w:r>
      <w:r w:rsidR="00F73703" w:rsidRPr="0005391C">
        <w:rPr>
          <w:rFonts w:eastAsia="Calibri"/>
          <w:b w:val="0"/>
          <w:i w:val="0"/>
          <w:iCs/>
          <w:color w:val="000000" w:themeColor="text1"/>
          <w:spacing w:val="-2"/>
          <w:sz w:val="26"/>
          <w:szCs w:val="28"/>
          <w:lang w:val="en-GB"/>
        </w:rPr>
        <w:t xml:space="preserve"> by Covid-19 pandemic</w:t>
      </w:r>
      <w:r w:rsidRPr="0005391C">
        <w:rPr>
          <w:rFonts w:eastAsia="Calibri"/>
          <w:b w:val="0"/>
          <w:i w:val="0"/>
          <w:iCs/>
          <w:color w:val="000000" w:themeColor="text1"/>
          <w:spacing w:val="-2"/>
          <w:sz w:val="26"/>
          <w:szCs w:val="28"/>
          <w:lang w:val="en-GB"/>
        </w:rPr>
        <w:t>, while this figure in rural areas is 32.4%.</w:t>
      </w:r>
    </w:p>
    <w:tbl>
      <w:tblPr>
        <w:tblStyle w:val="TableGrid3"/>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43"/>
        <w:gridCol w:w="425"/>
        <w:gridCol w:w="4648"/>
        <w:gridCol w:w="190"/>
      </w:tblGrid>
      <w:tr w:rsidR="00A53A67" w:rsidRPr="0005391C" w14:paraId="38C246AE" w14:textId="77777777" w:rsidTr="00DE0F9B">
        <w:trPr>
          <w:gridAfter w:val="1"/>
          <w:wAfter w:w="190" w:type="dxa"/>
          <w:trHeight w:val="4442"/>
        </w:trPr>
        <w:tc>
          <w:tcPr>
            <w:tcW w:w="4768" w:type="dxa"/>
            <w:gridSpan w:val="2"/>
          </w:tcPr>
          <w:p w14:paraId="53BFF05F" w14:textId="30BB5442" w:rsidR="00FC6D7C" w:rsidRPr="0005391C" w:rsidRDefault="00FC6D7C" w:rsidP="00AE75EB">
            <w:pPr>
              <w:ind w:firstLine="709"/>
              <w:jc w:val="both"/>
              <w:rPr>
                <w:rFonts w:eastAsia="Calibri"/>
                <w:b w:val="0"/>
                <w:i w:val="0"/>
                <w:iCs/>
                <w:sz w:val="26"/>
                <w:szCs w:val="28"/>
                <w:lang w:val="en-GB"/>
              </w:rPr>
            </w:pPr>
            <w:r w:rsidRPr="0005391C">
              <w:rPr>
                <w:rFonts w:eastAsia="Calibri"/>
                <w:b w:val="0"/>
                <w:i w:val="0"/>
                <w:iCs/>
                <w:sz w:val="26"/>
                <w:szCs w:val="28"/>
                <w:lang w:val="en-GB"/>
              </w:rPr>
              <w:lastRenderedPageBreak/>
              <w:t>Nearly half of employed people (48.7%) said their job was difficult due to the pandemic (doubled from</w:t>
            </w:r>
            <w:r w:rsidR="00F73703" w:rsidRPr="0005391C">
              <w:rPr>
                <w:rFonts w:eastAsia="Calibri"/>
                <w:b w:val="0"/>
                <w:i w:val="0"/>
                <w:iCs/>
                <w:sz w:val="26"/>
                <w:szCs w:val="28"/>
                <w:lang w:val="en-GB"/>
              </w:rPr>
              <w:t xml:space="preserve"> the previous quarter, up 26.1 percentage points)</w:t>
            </w:r>
            <w:r w:rsidRPr="0005391C">
              <w:rPr>
                <w:rFonts w:eastAsia="Calibri"/>
                <w:b w:val="0"/>
                <w:i w:val="0"/>
                <w:iCs/>
                <w:sz w:val="26"/>
                <w:szCs w:val="28"/>
                <w:lang w:val="en-GB"/>
              </w:rPr>
              <w:t>. More than two-thirds of the total unemployed (80.9%) said their work was af</w:t>
            </w:r>
            <w:r w:rsidR="00F73703" w:rsidRPr="0005391C">
              <w:rPr>
                <w:rFonts w:eastAsia="Calibri"/>
                <w:b w:val="0"/>
                <w:i w:val="0"/>
                <w:iCs/>
                <w:sz w:val="26"/>
                <w:szCs w:val="28"/>
                <w:lang w:val="en-GB"/>
              </w:rPr>
              <w:t>fected by the pandemic (up 32.8 percentage points</w:t>
            </w:r>
            <w:r w:rsidRPr="0005391C">
              <w:rPr>
                <w:rFonts w:eastAsia="Calibri"/>
                <w:b w:val="0"/>
                <w:i w:val="0"/>
                <w:iCs/>
                <w:sz w:val="26"/>
                <w:szCs w:val="28"/>
                <w:lang w:val="en-GB"/>
              </w:rPr>
              <w:t xml:space="preserve"> from the previous quarter). Finally, of the 23.7 million people aged 15 and older who were </w:t>
            </w:r>
            <w:r w:rsidR="00023778">
              <w:rPr>
                <w:rFonts w:eastAsia="Calibri"/>
                <w:b w:val="0"/>
                <w:i w:val="0"/>
                <w:iCs/>
                <w:sz w:val="26"/>
                <w:szCs w:val="28"/>
                <w:lang w:val="en-GB"/>
              </w:rPr>
              <w:t>outside the labor force</w:t>
            </w:r>
            <w:r w:rsidRPr="0005391C">
              <w:rPr>
                <w:rFonts w:eastAsia="Calibri"/>
                <w:b w:val="0"/>
                <w:i w:val="0"/>
                <w:iCs/>
                <w:sz w:val="26"/>
                <w:szCs w:val="28"/>
                <w:lang w:val="en-GB"/>
              </w:rPr>
              <w:t>, 14.5% reported being negatively impacted by the pandemic (up 10.7 percentage points from the previous quarter).</w:t>
            </w:r>
          </w:p>
          <w:p w14:paraId="66EB8AC4" w14:textId="47A6E58E" w:rsidR="00A53A67" w:rsidRPr="0005391C" w:rsidRDefault="00A53A67" w:rsidP="00AE75EB">
            <w:pPr>
              <w:ind w:firstLine="709"/>
              <w:jc w:val="both"/>
              <w:rPr>
                <w:rFonts w:eastAsia="Calibri"/>
                <w:b w:val="0"/>
                <w:i w:val="0"/>
                <w:iCs/>
                <w:color w:val="FF0000"/>
                <w:sz w:val="26"/>
                <w:szCs w:val="28"/>
                <w:lang w:val="en-GB"/>
              </w:rPr>
            </w:pPr>
          </w:p>
        </w:tc>
        <w:tc>
          <w:tcPr>
            <w:tcW w:w="4648" w:type="dxa"/>
          </w:tcPr>
          <w:p w14:paraId="7537786A" w14:textId="6D2BA9C6" w:rsidR="00A53A67" w:rsidRPr="0005391C" w:rsidRDefault="00B00857" w:rsidP="00AE75EB">
            <w:pPr>
              <w:jc w:val="both"/>
              <w:rPr>
                <w:rFonts w:eastAsia="Calibri"/>
                <w:i w:val="0"/>
                <w:iCs/>
                <w:spacing w:val="-6"/>
                <w:sz w:val="20"/>
                <w:szCs w:val="28"/>
                <w:lang w:val="en-GB"/>
              </w:rPr>
            </w:pPr>
            <w:r w:rsidRPr="0005391C">
              <w:rPr>
                <w:rFonts w:eastAsia="Calibri"/>
                <w:i w:val="0"/>
                <w:iCs/>
                <w:spacing w:val="-6"/>
                <w:sz w:val="20"/>
                <w:szCs w:val="28"/>
                <w:lang w:val="en-GB"/>
              </w:rPr>
              <w:t>Figure</w:t>
            </w:r>
            <w:r w:rsidR="00A53A67" w:rsidRPr="0005391C">
              <w:rPr>
                <w:rFonts w:eastAsia="Calibri"/>
                <w:i w:val="0"/>
                <w:iCs/>
                <w:spacing w:val="-6"/>
                <w:sz w:val="20"/>
                <w:szCs w:val="28"/>
                <w:lang w:val="en-GB"/>
              </w:rPr>
              <w:t xml:space="preserve"> 2: </w:t>
            </w:r>
            <w:r w:rsidR="00FC6D7C" w:rsidRPr="0005391C">
              <w:rPr>
                <w:rFonts w:eastAsia="Calibri"/>
                <w:i w:val="0"/>
                <w:iCs/>
                <w:spacing w:val="-6"/>
                <w:sz w:val="20"/>
                <w:szCs w:val="28"/>
                <w:lang w:val="en-GB"/>
              </w:rPr>
              <w:t xml:space="preserve">Percentage of people aged 15 years and older negatively affected by labour market status, Q2 and Q3 of </w:t>
            </w:r>
            <w:r w:rsidR="00A53A67" w:rsidRPr="0005391C">
              <w:rPr>
                <w:rFonts w:eastAsia="Calibri"/>
                <w:i w:val="0"/>
                <w:iCs/>
                <w:spacing w:val="-6"/>
                <w:sz w:val="20"/>
                <w:szCs w:val="28"/>
                <w:lang w:val="en-GB"/>
              </w:rPr>
              <w:t>2021</w:t>
            </w:r>
          </w:p>
          <w:p w14:paraId="6C136AF9" w14:textId="380DFE54" w:rsidR="00A53A67" w:rsidRPr="0005391C" w:rsidRDefault="00B00857" w:rsidP="00AE75EB">
            <w:pPr>
              <w:jc w:val="right"/>
              <w:rPr>
                <w:rFonts w:eastAsia="Calibri"/>
                <w:b w:val="0"/>
                <w:iCs/>
                <w:spacing w:val="-6"/>
                <w:sz w:val="20"/>
                <w:szCs w:val="28"/>
                <w:lang w:val="en-GB"/>
              </w:rPr>
            </w:pPr>
            <w:r w:rsidRPr="0005391C">
              <w:rPr>
                <w:rFonts w:eastAsia="Calibri"/>
                <w:b w:val="0"/>
                <w:iCs/>
                <w:spacing w:val="-6"/>
                <w:sz w:val="20"/>
                <w:szCs w:val="28"/>
                <w:lang w:val="en-GB"/>
              </w:rPr>
              <w:t>Unit:</w:t>
            </w:r>
            <w:r w:rsidR="00A53A67" w:rsidRPr="0005391C">
              <w:rPr>
                <w:rFonts w:eastAsia="Calibri"/>
                <w:b w:val="0"/>
                <w:iCs/>
                <w:spacing w:val="-6"/>
                <w:sz w:val="20"/>
                <w:szCs w:val="28"/>
                <w:lang w:val="en-GB"/>
              </w:rPr>
              <w:t xml:space="preserve"> %</w:t>
            </w:r>
          </w:p>
          <w:p w14:paraId="3FFBC506" w14:textId="77777777" w:rsidR="00A53A67" w:rsidRPr="0005391C" w:rsidRDefault="00A53A67" w:rsidP="00AE75EB">
            <w:pPr>
              <w:jc w:val="both"/>
              <w:rPr>
                <w:rFonts w:eastAsia="Calibri"/>
                <w:b w:val="0"/>
                <w:i w:val="0"/>
                <w:iCs/>
                <w:color w:val="FF0000"/>
                <w:spacing w:val="-6"/>
                <w:sz w:val="26"/>
                <w:szCs w:val="28"/>
                <w:lang w:val="en-GB"/>
              </w:rPr>
            </w:pPr>
            <w:r w:rsidRPr="0005391C">
              <w:rPr>
                <w:rFonts w:eastAsia="Calibri"/>
                <w:b w:val="0"/>
                <w:i w:val="0"/>
                <w:iCs/>
                <w:noProof/>
                <w:spacing w:val="-6"/>
                <w:sz w:val="26"/>
                <w:szCs w:val="28"/>
              </w:rPr>
              <w:drawing>
                <wp:inline distT="0" distB="0" distL="0" distR="0" wp14:anchorId="5383BC93" wp14:editId="3FA6091D">
                  <wp:extent cx="2867891" cy="1709420"/>
                  <wp:effectExtent l="0" t="0" r="8890" b="508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A53A67" w:rsidRPr="0005391C" w14:paraId="2F9A2012" w14:textId="77777777" w:rsidTr="00DE0F9B">
        <w:trPr>
          <w:trHeight w:val="3245"/>
        </w:trPr>
        <w:tc>
          <w:tcPr>
            <w:tcW w:w="4343" w:type="dxa"/>
          </w:tcPr>
          <w:p w14:paraId="101E5057" w14:textId="0EE3920C" w:rsidR="00A53A67" w:rsidRPr="0005391C" w:rsidRDefault="00B00857" w:rsidP="00AE75EB">
            <w:pPr>
              <w:jc w:val="both"/>
              <w:rPr>
                <w:rFonts w:ascii="Times New Roman Bold" w:eastAsia="Calibri" w:hAnsi="Times New Roman Bold"/>
                <w:i w:val="0"/>
                <w:iCs/>
                <w:sz w:val="20"/>
                <w:szCs w:val="28"/>
                <w:lang w:val="en-GB"/>
              </w:rPr>
            </w:pPr>
            <w:r w:rsidRPr="0005391C">
              <w:rPr>
                <w:rFonts w:ascii="Times New Roman Bold" w:eastAsia="Calibri" w:hAnsi="Times New Roman Bold"/>
                <w:i w:val="0"/>
                <w:iCs/>
                <w:sz w:val="20"/>
                <w:szCs w:val="28"/>
                <w:lang w:val="en-GB"/>
              </w:rPr>
              <w:t>Figure</w:t>
            </w:r>
            <w:r w:rsidR="00A53A67" w:rsidRPr="0005391C">
              <w:rPr>
                <w:rFonts w:ascii="Times New Roman Bold" w:eastAsia="Calibri" w:hAnsi="Times New Roman Bold"/>
                <w:i w:val="0"/>
                <w:iCs/>
                <w:sz w:val="20"/>
                <w:szCs w:val="28"/>
                <w:lang w:val="en-GB"/>
              </w:rPr>
              <w:t xml:space="preserve"> 3:</w:t>
            </w:r>
            <w:r w:rsidR="00A53A67" w:rsidRPr="0005391C">
              <w:rPr>
                <w:rFonts w:ascii="Times New Roman Bold" w:eastAsia="Calibri" w:hAnsi="Times New Roman Bold"/>
                <w:b w:val="0"/>
                <w:i w:val="0"/>
                <w:iCs/>
                <w:sz w:val="26"/>
                <w:szCs w:val="28"/>
                <w:lang w:val="en-GB"/>
              </w:rPr>
              <w:t xml:space="preserve"> </w:t>
            </w:r>
            <w:r w:rsidR="00FC6D7C" w:rsidRPr="0005391C">
              <w:rPr>
                <w:rFonts w:eastAsia="Calibri"/>
                <w:i w:val="0"/>
                <w:iCs/>
                <w:spacing w:val="-6"/>
                <w:sz w:val="20"/>
                <w:szCs w:val="28"/>
                <w:lang w:val="en-GB"/>
              </w:rPr>
              <w:t>Percentage of people aged 15 years and older negatively affected by economic sector, Q2 and Q3 of 2021</w:t>
            </w:r>
          </w:p>
          <w:p w14:paraId="75FCC5E3" w14:textId="13FECCC9" w:rsidR="00A53A67" w:rsidRPr="0005391C" w:rsidRDefault="00B00857" w:rsidP="00AE75EB">
            <w:pPr>
              <w:jc w:val="right"/>
              <w:rPr>
                <w:rFonts w:eastAsia="Calibri"/>
                <w:b w:val="0"/>
                <w:iCs/>
                <w:spacing w:val="-6"/>
                <w:sz w:val="20"/>
                <w:szCs w:val="28"/>
                <w:lang w:val="en-GB"/>
              </w:rPr>
            </w:pPr>
            <w:r w:rsidRPr="0005391C">
              <w:rPr>
                <w:rFonts w:eastAsia="Calibri"/>
                <w:b w:val="0"/>
                <w:iCs/>
                <w:spacing w:val="-6"/>
                <w:sz w:val="20"/>
                <w:szCs w:val="28"/>
                <w:lang w:val="en-GB"/>
              </w:rPr>
              <w:t>Unit:</w:t>
            </w:r>
            <w:r w:rsidR="00A53A67" w:rsidRPr="0005391C">
              <w:rPr>
                <w:rFonts w:eastAsia="Calibri"/>
                <w:b w:val="0"/>
                <w:iCs/>
                <w:spacing w:val="-6"/>
                <w:sz w:val="20"/>
                <w:szCs w:val="28"/>
                <w:lang w:val="en-GB"/>
              </w:rPr>
              <w:t xml:space="preserve"> %</w:t>
            </w:r>
          </w:p>
          <w:p w14:paraId="7D407CB6" w14:textId="77777777" w:rsidR="00A53A67" w:rsidRPr="0005391C" w:rsidRDefault="00A53A67" w:rsidP="00AE75EB">
            <w:pPr>
              <w:jc w:val="right"/>
              <w:rPr>
                <w:rFonts w:eastAsia="Calibri"/>
                <w:b w:val="0"/>
                <w:i w:val="0"/>
                <w:iCs/>
                <w:sz w:val="26"/>
                <w:szCs w:val="28"/>
                <w:lang w:val="en-GB"/>
              </w:rPr>
            </w:pPr>
            <w:r w:rsidRPr="0005391C">
              <w:rPr>
                <w:rFonts w:eastAsia="Calibri"/>
                <w:b w:val="0"/>
                <w:i w:val="0"/>
                <w:iCs/>
                <w:noProof/>
                <w:spacing w:val="-6"/>
                <w:sz w:val="26"/>
                <w:szCs w:val="28"/>
              </w:rPr>
              <w:drawing>
                <wp:inline distT="0" distB="0" distL="0" distR="0" wp14:anchorId="406A66C5" wp14:editId="0C741C9A">
                  <wp:extent cx="2683823" cy="1709420"/>
                  <wp:effectExtent l="0" t="0" r="2540" b="508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tcW w:w="5263" w:type="dxa"/>
            <w:gridSpan w:val="3"/>
          </w:tcPr>
          <w:p w14:paraId="457BF98B" w14:textId="1D7ED098" w:rsidR="00A53A67" w:rsidRPr="0005391C" w:rsidRDefault="000A2D37" w:rsidP="00AE75EB">
            <w:pPr>
              <w:spacing w:after="120"/>
              <w:jc w:val="both"/>
              <w:rPr>
                <w:rFonts w:eastAsia="Calibri"/>
                <w:b w:val="0"/>
                <w:i w:val="0"/>
                <w:iCs/>
                <w:sz w:val="26"/>
                <w:szCs w:val="28"/>
                <w:lang w:val="en-GB"/>
              </w:rPr>
            </w:pPr>
            <w:r w:rsidRPr="0005391C">
              <w:rPr>
                <w:rFonts w:eastAsia="Calibri"/>
                <w:b w:val="0"/>
                <w:i w:val="0"/>
                <w:iCs/>
                <w:sz w:val="26"/>
                <w:szCs w:val="28"/>
                <w:lang w:val="en-GB"/>
              </w:rPr>
              <w:t>Employed workers in the agriculture, forestry and fishery</w:t>
            </w:r>
            <w:r w:rsidR="00A841B8" w:rsidRPr="0005391C">
              <w:rPr>
                <w:rFonts w:eastAsia="Calibri"/>
                <w:b w:val="0"/>
                <w:i w:val="0"/>
                <w:iCs/>
                <w:sz w:val="26"/>
                <w:szCs w:val="28"/>
                <w:lang w:val="en-GB"/>
              </w:rPr>
              <w:t xml:space="preserve"> (AFF)</w:t>
            </w:r>
            <w:r w:rsidRPr="0005391C">
              <w:rPr>
                <w:rFonts w:eastAsia="Calibri"/>
                <w:b w:val="0"/>
                <w:i w:val="0"/>
                <w:iCs/>
                <w:sz w:val="26"/>
                <w:szCs w:val="28"/>
                <w:lang w:val="en-GB"/>
              </w:rPr>
              <w:t xml:space="preserve"> sector were least affected with about a quarter (26.4%) of workers in this sector negatively affected by the pandemic, a nearly three-fold increase </w:t>
            </w:r>
            <w:r w:rsidR="0085694E" w:rsidRPr="0005391C">
              <w:rPr>
                <w:rFonts w:eastAsia="Calibri"/>
                <w:b w:val="0"/>
                <w:i w:val="0"/>
                <w:iCs/>
                <w:sz w:val="26"/>
                <w:szCs w:val="28"/>
                <w:lang w:val="en-GB"/>
              </w:rPr>
              <w:t>relative to the</w:t>
            </w:r>
            <w:r w:rsidRPr="0005391C">
              <w:rPr>
                <w:rFonts w:eastAsia="Calibri"/>
                <w:b w:val="0"/>
                <w:i w:val="0"/>
                <w:iCs/>
                <w:sz w:val="26"/>
                <w:szCs w:val="28"/>
                <w:lang w:val="en-GB"/>
              </w:rPr>
              <w:t xml:space="preserve"> previous quarter. Workers in both the industry and construction and the </w:t>
            </w:r>
            <w:r w:rsidR="00953759" w:rsidRPr="0005391C">
              <w:rPr>
                <w:rFonts w:eastAsia="Calibri"/>
                <w:b w:val="0"/>
                <w:i w:val="0"/>
                <w:iCs/>
                <w:sz w:val="26"/>
                <w:szCs w:val="28"/>
                <w:lang w:val="en-GB"/>
              </w:rPr>
              <w:t>services sector</w:t>
            </w:r>
            <w:r w:rsidRPr="0005391C">
              <w:rPr>
                <w:rFonts w:eastAsia="Calibri"/>
                <w:b w:val="0"/>
                <w:i w:val="0"/>
                <w:iCs/>
                <w:sz w:val="26"/>
                <w:szCs w:val="28"/>
                <w:lang w:val="en-GB"/>
              </w:rPr>
              <w:t xml:space="preserve">s recorded a much higher level of negative impact, at 53.9% and 62.7%, respectively, </w:t>
            </w:r>
            <w:r w:rsidR="00EB3077" w:rsidRPr="0005391C">
              <w:rPr>
                <w:rFonts w:eastAsia="Calibri"/>
                <w:b w:val="0"/>
                <w:i w:val="0"/>
                <w:iCs/>
                <w:sz w:val="26"/>
                <w:szCs w:val="28"/>
                <w:lang w:val="en-GB"/>
              </w:rPr>
              <w:t xml:space="preserve">double that of </w:t>
            </w:r>
            <w:r w:rsidRPr="0005391C">
              <w:rPr>
                <w:rFonts w:eastAsia="Calibri"/>
                <w:b w:val="0"/>
                <w:i w:val="0"/>
                <w:iCs/>
                <w:sz w:val="26"/>
                <w:szCs w:val="28"/>
                <w:lang w:val="en-GB"/>
              </w:rPr>
              <w:t xml:space="preserve">the </w:t>
            </w:r>
            <w:r w:rsidR="00EB3077" w:rsidRPr="0005391C">
              <w:rPr>
                <w:rFonts w:eastAsia="Calibri"/>
                <w:b w:val="0"/>
                <w:i w:val="0"/>
                <w:iCs/>
                <w:sz w:val="26"/>
                <w:szCs w:val="28"/>
                <w:lang w:val="en-GB"/>
              </w:rPr>
              <w:t xml:space="preserve">second </w:t>
            </w:r>
            <w:r w:rsidRPr="0005391C">
              <w:rPr>
                <w:rFonts w:eastAsia="Calibri"/>
                <w:b w:val="0"/>
                <w:i w:val="0"/>
                <w:iCs/>
                <w:sz w:val="26"/>
                <w:szCs w:val="28"/>
                <w:lang w:val="en-GB"/>
              </w:rPr>
              <w:t>quarter</w:t>
            </w:r>
            <w:r w:rsidR="00EB3077" w:rsidRPr="0005391C">
              <w:rPr>
                <w:rFonts w:eastAsia="Calibri"/>
                <w:b w:val="0"/>
                <w:i w:val="0"/>
                <w:iCs/>
                <w:sz w:val="26"/>
                <w:szCs w:val="28"/>
                <w:lang w:val="en-GB"/>
              </w:rPr>
              <w:t xml:space="preserve"> of</w:t>
            </w:r>
            <w:r w:rsidRPr="0005391C">
              <w:rPr>
                <w:rFonts w:eastAsia="Calibri"/>
                <w:b w:val="0"/>
                <w:i w:val="0"/>
                <w:iCs/>
                <w:sz w:val="26"/>
                <w:szCs w:val="28"/>
                <w:lang w:val="en-GB"/>
              </w:rPr>
              <w:t xml:space="preserve"> 2021.</w:t>
            </w:r>
          </w:p>
          <w:p w14:paraId="6C0C515C" w14:textId="69FA6184" w:rsidR="00EB3077" w:rsidRPr="0005391C" w:rsidRDefault="00EB3077" w:rsidP="00AE75EB">
            <w:pPr>
              <w:spacing w:after="120"/>
              <w:jc w:val="both"/>
              <w:rPr>
                <w:rFonts w:eastAsia="Calibri"/>
                <w:b w:val="0"/>
                <w:i w:val="0"/>
                <w:iCs/>
                <w:sz w:val="26"/>
                <w:szCs w:val="28"/>
                <w:lang w:val="en-GB"/>
              </w:rPr>
            </w:pPr>
          </w:p>
        </w:tc>
      </w:tr>
    </w:tbl>
    <w:p w14:paraId="452C2909" w14:textId="508EA640" w:rsidR="00563DCA" w:rsidRPr="0005391C" w:rsidRDefault="00563DCA" w:rsidP="00AE75EB">
      <w:pPr>
        <w:spacing w:after="120"/>
        <w:ind w:firstLine="720"/>
        <w:jc w:val="both"/>
        <w:rPr>
          <w:rFonts w:eastAsia="Calibri"/>
          <w:i w:val="0"/>
          <w:iCs/>
          <w:color w:val="000000" w:themeColor="text1"/>
          <w:sz w:val="26"/>
          <w:szCs w:val="28"/>
          <w:lang w:val="en-GB"/>
        </w:rPr>
      </w:pPr>
      <w:r w:rsidRPr="0005391C">
        <w:rPr>
          <w:rFonts w:eastAsia="Calibri"/>
          <w:i w:val="0"/>
          <w:iCs/>
          <w:color w:val="000000" w:themeColor="text1"/>
          <w:sz w:val="26"/>
          <w:szCs w:val="28"/>
          <w:lang w:val="en-GB"/>
        </w:rPr>
        <w:t>The co</w:t>
      </w:r>
      <w:r w:rsidR="00953759" w:rsidRPr="0005391C">
        <w:rPr>
          <w:rFonts w:eastAsia="Calibri"/>
          <w:i w:val="0"/>
          <w:iCs/>
          <w:color w:val="000000" w:themeColor="text1"/>
          <w:sz w:val="26"/>
          <w:szCs w:val="28"/>
          <w:lang w:val="en-GB"/>
        </w:rPr>
        <w:t>mplicated development of the fourth</w:t>
      </w:r>
      <w:r w:rsidRPr="0005391C">
        <w:rPr>
          <w:rFonts w:eastAsia="Calibri"/>
          <w:i w:val="0"/>
          <w:iCs/>
          <w:color w:val="000000" w:themeColor="text1"/>
          <w:sz w:val="26"/>
          <w:szCs w:val="28"/>
          <w:lang w:val="en-GB"/>
        </w:rPr>
        <w:t xml:space="preserve"> wave of the Covid-19 pandemic has caused a serious decrease in the number of people participating in the </w:t>
      </w:r>
      <w:r w:rsidR="005D4523" w:rsidRPr="0005391C">
        <w:rPr>
          <w:rFonts w:eastAsia="Calibri"/>
          <w:i w:val="0"/>
          <w:iCs/>
          <w:color w:val="000000" w:themeColor="text1"/>
          <w:sz w:val="26"/>
          <w:szCs w:val="28"/>
          <w:lang w:val="en-GB"/>
        </w:rPr>
        <w:t>labour</w:t>
      </w:r>
      <w:r w:rsidRPr="0005391C">
        <w:rPr>
          <w:rFonts w:eastAsia="Calibri"/>
          <w:i w:val="0"/>
          <w:iCs/>
          <w:color w:val="000000" w:themeColor="text1"/>
          <w:sz w:val="26"/>
          <w:szCs w:val="28"/>
          <w:lang w:val="en-GB"/>
        </w:rPr>
        <w:t xml:space="preserve"> force. The </w:t>
      </w:r>
      <w:r w:rsidR="005D4523" w:rsidRPr="0005391C">
        <w:rPr>
          <w:rFonts w:eastAsia="Calibri"/>
          <w:i w:val="0"/>
          <w:iCs/>
          <w:color w:val="000000" w:themeColor="text1"/>
          <w:sz w:val="26"/>
          <w:szCs w:val="28"/>
          <w:lang w:val="en-GB"/>
        </w:rPr>
        <w:t>labour</w:t>
      </w:r>
      <w:r w:rsidRPr="0005391C">
        <w:rPr>
          <w:rFonts w:eastAsia="Calibri"/>
          <w:i w:val="0"/>
          <w:iCs/>
          <w:color w:val="000000" w:themeColor="text1"/>
          <w:sz w:val="26"/>
          <w:szCs w:val="28"/>
          <w:lang w:val="en-GB"/>
        </w:rPr>
        <w:t xml:space="preserve"> force participation rate was at the lowest level in the past 10 years.</w:t>
      </w:r>
    </w:p>
    <w:p w14:paraId="12CEE162" w14:textId="5246EFEA" w:rsidR="00F7033C" w:rsidRPr="0005391C" w:rsidRDefault="00F7033C" w:rsidP="00CB2AFD">
      <w:pPr>
        <w:overflowPunct w:val="0"/>
        <w:autoSpaceDE w:val="0"/>
        <w:autoSpaceDN w:val="0"/>
        <w:adjustRightInd w:val="0"/>
        <w:spacing w:before="120" w:after="120" w:line="288" w:lineRule="auto"/>
        <w:ind w:firstLine="709"/>
        <w:jc w:val="both"/>
        <w:rPr>
          <w:rFonts w:eastAsia="Calibri"/>
          <w:b w:val="0"/>
          <w:i w:val="0"/>
          <w:iCs/>
          <w:sz w:val="26"/>
          <w:szCs w:val="28"/>
          <w:lang w:val="en-GB"/>
        </w:rPr>
      </w:pPr>
      <w:r w:rsidRPr="0005391C">
        <w:rPr>
          <w:rFonts w:eastAsia="Calibri"/>
          <w:b w:val="0"/>
          <w:i w:val="0"/>
          <w:iCs/>
          <w:sz w:val="26"/>
          <w:szCs w:val="28"/>
          <w:lang w:val="en-GB"/>
        </w:rPr>
        <w:t xml:space="preserve">By the end of the third quarter of 2021, the situation of the Covid-19 pandemic had become growingly complicated across the country, causing the social distancing </w:t>
      </w:r>
      <w:r w:rsidR="00EA04B6" w:rsidRPr="0005391C">
        <w:rPr>
          <w:rFonts w:eastAsia="Calibri"/>
          <w:b w:val="0"/>
          <w:i w:val="0"/>
          <w:iCs/>
          <w:sz w:val="26"/>
          <w:szCs w:val="28"/>
          <w:lang w:val="en-GB"/>
        </w:rPr>
        <w:t xml:space="preserve">and lockdown measures </w:t>
      </w:r>
      <w:r w:rsidRPr="0005391C">
        <w:rPr>
          <w:rFonts w:eastAsia="Calibri"/>
          <w:b w:val="0"/>
          <w:i w:val="0"/>
          <w:iCs/>
          <w:sz w:val="26"/>
          <w:szCs w:val="28"/>
          <w:lang w:val="en-GB"/>
        </w:rPr>
        <w:t xml:space="preserve">to be prolonged, forcing a series of non-essential businesses and services to close, resulting in a large number of businesses being heavily affected. Many workers were forced out of the market. The number of people entering the workforce in the third quarter of 2021 suffered a serious decline. The </w:t>
      </w:r>
      <w:r w:rsidR="005D4523" w:rsidRPr="0005391C">
        <w:rPr>
          <w:rFonts w:eastAsia="Calibri"/>
          <w:b w:val="0"/>
          <w:i w:val="0"/>
          <w:iCs/>
          <w:sz w:val="26"/>
          <w:szCs w:val="28"/>
          <w:lang w:val="en-GB"/>
        </w:rPr>
        <w:t>labour</w:t>
      </w:r>
      <w:r w:rsidRPr="0005391C">
        <w:rPr>
          <w:rFonts w:eastAsia="Calibri"/>
          <w:b w:val="0"/>
          <w:i w:val="0"/>
          <w:iCs/>
          <w:sz w:val="26"/>
          <w:szCs w:val="28"/>
          <w:lang w:val="en-GB"/>
        </w:rPr>
        <w:t xml:space="preserve"> force aged 15 and </w:t>
      </w:r>
      <w:r w:rsidR="00346712" w:rsidRPr="0005391C">
        <w:rPr>
          <w:rFonts w:eastAsia="Calibri"/>
          <w:b w:val="0"/>
          <w:i w:val="0"/>
          <w:iCs/>
          <w:sz w:val="26"/>
          <w:szCs w:val="28"/>
          <w:lang w:val="en-GB"/>
        </w:rPr>
        <w:t>older</w:t>
      </w:r>
      <w:r w:rsidRPr="0005391C">
        <w:rPr>
          <w:rFonts w:eastAsia="Calibri"/>
          <w:b w:val="0"/>
          <w:i w:val="0"/>
          <w:iCs/>
          <w:sz w:val="26"/>
          <w:szCs w:val="28"/>
          <w:lang w:val="en-GB"/>
        </w:rPr>
        <w:t xml:space="preserve"> in the third quarter of 2021 was 49.1 million people, down 2.0 million people </w:t>
      </w:r>
      <w:r w:rsidR="0085694E" w:rsidRPr="0005391C">
        <w:rPr>
          <w:rFonts w:eastAsia="Calibri"/>
          <w:b w:val="0"/>
          <w:i w:val="0"/>
          <w:iCs/>
          <w:sz w:val="26"/>
          <w:szCs w:val="28"/>
          <w:lang w:val="en-GB"/>
        </w:rPr>
        <w:t>relative to the</w:t>
      </w:r>
      <w:r w:rsidRPr="0005391C">
        <w:rPr>
          <w:rFonts w:eastAsia="Calibri"/>
          <w:b w:val="0"/>
          <w:i w:val="0"/>
          <w:iCs/>
          <w:sz w:val="26"/>
          <w:szCs w:val="28"/>
          <w:lang w:val="en-GB"/>
        </w:rPr>
        <w:t xml:space="preserve"> previous quarter and 2.2 million people down </w:t>
      </w:r>
      <w:r w:rsidR="0085694E" w:rsidRPr="0005391C">
        <w:rPr>
          <w:rFonts w:eastAsia="Calibri"/>
          <w:b w:val="0"/>
          <w:i w:val="0"/>
          <w:iCs/>
          <w:sz w:val="26"/>
          <w:szCs w:val="28"/>
          <w:lang w:val="en-GB"/>
        </w:rPr>
        <w:t>relative to the</w:t>
      </w:r>
      <w:r w:rsidRPr="0005391C">
        <w:rPr>
          <w:rFonts w:eastAsia="Calibri"/>
          <w:b w:val="0"/>
          <w:i w:val="0"/>
          <w:iCs/>
          <w:sz w:val="26"/>
          <w:szCs w:val="28"/>
          <w:lang w:val="en-GB"/>
        </w:rPr>
        <w:t xml:space="preserve"> same period last year. Compared to the previous quarter, the </w:t>
      </w:r>
      <w:r w:rsidR="005D4523" w:rsidRPr="0005391C">
        <w:rPr>
          <w:rFonts w:eastAsia="Calibri"/>
          <w:b w:val="0"/>
          <w:i w:val="0"/>
          <w:iCs/>
          <w:sz w:val="26"/>
          <w:szCs w:val="28"/>
          <w:lang w:val="en-GB"/>
        </w:rPr>
        <w:t>labour</w:t>
      </w:r>
      <w:r w:rsidRPr="0005391C">
        <w:rPr>
          <w:rFonts w:eastAsia="Calibri"/>
          <w:b w:val="0"/>
          <w:i w:val="0"/>
          <w:iCs/>
          <w:sz w:val="26"/>
          <w:szCs w:val="28"/>
          <w:lang w:val="en-GB"/>
        </w:rPr>
        <w:t xml:space="preserve"> force in rural areas decreased by 1.4 million people (accounting for 4.4% of the total </w:t>
      </w:r>
      <w:r w:rsidR="005D4523" w:rsidRPr="0005391C">
        <w:rPr>
          <w:rFonts w:eastAsia="Calibri"/>
          <w:b w:val="0"/>
          <w:i w:val="0"/>
          <w:iCs/>
          <w:sz w:val="26"/>
          <w:szCs w:val="28"/>
          <w:lang w:val="en-GB"/>
        </w:rPr>
        <w:t>labour</w:t>
      </w:r>
      <w:r w:rsidRPr="0005391C">
        <w:rPr>
          <w:rFonts w:eastAsia="Calibri"/>
          <w:b w:val="0"/>
          <w:i w:val="0"/>
          <w:iCs/>
          <w:sz w:val="26"/>
          <w:szCs w:val="28"/>
          <w:lang w:val="en-GB"/>
        </w:rPr>
        <w:t xml:space="preserve"> force in rural areas); the </w:t>
      </w:r>
      <w:r w:rsidR="005D4523" w:rsidRPr="0005391C">
        <w:rPr>
          <w:rFonts w:eastAsia="Calibri"/>
          <w:b w:val="0"/>
          <w:i w:val="0"/>
          <w:iCs/>
          <w:sz w:val="26"/>
          <w:szCs w:val="28"/>
          <w:lang w:val="en-GB"/>
        </w:rPr>
        <w:t>labour</w:t>
      </w:r>
      <w:r w:rsidRPr="0005391C">
        <w:rPr>
          <w:rFonts w:eastAsia="Calibri"/>
          <w:b w:val="0"/>
          <w:i w:val="0"/>
          <w:iCs/>
          <w:sz w:val="26"/>
          <w:szCs w:val="28"/>
          <w:lang w:val="en-GB"/>
        </w:rPr>
        <w:t xml:space="preserve"> force in urban areas decreased by </w:t>
      </w:r>
      <w:r w:rsidR="006F3035" w:rsidRPr="0005391C">
        <w:rPr>
          <w:rFonts w:eastAsia="Calibri"/>
          <w:b w:val="0"/>
          <w:i w:val="0"/>
          <w:iCs/>
          <w:sz w:val="26"/>
          <w:szCs w:val="28"/>
          <w:lang w:val="en-GB"/>
        </w:rPr>
        <w:t>583</w:t>
      </w:r>
      <w:r w:rsidRPr="0005391C">
        <w:rPr>
          <w:rFonts w:eastAsia="Calibri"/>
          <w:b w:val="0"/>
          <w:i w:val="0"/>
          <w:iCs/>
          <w:sz w:val="26"/>
          <w:szCs w:val="28"/>
          <w:lang w:val="en-GB"/>
        </w:rPr>
        <w:t xml:space="preserve"> thousand people (accounting for 3.1% of the total </w:t>
      </w:r>
      <w:r w:rsidR="005D4523" w:rsidRPr="0005391C">
        <w:rPr>
          <w:rFonts w:eastAsia="Calibri"/>
          <w:b w:val="0"/>
          <w:i w:val="0"/>
          <w:iCs/>
          <w:sz w:val="26"/>
          <w:szCs w:val="28"/>
          <w:lang w:val="en-GB"/>
        </w:rPr>
        <w:t>labour</w:t>
      </w:r>
      <w:r w:rsidRPr="0005391C">
        <w:rPr>
          <w:rFonts w:eastAsia="Calibri"/>
          <w:b w:val="0"/>
          <w:i w:val="0"/>
          <w:iCs/>
          <w:sz w:val="26"/>
          <w:szCs w:val="28"/>
          <w:lang w:val="en-GB"/>
        </w:rPr>
        <w:t xml:space="preserve"> force in urban areas).</w:t>
      </w:r>
    </w:p>
    <w:p w14:paraId="4DD5AE2F" w14:textId="38E63776" w:rsidR="00826D18" w:rsidRPr="0005391C" w:rsidRDefault="00826D18" w:rsidP="00CB2AFD">
      <w:pPr>
        <w:overflowPunct w:val="0"/>
        <w:autoSpaceDE w:val="0"/>
        <w:autoSpaceDN w:val="0"/>
        <w:adjustRightInd w:val="0"/>
        <w:spacing w:before="120" w:after="120" w:line="288" w:lineRule="auto"/>
        <w:ind w:firstLine="709"/>
        <w:jc w:val="both"/>
        <w:rPr>
          <w:rFonts w:eastAsia="Calibri"/>
          <w:b w:val="0"/>
          <w:i w:val="0"/>
          <w:iCs/>
          <w:color w:val="000000" w:themeColor="text1"/>
          <w:sz w:val="26"/>
          <w:szCs w:val="28"/>
          <w:lang w:val="en-GB"/>
        </w:rPr>
      </w:pPr>
      <w:r w:rsidRPr="0005391C">
        <w:rPr>
          <w:rFonts w:eastAsia="Calibri"/>
          <w:b w:val="0"/>
          <w:i w:val="0"/>
          <w:iCs/>
          <w:color w:val="000000" w:themeColor="text1"/>
          <w:sz w:val="26"/>
          <w:szCs w:val="28"/>
          <w:lang w:val="en-GB"/>
        </w:rPr>
        <w:t xml:space="preserve">The severe decline in </w:t>
      </w:r>
      <w:r w:rsidR="005D4523" w:rsidRPr="0005391C">
        <w:rPr>
          <w:rFonts w:eastAsia="Calibri"/>
          <w:b w:val="0"/>
          <w:i w:val="0"/>
          <w:iCs/>
          <w:color w:val="000000" w:themeColor="text1"/>
          <w:sz w:val="26"/>
          <w:szCs w:val="28"/>
          <w:lang w:val="en-GB"/>
        </w:rPr>
        <w:t>labour</w:t>
      </w:r>
      <w:r w:rsidRPr="0005391C">
        <w:rPr>
          <w:rFonts w:eastAsia="Calibri"/>
          <w:b w:val="0"/>
          <w:i w:val="0"/>
          <w:iCs/>
          <w:color w:val="000000" w:themeColor="text1"/>
          <w:sz w:val="26"/>
          <w:szCs w:val="28"/>
          <w:lang w:val="en-GB"/>
        </w:rPr>
        <w:t xml:space="preserve"> force participation in the third quarter of 2021 brought the </w:t>
      </w:r>
      <w:r w:rsidR="005D4523" w:rsidRPr="0005391C">
        <w:rPr>
          <w:rFonts w:eastAsia="Calibri"/>
          <w:b w:val="0"/>
          <w:i w:val="0"/>
          <w:iCs/>
          <w:color w:val="000000" w:themeColor="text1"/>
          <w:sz w:val="26"/>
          <w:szCs w:val="28"/>
          <w:lang w:val="en-GB"/>
        </w:rPr>
        <w:t>labour</w:t>
      </w:r>
      <w:r w:rsidRPr="0005391C">
        <w:rPr>
          <w:rFonts w:eastAsia="Calibri"/>
          <w:b w:val="0"/>
          <w:i w:val="0"/>
          <w:iCs/>
          <w:color w:val="000000" w:themeColor="text1"/>
          <w:sz w:val="26"/>
          <w:szCs w:val="28"/>
          <w:lang w:val="en-GB"/>
        </w:rPr>
        <w:t xml:space="preserve"> force participation rate in this quarter to its lowest level in </w:t>
      </w:r>
      <w:r w:rsidR="006F3035" w:rsidRPr="0005391C">
        <w:rPr>
          <w:rFonts w:eastAsia="Calibri"/>
          <w:b w:val="0"/>
          <w:i w:val="0"/>
          <w:iCs/>
          <w:color w:val="000000" w:themeColor="text1"/>
          <w:sz w:val="26"/>
          <w:szCs w:val="28"/>
          <w:lang w:val="en-GB"/>
        </w:rPr>
        <w:t xml:space="preserve">the last 10 </w:t>
      </w:r>
      <w:r w:rsidRPr="0005391C">
        <w:rPr>
          <w:rFonts w:eastAsia="Calibri"/>
          <w:b w:val="0"/>
          <w:i w:val="0"/>
          <w:iCs/>
          <w:color w:val="000000" w:themeColor="text1"/>
          <w:sz w:val="26"/>
          <w:szCs w:val="28"/>
          <w:lang w:val="en-GB"/>
        </w:rPr>
        <w:t>years at 65.6%, down 2.9</w:t>
      </w:r>
      <w:r w:rsidR="006F3035" w:rsidRPr="0005391C">
        <w:rPr>
          <w:rFonts w:eastAsia="Calibri"/>
          <w:b w:val="0"/>
          <w:i w:val="0"/>
          <w:iCs/>
          <w:color w:val="000000" w:themeColor="text1"/>
          <w:sz w:val="26"/>
          <w:szCs w:val="28"/>
          <w:lang w:val="en-GB"/>
        </w:rPr>
        <w:t xml:space="preserve"> percentage points</w:t>
      </w:r>
      <w:r w:rsidRPr="0005391C">
        <w:rPr>
          <w:rFonts w:eastAsia="Calibri"/>
          <w:b w:val="0"/>
          <w:i w:val="0"/>
          <w:iCs/>
          <w:color w:val="000000" w:themeColor="text1"/>
          <w:sz w:val="26"/>
          <w:szCs w:val="28"/>
          <w:lang w:val="en-GB"/>
        </w:rPr>
        <w:t xml:space="preserve"> </w:t>
      </w:r>
      <w:r w:rsidR="006F3035" w:rsidRPr="0005391C">
        <w:rPr>
          <w:rFonts w:eastAsia="Calibri"/>
          <w:b w:val="0"/>
          <w:i w:val="0"/>
          <w:iCs/>
          <w:color w:val="000000" w:themeColor="text1"/>
          <w:sz w:val="26"/>
          <w:szCs w:val="28"/>
          <w:lang w:val="en-GB"/>
        </w:rPr>
        <w:t>quarter on quarter and down 3.9 percentage points</w:t>
      </w:r>
      <w:r w:rsidRPr="0005391C">
        <w:rPr>
          <w:rFonts w:eastAsia="Calibri"/>
          <w:b w:val="0"/>
          <w:i w:val="0"/>
          <w:iCs/>
          <w:color w:val="000000" w:themeColor="text1"/>
          <w:sz w:val="26"/>
          <w:szCs w:val="28"/>
          <w:lang w:val="en-GB"/>
        </w:rPr>
        <w:t xml:space="preserve"> year on year.</w:t>
      </w:r>
    </w:p>
    <w:p w14:paraId="302DE4D8" w14:textId="6827E4A8" w:rsidR="00826D18" w:rsidRPr="0005391C" w:rsidRDefault="00826D18" w:rsidP="00CB2AFD">
      <w:pPr>
        <w:overflowPunct w:val="0"/>
        <w:autoSpaceDE w:val="0"/>
        <w:autoSpaceDN w:val="0"/>
        <w:adjustRightInd w:val="0"/>
        <w:spacing w:before="120" w:after="120" w:line="288" w:lineRule="auto"/>
        <w:ind w:firstLine="709"/>
        <w:jc w:val="both"/>
        <w:rPr>
          <w:rFonts w:eastAsia="Calibri"/>
          <w:b w:val="0"/>
          <w:i w:val="0"/>
          <w:iCs/>
          <w:sz w:val="26"/>
          <w:szCs w:val="28"/>
          <w:lang w:val="en-GB"/>
        </w:rPr>
      </w:pPr>
      <w:r w:rsidRPr="0005391C">
        <w:rPr>
          <w:rFonts w:eastAsia="Calibri"/>
          <w:b w:val="0"/>
          <w:i w:val="0"/>
          <w:iCs/>
          <w:sz w:val="26"/>
          <w:szCs w:val="28"/>
          <w:lang w:val="en-GB"/>
        </w:rPr>
        <w:t xml:space="preserve">During the pandemic, the Southeast region witnessed the sharpest decline in </w:t>
      </w:r>
      <w:r w:rsidR="005D4523" w:rsidRPr="0005391C">
        <w:rPr>
          <w:rFonts w:eastAsia="Calibri"/>
          <w:b w:val="0"/>
          <w:i w:val="0"/>
          <w:iCs/>
          <w:sz w:val="26"/>
          <w:szCs w:val="28"/>
          <w:lang w:val="en-GB"/>
        </w:rPr>
        <w:t>labour</w:t>
      </w:r>
      <w:r w:rsidRPr="0005391C">
        <w:rPr>
          <w:rFonts w:eastAsia="Calibri"/>
          <w:b w:val="0"/>
          <w:i w:val="0"/>
          <w:iCs/>
          <w:sz w:val="26"/>
          <w:szCs w:val="28"/>
          <w:lang w:val="en-GB"/>
        </w:rPr>
        <w:t xml:space="preserve"> force participation rate, with 62.8% (a decrease of 7.9 percentage points </w:t>
      </w:r>
      <w:r w:rsidR="0085694E" w:rsidRPr="0005391C">
        <w:rPr>
          <w:rFonts w:eastAsia="Calibri"/>
          <w:b w:val="0"/>
          <w:i w:val="0"/>
          <w:iCs/>
          <w:sz w:val="26"/>
          <w:szCs w:val="28"/>
          <w:lang w:val="en-GB"/>
        </w:rPr>
        <w:t>relative to the</w:t>
      </w:r>
      <w:r w:rsidRPr="0005391C">
        <w:rPr>
          <w:rFonts w:eastAsia="Calibri"/>
          <w:b w:val="0"/>
          <w:i w:val="0"/>
          <w:iCs/>
          <w:sz w:val="26"/>
          <w:szCs w:val="28"/>
          <w:lang w:val="en-GB"/>
        </w:rPr>
        <w:t xml:space="preserve"> previous quarter and the same period last year), followed by the Mekong River Delta with 65.4% (decreased by 3.3 percentage points and 5.4 percentage points, </w:t>
      </w:r>
      <w:r w:rsidRPr="0005391C">
        <w:rPr>
          <w:rFonts w:eastAsia="Calibri"/>
          <w:b w:val="0"/>
          <w:i w:val="0"/>
          <w:iCs/>
          <w:color w:val="000000" w:themeColor="text1"/>
          <w:sz w:val="26"/>
          <w:szCs w:val="28"/>
          <w:lang w:val="en-GB"/>
        </w:rPr>
        <w:t>quarter on quarter and year on year</w:t>
      </w:r>
      <w:r w:rsidRPr="0005391C">
        <w:rPr>
          <w:rFonts w:eastAsia="Calibri"/>
          <w:b w:val="0"/>
          <w:i w:val="0"/>
          <w:iCs/>
          <w:sz w:val="26"/>
          <w:szCs w:val="28"/>
          <w:lang w:val="en-GB"/>
        </w:rPr>
        <w:t xml:space="preserve">, respectively) and the North and South Central Coast with 66.8% (decreased by 2.2 percentage points </w:t>
      </w:r>
      <w:r w:rsidR="0085694E" w:rsidRPr="0005391C">
        <w:rPr>
          <w:rFonts w:eastAsia="Calibri"/>
          <w:b w:val="0"/>
          <w:i w:val="0"/>
          <w:iCs/>
          <w:sz w:val="26"/>
          <w:szCs w:val="28"/>
          <w:lang w:val="en-GB"/>
        </w:rPr>
        <w:t>relative to the</w:t>
      </w:r>
      <w:r w:rsidRPr="0005391C">
        <w:rPr>
          <w:rFonts w:eastAsia="Calibri"/>
          <w:b w:val="0"/>
          <w:i w:val="0"/>
          <w:iCs/>
          <w:sz w:val="26"/>
          <w:szCs w:val="28"/>
          <w:lang w:val="en-GB"/>
        </w:rPr>
        <w:t xml:space="preserve"> previous quarter and 4.0 percentage points </w:t>
      </w:r>
      <w:r w:rsidR="0085694E" w:rsidRPr="0005391C">
        <w:rPr>
          <w:rFonts w:eastAsia="Calibri"/>
          <w:b w:val="0"/>
          <w:i w:val="0"/>
          <w:iCs/>
          <w:sz w:val="26"/>
          <w:szCs w:val="28"/>
          <w:lang w:val="en-GB"/>
        </w:rPr>
        <w:t>relative to the</w:t>
      </w:r>
      <w:r w:rsidRPr="0005391C">
        <w:rPr>
          <w:rFonts w:eastAsia="Calibri"/>
          <w:b w:val="0"/>
          <w:i w:val="0"/>
          <w:iCs/>
          <w:sz w:val="26"/>
          <w:szCs w:val="28"/>
          <w:lang w:val="en-GB"/>
        </w:rPr>
        <w:t xml:space="preserve"> same period last year).</w:t>
      </w:r>
    </w:p>
    <w:p w14:paraId="44158490" w14:textId="10176952" w:rsidR="00A53A67" w:rsidRPr="0005391C" w:rsidRDefault="00B00857" w:rsidP="00AE75EB">
      <w:pPr>
        <w:ind w:left="1559" w:hanging="1559"/>
        <w:jc w:val="center"/>
        <w:rPr>
          <w:rFonts w:eastAsia="Calibri"/>
          <w:i w:val="0"/>
          <w:color w:val="000000" w:themeColor="text1"/>
          <w:szCs w:val="26"/>
          <w:lang w:val="en-GB"/>
        </w:rPr>
      </w:pPr>
      <w:r w:rsidRPr="0005391C">
        <w:rPr>
          <w:i w:val="0"/>
          <w:color w:val="000000" w:themeColor="text1"/>
          <w:szCs w:val="26"/>
          <w:lang w:val="en-GB"/>
        </w:rPr>
        <w:t>Figure</w:t>
      </w:r>
      <w:r w:rsidR="00A53A67" w:rsidRPr="0005391C">
        <w:rPr>
          <w:i w:val="0"/>
          <w:color w:val="000000" w:themeColor="text1"/>
          <w:szCs w:val="26"/>
          <w:lang w:val="en-GB"/>
        </w:rPr>
        <w:t xml:space="preserve"> 4: </w:t>
      </w:r>
      <w:r w:rsidR="00826D18" w:rsidRPr="0005391C">
        <w:rPr>
          <w:i w:val="0"/>
          <w:color w:val="000000" w:themeColor="text1"/>
          <w:szCs w:val="26"/>
          <w:lang w:val="en-GB"/>
        </w:rPr>
        <w:t xml:space="preserve">Labour force across quarters, </w:t>
      </w:r>
      <w:r w:rsidR="00A53A67" w:rsidRPr="0005391C">
        <w:rPr>
          <w:rFonts w:eastAsia="Calibri"/>
          <w:i w:val="0"/>
          <w:color w:val="000000" w:themeColor="text1"/>
          <w:szCs w:val="26"/>
          <w:lang w:val="en-GB"/>
        </w:rPr>
        <w:t>20</w:t>
      </w:r>
      <w:r w:rsidR="00F321CA" w:rsidRPr="0005391C">
        <w:rPr>
          <w:rFonts w:eastAsia="Calibri"/>
          <w:i w:val="0"/>
          <w:color w:val="000000" w:themeColor="text1"/>
          <w:szCs w:val="26"/>
          <w:lang w:val="en-GB"/>
        </w:rPr>
        <w:t xml:space="preserve">20 and </w:t>
      </w:r>
      <w:r w:rsidR="00A53A67" w:rsidRPr="0005391C">
        <w:rPr>
          <w:rFonts w:eastAsia="Calibri"/>
          <w:i w:val="0"/>
          <w:color w:val="000000" w:themeColor="text1"/>
          <w:szCs w:val="26"/>
          <w:lang w:val="en-GB"/>
        </w:rPr>
        <w:t>2021</w:t>
      </w:r>
    </w:p>
    <w:p w14:paraId="088B6E25" w14:textId="74A51351" w:rsidR="00A53A67" w:rsidRPr="0005391C" w:rsidRDefault="00B00857" w:rsidP="00AE75EB">
      <w:pPr>
        <w:overflowPunct w:val="0"/>
        <w:autoSpaceDE w:val="0"/>
        <w:autoSpaceDN w:val="0"/>
        <w:adjustRightInd w:val="0"/>
        <w:spacing w:before="120" w:after="120"/>
        <w:ind w:firstLine="709"/>
        <w:jc w:val="right"/>
        <w:rPr>
          <w:rFonts w:eastAsia="Calibri"/>
          <w:b w:val="0"/>
          <w:bCs/>
          <w:iCs/>
          <w:sz w:val="26"/>
          <w:szCs w:val="28"/>
          <w:lang w:val="en-GB"/>
        </w:rPr>
      </w:pPr>
      <w:r w:rsidRPr="0005391C">
        <w:rPr>
          <w:rFonts w:eastAsia="Calibri"/>
          <w:b w:val="0"/>
          <w:bCs/>
          <w:iCs/>
          <w:sz w:val="26"/>
          <w:szCs w:val="28"/>
          <w:lang w:val="en-GB"/>
        </w:rPr>
        <w:t>Unit:</w:t>
      </w:r>
      <w:r w:rsidR="00A53A67" w:rsidRPr="0005391C">
        <w:rPr>
          <w:rFonts w:eastAsia="Calibri"/>
          <w:b w:val="0"/>
          <w:bCs/>
          <w:iCs/>
          <w:sz w:val="26"/>
          <w:szCs w:val="28"/>
          <w:lang w:val="en-GB"/>
        </w:rPr>
        <w:t xml:space="preserve"> </w:t>
      </w:r>
      <w:r w:rsidR="00826D18" w:rsidRPr="0005391C">
        <w:rPr>
          <w:rFonts w:eastAsia="Calibri"/>
          <w:b w:val="0"/>
          <w:bCs/>
          <w:iCs/>
          <w:sz w:val="26"/>
          <w:szCs w:val="28"/>
          <w:lang w:val="en-GB"/>
        </w:rPr>
        <w:t>Million people</w:t>
      </w:r>
      <w:r w:rsidR="0040164B" w:rsidRPr="0005391C">
        <w:rPr>
          <w:rFonts w:eastAsia="Calibri"/>
          <w:b w:val="0"/>
          <w:i w:val="0"/>
          <w:color w:val="000000" w:themeColor="text1"/>
          <w:sz w:val="26"/>
          <w:szCs w:val="28"/>
          <w:lang w:val="en-GB"/>
        </w:rPr>
        <w:t xml:space="preserve">                                      </w:t>
      </w:r>
      <w:r w:rsidR="00A53A67" w:rsidRPr="0005391C">
        <w:rPr>
          <w:rFonts w:eastAsia="Calibri"/>
          <w:b w:val="0"/>
          <w:i w:val="0"/>
          <w:color w:val="000000" w:themeColor="text1"/>
          <w:sz w:val="26"/>
          <w:szCs w:val="28"/>
          <w:lang w:val="en-GB"/>
        </w:rPr>
        <w:t xml:space="preserve"> </w:t>
      </w:r>
    </w:p>
    <w:p w14:paraId="680D2F25" w14:textId="77777777" w:rsidR="00A53A67" w:rsidRPr="0005391C" w:rsidRDefault="00A53A67" w:rsidP="00AE75EB">
      <w:pPr>
        <w:overflowPunct w:val="0"/>
        <w:autoSpaceDE w:val="0"/>
        <w:autoSpaceDN w:val="0"/>
        <w:adjustRightInd w:val="0"/>
        <w:spacing w:before="120" w:after="120"/>
        <w:jc w:val="center"/>
        <w:rPr>
          <w:rFonts w:eastAsia="Calibri"/>
          <w:b w:val="0"/>
          <w:i w:val="0"/>
          <w:iCs/>
          <w:color w:val="000000" w:themeColor="text1"/>
          <w:sz w:val="26"/>
          <w:szCs w:val="28"/>
          <w:lang w:val="en-GB"/>
        </w:rPr>
      </w:pPr>
      <w:r w:rsidRPr="0005391C">
        <w:rPr>
          <w:rFonts w:eastAsia="Calibri"/>
          <w:b w:val="0"/>
          <w:i w:val="0"/>
          <w:iCs/>
          <w:noProof/>
          <w:color w:val="000000" w:themeColor="text1"/>
          <w:sz w:val="26"/>
          <w:szCs w:val="28"/>
        </w:rPr>
        <w:drawing>
          <wp:inline distT="0" distB="0" distL="0" distR="0" wp14:anchorId="7B25E679" wp14:editId="62229473">
            <wp:extent cx="5424054" cy="2279072"/>
            <wp:effectExtent l="0" t="0" r="5715" b="6985"/>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51C2AD7" w14:textId="70CFD567" w:rsidR="007E05AE" w:rsidRPr="0005391C" w:rsidRDefault="007E05AE" w:rsidP="00AE75EB">
      <w:pPr>
        <w:overflowPunct w:val="0"/>
        <w:autoSpaceDE w:val="0"/>
        <w:autoSpaceDN w:val="0"/>
        <w:adjustRightInd w:val="0"/>
        <w:spacing w:before="120" w:after="120"/>
        <w:ind w:firstLine="720"/>
        <w:jc w:val="both"/>
        <w:rPr>
          <w:bCs/>
          <w:i w:val="0"/>
          <w:iCs/>
          <w:sz w:val="26"/>
          <w:szCs w:val="28"/>
          <w:lang w:val="en-GB"/>
        </w:rPr>
      </w:pPr>
      <w:r w:rsidRPr="0005391C">
        <w:rPr>
          <w:bCs/>
          <w:i w:val="0"/>
          <w:iCs/>
          <w:sz w:val="26"/>
          <w:szCs w:val="28"/>
          <w:lang w:val="en-GB"/>
        </w:rPr>
        <w:t xml:space="preserve">The </w:t>
      </w:r>
      <w:r w:rsidR="00953759" w:rsidRPr="0005391C">
        <w:rPr>
          <w:bCs/>
          <w:i w:val="0"/>
          <w:iCs/>
          <w:sz w:val="26"/>
          <w:szCs w:val="28"/>
          <w:lang w:val="en-GB"/>
        </w:rPr>
        <w:t>fourth</w:t>
      </w:r>
      <w:r w:rsidRPr="0005391C">
        <w:rPr>
          <w:bCs/>
          <w:i w:val="0"/>
          <w:iCs/>
          <w:sz w:val="26"/>
          <w:szCs w:val="28"/>
          <w:lang w:val="en-GB"/>
        </w:rPr>
        <w:t xml:space="preserve"> wave of Covid-19 pandemic was complicated and lasted for 3 months in the third quarter of 2021, leaving millions of people without jobs. Workers in non-AFF sector continued to be severely affected.</w:t>
      </w:r>
    </w:p>
    <w:p w14:paraId="7FEEB734" w14:textId="1B230656" w:rsidR="007A052F" w:rsidRDefault="004C0655" w:rsidP="00CB2AFD">
      <w:pPr>
        <w:overflowPunct w:val="0"/>
        <w:autoSpaceDE w:val="0"/>
        <w:autoSpaceDN w:val="0"/>
        <w:adjustRightInd w:val="0"/>
        <w:spacing w:before="120" w:after="120" w:line="288" w:lineRule="auto"/>
        <w:ind w:firstLine="709"/>
        <w:jc w:val="both"/>
        <w:rPr>
          <w:rFonts w:eastAsia="Calibri"/>
          <w:b w:val="0"/>
          <w:bCs/>
          <w:i w:val="0"/>
          <w:iCs/>
          <w:spacing w:val="-2"/>
          <w:sz w:val="26"/>
          <w:szCs w:val="28"/>
          <w:lang w:val="en-GB"/>
        </w:rPr>
      </w:pPr>
      <w:r w:rsidRPr="0005391C">
        <w:rPr>
          <w:rFonts w:eastAsia="Calibri"/>
          <w:b w:val="0"/>
          <w:bCs/>
          <w:i w:val="0"/>
          <w:iCs/>
          <w:spacing w:val="-2"/>
          <w:sz w:val="26"/>
          <w:szCs w:val="28"/>
          <w:lang w:val="en-GB"/>
        </w:rPr>
        <w:t xml:space="preserve">Since the beginning of the Covid-19 pandemic, Viet Nam has experienced four outbreaks, the first and fourth of which have had the most impact on the </w:t>
      </w:r>
      <w:r w:rsidR="005D4523" w:rsidRPr="0005391C">
        <w:rPr>
          <w:rFonts w:eastAsia="Calibri"/>
          <w:b w:val="0"/>
          <w:bCs/>
          <w:i w:val="0"/>
          <w:iCs/>
          <w:spacing w:val="-2"/>
          <w:sz w:val="26"/>
          <w:szCs w:val="28"/>
          <w:lang w:val="en-GB"/>
        </w:rPr>
        <w:t>labour</w:t>
      </w:r>
      <w:r w:rsidRPr="0005391C">
        <w:rPr>
          <w:rFonts w:eastAsia="Calibri"/>
          <w:b w:val="0"/>
          <w:bCs/>
          <w:i w:val="0"/>
          <w:iCs/>
          <w:spacing w:val="-2"/>
          <w:sz w:val="26"/>
          <w:szCs w:val="28"/>
          <w:lang w:val="en-GB"/>
        </w:rPr>
        <w:t xml:space="preserve"> market.</w:t>
      </w:r>
      <w:r w:rsidR="007D5D76" w:rsidRPr="0005391C">
        <w:rPr>
          <w:rFonts w:eastAsia="Calibri"/>
          <w:b w:val="0"/>
          <w:bCs/>
          <w:i w:val="0"/>
          <w:iCs/>
          <w:spacing w:val="-2"/>
          <w:sz w:val="26"/>
          <w:szCs w:val="28"/>
          <w:lang w:val="en-GB"/>
        </w:rPr>
        <w:t xml:space="preserve"> The fourth prolonged and complicated wave of pandemic </w:t>
      </w:r>
      <w:r w:rsidR="007A052F" w:rsidRPr="0005391C">
        <w:rPr>
          <w:rFonts w:eastAsia="Calibri"/>
          <w:b w:val="0"/>
          <w:bCs/>
          <w:i w:val="0"/>
          <w:iCs/>
          <w:spacing w:val="-2"/>
          <w:sz w:val="26"/>
          <w:szCs w:val="28"/>
          <w:lang w:val="en-GB"/>
        </w:rPr>
        <w:t xml:space="preserve">has rendered many businesses no longer able to </w:t>
      </w:r>
      <w:r w:rsidR="008A4608" w:rsidRPr="0005391C">
        <w:rPr>
          <w:rFonts w:eastAsia="Calibri"/>
          <w:b w:val="0"/>
          <w:bCs/>
          <w:i w:val="0"/>
          <w:iCs/>
          <w:spacing w:val="-2"/>
          <w:sz w:val="26"/>
          <w:szCs w:val="28"/>
          <w:lang w:val="en-GB"/>
        </w:rPr>
        <w:t>withstand</w:t>
      </w:r>
      <w:r w:rsidR="007A052F" w:rsidRPr="0005391C">
        <w:rPr>
          <w:rFonts w:eastAsia="Calibri"/>
          <w:b w:val="0"/>
          <w:bCs/>
          <w:i w:val="0"/>
          <w:iCs/>
          <w:spacing w:val="-2"/>
          <w:sz w:val="26"/>
          <w:szCs w:val="28"/>
          <w:lang w:val="en-GB"/>
        </w:rPr>
        <w:t xml:space="preserve"> </w:t>
      </w:r>
      <w:r w:rsidR="009023CC" w:rsidRPr="0005391C">
        <w:rPr>
          <w:rFonts w:eastAsia="Calibri"/>
          <w:b w:val="0"/>
          <w:bCs/>
          <w:i w:val="0"/>
          <w:iCs/>
          <w:spacing w:val="-2"/>
          <w:sz w:val="26"/>
          <w:szCs w:val="28"/>
          <w:lang w:val="en-GB"/>
        </w:rPr>
        <w:t xml:space="preserve">the impact </w:t>
      </w:r>
      <w:r w:rsidR="007A052F" w:rsidRPr="0005391C">
        <w:rPr>
          <w:rFonts w:eastAsia="Calibri"/>
          <w:b w:val="0"/>
          <w:bCs/>
          <w:i w:val="0"/>
          <w:iCs/>
          <w:spacing w:val="-2"/>
          <w:sz w:val="26"/>
          <w:szCs w:val="28"/>
          <w:lang w:val="en-GB"/>
        </w:rPr>
        <w:t xml:space="preserve">and leave the market, and tens of thousands of workers </w:t>
      </w:r>
      <w:r w:rsidR="00C66C9B" w:rsidRPr="0005391C">
        <w:rPr>
          <w:rFonts w:eastAsia="Calibri"/>
          <w:b w:val="0"/>
          <w:bCs/>
          <w:i w:val="0"/>
          <w:iCs/>
          <w:spacing w:val="-2"/>
          <w:sz w:val="26"/>
          <w:szCs w:val="28"/>
          <w:lang w:val="en-GB"/>
        </w:rPr>
        <w:t>return to their home provinces</w:t>
      </w:r>
      <w:r w:rsidR="007A052F" w:rsidRPr="0005391C">
        <w:rPr>
          <w:rFonts w:eastAsia="Calibri"/>
          <w:b w:val="0"/>
          <w:bCs/>
          <w:i w:val="0"/>
          <w:iCs/>
          <w:spacing w:val="-2"/>
          <w:sz w:val="26"/>
          <w:szCs w:val="28"/>
          <w:lang w:val="en-GB"/>
        </w:rPr>
        <w:t xml:space="preserve"> due to job loss</w:t>
      </w:r>
      <w:r w:rsidR="00C66C9B" w:rsidRPr="0005391C">
        <w:rPr>
          <w:rFonts w:eastAsia="Calibri"/>
          <w:b w:val="0"/>
          <w:bCs/>
          <w:i w:val="0"/>
          <w:iCs/>
          <w:spacing w:val="-2"/>
          <w:sz w:val="26"/>
          <w:szCs w:val="28"/>
          <w:lang w:val="en-GB"/>
        </w:rPr>
        <w:t>es</w:t>
      </w:r>
      <w:r w:rsidR="007A052F" w:rsidRPr="0005391C">
        <w:rPr>
          <w:rFonts w:eastAsia="Calibri"/>
          <w:b w:val="0"/>
          <w:bCs/>
          <w:i w:val="0"/>
          <w:iCs/>
          <w:spacing w:val="-2"/>
          <w:sz w:val="26"/>
          <w:szCs w:val="28"/>
          <w:lang w:val="en-GB"/>
        </w:rPr>
        <w:t xml:space="preserve">. The number of employed workers in the third quarter of 2021 continued to fall to an unprecedented depth, down by nearly 2.6 million people </w:t>
      </w:r>
      <w:r w:rsidR="0085694E" w:rsidRPr="0005391C">
        <w:rPr>
          <w:rFonts w:eastAsia="Calibri"/>
          <w:b w:val="0"/>
          <w:bCs/>
          <w:i w:val="0"/>
          <w:iCs/>
          <w:spacing w:val="-2"/>
          <w:sz w:val="26"/>
          <w:szCs w:val="28"/>
          <w:lang w:val="en-GB"/>
        </w:rPr>
        <w:t>relative to the</w:t>
      </w:r>
      <w:r w:rsidR="007A052F" w:rsidRPr="0005391C">
        <w:rPr>
          <w:rFonts w:eastAsia="Calibri"/>
          <w:b w:val="0"/>
          <w:bCs/>
          <w:i w:val="0"/>
          <w:iCs/>
          <w:spacing w:val="-2"/>
          <w:sz w:val="26"/>
          <w:szCs w:val="28"/>
          <w:lang w:val="en-GB"/>
        </w:rPr>
        <w:t xml:space="preserve"> previous quarter and by 2.7 million people </w:t>
      </w:r>
      <w:r w:rsidR="0085694E" w:rsidRPr="0005391C">
        <w:rPr>
          <w:rFonts w:eastAsia="Calibri"/>
          <w:b w:val="0"/>
          <w:bCs/>
          <w:i w:val="0"/>
          <w:iCs/>
          <w:spacing w:val="-2"/>
          <w:sz w:val="26"/>
          <w:szCs w:val="28"/>
          <w:lang w:val="en-GB"/>
        </w:rPr>
        <w:t>relative to the</w:t>
      </w:r>
      <w:r w:rsidR="007A052F" w:rsidRPr="0005391C">
        <w:rPr>
          <w:rFonts w:eastAsia="Calibri"/>
          <w:b w:val="0"/>
          <w:bCs/>
          <w:i w:val="0"/>
          <w:iCs/>
          <w:spacing w:val="-2"/>
          <w:sz w:val="26"/>
          <w:szCs w:val="28"/>
          <w:lang w:val="en-GB"/>
        </w:rPr>
        <w:t xml:space="preserve"> same period last year. The number of employed workers in the third quarter was 47.2 million, down to the lowest level in many years.</w:t>
      </w:r>
    </w:p>
    <w:p w14:paraId="29B6C3F8" w14:textId="247C44B2" w:rsidR="00CB2AFD" w:rsidRDefault="00CB2AFD" w:rsidP="00CB2AFD">
      <w:pPr>
        <w:overflowPunct w:val="0"/>
        <w:autoSpaceDE w:val="0"/>
        <w:autoSpaceDN w:val="0"/>
        <w:adjustRightInd w:val="0"/>
        <w:spacing w:before="120" w:after="120" w:line="288" w:lineRule="auto"/>
        <w:ind w:firstLine="709"/>
        <w:jc w:val="both"/>
        <w:rPr>
          <w:rFonts w:eastAsia="Calibri"/>
          <w:b w:val="0"/>
          <w:bCs/>
          <w:i w:val="0"/>
          <w:iCs/>
          <w:spacing w:val="-2"/>
          <w:sz w:val="26"/>
          <w:szCs w:val="28"/>
          <w:lang w:val="en-GB"/>
        </w:rPr>
      </w:pPr>
    </w:p>
    <w:p w14:paraId="4E6434E2" w14:textId="099ED450" w:rsidR="00CB2AFD" w:rsidRDefault="00CB2AFD" w:rsidP="00CB2AFD">
      <w:pPr>
        <w:overflowPunct w:val="0"/>
        <w:autoSpaceDE w:val="0"/>
        <w:autoSpaceDN w:val="0"/>
        <w:adjustRightInd w:val="0"/>
        <w:spacing w:before="120" w:after="120" w:line="288" w:lineRule="auto"/>
        <w:ind w:firstLine="709"/>
        <w:jc w:val="both"/>
        <w:rPr>
          <w:rFonts w:eastAsia="Calibri"/>
          <w:b w:val="0"/>
          <w:bCs/>
          <w:i w:val="0"/>
          <w:iCs/>
          <w:spacing w:val="-2"/>
          <w:sz w:val="26"/>
          <w:szCs w:val="28"/>
          <w:lang w:val="en-GB"/>
        </w:rPr>
      </w:pPr>
    </w:p>
    <w:p w14:paraId="2D43A900" w14:textId="38FAF5EF" w:rsidR="00CB2AFD" w:rsidRDefault="00CB2AFD" w:rsidP="00CB2AFD">
      <w:pPr>
        <w:overflowPunct w:val="0"/>
        <w:autoSpaceDE w:val="0"/>
        <w:autoSpaceDN w:val="0"/>
        <w:adjustRightInd w:val="0"/>
        <w:spacing w:before="120" w:after="120" w:line="288" w:lineRule="auto"/>
        <w:ind w:firstLine="709"/>
        <w:jc w:val="both"/>
        <w:rPr>
          <w:rFonts w:eastAsia="Calibri"/>
          <w:b w:val="0"/>
          <w:bCs/>
          <w:i w:val="0"/>
          <w:iCs/>
          <w:spacing w:val="-2"/>
          <w:sz w:val="26"/>
          <w:szCs w:val="28"/>
          <w:lang w:val="en-GB"/>
        </w:rPr>
      </w:pPr>
    </w:p>
    <w:p w14:paraId="0EB9A1B3" w14:textId="77777777" w:rsidR="00CB2AFD" w:rsidRPr="0005391C" w:rsidRDefault="00CB2AFD" w:rsidP="00CB2AFD">
      <w:pPr>
        <w:overflowPunct w:val="0"/>
        <w:autoSpaceDE w:val="0"/>
        <w:autoSpaceDN w:val="0"/>
        <w:adjustRightInd w:val="0"/>
        <w:spacing w:before="120" w:after="120" w:line="288" w:lineRule="auto"/>
        <w:ind w:firstLine="709"/>
        <w:jc w:val="both"/>
        <w:rPr>
          <w:rFonts w:eastAsia="Calibri"/>
          <w:b w:val="0"/>
          <w:bCs/>
          <w:i w:val="0"/>
          <w:iCs/>
          <w:spacing w:val="-2"/>
          <w:sz w:val="26"/>
          <w:szCs w:val="28"/>
          <w:lang w:val="en-GB"/>
        </w:rPr>
      </w:pPr>
    </w:p>
    <w:p w14:paraId="4F3105F2" w14:textId="70FD99BF" w:rsidR="00624181" w:rsidRPr="0005391C" w:rsidRDefault="00B00857" w:rsidP="00AE75EB">
      <w:pPr>
        <w:overflowPunct w:val="0"/>
        <w:autoSpaceDE w:val="0"/>
        <w:autoSpaceDN w:val="0"/>
        <w:adjustRightInd w:val="0"/>
        <w:spacing w:before="120" w:after="120"/>
        <w:jc w:val="center"/>
        <w:rPr>
          <w:rFonts w:eastAsia="Calibri"/>
          <w:bCs/>
          <w:i w:val="0"/>
          <w:iCs/>
          <w:sz w:val="26"/>
          <w:szCs w:val="28"/>
          <w:lang w:val="en-GB"/>
        </w:rPr>
      </w:pPr>
      <w:r w:rsidRPr="0005391C">
        <w:rPr>
          <w:rFonts w:eastAsia="Calibri"/>
          <w:bCs/>
          <w:i w:val="0"/>
          <w:iCs/>
          <w:sz w:val="26"/>
          <w:szCs w:val="28"/>
          <w:lang w:val="en-GB"/>
        </w:rPr>
        <w:t>Figure</w:t>
      </w:r>
      <w:r w:rsidR="00624181" w:rsidRPr="0005391C">
        <w:rPr>
          <w:rFonts w:eastAsia="Calibri"/>
          <w:bCs/>
          <w:i w:val="0"/>
          <w:iCs/>
          <w:sz w:val="26"/>
          <w:szCs w:val="28"/>
          <w:lang w:val="en-GB"/>
        </w:rPr>
        <w:t xml:space="preserve"> 5: </w:t>
      </w:r>
      <w:r w:rsidR="00075BC2" w:rsidRPr="0005391C">
        <w:rPr>
          <w:rFonts w:eastAsia="Calibri"/>
          <w:bCs/>
          <w:i w:val="0"/>
          <w:iCs/>
          <w:sz w:val="26"/>
          <w:szCs w:val="28"/>
          <w:lang w:val="en-GB"/>
        </w:rPr>
        <w:t xml:space="preserve">Employed workers across quarters, </w:t>
      </w:r>
      <w:r w:rsidR="00624181" w:rsidRPr="0005391C">
        <w:rPr>
          <w:rFonts w:eastAsia="Calibri"/>
          <w:bCs/>
          <w:i w:val="0"/>
          <w:iCs/>
          <w:sz w:val="26"/>
          <w:szCs w:val="28"/>
          <w:lang w:val="en-GB"/>
        </w:rPr>
        <w:t>2019-2021</w:t>
      </w:r>
    </w:p>
    <w:p w14:paraId="26BDF43A" w14:textId="3ED757A3" w:rsidR="00624181" w:rsidRPr="0005391C" w:rsidRDefault="00E01C29" w:rsidP="00AE75EB">
      <w:pPr>
        <w:overflowPunct w:val="0"/>
        <w:autoSpaceDE w:val="0"/>
        <w:autoSpaceDN w:val="0"/>
        <w:adjustRightInd w:val="0"/>
        <w:spacing w:before="120" w:after="120"/>
        <w:jc w:val="right"/>
        <w:rPr>
          <w:rFonts w:eastAsia="Calibri"/>
          <w:b w:val="0"/>
          <w:bCs/>
          <w:iCs/>
          <w:sz w:val="26"/>
          <w:szCs w:val="28"/>
          <w:lang w:val="en-GB"/>
        </w:rPr>
      </w:pPr>
      <w:r w:rsidRPr="0005391C">
        <w:rPr>
          <w:noProof/>
          <w:sz w:val="22"/>
        </w:rPr>
        <w:drawing>
          <wp:anchor distT="0" distB="0" distL="114300" distR="114300" simplePos="0" relativeHeight="251671552" behindDoc="1" locked="0" layoutInCell="1" allowOverlap="1" wp14:anchorId="3D62A412" wp14:editId="0692E104">
            <wp:simplePos x="0" y="0"/>
            <wp:positionH relativeFrom="margin">
              <wp:align>right</wp:align>
            </wp:positionH>
            <wp:positionV relativeFrom="paragraph">
              <wp:posOffset>286385</wp:posOffset>
            </wp:positionV>
            <wp:extent cx="5695950" cy="2541905"/>
            <wp:effectExtent l="0" t="0" r="0" b="10795"/>
            <wp:wrapTight wrapText="bothSides">
              <wp:wrapPolygon edited="0">
                <wp:start x="0" y="0"/>
                <wp:lineTo x="0" y="21530"/>
                <wp:lineTo x="21528" y="21530"/>
                <wp:lineTo x="21528" y="0"/>
                <wp:lineTo x="0" y="0"/>
              </wp:wrapPolygon>
            </wp:wrapTight>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V relativeFrom="margin">
              <wp14:pctHeight>0</wp14:pctHeight>
            </wp14:sizeRelV>
          </wp:anchor>
        </w:drawing>
      </w:r>
      <w:r w:rsidR="00B00857" w:rsidRPr="0005391C">
        <w:rPr>
          <w:rFonts w:eastAsia="Calibri"/>
          <w:b w:val="0"/>
          <w:bCs/>
          <w:iCs/>
          <w:sz w:val="26"/>
          <w:szCs w:val="28"/>
          <w:lang w:val="en-GB"/>
        </w:rPr>
        <w:t>Unit:</w:t>
      </w:r>
      <w:r w:rsidR="00624181" w:rsidRPr="0005391C">
        <w:rPr>
          <w:rFonts w:eastAsia="Calibri"/>
          <w:b w:val="0"/>
          <w:bCs/>
          <w:iCs/>
          <w:sz w:val="26"/>
          <w:szCs w:val="28"/>
          <w:lang w:val="en-GB"/>
        </w:rPr>
        <w:t xml:space="preserve"> </w:t>
      </w:r>
      <w:r w:rsidR="00075BC2" w:rsidRPr="0005391C">
        <w:rPr>
          <w:rFonts w:eastAsia="Calibri"/>
          <w:b w:val="0"/>
          <w:bCs/>
          <w:iCs/>
          <w:sz w:val="26"/>
          <w:szCs w:val="28"/>
          <w:lang w:val="en-GB"/>
        </w:rPr>
        <w:t>Million people</w:t>
      </w:r>
    </w:p>
    <w:p w14:paraId="59AB715E" w14:textId="5B21236A" w:rsidR="0099720B" w:rsidRPr="0005391C" w:rsidRDefault="0099720B" w:rsidP="00CB2AFD">
      <w:pPr>
        <w:spacing w:before="240" w:after="120" w:line="288" w:lineRule="auto"/>
        <w:ind w:firstLine="709"/>
        <w:jc w:val="both"/>
        <w:rPr>
          <w:rFonts w:eastAsia="Calibri"/>
          <w:b w:val="0"/>
          <w:bCs/>
          <w:i w:val="0"/>
          <w:iCs/>
          <w:spacing w:val="-2"/>
          <w:sz w:val="26"/>
          <w:szCs w:val="28"/>
          <w:lang w:val="en-GB"/>
        </w:rPr>
      </w:pPr>
      <w:r w:rsidRPr="0005391C">
        <w:rPr>
          <w:rFonts w:eastAsia="Calibri"/>
          <w:b w:val="0"/>
          <w:bCs/>
          <w:i w:val="0"/>
          <w:iCs/>
          <w:spacing w:val="-2"/>
          <w:sz w:val="26"/>
          <w:szCs w:val="28"/>
          <w:lang w:val="en-GB"/>
        </w:rPr>
        <w:t xml:space="preserve">The Covid-19 pandemic in the third quarter of 2021 has affected employment status in most regions, especially in the Southeast and the Mekong Delta. In the third quarter of 2021, the number of employed people in the Southeast region was 8.7 million people, a decrease of 1.5 million people (corresponding to a decrease of 14.5%) </w:t>
      </w:r>
      <w:r w:rsidR="0085694E" w:rsidRPr="0005391C">
        <w:rPr>
          <w:rFonts w:eastAsia="Calibri"/>
          <w:b w:val="0"/>
          <w:bCs/>
          <w:i w:val="0"/>
          <w:iCs/>
          <w:spacing w:val="-2"/>
          <w:sz w:val="26"/>
          <w:szCs w:val="28"/>
          <w:lang w:val="en-GB"/>
        </w:rPr>
        <w:t>relative to the</w:t>
      </w:r>
      <w:r w:rsidRPr="0005391C">
        <w:rPr>
          <w:rFonts w:eastAsia="Calibri"/>
          <w:b w:val="0"/>
          <w:bCs/>
          <w:i w:val="0"/>
          <w:iCs/>
          <w:spacing w:val="-2"/>
          <w:sz w:val="26"/>
          <w:szCs w:val="28"/>
          <w:lang w:val="en-GB"/>
        </w:rPr>
        <w:t xml:space="preserve"> previous quarter and a decrease of 1.3 million people (a corresponding decrease of 13.0%) </w:t>
      </w:r>
      <w:r w:rsidR="0085694E" w:rsidRPr="0005391C">
        <w:rPr>
          <w:rFonts w:eastAsia="Calibri"/>
          <w:b w:val="0"/>
          <w:bCs/>
          <w:i w:val="0"/>
          <w:iCs/>
          <w:spacing w:val="-2"/>
          <w:sz w:val="26"/>
          <w:szCs w:val="28"/>
          <w:lang w:val="en-GB"/>
        </w:rPr>
        <w:t>relative to the</w:t>
      </w:r>
      <w:r w:rsidRPr="0005391C">
        <w:rPr>
          <w:rFonts w:eastAsia="Calibri"/>
          <w:b w:val="0"/>
          <w:bCs/>
          <w:i w:val="0"/>
          <w:iCs/>
          <w:spacing w:val="-2"/>
          <w:sz w:val="26"/>
          <w:szCs w:val="28"/>
          <w:lang w:val="en-GB"/>
        </w:rPr>
        <w:t xml:space="preserve"> same period last year; the number of employed people in the Mekong Delta was 8.4 million people, a decrease of 763 thousand people (equivalent to </w:t>
      </w:r>
      <w:r w:rsidR="00E7790E">
        <w:rPr>
          <w:rFonts w:eastAsia="Calibri"/>
          <w:b w:val="0"/>
          <w:bCs/>
          <w:i w:val="0"/>
          <w:iCs/>
          <w:spacing w:val="-2"/>
          <w:sz w:val="26"/>
          <w:szCs w:val="28"/>
          <w:lang w:val="en-GB"/>
        </w:rPr>
        <w:t xml:space="preserve">a derease of </w:t>
      </w:r>
      <w:r w:rsidRPr="0005391C">
        <w:rPr>
          <w:rFonts w:eastAsia="Calibri"/>
          <w:b w:val="0"/>
          <w:bCs/>
          <w:i w:val="0"/>
          <w:iCs/>
          <w:spacing w:val="-2"/>
          <w:sz w:val="26"/>
          <w:szCs w:val="28"/>
          <w:lang w:val="en-GB"/>
        </w:rPr>
        <w:t xml:space="preserve">8.3%) </w:t>
      </w:r>
      <w:r w:rsidR="0085694E" w:rsidRPr="0005391C">
        <w:rPr>
          <w:rFonts w:eastAsia="Calibri"/>
          <w:b w:val="0"/>
          <w:bCs/>
          <w:i w:val="0"/>
          <w:iCs/>
          <w:spacing w:val="-2"/>
          <w:sz w:val="26"/>
          <w:szCs w:val="28"/>
          <w:lang w:val="en-GB"/>
        </w:rPr>
        <w:t>relative to the</w:t>
      </w:r>
      <w:r w:rsidRPr="0005391C">
        <w:rPr>
          <w:rFonts w:eastAsia="Calibri"/>
          <w:b w:val="0"/>
          <w:bCs/>
          <w:i w:val="0"/>
          <w:iCs/>
          <w:spacing w:val="-2"/>
          <w:sz w:val="26"/>
          <w:szCs w:val="28"/>
          <w:lang w:val="en-GB"/>
        </w:rPr>
        <w:t xml:space="preserve"> previous quarter and a decrease of 925 thousand people (equivalent to a decrease of 9.9%) </w:t>
      </w:r>
      <w:r w:rsidR="0085694E" w:rsidRPr="0005391C">
        <w:rPr>
          <w:rFonts w:eastAsia="Calibri"/>
          <w:b w:val="0"/>
          <w:bCs/>
          <w:i w:val="0"/>
          <w:iCs/>
          <w:spacing w:val="-2"/>
          <w:sz w:val="26"/>
          <w:szCs w:val="28"/>
          <w:lang w:val="en-GB"/>
        </w:rPr>
        <w:t>relative to the</w:t>
      </w:r>
      <w:r w:rsidRPr="0005391C">
        <w:rPr>
          <w:rFonts w:eastAsia="Calibri"/>
          <w:b w:val="0"/>
          <w:bCs/>
          <w:i w:val="0"/>
          <w:iCs/>
          <w:spacing w:val="-2"/>
          <w:sz w:val="26"/>
          <w:szCs w:val="28"/>
          <w:lang w:val="en-GB"/>
        </w:rPr>
        <w:t xml:space="preserve"> same period last year. In other regions, the number of employed people decreased by less than 4%; especially in the Central Highlands, the number of employed people was almost unchanged </w:t>
      </w:r>
      <w:r w:rsidR="0085694E" w:rsidRPr="0005391C">
        <w:rPr>
          <w:rFonts w:eastAsia="Calibri"/>
          <w:b w:val="0"/>
          <w:bCs/>
          <w:i w:val="0"/>
          <w:iCs/>
          <w:spacing w:val="-2"/>
          <w:sz w:val="26"/>
          <w:szCs w:val="28"/>
          <w:lang w:val="en-GB"/>
        </w:rPr>
        <w:t>relative</w:t>
      </w:r>
      <w:r w:rsidRPr="0005391C">
        <w:rPr>
          <w:rFonts w:eastAsia="Calibri"/>
          <w:b w:val="0"/>
          <w:bCs/>
          <w:i w:val="0"/>
          <w:iCs/>
          <w:spacing w:val="-2"/>
          <w:sz w:val="26"/>
          <w:szCs w:val="28"/>
          <w:lang w:val="en-GB"/>
        </w:rPr>
        <w:t xml:space="preserve"> to the previous quarter.</w:t>
      </w:r>
    </w:p>
    <w:p w14:paraId="403F8C2C" w14:textId="738AA4D6" w:rsidR="00136DE7" w:rsidRPr="0005391C" w:rsidRDefault="00B00857" w:rsidP="00AE75EB">
      <w:pPr>
        <w:ind w:firstLine="709"/>
        <w:jc w:val="center"/>
        <w:rPr>
          <w:rFonts w:eastAsia="Calibri"/>
          <w:bCs/>
          <w:i w:val="0"/>
          <w:iCs/>
          <w:sz w:val="26"/>
          <w:szCs w:val="28"/>
          <w:lang w:val="en-GB"/>
        </w:rPr>
      </w:pPr>
      <w:r w:rsidRPr="0005391C">
        <w:rPr>
          <w:rFonts w:eastAsia="Calibri"/>
          <w:bCs/>
          <w:i w:val="0"/>
          <w:iCs/>
          <w:sz w:val="26"/>
          <w:szCs w:val="28"/>
          <w:lang w:val="en-GB"/>
        </w:rPr>
        <w:t>Figure</w:t>
      </w:r>
      <w:r w:rsidR="0099720B" w:rsidRPr="0005391C">
        <w:rPr>
          <w:rFonts w:eastAsia="Calibri"/>
          <w:bCs/>
          <w:i w:val="0"/>
          <w:iCs/>
          <w:sz w:val="26"/>
          <w:szCs w:val="28"/>
          <w:lang w:val="en-GB"/>
        </w:rPr>
        <w:t xml:space="preserve"> 6: The number of employed workers by socio-economic region</w:t>
      </w:r>
    </w:p>
    <w:p w14:paraId="60F14B33" w14:textId="17AF2190" w:rsidR="00624181" w:rsidRPr="0005391C" w:rsidRDefault="00136DE7" w:rsidP="00AE75EB">
      <w:pPr>
        <w:tabs>
          <w:tab w:val="left" w:pos="1658"/>
        </w:tabs>
        <w:jc w:val="right"/>
        <w:rPr>
          <w:rFonts w:eastAsia="Calibri"/>
          <w:b w:val="0"/>
          <w:bCs/>
          <w:iCs/>
          <w:sz w:val="26"/>
          <w:szCs w:val="28"/>
          <w:lang w:val="en-GB"/>
        </w:rPr>
      </w:pPr>
      <w:r w:rsidRPr="0005391C">
        <w:rPr>
          <w:rFonts w:eastAsia="Calibri"/>
          <w:sz w:val="26"/>
          <w:szCs w:val="28"/>
          <w:lang w:val="en-GB"/>
        </w:rPr>
        <w:tab/>
      </w:r>
      <w:r w:rsidR="00B00857" w:rsidRPr="0005391C">
        <w:rPr>
          <w:rFonts w:eastAsia="Calibri"/>
          <w:b w:val="0"/>
          <w:bCs/>
          <w:iCs/>
          <w:sz w:val="26"/>
          <w:szCs w:val="28"/>
          <w:lang w:val="en-GB"/>
        </w:rPr>
        <w:t>Unit:</w:t>
      </w:r>
      <w:r w:rsidR="00624181" w:rsidRPr="0005391C">
        <w:rPr>
          <w:rFonts w:eastAsia="Calibri"/>
          <w:b w:val="0"/>
          <w:bCs/>
          <w:iCs/>
          <w:sz w:val="26"/>
          <w:szCs w:val="28"/>
          <w:lang w:val="en-GB"/>
        </w:rPr>
        <w:t xml:space="preserve"> </w:t>
      </w:r>
      <w:r w:rsidR="0099720B" w:rsidRPr="0005391C">
        <w:rPr>
          <w:rFonts w:eastAsia="Calibri"/>
          <w:b w:val="0"/>
          <w:bCs/>
          <w:iCs/>
          <w:sz w:val="26"/>
          <w:szCs w:val="28"/>
          <w:lang w:val="en-GB"/>
        </w:rPr>
        <w:t>Million people</w:t>
      </w:r>
    </w:p>
    <w:p w14:paraId="00628ABB" w14:textId="7A08E197" w:rsidR="00C32E2C" w:rsidRPr="0005391C" w:rsidRDefault="00C32E2C" w:rsidP="00AE75EB">
      <w:pPr>
        <w:tabs>
          <w:tab w:val="left" w:pos="1658"/>
        </w:tabs>
        <w:rPr>
          <w:rFonts w:eastAsia="Calibri"/>
          <w:b w:val="0"/>
          <w:bCs/>
          <w:iCs/>
          <w:sz w:val="26"/>
          <w:szCs w:val="28"/>
          <w:lang w:val="en-GB"/>
        </w:rPr>
      </w:pPr>
      <w:r w:rsidRPr="0005391C">
        <w:rPr>
          <w:noProof/>
          <w:sz w:val="22"/>
        </w:rPr>
        <w:drawing>
          <wp:inline distT="0" distB="0" distL="0" distR="0" wp14:anchorId="41C36314" wp14:editId="25C34087">
            <wp:extent cx="5842000" cy="2602230"/>
            <wp:effectExtent l="0" t="0" r="6350" b="762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F611FDC" w14:textId="77777777" w:rsidR="00C32E2C" w:rsidRPr="0005391C" w:rsidRDefault="00C32E2C" w:rsidP="00AE75EB">
      <w:pPr>
        <w:tabs>
          <w:tab w:val="left" w:pos="1658"/>
        </w:tabs>
        <w:jc w:val="right"/>
        <w:rPr>
          <w:rFonts w:eastAsia="Calibri"/>
          <w:b w:val="0"/>
          <w:bCs/>
          <w:i w:val="0"/>
          <w:iCs/>
          <w:sz w:val="26"/>
          <w:szCs w:val="28"/>
          <w:lang w:val="en-GB"/>
        </w:rPr>
      </w:pPr>
    </w:p>
    <w:p w14:paraId="77057CB9" w14:textId="1F4871ED" w:rsidR="0039794C" w:rsidRPr="0005391C" w:rsidRDefault="00624181" w:rsidP="00CB2AFD">
      <w:pPr>
        <w:spacing w:before="240" w:after="120" w:line="288" w:lineRule="auto"/>
        <w:jc w:val="both"/>
        <w:rPr>
          <w:rFonts w:eastAsia="Calibri"/>
          <w:b w:val="0"/>
          <w:bCs/>
          <w:i w:val="0"/>
          <w:iCs/>
          <w:sz w:val="26"/>
          <w:szCs w:val="28"/>
          <w:lang w:val="en-GB"/>
        </w:rPr>
      </w:pPr>
      <w:r w:rsidRPr="0005391C">
        <w:rPr>
          <w:rFonts w:eastAsia="Calibri"/>
          <w:bCs/>
          <w:i w:val="0"/>
          <w:iCs/>
          <w:sz w:val="26"/>
          <w:szCs w:val="28"/>
          <w:lang w:val="en-GB"/>
        </w:rPr>
        <w:tab/>
      </w:r>
      <w:r w:rsidR="0039794C" w:rsidRPr="0005391C">
        <w:rPr>
          <w:rFonts w:eastAsia="Calibri"/>
          <w:b w:val="0"/>
          <w:bCs/>
          <w:i w:val="0"/>
          <w:iCs/>
          <w:sz w:val="26"/>
          <w:szCs w:val="28"/>
          <w:lang w:val="en-GB"/>
        </w:rPr>
        <w:t xml:space="preserve">In the third quarter of 2021, employed </w:t>
      </w:r>
      <w:r w:rsidR="0084272E" w:rsidRPr="0005391C">
        <w:rPr>
          <w:rFonts w:eastAsia="Calibri"/>
          <w:b w:val="0"/>
          <w:bCs/>
          <w:i w:val="0"/>
          <w:iCs/>
          <w:sz w:val="26"/>
          <w:szCs w:val="28"/>
          <w:lang w:val="en-GB"/>
        </w:rPr>
        <w:t>workers</w:t>
      </w:r>
      <w:r w:rsidR="0039794C" w:rsidRPr="0005391C">
        <w:rPr>
          <w:rFonts w:eastAsia="Calibri"/>
          <w:b w:val="0"/>
          <w:bCs/>
          <w:i w:val="0"/>
          <w:iCs/>
          <w:sz w:val="26"/>
          <w:szCs w:val="28"/>
          <w:lang w:val="en-GB"/>
        </w:rPr>
        <w:t xml:space="preserve"> reached 14.5 million people</w:t>
      </w:r>
      <w:r w:rsidR="0084272E" w:rsidRPr="0005391C">
        <w:rPr>
          <w:rFonts w:eastAsia="Calibri"/>
          <w:b w:val="0"/>
          <w:bCs/>
          <w:i w:val="0"/>
          <w:iCs/>
          <w:sz w:val="26"/>
          <w:szCs w:val="28"/>
          <w:lang w:val="en-GB"/>
        </w:rPr>
        <w:t xml:space="preserve"> in the </w:t>
      </w:r>
      <w:r w:rsidR="000D32A4" w:rsidRPr="0005391C">
        <w:rPr>
          <w:rFonts w:eastAsia="Calibri"/>
          <w:b w:val="0"/>
          <w:bCs/>
          <w:i w:val="0"/>
          <w:iCs/>
          <w:sz w:val="26"/>
          <w:szCs w:val="28"/>
          <w:lang w:val="en-GB"/>
        </w:rPr>
        <w:t>AFF</w:t>
      </w:r>
      <w:r w:rsidR="0084272E" w:rsidRPr="0005391C">
        <w:rPr>
          <w:rFonts w:eastAsia="Calibri"/>
          <w:b w:val="0"/>
          <w:bCs/>
          <w:i w:val="0"/>
          <w:iCs/>
          <w:sz w:val="26"/>
          <w:szCs w:val="28"/>
          <w:lang w:val="en-GB"/>
        </w:rPr>
        <w:t xml:space="preserve"> sector</w:t>
      </w:r>
      <w:r w:rsidR="0039794C" w:rsidRPr="0005391C">
        <w:rPr>
          <w:rFonts w:eastAsia="Calibri"/>
          <w:b w:val="0"/>
          <w:bCs/>
          <w:i w:val="0"/>
          <w:iCs/>
          <w:sz w:val="26"/>
          <w:szCs w:val="28"/>
          <w:lang w:val="en-GB"/>
        </w:rPr>
        <w:t xml:space="preserve">, an increase of 673.1 thousand people </w:t>
      </w:r>
      <w:r w:rsidR="0085694E" w:rsidRPr="0005391C">
        <w:rPr>
          <w:rFonts w:eastAsia="Calibri"/>
          <w:b w:val="0"/>
          <w:bCs/>
          <w:i w:val="0"/>
          <w:iCs/>
          <w:sz w:val="26"/>
          <w:szCs w:val="28"/>
          <w:lang w:val="en-GB"/>
        </w:rPr>
        <w:t>relative to the previous quarter</w:t>
      </w:r>
      <w:r w:rsidR="0039794C" w:rsidRPr="0005391C">
        <w:rPr>
          <w:rFonts w:eastAsia="Calibri"/>
          <w:b w:val="0"/>
          <w:bCs/>
          <w:i w:val="0"/>
          <w:iCs/>
          <w:sz w:val="26"/>
          <w:szCs w:val="28"/>
          <w:lang w:val="en-GB"/>
        </w:rPr>
        <w:t xml:space="preserve"> and an increase of 479.0 thousand people</w:t>
      </w:r>
      <w:r w:rsidR="0084272E" w:rsidRPr="0005391C">
        <w:rPr>
          <w:rFonts w:eastAsia="Calibri"/>
          <w:b w:val="0"/>
          <w:bCs/>
          <w:i w:val="0"/>
          <w:iCs/>
          <w:sz w:val="26"/>
          <w:szCs w:val="28"/>
          <w:lang w:val="en-GB"/>
        </w:rPr>
        <w:t xml:space="preserve"> over the same period last year; </w:t>
      </w:r>
      <w:r w:rsidR="0039794C" w:rsidRPr="0005391C">
        <w:rPr>
          <w:rFonts w:eastAsia="Calibri"/>
          <w:b w:val="0"/>
          <w:bCs/>
          <w:i w:val="0"/>
          <w:iCs/>
          <w:sz w:val="26"/>
          <w:szCs w:val="28"/>
          <w:lang w:val="en-GB"/>
        </w:rPr>
        <w:t>15.7 million people</w:t>
      </w:r>
      <w:r w:rsidR="0084272E" w:rsidRPr="0005391C">
        <w:rPr>
          <w:rFonts w:eastAsia="Calibri"/>
          <w:b w:val="0"/>
          <w:bCs/>
          <w:i w:val="0"/>
          <w:iCs/>
          <w:sz w:val="26"/>
          <w:szCs w:val="28"/>
          <w:lang w:val="en-GB"/>
        </w:rPr>
        <w:t xml:space="preserve"> in the industry and construction sector</w:t>
      </w:r>
      <w:r w:rsidR="0039794C" w:rsidRPr="0005391C">
        <w:rPr>
          <w:rFonts w:eastAsia="Calibri"/>
          <w:b w:val="0"/>
          <w:bCs/>
          <w:i w:val="0"/>
          <w:iCs/>
          <w:sz w:val="26"/>
          <w:szCs w:val="28"/>
          <w:lang w:val="en-GB"/>
        </w:rPr>
        <w:t xml:space="preserve">, down 952.5 thousand people compared to the previous quarter and 960.1 thousand people down </w:t>
      </w:r>
      <w:r w:rsidR="0085694E" w:rsidRPr="0005391C">
        <w:rPr>
          <w:rFonts w:eastAsia="Calibri"/>
          <w:b w:val="0"/>
          <w:bCs/>
          <w:i w:val="0"/>
          <w:iCs/>
          <w:sz w:val="26"/>
          <w:szCs w:val="28"/>
          <w:lang w:val="en-GB"/>
        </w:rPr>
        <w:t>relative to the</w:t>
      </w:r>
      <w:r w:rsidR="0039794C" w:rsidRPr="0005391C">
        <w:rPr>
          <w:rFonts w:eastAsia="Calibri"/>
          <w:b w:val="0"/>
          <w:bCs/>
          <w:i w:val="0"/>
          <w:iCs/>
          <w:sz w:val="26"/>
          <w:szCs w:val="28"/>
          <w:lang w:val="en-GB"/>
        </w:rPr>
        <w:t xml:space="preserve"> same period last year; </w:t>
      </w:r>
      <w:r w:rsidR="0084272E" w:rsidRPr="0005391C">
        <w:rPr>
          <w:rFonts w:eastAsia="Calibri"/>
          <w:b w:val="0"/>
          <w:bCs/>
          <w:i w:val="0"/>
          <w:iCs/>
          <w:sz w:val="26"/>
          <w:szCs w:val="28"/>
          <w:lang w:val="en-GB"/>
        </w:rPr>
        <w:t xml:space="preserve">and </w:t>
      </w:r>
      <w:r w:rsidR="0039794C" w:rsidRPr="0005391C">
        <w:rPr>
          <w:rFonts w:eastAsia="Calibri"/>
          <w:b w:val="0"/>
          <w:bCs/>
          <w:i w:val="0"/>
          <w:iCs/>
          <w:sz w:val="26"/>
          <w:szCs w:val="28"/>
          <w:lang w:val="en-GB"/>
        </w:rPr>
        <w:t>17.1 million people</w:t>
      </w:r>
      <w:r w:rsidR="0084272E" w:rsidRPr="0005391C">
        <w:rPr>
          <w:rFonts w:eastAsia="Calibri"/>
          <w:b w:val="0"/>
          <w:bCs/>
          <w:i w:val="0"/>
          <w:iCs/>
          <w:sz w:val="26"/>
          <w:szCs w:val="28"/>
          <w:lang w:val="en-GB"/>
        </w:rPr>
        <w:t xml:space="preserve"> in the </w:t>
      </w:r>
      <w:r w:rsidR="00953759" w:rsidRPr="0005391C">
        <w:rPr>
          <w:rFonts w:eastAsia="Calibri"/>
          <w:b w:val="0"/>
          <w:bCs/>
          <w:i w:val="0"/>
          <w:iCs/>
          <w:sz w:val="26"/>
          <w:szCs w:val="28"/>
          <w:lang w:val="en-GB"/>
        </w:rPr>
        <w:t>services sector</w:t>
      </w:r>
      <w:r w:rsidR="0039794C" w:rsidRPr="0005391C">
        <w:rPr>
          <w:rFonts w:eastAsia="Calibri"/>
          <w:b w:val="0"/>
          <w:bCs/>
          <w:i w:val="0"/>
          <w:iCs/>
          <w:sz w:val="26"/>
          <w:szCs w:val="28"/>
          <w:lang w:val="en-GB"/>
        </w:rPr>
        <w:t xml:space="preserve">, down 2.3 million people </w:t>
      </w:r>
      <w:r w:rsidR="0085694E" w:rsidRPr="0005391C">
        <w:rPr>
          <w:rFonts w:eastAsia="Calibri"/>
          <w:b w:val="0"/>
          <w:bCs/>
          <w:i w:val="0"/>
          <w:iCs/>
          <w:sz w:val="26"/>
          <w:szCs w:val="28"/>
          <w:lang w:val="en-GB"/>
        </w:rPr>
        <w:t>relative to the</w:t>
      </w:r>
      <w:r w:rsidR="0039794C" w:rsidRPr="0005391C">
        <w:rPr>
          <w:rFonts w:eastAsia="Calibri"/>
          <w:b w:val="0"/>
          <w:bCs/>
          <w:i w:val="0"/>
          <w:iCs/>
          <w:sz w:val="26"/>
          <w:szCs w:val="28"/>
          <w:lang w:val="en-GB"/>
        </w:rPr>
        <w:t xml:space="preserve"> previous quarter and the same period last year. </w:t>
      </w:r>
      <w:r w:rsidR="00443738" w:rsidRPr="0005391C">
        <w:rPr>
          <w:rFonts w:eastAsia="Calibri"/>
          <w:b w:val="0"/>
          <w:bCs/>
          <w:i w:val="0"/>
          <w:iCs/>
          <w:sz w:val="26"/>
          <w:szCs w:val="28"/>
          <w:lang w:val="en-GB"/>
        </w:rPr>
        <w:t xml:space="preserve">The social distancing measures in place that lasted for all the three months in the third quarter have aggravated the labour market and strongly affected the industry and construction and services sectors, </w:t>
      </w:r>
      <w:r w:rsidR="00BE5F03" w:rsidRPr="0005391C">
        <w:rPr>
          <w:rFonts w:eastAsia="Calibri"/>
          <w:b w:val="0"/>
          <w:bCs/>
          <w:i w:val="0"/>
          <w:iCs/>
          <w:sz w:val="26"/>
          <w:szCs w:val="28"/>
          <w:lang w:val="en-GB"/>
        </w:rPr>
        <w:t xml:space="preserve">with </w:t>
      </w:r>
      <w:r w:rsidR="0039794C" w:rsidRPr="0005391C">
        <w:rPr>
          <w:rFonts w:eastAsia="Calibri"/>
          <w:b w:val="0"/>
          <w:bCs/>
          <w:i w:val="0"/>
          <w:iCs/>
          <w:sz w:val="26"/>
          <w:szCs w:val="28"/>
          <w:lang w:val="en-GB"/>
        </w:rPr>
        <w:t xml:space="preserve">the number of </w:t>
      </w:r>
      <w:r w:rsidR="00BE5F03" w:rsidRPr="0005391C">
        <w:rPr>
          <w:rFonts w:eastAsia="Calibri"/>
          <w:b w:val="0"/>
          <w:bCs/>
          <w:i w:val="0"/>
          <w:iCs/>
          <w:sz w:val="26"/>
          <w:szCs w:val="28"/>
          <w:lang w:val="en-GB"/>
        </w:rPr>
        <w:t>workers</w:t>
      </w:r>
      <w:r w:rsidR="0039794C" w:rsidRPr="0005391C">
        <w:rPr>
          <w:rFonts w:eastAsia="Calibri"/>
          <w:b w:val="0"/>
          <w:bCs/>
          <w:i w:val="0"/>
          <w:iCs/>
          <w:sz w:val="26"/>
          <w:szCs w:val="28"/>
          <w:lang w:val="en-GB"/>
        </w:rPr>
        <w:t xml:space="preserve"> in these two </w:t>
      </w:r>
      <w:r w:rsidR="00BE5F03" w:rsidRPr="0005391C">
        <w:rPr>
          <w:rFonts w:eastAsia="Calibri"/>
          <w:b w:val="0"/>
          <w:bCs/>
          <w:i w:val="0"/>
          <w:iCs/>
          <w:sz w:val="26"/>
          <w:szCs w:val="28"/>
          <w:lang w:val="en-GB"/>
        </w:rPr>
        <w:t xml:space="preserve">sectors decreasing to an </w:t>
      </w:r>
      <w:r w:rsidR="0039794C" w:rsidRPr="0005391C">
        <w:rPr>
          <w:rFonts w:eastAsia="Calibri"/>
          <w:b w:val="0"/>
          <w:bCs/>
          <w:i w:val="0"/>
          <w:iCs/>
          <w:sz w:val="26"/>
          <w:szCs w:val="28"/>
          <w:lang w:val="en-GB"/>
        </w:rPr>
        <w:t xml:space="preserve">unprecedented </w:t>
      </w:r>
      <w:r w:rsidR="00BE5F03" w:rsidRPr="0005391C">
        <w:rPr>
          <w:rFonts w:eastAsia="Calibri"/>
          <w:b w:val="0"/>
          <w:bCs/>
          <w:i w:val="0"/>
          <w:iCs/>
          <w:sz w:val="26"/>
          <w:szCs w:val="28"/>
          <w:lang w:val="en-GB"/>
        </w:rPr>
        <w:t xml:space="preserve">low </w:t>
      </w:r>
      <w:r w:rsidR="0039794C" w:rsidRPr="0005391C">
        <w:rPr>
          <w:rFonts w:eastAsia="Calibri"/>
          <w:b w:val="0"/>
          <w:bCs/>
          <w:i w:val="0"/>
          <w:iCs/>
          <w:sz w:val="26"/>
          <w:szCs w:val="28"/>
          <w:lang w:val="en-GB"/>
        </w:rPr>
        <w:t xml:space="preserve">in </w:t>
      </w:r>
      <w:r w:rsidR="00BE5F03" w:rsidRPr="0005391C">
        <w:rPr>
          <w:rFonts w:eastAsia="Calibri"/>
          <w:b w:val="0"/>
          <w:bCs/>
          <w:i w:val="0"/>
          <w:iCs/>
          <w:sz w:val="26"/>
          <w:szCs w:val="28"/>
          <w:lang w:val="en-GB"/>
        </w:rPr>
        <w:t>many</w:t>
      </w:r>
      <w:r w:rsidR="0039794C" w:rsidRPr="0005391C">
        <w:rPr>
          <w:rFonts w:eastAsia="Calibri"/>
          <w:b w:val="0"/>
          <w:bCs/>
          <w:i w:val="0"/>
          <w:iCs/>
          <w:sz w:val="26"/>
          <w:szCs w:val="28"/>
          <w:lang w:val="en-GB"/>
        </w:rPr>
        <w:t xml:space="preserve"> years. On the contrary, the </w:t>
      </w:r>
      <w:r w:rsidR="005D4523" w:rsidRPr="0005391C">
        <w:rPr>
          <w:rFonts w:eastAsia="Calibri"/>
          <w:b w:val="0"/>
          <w:bCs/>
          <w:i w:val="0"/>
          <w:iCs/>
          <w:sz w:val="26"/>
          <w:szCs w:val="28"/>
          <w:lang w:val="en-GB"/>
        </w:rPr>
        <w:t>labour</w:t>
      </w:r>
      <w:r w:rsidR="0039794C" w:rsidRPr="0005391C">
        <w:rPr>
          <w:rFonts w:eastAsia="Calibri"/>
          <w:b w:val="0"/>
          <w:bCs/>
          <w:i w:val="0"/>
          <w:iCs/>
          <w:sz w:val="26"/>
          <w:szCs w:val="28"/>
          <w:lang w:val="en-GB"/>
        </w:rPr>
        <w:t xml:space="preserve"> force in the </w:t>
      </w:r>
      <w:r w:rsidR="00BE5F03" w:rsidRPr="0005391C">
        <w:rPr>
          <w:rFonts w:eastAsia="Calibri"/>
          <w:b w:val="0"/>
          <w:bCs/>
          <w:i w:val="0"/>
          <w:iCs/>
          <w:sz w:val="26"/>
          <w:szCs w:val="28"/>
          <w:lang w:val="en-GB"/>
        </w:rPr>
        <w:t>AFF</w:t>
      </w:r>
      <w:r w:rsidR="0039794C" w:rsidRPr="0005391C">
        <w:rPr>
          <w:rFonts w:eastAsia="Calibri"/>
          <w:b w:val="0"/>
          <w:bCs/>
          <w:i w:val="0"/>
          <w:iCs/>
          <w:sz w:val="26"/>
          <w:szCs w:val="28"/>
          <w:lang w:val="en-GB"/>
        </w:rPr>
        <w:t xml:space="preserve"> sector</w:t>
      </w:r>
      <w:r w:rsidR="00BE5F03" w:rsidRPr="0005391C">
        <w:rPr>
          <w:rFonts w:eastAsia="Calibri"/>
          <w:b w:val="0"/>
          <w:bCs/>
          <w:i w:val="0"/>
          <w:iCs/>
          <w:sz w:val="26"/>
          <w:szCs w:val="28"/>
          <w:lang w:val="en-GB"/>
        </w:rPr>
        <w:t xml:space="preserve"> has</w:t>
      </w:r>
      <w:r w:rsidR="0039794C" w:rsidRPr="0005391C">
        <w:rPr>
          <w:rFonts w:eastAsia="Calibri"/>
          <w:b w:val="0"/>
          <w:bCs/>
          <w:i w:val="0"/>
          <w:iCs/>
          <w:sz w:val="26"/>
          <w:szCs w:val="28"/>
          <w:lang w:val="en-GB"/>
        </w:rPr>
        <w:t xml:space="preserve"> tend</w:t>
      </w:r>
      <w:r w:rsidR="00BE5F03" w:rsidRPr="0005391C">
        <w:rPr>
          <w:rFonts w:eastAsia="Calibri"/>
          <w:b w:val="0"/>
          <w:bCs/>
          <w:i w:val="0"/>
          <w:iCs/>
          <w:sz w:val="26"/>
          <w:szCs w:val="28"/>
          <w:lang w:val="en-GB"/>
        </w:rPr>
        <w:t>ed</w:t>
      </w:r>
      <w:r w:rsidR="0039794C" w:rsidRPr="0005391C">
        <w:rPr>
          <w:rFonts w:eastAsia="Calibri"/>
          <w:b w:val="0"/>
          <w:bCs/>
          <w:i w:val="0"/>
          <w:iCs/>
          <w:sz w:val="26"/>
          <w:szCs w:val="28"/>
          <w:lang w:val="en-GB"/>
        </w:rPr>
        <w:t xml:space="preserve"> to increase, </w:t>
      </w:r>
      <w:r w:rsidR="00BE5F03" w:rsidRPr="0005391C">
        <w:rPr>
          <w:rFonts w:eastAsia="Calibri"/>
          <w:b w:val="0"/>
          <w:bCs/>
          <w:i w:val="0"/>
          <w:iCs/>
          <w:sz w:val="26"/>
          <w:szCs w:val="28"/>
          <w:lang w:val="en-GB"/>
        </w:rPr>
        <w:t>as opposed</w:t>
      </w:r>
      <w:r w:rsidR="0039794C" w:rsidRPr="0005391C">
        <w:rPr>
          <w:rFonts w:eastAsia="Calibri"/>
          <w:b w:val="0"/>
          <w:bCs/>
          <w:i w:val="0"/>
          <w:iCs/>
          <w:sz w:val="26"/>
          <w:szCs w:val="28"/>
          <w:lang w:val="en-GB"/>
        </w:rPr>
        <w:t xml:space="preserve"> to the </w:t>
      </w:r>
      <w:r w:rsidR="00BE5F03" w:rsidRPr="0005391C">
        <w:rPr>
          <w:rFonts w:eastAsia="Calibri"/>
          <w:b w:val="0"/>
          <w:bCs/>
          <w:i w:val="0"/>
          <w:iCs/>
          <w:sz w:val="26"/>
          <w:szCs w:val="28"/>
          <w:lang w:val="en-GB"/>
        </w:rPr>
        <w:t>previously observed</w:t>
      </w:r>
      <w:r w:rsidR="0039794C" w:rsidRPr="0005391C">
        <w:rPr>
          <w:rFonts w:eastAsia="Calibri"/>
          <w:b w:val="0"/>
          <w:bCs/>
          <w:i w:val="0"/>
          <w:iCs/>
          <w:sz w:val="26"/>
          <w:szCs w:val="28"/>
          <w:lang w:val="en-GB"/>
        </w:rPr>
        <w:t xml:space="preserve"> trends, mainly due to the</w:t>
      </w:r>
      <w:r w:rsidR="00531FA7" w:rsidRPr="0005391C">
        <w:rPr>
          <w:rFonts w:eastAsia="Calibri"/>
          <w:b w:val="0"/>
          <w:bCs/>
          <w:i w:val="0"/>
          <w:iCs/>
          <w:sz w:val="26"/>
          <w:szCs w:val="28"/>
          <w:lang w:val="en-GB"/>
        </w:rPr>
        <w:t xml:space="preserve"> increasing</w:t>
      </w:r>
      <w:r w:rsidR="0039794C" w:rsidRPr="0005391C">
        <w:rPr>
          <w:rFonts w:eastAsia="Calibri"/>
          <w:b w:val="0"/>
          <w:bCs/>
          <w:i w:val="0"/>
          <w:iCs/>
          <w:sz w:val="26"/>
          <w:szCs w:val="28"/>
          <w:lang w:val="en-GB"/>
        </w:rPr>
        <w:t xml:space="preserve"> number of workers who lost their jobs in the southern provinces returning to their localities and working in </w:t>
      </w:r>
      <w:r w:rsidR="00BE5F03" w:rsidRPr="0005391C">
        <w:rPr>
          <w:rFonts w:eastAsia="Calibri"/>
          <w:b w:val="0"/>
          <w:bCs/>
          <w:i w:val="0"/>
          <w:iCs/>
          <w:sz w:val="26"/>
          <w:szCs w:val="28"/>
          <w:lang w:val="en-GB"/>
        </w:rPr>
        <w:t xml:space="preserve">the </w:t>
      </w:r>
      <w:r w:rsidR="0027169C" w:rsidRPr="0005391C">
        <w:rPr>
          <w:rFonts w:eastAsia="Calibri"/>
          <w:b w:val="0"/>
          <w:bCs/>
          <w:i w:val="0"/>
          <w:iCs/>
          <w:sz w:val="26"/>
          <w:szCs w:val="28"/>
          <w:lang w:val="en-GB"/>
        </w:rPr>
        <w:t>agriculture</w:t>
      </w:r>
      <w:r w:rsidR="00BE5F03" w:rsidRPr="0005391C">
        <w:rPr>
          <w:rFonts w:eastAsia="Calibri"/>
          <w:b w:val="0"/>
          <w:bCs/>
          <w:i w:val="0"/>
          <w:iCs/>
          <w:sz w:val="26"/>
          <w:szCs w:val="28"/>
          <w:lang w:val="en-GB"/>
        </w:rPr>
        <w:t xml:space="preserve"> sector</w:t>
      </w:r>
      <w:r w:rsidR="0039794C" w:rsidRPr="0005391C">
        <w:rPr>
          <w:rFonts w:eastAsia="Calibri"/>
          <w:b w:val="0"/>
          <w:bCs/>
          <w:i w:val="0"/>
          <w:iCs/>
          <w:sz w:val="26"/>
          <w:szCs w:val="28"/>
          <w:lang w:val="en-GB"/>
        </w:rPr>
        <w:t>.</w:t>
      </w:r>
    </w:p>
    <w:p w14:paraId="6456CF9E" w14:textId="0177268A" w:rsidR="00624181" w:rsidRPr="0005391C" w:rsidRDefault="00B00857" w:rsidP="00AE75EB">
      <w:pPr>
        <w:spacing w:before="120"/>
        <w:rPr>
          <w:rFonts w:ascii="Times New Roman Bold" w:eastAsia="Calibri" w:hAnsi="Times New Roman Bold"/>
          <w:bCs/>
          <w:i w:val="0"/>
          <w:iCs/>
          <w:spacing w:val="-10"/>
          <w:sz w:val="26"/>
          <w:szCs w:val="28"/>
          <w:lang w:val="en-GB"/>
        </w:rPr>
      </w:pPr>
      <w:r w:rsidRPr="0005391C">
        <w:rPr>
          <w:rFonts w:ascii="Times New Roman Bold" w:eastAsia="Calibri" w:hAnsi="Times New Roman Bold"/>
          <w:bCs/>
          <w:i w:val="0"/>
          <w:iCs/>
          <w:spacing w:val="-10"/>
          <w:sz w:val="26"/>
          <w:szCs w:val="28"/>
          <w:lang w:val="en-GB"/>
        </w:rPr>
        <w:t>Figure</w:t>
      </w:r>
      <w:r w:rsidR="00531FA7" w:rsidRPr="0005391C">
        <w:rPr>
          <w:rFonts w:ascii="Times New Roman Bold" w:eastAsia="Calibri" w:hAnsi="Times New Roman Bold"/>
          <w:bCs/>
          <w:i w:val="0"/>
          <w:iCs/>
          <w:spacing w:val="-10"/>
          <w:sz w:val="26"/>
          <w:szCs w:val="28"/>
          <w:lang w:val="en-GB"/>
        </w:rPr>
        <w:t xml:space="preserve"> 7: </w:t>
      </w:r>
      <w:r w:rsidR="00531FA7" w:rsidRPr="0005391C">
        <w:rPr>
          <w:rFonts w:eastAsia="Calibri"/>
          <w:bCs/>
          <w:i w:val="0"/>
          <w:iCs/>
          <w:sz w:val="26"/>
          <w:szCs w:val="28"/>
          <w:lang w:val="en-GB"/>
        </w:rPr>
        <w:t>The number of employed workers by economic sector</w:t>
      </w:r>
      <w:r w:rsidR="00624181" w:rsidRPr="0005391C">
        <w:rPr>
          <w:rFonts w:ascii="Times New Roman Bold" w:eastAsia="Calibri" w:hAnsi="Times New Roman Bold"/>
          <w:bCs/>
          <w:i w:val="0"/>
          <w:iCs/>
          <w:spacing w:val="-10"/>
          <w:sz w:val="26"/>
          <w:szCs w:val="28"/>
          <w:lang w:val="en-GB"/>
        </w:rPr>
        <w:t>,</w:t>
      </w:r>
      <w:r w:rsidR="0040164B" w:rsidRPr="0005391C">
        <w:rPr>
          <w:rFonts w:ascii="Times New Roman Bold" w:eastAsia="Calibri" w:hAnsi="Times New Roman Bold"/>
          <w:bCs/>
          <w:i w:val="0"/>
          <w:iCs/>
          <w:spacing w:val="-10"/>
          <w:sz w:val="26"/>
          <w:szCs w:val="28"/>
          <w:lang w:val="en-GB"/>
        </w:rPr>
        <w:t xml:space="preserve"> </w:t>
      </w:r>
      <w:r w:rsidR="00531FA7" w:rsidRPr="0005391C">
        <w:rPr>
          <w:rFonts w:ascii="Times New Roman Bold" w:eastAsia="Calibri" w:hAnsi="Times New Roman Bold"/>
          <w:bCs/>
          <w:i w:val="0"/>
          <w:iCs/>
          <w:spacing w:val="-10"/>
          <w:sz w:val="26"/>
          <w:szCs w:val="28"/>
          <w:lang w:val="en-GB"/>
        </w:rPr>
        <w:t>Q3</w:t>
      </w:r>
      <w:r w:rsidR="00443738" w:rsidRPr="0005391C">
        <w:rPr>
          <w:rFonts w:ascii="Times New Roman Bold" w:eastAsia="Calibri" w:hAnsi="Times New Roman Bold"/>
          <w:bCs/>
          <w:i w:val="0"/>
          <w:iCs/>
          <w:spacing w:val="-10"/>
          <w:sz w:val="26"/>
          <w:szCs w:val="28"/>
          <w:lang w:val="en-GB"/>
        </w:rPr>
        <w:t xml:space="preserve"> of </w:t>
      </w:r>
      <w:r w:rsidR="00624181" w:rsidRPr="0005391C">
        <w:rPr>
          <w:rFonts w:ascii="Times New Roman Bold" w:eastAsia="Calibri" w:hAnsi="Times New Roman Bold"/>
          <w:bCs/>
          <w:i w:val="0"/>
          <w:iCs/>
          <w:spacing w:val="-10"/>
          <w:sz w:val="26"/>
          <w:szCs w:val="28"/>
          <w:lang w:val="en-GB"/>
        </w:rPr>
        <w:t>2019-2021</w:t>
      </w:r>
    </w:p>
    <w:p w14:paraId="7167CC71" w14:textId="12FAC90C" w:rsidR="00624181" w:rsidRPr="0005391C" w:rsidRDefault="007A305F" w:rsidP="00AE75EB">
      <w:pPr>
        <w:jc w:val="right"/>
        <w:rPr>
          <w:rFonts w:eastAsia="Calibri"/>
          <w:b w:val="0"/>
          <w:bCs/>
          <w:iCs/>
          <w:sz w:val="26"/>
          <w:szCs w:val="28"/>
          <w:lang w:val="en-GB"/>
        </w:rPr>
      </w:pPr>
      <w:r w:rsidRPr="0005391C">
        <w:rPr>
          <w:noProof/>
          <w:sz w:val="22"/>
        </w:rPr>
        <w:drawing>
          <wp:anchor distT="0" distB="0" distL="114300" distR="114300" simplePos="0" relativeHeight="251672576" behindDoc="1" locked="0" layoutInCell="1" allowOverlap="1" wp14:anchorId="7D5F9895" wp14:editId="28610ED9">
            <wp:simplePos x="0" y="0"/>
            <wp:positionH relativeFrom="column">
              <wp:posOffset>36195</wp:posOffset>
            </wp:positionH>
            <wp:positionV relativeFrom="paragraph">
              <wp:posOffset>258445</wp:posOffset>
            </wp:positionV>
            <wp:extent cx="5603875" cy="2348230"/>
            <wp:effectExtent l="0" t="0" r="15875" b="13970"/>
            <wp:wrapTopAndBottom/>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B00857" w:rsidRPr="0005391C">
        <w:rPr>
          <w:rFonts w:eastAsia="Calibri"/>
          <w:b w:val="0"/>
          <w:bCs/>
          <w:iCs/>
          <w:sz w:val="26"/>
          <w:szCs w:val="28"/>
          <w:lang w:val="en-GB"/>
        </w:rPr>
        <w:t>Unit:</w:t>
      </w:r>
      <w:r w:rsidR="00624181" w:rsidRPr="0005391C">
        <w:rPr>
          <w:rFonts w:eastAsia="Calibri"/>
          <w:b w:val="0"/>
          <w:bCs/>
          <w:iCs/>
          <w:sz w:val="26"/>
          <w:szCs w:val="28"/>
          <w:lang w:val="en-GB"/>
        </w:rPr>
        <w:t xml:space="preserve"> </w:t>
      </w:r>
      <w:r w:rsidR="0099720B" w:rsidRPr="0005391C">
        <w:rPr>
          <w:rFonts w:eastAsia="Calibri"/>
          <w:b w:val="0"/>
          <w:bCs/>
          <w:iCs/>
          <w:sz w:val="26"/>
          <w:szCs w:val="28"/>
          <w:lang w:val="en-GB"/>
        </w:rPr>
        <w:t>Million people</w:t>
      </w:r>
    </w:p>
    <w:p w14:paraId="54FD2BCD" w14:textId="55B1E726" w:rsidR="00883201" w:rsidRPr="0005391C" w:rsidRDefault="00883201" w:rsidP="00CB2AFD">
      <w:pPr>
        <w:spacing w:before="240" w:after="120" w:line="288" w:lineRule="auto"/>
        <w:ind w:firstLine="709"/>
        <w:jc w:val="both"/>
        <w:rPr>
          <w:rFonts w:eastAsia="Calibri"/>
          <w:b w:val="0"/>
          <w:bCs/>
          <w:i w:val="0"/>
          <w:iCs/>
          <w:spacing w:val="-2"/>
          <w:sz w:val="26"/>
          <w:szCs w:val="28"/>
          <w:lang w:val="en-GB"/>
        </w:rPr>
      </w:pPr>
      <w:r w:rsidRPr="0005391C">
        <w:rPr>
          <w:rFonts w:eastAsia="Calibri"/>
          <w:b w:val="0"/>
          <w:bCs/>
          <w:i w:val="0"/>
          <w:iCs/>
          <w:spacing w:val="-2"/>
          <w:sz w:val="26"/>
          <w:szCs w:val="28"/>
          <w:lang w:val="en-GB"/>
        </w:rPr>
        <w:t>The prolonged development of the Covid</w:t>
      </w:r>
      <w:r w:rsidR="00A25E24" w:rsidRPr="0005391C">
        <w:rPr>
          <w:rFonts w:eastAsia="Calibri"/>
          <w:b w:val="0"/>
          <w:bCs/>
          <w:i w:val="0"/>
          <w:iCs/>
          <w:spacing w:val="-2"/>
          <w:sz w:val="26"/>
          <w:szCs w:val="28"/>
          <w:lang w:val="en-GB"/>
        </w:rPr>
        <w:t>-19</w:t>
      </w:r>
      <w:r w:rsidRPr="0005391C">
        <w:rPr>
          <w:rFonts w:eastAsia="Calibri"/>
          <w:b w:val="0"/>
          <w:bCs/>
          <w:i w:val="0"/>
          <w:iCs/>
          <w:spacing w:val="-2"/>
          <w:sz w:val="26"/>
          <w:szCs w:val="28"/>
          <w:lang w:val="en-GB"/>
        </w:rPr>
        <w:t xml:space="preserve"> pandemic along with the implementation of Directives 15 and 16 has caused thousands of businesses to face difficulties, </w:t>
      </w:r>
      <w:r w:rsidR="00A25E24" w:rsidRPr="0005391C">
        <w:rPr>
          <w:rFonts w:eastAsia="Calibri"/>
          <w:b w:val="0"/>
          <w:bCs/>
          <w:i w:val="0"/>
          <w:iCs/>
          <w:spacing w:val="-2"/>
          <w:sz w:val="26"/>
          <w:szCs w:val="28"/>
          <w:lang w:val="en-GB"/>
        </w:rPr>
        <w:t xml:space="preserve">resulting in </w:t>
      </w:r>
      <w:r w:rsidRPr="0005391C">
        <w:rPr>
          <w:rFonts w:eastAsia="Calibri"/>
          <w:b w:val="0"/>
          <w:bCs/>
          <w:i w:val="0"/>
          <w:iCs/>
          <w:spacing w:val="-2"/>
          <w:sz w:val="26"/>
          <w:szCs w:val="28"/>
          <w:lang w:val="en-GB"/>
        </w:rPr>
        <w:t xml:space="preserve">tens of thousands of businesses </w:t>
      </w:r>
      <w:r w:rsidR="00A25E24" w:rsidRPr="0005391C">
        <w:rPr>
          <w:rFonts w:eastAsia="Calibri"/>
          <w:b w:val="0"/>
          <w:bCs/>
          <w:i w:val="0"/>
          <w:iCs/>
          <w:spacing w:val="-2"/>
          <w:sz w:val="26"/>
          <w:szCs w:val="28"/>
          <w:lang w:val="en-GB"/>
        </w:rPr>
        <w:t xml:space="preserve">being dissolved or suspending operations and many </w:t>
      </w:r>
      <w:r w:rsidRPr="0005391C">
        <w:rPr>
          <w:rFonts w:eastAsia="Calibri"/>
          <w:b w:val="0"/>
          <w:bCs/>
          <w:i w:val="0"/>
          <w:iCs/>
          <w:spacing w:val="-2"/>
          <w:sz w:val="26"/>
          <w:szCs w:val="28"/>
          <w:lang w:val="en-GB"/>
        </w:rPr>
        <w:t xml:space="preserve">only </w:t>
      </w:r>
      <w:r w:rsidR="00A25E24" w:rsidRPr="0005391C">
        <w:rPr>
          <w:rFonts w:eastAsia="Calibri"/>
          <w:b w:val="0"/>
          <w:bCs/>
          <w:i w:val="0"/>
          <w:iCs/>
          <w:spacing w:val="-2"/>
          <w:sz w:val="26"/>
          <w:szCs w:val="28"/>
          <w:lang w:val="en-GB"/>
        </w:rPr>
        <w:t xml:space="preserve">operating at a </w:t>
      </w:r>
      <w:r w:rsidRPr="0005391C">
        <w:rPr>
          <w:rFonts w:eastAsia="Calibri"/>
          <w:b w:val="0"/>
          <w:bCs/>
          <w:i w:val="0"/>
          <w:iCs/>
          <w:spacing w:val="-2"/>
          <w:sz w:val="26"/>
          <w:szCs w:val="28"/>
          <w:lang w:val="en-GB"/>
        </w:rPr>
        <w:t xml:space="preserve">moderate </w:t>
      </w:r>
      <w:r w:rsidR="00A25E24" w:rsidRPr="0005391C">
        <w:rPr>
          <w:rFonts w:eastAsia="Calibri"/>
          <w:b w:val="0"/>
          <w:bCs/>
          <w:i w:val="0"/>
          <w:iCs/>
          <w:spacing w:val="-2"/>
          <w:sz w:val="26"/>
          <w:szCs w:val="28"/>
          <w:lang w:val="en-GB"/>
        </w:rPr>
        <w:t>level with only 30-50</w:t>
      </w:r>
      <w:r w:rsidRPr="0005391C">
        <w:rPr>
          <w:rFonts w:eastAsia="Calibri"/>
          <w:b w:val="0"/>
          <w:bCs/>
          <w:i w:val="0"/>
          <w:iCs/>
          <w:spacing w:val="-2"/>
          <w:sz w:val="26"/>
          <w:szCs w:val="28"/>
          <w:lang w:val="en-GB"/>
        </w:rPr>
        <w:t>% of</w:t>
      </w:r>
      <w:r w:rsidR="00A25E24" w:rsidRPr="0005391C">
        <w:rPr>
          <w:rFonts w:eastAsia="Calibri"/>
          <w:b w:val="0"/>
          <w:bCs/>
          <w:i w:val="0"/>
          <w:iCs/>
          <w:spacing w:val="-2"/>
          <w:sz w:val="26"/>
          <w:szCs w:val="28"/>
          <w:lang w:val="en-GB"/>
        </w:rPr>
        <w:t xml:space="preserve"> workers </w:t>
      </w:r>
      <w:r w:rsidRPr="0005391C">
        <w:rPr>
          <w:rFonts w:eastAsia="Calibri"/>
          <w:b w:val="0"/>
          <w:bCs/>
          <w:i w:val="0"/>
          <w:iCs/>
          <w:spacing w:val="-2"/>
          <w:sz w:val="26"/>
          <w:szCs w:val="28"/>
          <w:lang w:val="en-GB"/>
        </w:rPr>
        <w:t>due to the social distancing</w:t>
      </w:r>
      <w:r w:rsidR="00A25E24" w:rsidRPr="0005391C">
        <w:rPr>
          <w:rFonts w:eastAsia="Calibri"/>
          <w:b w:val="0"/>
          <w:bCs/>
          <w:i w:val="0"/>
          <w:iCs/>
          <w:spacing w:val="-2"/>
          <w:sz w:val="26"/>
          <w:szCs w:val="28"/>
          <w:lang w:val="en-GB"/>
        </w:rPr>
        <w:t xml:space="preserve"> measures in place</w:t>
      </w:r>
      <w:r w:rsidRPr="0005391C">
        <w:rPr>
          <w:rFonts w:eastAsia="Calibri"/>
          <w:b w:val="0"/>
          <w:bCs/>
          <w:i w:val="0"/>
          <w:iCs/>
          <w:spacing w:val="-2"/>
          <w:sz w:val="26"/>
          <w:szCs w:val="28"/>
          <w:lang w:val="en-GB"/>
        </w:rPr>
        <w:t xml:space="preserve">. </w:t>
      </w:r>
      <w:r w:rsidR="008A40A8" w:rsidRPr="0005391C">
        <w:rPr>
          <w:rFonts w:eastAsia="Calibri"/>
          <w:b w:val="0"/>
          <w:bCs/>
          <w:i w:val="0"/>
          <w:iCs/>
          <w:spacing w:val="-2"/>
          <w:sz w:val="26"/>
          <w:szCs w:val="28"/>
          <w:lang w:val="en-GB"/>
        </w:rPr>
        <w:t>Furthermore</w:t>
      </w:r>
      <w:r w:rsidRPr="0005391C">
        <w:rPr>
          <w:rFonts w:eastAsia="Calibri"/>
          <w:b w:val="0"/>
          <w:bCs/>
          <w:i w:val="0"/>
          <w:iCs/>
          <w:spacing w:val="-2"/>
          <w:sz w:val="26"/>
          <w:szCs w:val="28"/>
          <w:lang w:val="en-GB"/>
        </w:rPr>
        <w:t xml:space="preserve">, the </w:t>
      </w:r>
      <w:r w:rsidR="005D4523" w:rsidRPr="0005391C">
        <w:rPr>
          <w:rFonts w:eastAsia="Calibri"/>
          <w:b w:val="0"/>
          <w:bCs/>
          <w:i w:val="0"/>
          <w:iCs/>
          <w:spacing w:val="-2"/>
          <w:sz w:val="26"/>
          <w:szCs w:val="28"/>
          <w:lang w:val="en-GB"/>
        </w:rPr>
        <w:t>labour</w:t>
      </w:r>
      <w:r w:rsidRPr="0005391C">
        <w:rPr>
          <w:rFonts w:eastAsia="Calibri"/>
          <w:b w:val="0"/>
          <w:bCs/>
          <w:i w:val="0"/>
          <w:iCs/>
          <w:spacing w:val="-2"/>
          <w:sz w:val="26"/>
          <w:szCs w:val="28"/>
          <w:lang w:val="en-GB"/>
        </w:rPr>
        <w:t xml:space="preserve"> supply for the market </w:t>
      </w:r>
      <w:r w:rsidR="008A40A8" w:rsidRPr="0005391C">
        <w:rPr>
          <w:rFonts w:eastAsia="Calibri"/>
          <w:b w:val="0"/>
          <w:bCs/>
          <w:i w:val="0"/>
          <w:iCs/>
          <w:spacing w:val="-2"/>
          <w:sz w:val="26"/>
          <w:szCs w:val="28"/>
          <w:lang w:val="en-GB"/>
        </w:rPr>
        <w:t xml:space="preserve">has </w:t>
      </w:r>
      <w:r w:rsidRPr="0005391C">
        <w:rPr>
          <w:rFonts w:eastAsia="Calibri"/>
          <w:b w:val="0"/>
          <w:bCs/>
          <w:i w:val="0"/>
          <w:iCs/>
          <w:spacing w:val="-2"/>
          <w:sz w:val="26"/>
          <w:szCs w:val="28"/>
          <w:lang w:val="en-GB"/>
        </w:rPr>
        <w:t xml:space="preserve">also decreased as </w:t>
      </w:r>
      <w:r w:rsidR="008A40A8" w:rsidRPr="0005391C">
        <w:rPr>
          <w:rFonts w:eastAsia="Calibri"/>
          <w:b w:val="0"/>
          <w:bCs/>
          <w:i w:val="0"/>
          <w:iCs/>
          <w:spacing w:val="-2"/>
          <w:sz w:val="26"/>
          <w:szCs w:val="28"/>
          <w:lang w:val="en-GB"/>
        </w:rPr>
        <w:t>workers</w:t>
      </w:r>
      <w:r w:rsidRPr="0005391C">
        <w:rPr>
          <w:rFonts w:eastAsia="Calibri"/>
          <w:b w:val="0"/>
          <w:bCs/>
          <w:i w:val="0"/>
          <w:iCs/>
          <w:spacing w:val="-2"/>
          <w:sz w:val="26"/>
          <w:szCs w:val="28"/>
          <w:lang w:val="en-GB"/>
        </w:rPr>
        <w:t xml:space="preserve"> returned to their home</w:t>
      </w:r>
      <w:r w:rsidR="008A40A8" w:rsidRPr="0005391C">
        <w:rPr>
          <w:rFonts w:eastAsia="Calibri"/>
          <w:b w:val="0"/>
          <w:bCs/>
          <w:i w:val="0"/>
          <w:iCs/>
          <w:spacing w:val="-2"/>
          <w:sz w:val="26"/>
          <w:szCs w:val="28"/>
          <w:lang w:val="en-GB"/>
        </w:rPr>
        <w:t xml:space="preserve"> provinces for fear of the pan</w:t>
      </w:r>
      <w:r w:rsidRPr="0005391C">
        <w:rPr>
          <w:rFonts w:eastAsia="Calibri"/>
          <w:b w:val="0"/>
          <w:bCs/>
          <w:i w:val="0"/>
          <w:iCs/>
          <w:spacing w:val="-2"/>
          <w:sz w:val="26"/>
          <w:szCs w:val="28"/>
          <w:lang w:val="en-GB"/>
        </w:rPr>
        <w:t xml:space="preserve">demic or had to be isolated, leading to a shortage of </w:t>
      </w:r>
      <w:r w:rsidR="005D4523" w:rsidRPr="0005391C">
        <w:rPr>
          <w:rFonts w:eastAsia="Calibri"/>
          <w:b w:val="0"/>
          <w:bCs/>
          <w:i w:val="0"/>
          <w:iCs/>
          <w:spacing w:val="-2"/>
          <w:sz w:val="26"/>
          <w:szCs w:val="28"/>
          <w:lang w:val="en-GB"/>
        </w:rPr>
        <w:t>labour</w:t>
      </w:r>
      <w:r w:rsidRPr="0005391C">
        <w:rPr>
          <w:rFonts w:eastAsia="Calibri"/>
          <w:b w:val="0"/>
          <w:bCs/>
          <w:i w:val="0"/>
          <w:iCs/>
          <w:spacing w:val="-2"/>
          <w:sz w:val="26"/>
          <w:szCs w:val="28"/>
          <w:lang w:val="en-GB"/>
        </w:rPr>
        <w:t xml:space="preserve"> </w:t>
      </w:r>
      <w:r w:rsidR="008A40A8" w:rsidRPr="0005391C">
        <w:rPr>
          <w:rFonts w:eastAsia="Calibri"/>
          <w:b w:val="0"/>
          <w:bCs/>
          <w:i w:val="0"/>
          <w:iCs/>
          <w:spacing w:val="-2"/>
          <w:sz w:val="26"/>
          <w:szCs w:val="28"/>
          <w:lang w:val="en-GB"/>
        </w:rPr>
        <w:t>supply</w:t>
      </w:r>
      <w:r w:rsidRPr="0005391C">
        <w:rPr>
          <w:rFonts w:eastAsia="Calibri"/>
          <w:b w:val="0"/>
          <w:bCs/>
          <w:i w:val="0"/>
          <w:iCs/>
          <w:spacing w:val="-2"/>
          <w:sz w:val="26"/>
          <w:szCs w:val="28"/>
          <w:lang w:val="en-GB"/>
        </w:rPr>
        <w:t xml:space="preserve"> in many enterprises. The </w:t>
      </w:r>
      <w:r w:rsidR="008A40A8" w:rsidRPr="0005391C">
        <w:rPr>
          <w:rFonts w:eastAsia="Calibri"/>
          <w:b w:val="0"/>
          <w:bCs/>
          <w:i w:val="0"/>
          <w:iCs/>
          <w:spacing w:val="-2"/>
          <w:sz w:val="26"/>
          <w:szCs w:val="28"/>
          <w:lang w:val="en-GB"/>
        </w:rPr>
        <w:t>findings</w:t>
      </w:r>
      <w:r w:rsidRPr="0005391C">
        <w:rPr>
          <w:rFonts w:eastAsia="Calibri"/>
          <w:b w:val="0"/>
          <w:bCs/>
          <w:i w:val="0"/>
          <w:iCs/>
          <w:spacing w:val="-2"/>
          <w:sz w:val="26"/>
          <w:szCs w:val="28"/>
          <w:lang w:val="en-GB"/>
        </w:rPr>
        <w:t xml:space="preserve"> of the survey to asses</w:t>
      </w:r>
      <w:r w:rsidR="008A40A8" w:rsidRPr="0005391C">
        <w:rPr>
          <w:rFonts w:eastAsia="Calibri"/>
          <w:b w:val="0"/>
          <w:bCs/>
          <w:i w:val="0"/>
          <w:iCs/>
          <w:spacing w:val="-2"/>
          <w:sz w:val="26"/>
          <w:szCs w:val="28"/>
          <w:lang w:val="en-GB"/>
        </w:rPr>
        <w:t>s the impact of the Covid-19 pan</w:t>
      </w:r>
      <w:r w:rsidRPr="0005391C">
        <w:rPr>
          <w:rFonts w:eastAsia="Calibri"/>
          <w:b w:val="0"/>
          <w:bCs/>
          <w:i w:val="0"/>
          <w:iCs/>
          <w:spacing w:val="-2"/>
          <w:sz w:val="26"/>
          <w:szCs w:val="28"/>
          <w:lang w:val="en-GB"/>
        </w:rPr>
        <w:t xml:space="preserve">demic on a national scale showed that </w:t>
      </w:r>
      <w:r w:rsidR="008A40A8" w:rsidRPr="0005391C">
        <w:rPr>
          <w:rFonts w:eastAsia="Calibri"/>
          <w:b w:val="0"/>
          <w:bCs/>
          <w:i w:val="0"/>
          <w:iCs/>
          <w:spacing w:val="-2"/>
          <w:sz w:val="26"/>
          <w:szCs w:val="28"/>
          <w:lang w:val="en-GB"/>
        </w:rPr>
        <w:t xml:space="preserve">17.8% </w:t>
      </w:r>
      <w:r w:rsidRPr="0005391C">
        <w:rPr>
          <w:rFonts w:eastAsia="Calibri"/>
          <w:b w:val="0"/>
          <w:bCs/>
          <w:i w:val="0"/>
          <w:iCs/>
          <w:spacing w:val="-2"/>
          <w:sz w:val="26"/>
          <w:szCs w:val="28"/>
          <w:lang w:val="en-GB"/>
        </w:rPr>
        <w:t xml:space="preserve">of 22,764 businesses </w:t>
      </w:r>
      <w:r w:rsidR="008A40A8" w:rsidRPr="0005391C">
        <w:rPr>
          <w:rFonts w:eastAsia="Calibri"/>
          <w:b w:val="0"/>
          <w:bCs/>
          <w:i w:val="0"/>
          <w:iCs/>
          <w:spacing w:val="-2"/>
          <w:sz w:val="26"/>
          <w:szCs w:val="28"/>
          <w:lang w:val="en-GB"/>
        </w:rPr>
        <w:t>experienced</w:t>
      </w:r>
      <w:r w:rsidRPr="0005391C">
        <w:rPr>
          <w:rFonts w:eastAsia="Calibri"/>
          <w:b w:val="0"/>
          <w:bCs/>
          <w:i w:val="0"/>
          <w:iCs/>
          <w:spacing w:val="-2"/>
          <w:sz w:val="26"/>
          <w:szCs w:val="28"/>
          <w:lang w:val="en-GB"/>
        </w:rPr>
        <w:t xml:space="preserve"> a shortage of workers. The highest proportion of enterprises with </w:t>
      </w:r>
      <w:r w:rsidR="005D4523" w:rsidRPr="0005391C">
        <w:rPr>
          <w:rFonts w:eastAsia="Calibri"/>
          <w:b w:val="0"/>
          <w:bCs/>
          <w:i w:val="0"/>
          <w:iCs/>
          <w:spacing w:val="-2"/>
          <w:sz w:val="26"/>
          <w:szCs w:val="28"/>
          <w:lang w:val="en-GB"/>
        </w:rPr>
        <w:t>labour</w:t>
      </w:r>
      <w:r w:rsidRPr="0005391C">
        <w:rPr>
          <w:rFonts w:eastAsia="Calibri"/>
          <w:b w:val="0"/>
          <w:bCs/>
          <w:i w:val="0"/>
          <w:iCs/>
          <w:spacing w:val="-2"/>
          <w:sz w:val="26"/>
          <w:szCs w:val="28"/>
          <w:lang w:val="en-GB"/>
        </w:rPr>
        <w:t xml:space="preserve"> shortage was recorded in the Southeast region, with 30.6%. In </w:t>
      </w:r>
      <w:r w:rsidR="008A40A8" w:rsidRPr="0005391C">
        <w:rPr>
          <w:rFonts w:eastAsia="Calibri"/>
          <w:b w:val="0"/>
          <w:bCs/>
          <w:i w:val="0"/>
          <w:iCs/>
          <w:spacing w:val="-2"/>
          <w:sz w:val="26"/>
          <w:szCs w:val="28"/>
          <w:lang w:val="en-GB"/>
        </w:rPr>
        <w:t>this region</w:t>
      </w:r>
      <w:r w:rsidRPr="0005391C">
        <w:rPr>
          <w:rFonts w:eastAsia="Calibri"/>
          <w:b w:val="0"/>
          <w:bCs/>
          <w:i w:val="0"/>
          <w:iCs/>
          <w:spacing w:val="-2"/>
          <w:sz w:val="26"/>
          <w:szCs w:val="28"/>
          <w:lang w:val="en-GB"/>
        </w:rPr>
        <w:t xml:space="preserve">, provinces with </w:t>
      </w:r>
      <w:r w:rsidR="008A40A8" w:rsidRPr="0005391C">
        <w:rPr>
          <w:rFonts w:eastAsia="Calibri"/>
          <w:b w:val="0"/>
          <w:bCs/>
          <w:i w:val="0"/>
          <w:iCs/>
          <w:spacing w:val="-2"/>
          <w:sz w:val="26"/>
          <w:szCs w:val="28"/>
          <w:lang w:val="en-GB"/>
        </w:rPr>
        <w:t>severe labour</w:t>
      </w:r>
      <w:r w:rsidRPr="0005391C">
        <w:rPr>
          <w:rFonts w:eastAsia="Calibri"/>
          <w:b w:val="0"/>
          <w:bCs/>
          <w:i w:val="0"/>
          <w:iCs/>
          <w:spacing w:val="-2"/>
          <w:sz w:val="26"/>
          <w:szCs w:val="28"/>
          <w:lang w:val="en-GB"/>
        </w:rPr>
        <w:t xml:space="preserve"> shortage</w:t>
      </w:r>
      <w:r w:rsidR="008A40A8" w:rsidRPr="0005391C">
        <w:rPr>
          <w:rFonts w:eastAsia="Calibri"/>
          <w:b w:val="0"/>
          <w:bCs/>
          <w:i w:val="0"/>
          <w:iCs/>
          <w:spacing w:val="-2"/>
          <w:sz w:val="26"/>
          <w:szCs w:val="28"/>
          <w:lang w:val="en-GB"/>
        </w:rPr>
        <w:t>s</w:t>
      </w:r>
      <w:r w:rsidRPr="0005391C">
        <w:rPr>
          <w:rFonts w:eastAsia="Calibri"/>
          <w:b w:val="0"/>
          <w:bCs/>
          <w:i w:val="0"/>
          <w:iCs/>
          <w:spacing w:val="-2"/>
          <w:sz w:val="26"/>
          <w:szCs w:val="28"/>
          <w:lang w:val="en-GB"/>
        </w:rPr>
        <w:t xml:space="preserve"> are Binh Duong (36.9%); Binh Phuoc (34.4%) and Ho Chi Minh City </w:t>
      </w:r>
      <w:r w:rsidR="008A40A8" w:rsidRPr="0005391C">
        <w:rPr>
          <w:rFonts w:eastAsia="Calibri"/>
          <w:b w:val="0"/>
          <w:bCs/>
          <w:i w:val="0"/>
          <w:iCs/>
          <w:spacing w:val="-2"/>
          <w:sz w:val="26"/>
          <w:szCs w:val="28"/>
          <w:lang w:val="en-GB"/>
        </w:rPr>
        <w:t>(</w:t>
      </w:r>
      <w:r w:rsidRPr="0005391C">
        <w:rPr>
          <w:rFonts w:eastAsia="Calibri"/>
          <w:b w:val="0"/>
          <w:bCs/>
          <w:i w:val="0"/>
          <w:iCs/>
          <w:spacing w:val="-2"/>
          <w:sz w:val="26"/>
          <w:szCs w:val="28"/>
          <w:lang w:val="en-GB"/>
        </w:rPr>
        <w:t>31.8%</w:t>
      </w:r>
      <w:r w:rsidR="008A40A8" w:rsidRPr="0005391C">
        <w:rPr>
          <w:rFonts w:eastAsia="Calibri"/>
          <w:b w:val="0"/>
          <w:bCs/>
          <w:i w:val="0"/>
          <w:iCs/>
          <w:spacing w:val="-2"/>
          <w:sz w:val="26"/>
          <w:szCs w:val="28"/>
          <w:lang w:val="en-GB"/>
        </w:rPr>
        <w:t>)</w:t>
      </w:r>
      <w:r w:rsidRPr="0005391C">
        <w:rPr>
          <w:rFonts w:eastAsia="Calibri"/>
          <w:b w:val="0"/>
          <w:bCs/>
          <w:i w:val="0"/>
          <w:iCs/>
          <w:spacing w:val="-2"/>
          <w:sz w:val="26"/>
          <w:szCs w:val="28"/>
          <w:lang w:val="en-GB"/>
        </w:rPr>
        <w:t>. Some industries that report</w:t>
      </w:r>
      <w:r w:rsidR="006D4E84" w:rsidRPr="0005391C">
        <w:rPr>
          <w:rFonts w:eastAsia="Calibri"/>
          <w:b w:val="0"/>
          <w:bCs/>
          <w:i w:val="0"/>
          <w:iCs/>
          <w:spacing w:val="-2"/>
          <w:sz w:val="26"/>
          <w:szCs w:val="28"/>
          <w:lang w:val="en-GB"/>
        </w:rPr>
        <w:t>ed</w:t>
      </w:r>
      <w:r w:rsidRPr="0005391C">
        <w:rPr>
          <w:rFonts w:eastAsia="Calibri"/>
          <w:b w:val="0"/>
          <w:bCs/>
          <w:i w:val="0"/>
          <w:iCs/>
          <w:spacing w:val="-2"/>
          <w:sz w:val="26"/>
          <w:szCs w:val="28"/>
          <w:lang w:val="en-GB"/>
        </w:rPr>
        <w:t xml:space="preserve"> </w:t>
      </w:r>
      <w:r w:rsidR="006D4E84" w:rsidRPr="0005391C">
        <w:rPr>
          <w:rFonts w:eastAsia="Calibri"/>
          <w:b w:val="0"/>
          <w:bCs/>
          <w:i w:val="0"/>
          <w:iCs/>
          <w:spacing w:val="-2"/>
          <w:sz w:val="26"/>
          <w:szCs w:val="28"/>
          <w:lang w:val="en-GB"/>
        </w:rPr>
        <w:t>to have experienced the</w:t>
      </w:r>
      <w:r w:rsidRPr="0005391C">
        <w:rPr>
          <w:rFonts w:eastAsia="Calibri"/>
          <w:b w:val="0"/>
          <w:bCs/>
          <w:i w:val="0"/>
          <w:iCs/>
          <w:spacing w:val="-2"/>
          <w:sz w:val="26"/>
          <w:szCs w:val="28"/>
          <w:lang w:val="en-GB"/>
        </w:rPr>
        <w:t xml:space="preserve"> most </w:t>
      </w:r>
      <w:r w:rsidR="006D4E84" w:rsidRPr="0005391C">
        <w:rPr>
          <w:rFonts w:eastAsia="Calibri"/>
          <w:b w:val="0"/>
          <w:bCs/>
          <w:i w:val="0"/>
          <w:iCs/>
          <w:spacing w:val="-2"/>
          <w:sz w:val="26"/>
          <w:szCs w:val="28"/>
          <w:lang w:val="en-GB"/>
        </w:rPr>
        <w:t xml:space="preserve">severe </w:t>
      </w:r>
      <w:r w:rsidR="005D4523" w:rsidRPr="0005391C">
        <w:rPr>
          <w:rFonts w:eastAsia="Calibri"/>
          <w:b w:val="0"/>
          <w:bCs/>
          <w:i w:val="0"/>
          <w:iCs/>
          <w:spacing w:val="-2"/>
          <w:sz w:val="26"/>
          <w:szCs w:val="28"/>
          <w:lang w:val="en-GB"/>
        </w:rPr>
        <w:t>labour</w:t>
      </w:r>
      <w:r w:rsidRPr="0005391C">
        <w:rPr>
          <w:rFonts w:eastAsia="Calibri"/>
          <w:b w:val="0"/>
          <w:bCs/>
          <w:i w:val="0"/>
          <w:iCs/>
          <w:spacing w:val="-2"/>
          <w:sz w:val="26"/>
          <w:szCs w:val="28"/>
          <w:lang w:val="en-GB"/>
        </w:rPr>
        <w:t xml:space="preserve"> shortages are electronics</w:t>
      </w:r>
      <w:r w:rsidR="00443738" w:rsidRPr="0005391C">
        <w:rPr>
          <w:rFonts w:eastAsia="Calibri"/>
          <w:b w:val="0"/>
          <w:bCs/>
          <w:i w:val="0"/>
          <w:iCs/>
          <w:spacing w:val="-2"/>
          <w:sz w:val="26"/>
          <w:szCs w:val="28"/>
          <w:lang w:val="en-GB"/>
        </w:rPr>
        <w:t xml:space="preserve">, </w:t>
      </w:r>
      <w:r w:rsidRPr="0005391C">
        <w:rPr>
          <w:rFonts w:eastAsia="Calibri"/>
          <w:b w:val="0"/>
          <w:bCs/>
          <w:i w:val="0"/>
          <w:iCs/>
          <w:spacing w:val="-2"/>
          <w:sz w:val="26"/>
          <w:szCs w:val="28"/>
          <w:lang w:val="en-GB"/>
        </w:rPr>
        <w:t xml:space="preserve"> computer </w:t>
      </w:r>
      <w:r w:rsidR="00443738" w:rsidRPr="0005391C">
        <w:rPr>
          <w:rFonts w:eastAsia="Calibri"/>
          <w:b w:val="0"/>
          <w:bCs/>
          <w:i w:val="0"/>
          <w:iCs/>
          <w:spacing w:val="-2"/>
          <w:sz w:val="26"/>
          <w:szCs w:val="28"/>
          <w:lang w:val="en-GB"/>
        </w:rPr>
        <w:t xml:space="preserve">and optical products </w:t>
      </w:r>
      <w:r w:rsidRPr="0005391C">
        <w:rPr>
          <w:rFonts w:eastAsia="Calibri"/>
          <w:b w:val="0"/>
          <w:bCs/>
          <w:i w:val="0"/>
          <w:iCs/>
          <w:spacing w:val="-2"/>
          <w:sz w:val="26"/>
          <w:szCs w:val="28"/>
          <w:lang w:val="en-GB"/>
        </w:rPr>
        <w:t>manufacturing (55.6%), leather and related products (51.7%), apparel manufacturing (49.2%),</w:t>
      </w:r>
      <w:r w:rsidR="00443738" w:rsidRPr="0005391C">
        <w:rPr>
          <w:rFonts w:eastAsia="Calibri"/>
          <w:b w:val="0"/>
          <w:bCs/>
          <w:i w:val="0"/>
          <w:iCs/>
          <w:spacing w:val="-2"/>
          <w:sz w:val="26"/>
          <w:szCs w:val="28"/>
          <w:lang w:val="en-GB"/>
        </w:rPr>
        <w:t xml:space="preserve"> </w:t>
      </w:r>
      <w:r w:rsidRPr="0005391C">
        <w:rPr>
          <w:rFonts w:eastAsia="Calibri"/>
          <w:b w:val="0"/>
          <w:bCs/>
          <w:i w:val="0"/>
          <w:iCs/>
          <w:spacing w:val="-2"/>
          <w:sz w:val="26"/>
          <w:szCs w:val="28"/>
          <w:lang w:val="en-GB"/>
        </w:rPr>
        <w:t xml:space="preserve">electrical </w:t>
      </w:r>
      <w:r w:rsidR="00443738" w:rsidRPr="0005391C">
        <w:rPr>
          <w:rFonts w:eastAsia="Calibri"/>
          <w:b w:val="0"/>
          <w:bCs/>
          <w:i w:val="0"/>
          <w:iCs/>
          <w:spacing w:val="-2"/>
          <w:sz w:val="26"/>
          <w:szCs w:val="28"/>
          <w:lang w:val="en-GB"/>
        </w:rPr>
        <w:t>equipment manufacturi</w:t>
      </w:r>
      <w:r w:rsidR="00CB2AFD">
        <w:rPr>
          <w:rFonts w:eastAsia="Calibri"/>
          <w:b w:val="0"/>
          <w:bCs/>
          <w:i w:val="0"/>
          <w:iCs/>
          <w:spacing w:val="-2"/>
          <w:sz w:val="26"/>
          <w:szCs w:val="28"/>
          <w:lang w:val="en-GB"/>
        </w:rPr>
        <w:t>ng (44.5%) and textiles (39.5%).</w:t>
      </w:r>
    </w:p>
    <w:p w14:paraId="38F1765B" w14:textId="3A036CF2" w:rsidR="00421DEB" w:rsidRPr="0005391C" w:rsidRDefault="00421DEB" w:rsidP="00CB2AFD">
      <w:pPr>
        <w:spacing w:before="120" w:after="120" w:line="288" w:lineRule="auto"/>
        <w:ind w:firstLine="709"/>
        <w:jc w:val="both"/>
        <w:rPr>
          <w:rFonts w:asciiTheme="majorHAnsi" w:eastAsia="Calibri" w:hAnsiTheme="majorHAnsi" w:cstheme="majorHAnsi"/>
          <w:b w:val="0"/>
          <w:i w:val="0"/>
          <w:color w:val="222222"/>
          <w:spacing w:val="-4"/>
          <w:sz w:val="26"/>
          <w:szCs w:val="28"/>
          <w:shd w:val="clear" w:color="auto" w:fill="FFFFFF"/>
          <w:lang w:val="en-GB"/>
        </w:rPr>
      </w:pPr>
      <w:r w:rsidRPr="0005391C">
        <w:rPr>
          <w:rFonts w:asciiTheme="majorHAnsi" w:eastAsia="Calibri" w:hAnsiTheme="majorHAnsi" w:cstheme="majorHAnsi"/>
          <w:b w:val="0"/>
          <w:i w:val="0"/>
          <w:color w:val="222222"/>
          <w:spacing w:val="-4"/>
          <w:sz w:val="26"/>
          <w:szCs w:val="28"/>
          <w:shd w:val="clear" w:color="auto" w:fill="FFFFFF"/>
          <w:lang w:val="en-GB"/>
        </w:rPr>
        <w:t xml:space="preserve">Not only did the Covid-19 pandemic affect the formal sector, reducing the number of workers in this sector, its effect also spread to the informal sector, </w:t>
      </w:r>
      <w:r w:rsidR="00306EE8" w:rsidRPr="0005391C">
        <w:rPr>
          <w:rFonts w:asciiTheme="majorHAnsi" w:eastAsia="Calibri" w:hAnsiTheme="majorHAnsi" w:cstheme="majorHAnsi"/>
          <w:b w:val="0"/>
          <w:i w:val="0"/>
          <w:color w:val="222222"/>
          <w:spacing w:val="-4"/>
          <w:sz w:val="26"/>
          <w:szCs w:val="28"/>
          <w:shd w:val="clear" w:color="auto" w:fill="FFFFFF"/>
          <w:lang w:val="en-GB"/>
        </w:rPr>
        <w:t xml:space="preserve">rendering </w:t>
      </w:r>
      <w:r w:rsidRPr="0005391C">
        <w:rPr>
          <w:rFonts w:asciiTheme="majorHAnsi" w:eastAsia="Calibri" w:hAnsiTheme="majorHAnsi" w:cstheme="majorHAnsi"/>
          <w:b w:val="0"/>
          <w:i w:val="0"/>
          <w:color w:val="222222"/>
          <w:spacing w:val="-4"/>
          <w:sz w:val="26"/>
          <w:szCs w:val="28"/>
          <w:shd w:val="clear" w:color="auto" w:fill="FFFFFF"/>
          <w:lang w:val="en-GB"/>
        </w:rPr>
        <w:t>workers no longer have the opp</w:t>
      </w:r>
      <w:r w:rsidR="00306EE8" w:rsidRPr="0005391C">
        <w:rPr>
          <w:rFonts w:asciiTheme="majorHAnsi" w:eastAsia="Calibri" w:hAnsiTheme="majorHAnsi" w:cstheme="majorHAnsi"/>
          <w:b w:val="0"/>
          <w:i w:val="0"/>
          <w:color w:val="222222"/>
          <w:spacing w:val="-4"/>
          <w:sz w:val="26"/>
          <w:szCs w:val="28"/>
          <w:shd w:val="clear" w:color="auto" w:fill="FFFFFF"/>
          <w:lang w:val="en-GB"/>
        </w:rPr>
        <w:t>ortunity to find informal jobs as previously observed</w:t>
      </w:r>
      <w:r w:rsidRPr="0005391C">
        <w:rPr>
          <w:rFonts w:asciiTheme="majorHAnsi" w:eastAsia="Calibri" w:hAnsiTheme="majorHAnsi" w:cstheme="majorHAnsi"/>
          <w:b w:val="0"/>
          <w:i w:val="0"/>
          <w:color w:val="222222"/>
          <w:spacing w:val="-4"/>
          <w:sz w:val="26"/>
          <w:szCs w:val="28"/>
          <w:shd w:val="clear" w:color="auto" w:fill="FFFFFF"/>
          <w:lang w:val="en-GB"/>
        </w:rPr>
        <w:t xml:space="preserve">. This leads to many workers being unable to find jobs, including temporary jobs during this period. In the third quarter of 2021, the number of </w:t>
      </w:r>
      <w:r w:rsidR="00D712B9" w:rsidRPr="0005391C">
        <w:rPr>
          <w:rFonts w:asciiTheme="majorHAnsi" w:eastAsia="Calibri" w:hAnsiTheme="majorHAnsi" w:cstheme="majorHAnsi"/>
          <w:b w:val="0"/>
          <w:i w:val="0"/>
          <w:color w:val="222222"/>
          <w:spacing w:val="-4"/>
          <w:sz w:val="26"/>
          <w:szCs w:val="28"/>
          <w:shd w:val="clear" w:color="auto" w:fill="FFFFFF"/>
          <w:lang w:val="en-GB"/>
        </w:rPr>
        <w:t>workers</w:t>
      </w:r>
      <w:r w:rsidRPr="0005391C">
        <w:rPr>
          <w:rFonts w:asciiTheme="majorHAnsi" w:eastAsia="Calibri" w:hAnsiTheme="majorHAnsi" w:cstheme="majorHAnsi"/>
          <w:b w:val="0"/>
          <w:i w:val="0"/>
          <w:color w:val="222222"/>
          <w:spacing w:val="-4"/>
          <w:sz w:val="26"/>
          <w:szCs w:val="28"/>
          <w:shd w:val="clear" w:color="auto" w:fill="FFFFFF"/>
          <w:lang w:val="en-GB"/>
        </w:rPr>
        <w:t xml:space="preserve"> with </w:t>
      </w:r>
      <w:r w:rsidR="00D712B9" w:rsidRPr="0005391C">
        <w:rPr>
          <w:rFonts w:asciiTheme="majorHAnsi" w:eastAsia="Calibri" w:hAnsiTheme="majorHAnsi" w:cstheme="majorHAnsi"/>
          <w:b w:val="0"/>
          <w:i w:val="0"/>
          <w:color w:val="222222"/>
          <w:spacing w:val="-4"/>
          <w:sz w:val="26"/>
          <w:szCs w:val="28"/>
          <w:shd w:val="clear" w:color="auto" w:fill="FFFFFF"/>
          <w:lang w:val="en-GB"/>
        </w:rPr>
        <w:t>formal</w:t>
      </w:r>
      <w:r w:rsidRPr="0005391C">
        <w:rPr>
          <w:rFonts w:asciiTheme="majorHAnsi" w:eastAsia="Calibri" w:hAnsiTheme="majorHAnsi" w:cstheme="majorHAnsi"/>
          <w:b w:val="0"/>
          <w:i w:val="0"/>
          <w:color w:val="222222"/>
          <w:spacing w:val="-4"/>
          <w:sz w:val="26"/>
          <w:szCs w:val="28"/>
          <w:shd w:val="clear" w:color="auto" w:fill="FFFFFF"/>
          <w:lang w:val="en-GB"/>
        </w:rPr>
        <w:t xml:space="preserve"> employment </w:t>
      </w:r>
      <w:r w:rsidR="00D712B9" w:rsidRPr="0005391C">
        <w:rPr>
          <w:rFonts w:asciiTheme="majorHAnsi" w:eastAsia="Calibri" w:hAnsiTheme="majorHAnsi" w:cstheme="majorHAnsi"/>
          <w:b w:val="0"/>
          <w:i w:val="0"/>
          <w:color w:val="222222"/>
          <w:spacing w:val="-4"/>
          <w:sz w:val="26"/>
          <w:szCs w:val="28"/>
          <w:shd w:val="clear" w:color="auto" w:fill="FFFFFF"/>
          <w:lang w:val="en-GB"/>
        </w:rPr>
        <w:t>was</w:t>
      </w:r>
      <w:r w:rsidRPr="0005391C">
        <w:rPr>
          <w:rFonts w:asciiTheme="majorHAnsi" w:eastAsia="Calibri" w:hAnsiTheme="majorHAnsi" w:cstheme="majorHAnsi"/>
          <w:b w:val="0"/>
          <w:i w:val="0"/>
          <w:color w:val="222222"/>
          <w:spacing w:val="-4"/>
          <w:sz w:val="26"/>
          <w:szCs w:val="28"/>
          <w:shd w:val="clear" w:color="auto" w:fill="FFFFFF"/>
          <w:lang w:val="en-GB"/>
        </w:rPr>
        <w:t xml:space="preserve"> 15.1 million people, down 468.9 thousand people </w:t>
      </w:r>
      <w:r w:rsidR="0085694E" w:rsidRPr="0005391C">
        <w:rPr>
          <w:rFonts w:asciiTheme="majorHAnsi" w:eastAsia="Calibri" w:hAnsiTheme="majorHAnsi" w:cstheme="majorHAnsi"/>
          <w:b w:val="0"/>
          <w:i w:val="0"/>
          <w:color w:val="222222"/>
          <w:spacing w:val="-4"/>
          <w:sz w:val="26"/>
          <w:szCs w:val="28"/>
          <w:shd w:val="clear" w:color="auto" w:fill="FFFFFF"/>
          <w:lang w:val="en-GB"/>
        </w:rPr>
        <w:t>relative to the</w:t>
      </w:r>
      <w:r w:rsidRPr="0005391C">
        <w:rPr>
          <w:rFonts w:asciiTheme="majorHAnsi" w:eastAsia="Calibri" w:hAnsiTheme="majorHAnsi" w:cstheme="majorHAnsi"/>
          <w:b w:val="0"/>
          <w:i w:val="0"/>
          <w:color w:val="222222"/>
          <w:spacing w:val="-4"/>
          <w:sz w:val="26"/>
          <w:szCs w:val="28"/>
          <w:shd w:val="clear" w:color="auto" w:fill="FFFFFF"/>
          <w:lang w:val="en-GB"/>
        </w:rPr>
        <w:t xml:space="preserve"> previous quarter and down 657.0 thousand people over the same period last year; the number of </w:t>
      </w:r>
      <w:r w:rsidR="00D712B9" w:rsidRPr="0005391C">
        <w:rPr>
          <w:rFonts w:asciiTheme="majorHAnsi" w:eastAsia="Calibri" w:hAnsiTheme="majorHAnsi" w:cstheme="majorHAnsi"/>
          <w:b w:val="0"/>
          <w:i w:val="0"/>
          <w:color w:val="222222"/>
          <w:spacing w:val="-4"/>
          <w:sz w:val="26"/>
          <w:szCs w:val="28"/>
          <w:shd w:val="clear" w:color="auto" w:fill="FFFFFF"/>
          <w:lang w:val="en-GB"/>
        </w:rPr>
        <w:t>workers</w:t>
      </w:r>
      <w:r w:rsidRPr="0005391C">
        <w:rPr>
          <w:rFonts w:asciiTheme="majorHAnsi" w:eastAsia="Calibri" w:hAnsiTheme="majorHAnsi" w:cstheme="majorHAnsi"/>
          <w:b w:val="0"/>
          <w:i w:val="0"/>
          <w:color w:val="222222"/>
          <w:spacing w:val="-4"/>
          <w:sz w:val="26"/>
          <w:szCs w:val="28"/>
          <w:shd w:val="clear" w:color="auto" w:fill="FFFFFF"/>
          <w:lang w:val="en-GB"/>
        </w:rPr>
        <w:t xml:space="preserve"> with informal em</w:t>
      </w:r>
      <w:r w:rsidR="00D712B9" w:rsidRPr="0005391C">
        <w:rPr>
          <w:rFonts w:asciiTheme="majorHAnsi" w:eastAsia="Calibri" w:hAnsiTheme="majorHAnsi" w:cstheme="majorHAnsi"/>
          <w:b w:val="0"/>
          <w:i w:val="0"/>
          <w:color w:val="222222"/>
          <w:spacing w:val="-4"/>
          <w:sz w:val="26"/>
          <w:szCs w:val="28"/>
          <w:shd w:val="clear" w:color="auto" w:fill="FFFFFF"/>
          <w:lang w:val="en-GB"/>
        </w:rPr>
        <w:t>ployment outside of the</w:t>
      </w:r>
      <w:r w:rsidRPr="0005391C">
        <w:rPr>
          <w:rFonts w:asciiTheme="majorHAnsi" w:eastAsia="Calibri" w:hAnsiTheme="majorHAnsi" w:cstheme="majorHAnsi"/>
          <w:b w:val="0"/>
          <w:i w:val="0"/>
          <w:color w:val="222222"/>
          <w:spacing w:val="-4"/>
          <w:sz w:val="26"/>
          <w:szCs w:val="28"/>
          <w:shd w:val="clear" w:color="auto" w:fill="FFFFFF"/>
          <w:lang w:val="en-GB"/>
        </w:rPr>
        <w:t xml:space="preserve"> </w:t>
      </w:r>
      <w:r w:rsidR="000D32A4" w:rsidRPr="0005391C">
        <w:rPr>
          <w:rFonts w:asciiTheme="majorHAnsi" w:eastAsia="Calibri" w:hAnsiTheme="majorHAnsi" w:cstheme="majorHAnsi"/>
          <w:b w:val="0"/>
          <w:i w:val="0"/>
          <w:color w:val="222222"/>
          <w:spacing w:val="-4"/>
          <w:sz w:val="26"/>
          <w:szCs w:val="28"/>
          <w:shd w:val="clear" w:color="auto" w:fill="FFFFFF"/>
          <w:lang w:val="en-GB"/>
        </w:rPr>
        <w:t>AFF</w:t>
      </w:r>
      <w:r w:rsidRPr="0005391C">
        <w:rPr>
          <w:rFonts w:asciiTheme="majorHAnsi" w:eastAsia="Calibri" w:hAnsiTheme="majorHAnsi" w:cstheme="majorHAnsi"/>
          <w:b w:val="0"/>
          <w:i w:val="0"/>
          <w:color w:val="222222"/>
          <w:spacing w:val="-4"/>
          <w:sz w:val="26"/>
          <w:szCs w:val="28"/>
          <w:shd w:val="clear" w:color="auto" w:fill="FFFFFF"/>
          <w:lang w:val="en-GB"/>
        </w:rPr>
        <w:t xml:space="preserve"> </w:t>
      </w:r>
      <w:r w:rsidR="00D712B9" w:rsidRPr="0005391C">
        <w:rPr>
          <w:rFonts w:asciiTheme="majorHAnsi" w:eastAsia="Calibri" w:hAnsiTheme="majorHAnsi" w:cstheme="majorHAnsi"/>
          <w:b w:val="0"/>
          <w:i w:val="0"/>
          <w:color w:val="222222"/>
          <w:spacing w:val="-4"/>
          <w:sz w:val="26"/>
          <w:szCs w:val="28"/>
          <w:shd w:val="clear" w:color="auto" w:fill="FFFFFF"/>
          <w:lang w:val="en-GB"/>
        </w:rPr>
        <w:t xml:space="preserve">households </w:t>
      </w:r>
      <w:r w:rsidRPr="0005391C">
        <w:rPr>
          <w:rFonts w:asciiTheme="majorHAnsi" w:eastAsia="Calibri" w:hAnsiTheme="majorHAnsi" w:cstheme="majorHAnsi"/>
          <w:b w:val="0"/>
          <w:i w:val="0"/>
          <w:color w:val="222222"/>
          <w:spacing w:val="-4"/>
          <w:sz w:val="26"/>
          <w:szCs w:val="28"/>
          <w:shd w:val="clear" w:color="auto" w:fill="FFFFFF"/>
          <w:lang w:val="en-GB"/>
        </w:rPr>
        <w:t>was 18.0 million, down 2.9 million from the previous quarter and down by 2.7 million over the same period last year.</w:t>
      </w:r>
    </w:p>
    <w:p w14:paraId="5A83B7E5" w14:textId="44DD0540" w:rsidR="00AA2AF8" w:rsidRPr="0005391C" w:rsidRDefault="007B26C1" w:rsidP="00CB2AFD">
      <w:pPr>
        <w:spacing w:before="120" w:after="120" w:line="288" w:lineRule="auto"/>
        <w:ind w:firstLine="709"/>
        <w:jc w:val="both"/>
        <w:rPr>
          <w:rFonts w:asciiTheme="majorHAnsi" w:eastAsia="Calibri" w:hAnsiTheme="majorHAnsi" w:cstheme="majorHAnsi"/>
          <w:b w:val="0"/>
          <w:i w:val="0"/>
          <w:spacing w:val="2"/>
          <w:sz w:val="26"/>
          <w:szCs w:val="28"/>
          <w:shd w:val="clear" w:color="auto" w:fill="FFFFFF"/>
          <w:lang w:val="en-GB"/>
        </w:rPr>
      </w:pPr>
      <w:r>
        <w:rPr>
          <w:rFonts w:asciiTheme="majorHAnsi" w:eastAsia="Calibri" w:hAnsiTheme="majorHAnsi" w:cstheme="majorHAnsi"/>
          <w:b w:val="0"/>
          <w:i w:val="0"/>
          <w:spacing w:val="2"/>
          <w:sz w:val="26"/>
          <w:szCs w:val="28"/>
          <w:shd w:val="clear" w:color="auto" w:fill="FFFFFF"/>
          <w:lang w:val="en-GB"/>
        </w:rPr>
        <w:t xml:space="preserve">The </w:t>
      </w:r>
      <w:r w:rsidR="00AA2AF8" w:rsidRPr="0005391C">
        <w:rPr>
          <w:rFonts w:asciiTheme="majorHAnsi" w:eastAsia="Calibri" w:hAnsiTheme="majorHAnsi" w:cstheme="majorHAnsi"/>
          <w:b w:val="0"/>
          <w:i w:val="0"/>
          <w:spacing w:val="2"/>
          <w:sz w:val="26"/>
          <w:szCs w:val="28"/>
          <w:shd w:val="clear" w:color="auto" w:fill="FFFFFF"/>
          <w:lang w:val="en-GB"/>
        </w:rPr>
        <w:t>informal employment</w:t>
      </w:r>
      <w:r>
        <w:rPr>
          <w:rFonts w:asciiTheme="majorHAnsi" w:eastAsia="Calibri" w:hAnsiTheme="majorHAnsi" w:cstheme="majorHAnsi"/>
          <w:b w:val="0"/>
          <w:i w:val="0"/>
          <w:spacing w:val="2"/>
          <w:sz w:val="26"/>
          <w:szCs w:val="28"/>
          <w:shd w:val="clear" w:color="auto" w:fill="FFFFFF"/>
          <w:lang w:val="en-GB"/>
        </w:rPr>
        <w:t xml:space="preserve"> rate</w:t>
      </w:r>
      <w:r w:rsidR="00AA2AF8" w:rsidRPr="0005391C">
        <w:rPr>
          <w:rFonts w:asciiTheme="majorHAnsi" w:eastAsia="Calibri" w:hAnsiTheme="majorHAnsi" w:cstheme="majorHAnsi"/>
          <w:b w:val="0"/>
          <w:i w:val="0"/>
          <w:spacing w:val="2"/>
          <w:sz w:val="26"/>
          <w:szCs w:val="28"/>
          <w:shd w:val="clear" w:color="auto" w:fill="FFFFFF"/>
          <w:vertAlign w:val="superscript"/>
          <w:lang w:val="en-GB"/>
        </w:rPr>
        <w:footnoteReference w:id="6"/>
      </w:r>
      <w:r w:rsidR="00AA2AF8" w:rsidRPr="0005391C">
        <w:rPr>
          <w:rFonts w:asciiTheme="majorHAnsi" w:eastAsia="Calibri" w:hAnsiTheme="majorHAnsi" w:cstheme="majorHAnsi"/>
          <w:b w:val="0"/>
          <w:i w:val="0"/>
          <w:spacing w:val="2"/>
          <w:sz w:val="26"/>
          <w:szCs w:val="28"/>
          <w:shd w:val="clear" w:color="auto" w:fill="FFFFFF"/>
          <w:lang w:val="en-GB"/>
        </w:rPr>
        <w:t xml:space="preserve"> in the third quarter of 2021 was 54.5%, down 2.9 percentage points </w:t>
      </w:r>
      <w:r w:rsidR="0085694E" w:rsidRPr="0005391C">
        <w:rPr>
          <w:rFonts w:asciiTheme="majorHAnsi" w:eastAsia="Calibri" w:hAnsiTheme="majorHAnsi" w:cstheme="majorHAnsi"/>
          <w:b w:val="0"/>
          <w:i w:val="0"/>
          <w:spacing w:val="2"/>
          <w:sz w:val="26"/>
          <w:szCs w:val="28"/>
          <w:shd w:val="clear" w:color="auto" w:fill="FFFFFF"/>
          <w:lang w:val="en-GB"/>
        </w:rPr>
        <w:t>relative to the</w:t>
      </w:r>
      <w:r w:rsidR="00AA2AF8" w:rsidRPr="0005391C">
        <w:rPr>
          <w:rFonts w:asciiTheme="majorHAnsi" w:eastAsia="Calibri" w:hAnsiTheme="majorHAnsi" w:cstheme="majorHAnsi"/>
          <w:b w:val="0"/>
          <w:i w:val="0"/>
          <w:spacing w:val="2"/>
          <w:sz w:val="26"/>
          <w:szCs w:val="28"/>
          <w:shd w:val="clear" w:color="auto" w:fill="FFFFFF"/>
          <w:lang w:val="en-GB"/>
        </w:rPr>
        <w:t xml:space="preserve"> previous quarter and down 2.3 percentage points over the same period last year. The informal employment </w:t>
      </w:r>
      <w:r>
        <w:rPr>
          <w:rFonts w:asciiTheme="majorHAnsi" w:eastAsia="Calibri" w:hAnsiTheme="majorHAnsi" w:cstheme="majorHAnsi"/>
          <w:b w:val="0"/>
          <w:i w:val="0"/>
          <w:spacing w:val="2"/>
          <w:sz w:val="26"/>
          <w:szCs w:val="28"/>
          <w:shd w:val="clear" w:color="auto" w:fill="FFFFFF"/>
          <w:lang w:val="en-GB"/>
        </w:rPr>
        <w:t xml:space="preserve">rate </w:t>
      </w:r>
      <w:r w:rsidR="00AA2AF8" w:rsidRPr="0005391C">
        <w:rPr>
          <w:rFonts w:asciiTheme="majorHAnsi" w:eastAsia="Calibri" w:hAnsiTheme="majorHAnsi" w:cstheme="majorHAnsi"/>
          <w:b w:val="0"/>
          <w:i w:val="0"/>
          <w:spacing w:val="2"/>
          <w:sz w:val="26"/>
          <w:szCs w:val="28"/>
          <w:shd w:val="clear" w:color="auto" w:fill="FFFFFF"/>
          <w:lang w:val="en-GB"/>
        </w:rPr>
        <w:t xml:space="preserve">in urban areas was 46.2%, down 2.4 percentage points from the previous quarter and down 3.0 percentage points from the same period last year. </w:t>
      </w:r>
      <w:r>
        <w:rPr>
          <w:rFonts w:asciiTheme="majorHAnsi" w:eastAsia="Calibri" w:hAnsiTheme="majorHAnsi" w:cstheme="majorHAnsi"/>
          <w:b w:val="0"/>
          <w:i w:val="0"/>
          <w:spacing w:val="2"/>
          <w:sz w:val="26"/>
          <w:szCs w:val="28"/>
          <w:shd w:val="clear" w:color="auto" w:fill="FFFFFF"/>
          <w:lang w:val="en-GB"/>
        </w:rPr>
        <w:t>This same rate</w:t>
      </w:r>
      <w:r w:rsidR="004C60EB" w:rsidRPr="0005391C">
        <w:rPr>
          <w:rFonts w:asciiTheme="majorHAnsi" w:eastAsia="Calibri" w:hAnsiTheme="majorHAnsi" w:cstheme="majorHAnsi"/>
          <w:b w:val="0"/>
          <w:i w:val="0"/>
          <w:spacing w:val="2"/>
          <w:sz w:val="26"/>
          <w:szCs w:val="28"/>
          <w:shd w:val="clear" w:color="auto" w:fill="FFFFFF"/>
          <w:lang w:val="en-GB"/>
        </w:rPr>
        <w:t xml:space="preserve"> in rural areas</w:t>
      </w:r>
      <w:r w:rsidR="00AA2AF8" w:rsidRPr="0005391C">
        <w:rPr>
          <w:rFonts w:asciiTheme="majorHAnsi" w:eastAsia="Calibri" w:hAnsiTheme="majorHAnsi" w:cstheme="majorHAnsi"/>
          <w:b w:val="0"/>
          <w:i w:val="0"/>
          <w:spacing w:val="2"/>
          <w:sz w:val="26"/>
          <w:szCs w:val="28"/>
          <w:shd w:val="clear" w:color="auto" w:fill="FFFFFF"/>
          <w:lang w:val="en-GB"/>
        </w:rPr>
        <w:t xml:space="preserve"> was 61.8%, down 2.9 percentage points </w:t>
      </w:r>
      <w:r w:rsidR="0085694E" w:rsidRPr="0005391C">
        <w:rPr>
          <w:rFonts w:asciiTheme="majorHAnsi" w:eastAsia="Calibri" w:hAnsiTheme="majorHAnsi" w:cstheme="majorHAnsi"/>
          <w:b w:val="0"/>
          <w:i w:val="0"/>
          <w:spacing w:val="2"/>
          <w:sz w:val="26"/>
          <w:szCs w:val="28"/>
          <w:shd w:val="clear" w:color="auto" w:fill="FFFFFF"/>
          <w:lang w:val="en-GB"/>
        </w:rPr>
        <w:t>relative to the</w:t>
      </w:r>
      <w:r w:rsidR="00AA2AF8" w:rsidRPr="0005391C">
        <w:rPr>
          <w:rFonts w:asciiTheme="majorHAnsi" w:eastAsia="Calibri" w:hAnsiTheme="majorHAnsi" w:cstheme="majorHAnsi"/>
          <w:b w:val="0"/>
          <w:i w:val="0"/>
          <w:spacing w:val="2"/>
          <w:sz w:val="26"/>
          <w:szCs w:val="28"/>
          <w:shd w:val="clear" w:color="auto" w:fill="FFFFFF"/>
          <w:lang w:val="en-GB"/>
        </w:rPr>
        <w:t xml:space="preserve"> previous quarter and down 1.0 percentage point over the same period last year.</w:t>
      </w:r>
    </w:p>
    <w:bookmarkEnd w:id="1"/>
    <w:bookmarkEnd w:id="2"/>
    <w:p w14:paraId="7ED847DA" w14:textId="0796B8DB" w:rsidR="00BF5941" w:rsidRPr="0005391C" w:rsidRDefault="00174480" w:rsidP="00AE75EB">
      <w:pPr>
        <w:overflowPunct w:val="0"/>
        <w:autoSpaceDE w:val="0"/>
        <w:autoSpaceDN w:val="0"/>
        <w:adjustRightInd w:val="0"/>
        <w:spacing w:before="120" w:after="120"/>
        <w:ind w:firstLine="720"/>
        <w:jc w:val="both"/>
        <w:rPr>
          <w:rFonts w:eastAsia="Calibri"/>
          <w:i w:val="0"/>
          <w:iCs/>
          <w:sz w:val="26"/>
          <w:szCs w:val="28"/>
          <w:lang w:val="en-GB"/>
        </w:rPr>
      </w:pPr>
      <w:r w:rsidRPr="0005391C">
        <w:rPr>
          <w:rFonts w:eastAsia="Calibri"/>
          <w:i w:val="0"/>
          <w:iCs/>
          <w:sz w:val="26"/>
          <w:szCs w:val="28"/>
          <w:lang w:val="en-GB"/>
        </w:rPr>
        <w:t>The wave of Covid-19 pandemic has rendered the rate and number of underemployed workers in the third quarter of 2021 unusually high, especially in Ho Chi Minh City</w:t>
      </w:r>
      <w:r w:rsidR="00BF5941" w:rsidRPr="0005391C">
        <w:rPr>
          <w:rFonts w:eastAsia="Calibri"/>
          <w:i w:val="0"/>
          <w:iCs/>
          <w:sz w:val="26"/>
          <w:szCs w:val="28"/>
          <w:lang w:val="en-GB"/>
        </w:rPr>
        <w:t>.</w:t>
      </w:r>
    </w:p>
    <w:p w14:paraId="5777B0D1" w14:textId="0A83D843" w:rsidR="0058329F" w:rsidRDefault="00BF5941" w:rsidP="00CB2AFD">
      <w:pPr>
        <w:spacing w:before="120" w:after="80" w:line="288" w:lineRule="auto"/>
        <w:ind w:firstLine="709"/>
        <w:jc w:val="both"/>
        <w:rPr>
          <w:rFonts w:eastAsia="Calibri"/>
          <w:b w:val="0"/>
          <w:i w:val="0"/>
          <w:iCs/>
          <w:sz w:val="26"/>
          <w:szCs w:val="28"/>
          <w:lang w:val="en-GB"/>
        </w:rPr>
      </w:pPr>
      <w:r w:rsidRPr="0005391C">
        <w:rPr>
          <w:rFonts w:eastAsia="Calibri"/>
          <w:b w:val="0"/>
          <w:i w:val="0"/>
          <w:iCs/>
          <w:sz w:val="26"/>
          <w:szCs w:val="28"/>
          <w:lang w:val="en-GB"/>
        </w:rPr>
        <w:t xml:space="preserve">Underemployed workers </w:t>
      </w:r>
      <w:r w:rsidR="007B26C1">
        <w:rPr>
          <w:rFonts w:eastAsia="Calibri"/>
          <w:b w:val="0"/>
          <w:i w:val="0"/>
          <w:iCs/>
          <w:sz w:val="26"/>
          <w:szCs w:val="28"/>
          <w:lang w:val="en-GB"/>
        </w:rPr>
        <w:t>in the statutory working age</w:t>
      </w:r>
      <w:r w:rsidR="00C65962">
        <w:rPr>
          <w:rStyle w:val="FootnoteReference"/>
          <w:rFonts w:eastAsia="Calibri"/>
          <w:b w:val="0"/>
          <w:i w:val="0"/>
          <w:iCs/>
          <w:sz w:val="26"/>
          <w:szCs w:val="28"/>
          <w:lang w:val="en-GB"/>
        </w:rPr>
        <w:footnoteReference w:id="7"/>
      </w:r>
      <w:r w:rsidR="007B26C1">
        <w:rPr>
          <w:rFonts w:eastAsia="Calibri"/>
          <w:b w:val="0"/>
          <w:i w:val="0"/>
          <w:iCs/>
          <w:sz w:val="26"/>
          <w:szCs w:val="28"/>
          <w:lang w:val="en-GB"/>
        </w:rPr>
        <w:t xml:space="preserve"> </w:t>
      </w:r>
      <w:r w:rsidRPr="0005391C">
        <w:rPr>
          <w:rFonts w:eastAsia="Calibri"/>
          <w:b w:val="0"/>
          <w:i w:val="0"/>
          <w:iCs/>
          <w:sz w:val="26"/>
          <w:szCs w:val="28"/>
          <w:lang w:val="en-GB"/>
        </w:rPr>
        <w:t xml:space="preserve">in the third quarter of 2021 were more than 1.8 million people, an increase of 700.3 thousand people </w:t>
      </w:r>
      <w:r w:rsidR="0085694E" w:rsidRPr="0005391C">
        <w:rPr>
          <w:rFonts w:eastAsia="Calibri"/>
          <w:b w:val="0"/>
          <w:i w:val="0"/>
          <w:iCs/>
          <w:sz w:val="26"/>
          <w:szCs w:val="28"/>
          <w:lang w:val="en-GB"/>
        </w:rPr>
        <w:t>relative to the</w:t>
      </w:r>
      <w:r w:rsidRPr="0005391C">
        <w:rPr>
          <w:rFonts w:eastAsia="Calibri"/>
          <w:b w:val="0"/>
          <w:i w:val="0"/>
          <w:iCs/>
          <w:sz w:val="26"/>
          <w:szCs w:val="28"/>
          <w:lang w:val="en-GB"/>
        </w:rPr>
        <w:t xml:space="preserve"> previous quarter and an increase of 620.0 thousand people </w:t>
      </w:r>
      <w:r w:rsidR="0085694E" w:rsidRPr="0005391C">
        <w:rPr>
          <w:rFonts w:eastAsia="Calibri"/>
          <w:b w:val="0"/>
          <w:i w:val="0"/>
          <w:iCs/>
          <w:sz w:val="26"/>
          <w:szCs w:val="28"/>
          <w:lang w:val="en-GB"/>
        </w:rPr>
        <w:t>relative to the</w:t>
      </w:r>
      <w:r w:rsidRPr="0005391C">
        <w:rPr>
          <w:rFonts w:eastAsia="Calibri"/>
          <w:b w:val="0"/>
          <w:i w:val="0"/>
          <w:iCs/>
          <w:sz w:val="26"/>
          <w:szCs w:val="28"/>
          <w:lang w:val="en-GB"/>
        </w:rPr>
        <w:t xml:space="preserve"> same period last year. The </w:t>
      </w:r>
      <w:r w:rsidR="00C65962">
        <w:rPr>
          <w:rFonts w:eastAsia="Calibri"/>
          <w:b w:val="0"/>
          <w:i w:val="0"/>
          <w:iCs/>
          <w:sz w:val="26"/>
          <w:szCs w:val="28"/>
          <w:lang w:val="en-GB"/>
        </w:rPr>
        <w:t xml:space="preserve">statutory </w:t>
      </w:r>
      <w:r w:rsidRPr="0005391C">
        <w:rPr>
          <w:rFonts w:eastAsia="Calibri"/>
          <w:b w:val="0"/>
          <w:i w:val="0"/>
          <w:iCs/>
          <w:sz w:val="26"/>
          <w:szCs w:val="28"/>
          <w:lang w:val="en-GB"/>
        </w:rPr>
        <w:t xml:space="preserve">working-age underemployment rate in the third quarter of 2021 was 4.46%, up 1.86 percentage points over the previous quarter and 1.74 percentage points over the same period last year. The </w:t>
      </w:r>
      <w:r w:rsidR="00C65962">
        <w:rPr>
          <w:rFonts w:eastAsia="Calibri"/>
          <w:b w:val="0"/>
          <w:i w:val="0"/>
          <w:iCs/>
          <w:sz w:val="26"/>
          <w:szCs w:val="28"/>
          <w:lang w:val="en-GB"/>
        </w:rPr>
        <w:t xml:space="preserve">statutory </w:t>
      </w:r>
      <w:r w:rsidRPr="0005391C">
        <w:rPr>
          <w:rFonts w:eastAsia="Calibri"/>
          <w:b w:val="0"/>
          <w:i w:val="0"/>
          <w:iCs/>
          <w:sz w:val="26"/>
          <w:szCs w:val="28"/>
          <w:lang w:val="en-GB"/>
        </w:rPr>
        <w:t xml:space="preserve">working-age underemployment rate in urban areas was higher than in rural areas (5.33% and 3.94%, respectively). This is different from the trend generally observed in the </w:t>
      </w:r>
      <w:r w:rsidR="005D4523" w:rsidRPr="0005391C">
        <w:rPr>
          <w:rFonts w:eastAsia="Calibri"/>
          <w:b w:val="0"/>
          <w:i w:val="0"/>
          <w:iCs/>
          <w:sz w:val="26"/>
          <w:szCs w:val="28"/>
          <w:lang w:val="en-GB"/>
        </w:rPr>
        <w:t>labour</w:t>
      </w:r>
      <w:r w:rsidRPr="0005391C">
        <w:rPr>
          <w:rFonts w:eastAsia="Calibri"/>
          <w:b w:val="0"/>
          <w:i w:val="0"/>
          <w:iCs/>
          <w:sz w:val="26"/>
          <w:szCs w:val="28"/>
          <w:lang w:val="en-GB"/>
        </w:rPr>
        <w:t xml:space="preserve"> market in previous quarters with underemployment in rural areas often more severe than in urban areas</w:t>
      </w:r>
      <w:r w:rsidR="00CA4C2E" w:rsidRPr="0005391C">
        <w:rPr>
          <w:rStyle w:val="FootnoteReference"/>
          <w:rFonts w:eastAsia="Calibri"/>
          <w:b w:val="0"/>
          <w:i w:val="0"/>
          <w:iCs/>
          <w:sz w:val="26"/>
          <w:szCs w:val="28"/>
          <w:lang w:val="en-GB"/>
        </w:rPr>
        <w:footnoteReference w:id="8"/>
      </w:r>
      <w:r w:rsidR="00CA4C2E" w:rsidRPr="0005391C">
        <w:rPr>
          <w:rFonts w:eastAsia="Calibri"/>
          <w:b w:val="0"/>
          <w:i w:val="0"/>
          <w:iCs/>
          <w:sz w:val="26"/>
          <w:szCs w:val="28"/>
          <w:lang w:val="en-GB"/>
        </w:rPr>
        <w:t xml:space="preserve">. </w:t>
      </w:r>
    </w:p>
    <w:p w14:paraId="7F0C330A" w14:textId="21309402" w:rsidR="00CB2AFD" w:rsidRDefault="00CB2AFD" w:rsidP="00CB2AFD">
      <w:pPr>
        <w:spacing w:before="120" w:after="80" w:line="288" w:lineRule="auto"/>
        <w:ind w:firstLine="709"/>
        <w:jc w:val="both"/>
        <w:rPr>
          <w:rFonts w:eastAsia="Calibri"/>
          <w:b w:val="0"/>
          <w:i w:val="0"/>
          <w:iCs/>
          <w:sz w:val="26"/>
          <w:szCs w:val="28"/>
          <w:lang w:val="en-GB"/>
        </w:rPr>
      </w:pPr>
    </w:p>
    <w:p w14:paraId="5FAAD24A" w14:textId="0FD1112B" w:rsidR="00CB2AFD" w:rsidRDefault="00CB2AFD" w:rsidP="00CB2AFD">
      <w:pPr>
        <w:spacing w:before="120" w:after="80" w:line="288" w:lineRule="auto"/>
        <w:ind w:firstLine="709"/>
        <w:jc w:val="both"/>
        <w:rPr>
          <w:rFonts w:eastAsia="Calibri"/>
          <w:b w:val="0"/>
          <w:i w:val="0"/>
          <w:iCs/>
          <w:sz w:val="26"/>
          <w:szCs w:val="28"/>
          <w:lang w:val="en-GB"/>
        </w:rPr>
      </w:pPr>
    </w:p>
    <w:p w14:paraId="628C638E" w14:textId="77777777" w:rsidR="00CB2AFD" w:rsidRPr="0005391C" w:rsidRDefault="00CB2AFD" w:rsidP="00CB2AFD">
      <w:pPr>
        <w:spacing w:before="120" w:after="80" w:line="288" w:lineRule="auto"/>
        <w:ind w:firstLine="709"/>
        <w:jc w:val="both"/>
        <w:rPr>
          <w:rFonts w:eastAsia="Calibri"/>
          <w:b w:val="0"/>
          <w:i w:val="0"/>
          <w:iCs/>
          <w:sz w:val="26"/>
          <w:szCs w:val="28"/>
          <w:lang w:val="en-GB"/>
        </w:rPr>
      </w:pPr>
    </w:p>
    <w:p w14:paraId="772FB808" w14:textId="77777777" w:rsidR="00C65962" w:rsidRDefault="00B00857" w:rsidP="00C65962">
      <w:pPr>
        <w:spacing w:before="80"/>
        <w:jc w:val="center"/>
        <w:rPr>
          <w:rFonts w:ascii="Times New Roman Bold" w:hAnsi="Times New Roman Bold"/>
          <w:bCs/>
          <w:i w:val="0"/>
          <w:iCs/>
          <w:sz w:val="26"/>
          <w:szCs w:val="28"/>
          <w:lang w:val="en-GB"/>
        </w:rPr>
      </w:pPr>
      <w:r w:rsidRPr="00C65962">
        <w:rPr>
          <w:rFonts w:ascii="Times New Roman Bold" w:hAnsi="Times New Roman Bold"/>
          <w:bCs/>
          <w:i w:val="0"/>
          <w:iCs/>
          <w:sz w:val="26"/>
          <w:szCs w:val="28"/>
          <w:lang w:val="en-GB"/>
        </w:rPr>
        <w:t>Figure</w:t>
      </w:r>
      <w:r w:rsidR="00EC1FD9" w:rsidRPr="00C65962">
        <w:rPr>
          <w:rFonts w:ascii="Times New Roman Bold" w:hAnsi="Times New Roman Bold"/>
          <w:bCs/>
          <w:i w:val="0"/>
          <w:iCs/>
          <w:sz w:val="26"/>
          <w:szCs w:val="28"/>
          <w:lang w:val="en-GB"/>
        </w:rPr>
        <w:t xml:space="preserve"> 8</w:t>
      </w:r>
      <w:r w:rsidR="002809B1" w:rsidRPr="00C65962">
        <w:rPr>
          <w:rFonts w:ascii="Times New Roman Bold" w:hAnsi="Times New Roman Bold"/>
          <w:bCs/>
          <w:i w:val="0"/>
          <w:iCs/>
          <w:sz w:val="26"/>
          <w:szCs w:val="28"/>
          <w:lang w:val="en-GB"/>
        </w:rPr>
        <w:t>:</w:t>
      </w:r>
      <w:r w:rsidR="00620702" w:rsidRPr="00C65962">
        <w:rPr>
          <w:rFonts w:ascii="Times New Roman Bold" w:hAnsi="Times New Roman Bold"/>
          <w:bCs/>
          <w:i w:val="0"/>
          <w:iCs/>
          <w:sz w:val="26"/>
          <w:szCs w:val="28"/>
          <w:lang w:val="en-GB"/>
        </w:rPr>
        <w:t xml:space="preserve"> </w:t>
      </w:r>
      <w:r w:rsidR="00EF1FCE" w:rsidRPr="00C65962">
        <w:rPr>
          <w:rFonts w:ascii="Times New Roman Bold" w:hAnsi="Times New Roman Bold"/>
          <w:bCs/>
          <w:i w:val="0"/>
          <w:iCs/>
          <w:sz w:val="26"/>
          <w:szCs w:val="28"/>
          <w:lang w:val="en-GB"/>
        </w:rPr>
        <w:t xml:space="preserve">Number of </w:t>
      </w:r>
      <w:r w:rsidR="00C65962" w:rsidRPr="00C65962">
        <w:rPr>
          <w:rFonts w:ascii="Times New Roman Bold" w:hAnsi="Times New Roman Bold"/>
          <w:bCs/>
          <w:i w:val="0"/>
          <w:iCs/>
          <w:sz w:val="26"/>
          <w:szCs w:val="28"/>
          <w:lang w:val="en-GB"/>
        </w:rPr>
        <w:t xml:space="preserve">statutory </w:t>
      </w:r>
      <w:r w:rsidR="00EF1FCE" w:rsidRPr="00C65962">
        <w:rPr>
          <w:rFonts w:ascii="Times New Roman Bold" w:hAnsi="Times New Roman Bold"/>
          <w:bCs/>
          <w:i w:val="0"/>
          <w:iCs/>
          <w:sz w:val="26"/>
          <w:szCs w:val="28"/>
          <w:lang w:val="en-GB"/>
        </w:rPr>
        <w:t xml:space="preserve">working-age </w:t>
      </w:r>
      <w:r w:rsidR="005D4523" w:rsidRPr="00C65962">
        <w:rPr>
          <w:rFonts w:ascii="Times New Roman Bold" w:hAnsi="Times New Roman Bold"/>
          <w:bCs/>
          <w:i w:val="0"/>
          <w:iCs/>
          <w:sz w:val="26"/>
          <w:szCs w:val="28"/>
          <w:lang w:val="en-GB"/>
        </w:rPr>
        <w:t>underemployed</w:t>
      </w:r>
      <w:r w:rsidR="00C65962">
        <w:rPr>
          <w:rFonts w:ascii="Times New Roman Bold" w:hAnsi="Times New Roman Bold"/>
          <w:bCs/>
          <w:i w:val="0"/>
          <w:iCs/>
          <w:sz w:val="26"/>
          <w:szCs w:val="28"/>
          <w:lang w:val="en-GB"/>
        </w:rPr>
        <w:t xml:space="preserve"> workers </w:t>
      </w:r>
    </w:p>
    <w:p w14:paraId="62C31CE6" w14:textId="61FB0D07" w:rsidR="0034045F" w:rsidRPr="00C65962" w:rsidRDefault="00C65962" w:rsidP="00C65962">
      <w:pPr>
        <w:spacing w:before="80"/>
        <w:jc w:val="center"/>
        <w:rPr>
          <w:rFonts w:ascii="Times New Roman Bold" w:hAnsi="Times New Roman Bold"/>
          <w:bCs/>
          <w:i w:val="0"/>
          <w:iCs/>
          <w:sz w:val="26"/>
          <w:szCs w:val="28"/>
          <w:lang w:val="en-GB"/>
        </w:rPr>
      </w:pPr>
      <w:r>
        <w:rPr>
          <w:rFonts w:ascii="Times New Roman Bold" w:hAnsi="Times New Roman Bold"/>
          <w:bCs/>
          <w:i w:val="0"/>
          <w:iCs/>
          <w:sz w:val="26"/>
          <w:szCs w:val="28"/>
          <w:lang w:val="en-GB"/>
        </w:rPr>
        <w:t>across quarters</w:t>
      </w:r>
      <w:r w:rsidR="00EF1FCE" w:rsidRPr="00C65962">
        <w:rPr>
          <w:rFonts w:ascii="Times New Roman Bold" w:hAnsi="Times New Roman Bold"/>
          <w:bCs/>
          <w:i w:val="0"/>
          <w:iCs/>
          <w:sz w:val="26"/>
          <w:szCs w:val="28"/>
          <w:lang w:val="en-GB"/>
        </w:rPr>
        <w:t>,</w:t>
      </w:r>
      <w:r>
        <w:rPr>
          <w:rFonts w:ascii="Times New Roman Bold" w:hAnsi="Times New Roman Bold"/>
          <w:bCs/>
          <w:i w:val="0"/>
          <w:iCs/>
          <w:sz w:val="26"/>
          <w:szCs w:val="28"/>
          <w:lang w:val="en-GB"/>
        </w:rPr>
        <w:t xml:space="preserve"> </w:t>
      </w:r>
      <w:r w:rsidR="0034045F" w:rsidRPr="00C65962">
        <w:rPr>
          <w:rFonts w:ascii="Times New Roman Bold" w:hAnsi="Times New Roman Bold"/>
          <w:bCs/>
          <w:i w:val="0"/>
          <w:iCs/>
          <w:sz w:val="26"/>
          <w:szCs w:val="28"/>
          <w:lang w:val="en-GB"/>
        </w:rPr>
        <w:t xml:space="preserve">2020 </w:t>
      </w:r>
      <w:r w:rsidR="00EF1FCE" w:rsidRPr="00C65962">
        <w:rPr>
          <w:rFonts w:ascii="Times New Roman Bold" w:hAnsi="Times New Roman Bold"/>
          <w:bCs/>
          <w:i w:val="0"/>
          <w:iCs/>
          <w:sz w:val="26"/>
          <w:szCs w:val="28"/>
          <w:lang w:val="en-GB"/>
        </w:rPr>
        <w:t>and</w:t>
      </w:r>
      <w:r w:rsidR="0034045F" w:rsidRPr="00C65962">
        <w:rPr>
          <w:rFonts w:ascii="Times New Roman Bold" w:hAnsi="Times New Roman Bold"/>
          <w:bCs/>
          <w:i w:val="0"/>
          <w:iCs/>
          <w:sz w:val="26"/>
          <w:szCs w:val="28"/>
          <w:lang w:val="en-GB"/>
        </w:rPr>
        <w:t xml:space="preserve"> 2021</w:t>
      </w:r>
    </w:p>
    <w:p w14:paraId="185498C5" w14:textId="21E7089E" w:rsidR="00562627" w:rsidRPr="0005391C" w:rsidRDefault="00A414E0" w:rsidP="00AE75EB">
      <w:pPr>
        <w:jc w:val="center"/>
        <w:rPr>
          <w:sz w:val="18"/>
          <w:szCs w:val="20"/>
          <w:lang w:val="en-GB"/>
        </w:rPr>
      </w:pPr>
      <w:r w:rsidRPr="0005391C">
        <w:rPr>
          <w:noProof/>
          <w:sz w:val="22"/>
        </w:rPr>
        <w:drawing>
          <wp:inline distT="0" distB="0" distL="0" distR="0" wp14:anchorId="37426A85" wp14:editId="278558CF">
            <wp:extent cx="5646420" cy="2484120"/>
            <wp:effectExtent l="0" t="0" r="11430" b="1143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F291B17" w14:textId="5CFA6281" w:rsidR="00624DD0" w:rsidRPr="0005391C" w:rsidRDefault="00B246A7" w:rsidP="00CB2AFD">
      <w:pPr>
        <w:spacing w:before="120" w:after="120" w:line="288" w:lineRule="auto"/>
        <w:ind w:firstLine="709"/>
        <w:jc w:val="both"/>
        <w:rPr>
          <w:rFonts w:eastAsia="Calibri"/>
          <w:b w:val="0"/>
          <w:i w:val="0"/>
          <w:iCs/>
          <w:sz w:val="26"/>
          <w:szCs w:val="28"/>
          <w:lang w:val="en-GB"/>
        </w:rPr>
      </w:pPr>
      <w:r w:rsidRPr="0005391C">
        <w:rPr>
          <w:rFonts w:eastAsia="Calibri"/>
          <w:b w:val="0"/>
          <w:i w:val="0"/>
          <w:iCs/>
          <w:sz w:val="26"/>
          <w:szCs w:val="28"/>
          <w:lang w:val="en-GB"/>
        </w:rPr>
        <w:t xml:space="preserve">Comparing the </w:t>
      </w:r>
      <w:r w:rsidR="00B67B75">
        <w:rPr>
          <w:rFonts w:eastAsia="Calibri"/>
          <w:b w:val="0"/>
          <w:i w:val="0"/>
          <w:iCs/>
          <w:sz w:val="26"/>
          <w:szCs w:val="28"/>
          <w:lang w:val="en-GB"/>
        </w:rPr>
        <w:t xml:space="preserve">statutory </w:t>
      </w:r>
      <w:r w:rsidRPr="0005391C">
        <w:rPr>
          <w:rFonts w:eastAsia="Calibri"/>
          <w:b w:val="0"/>
          <w:i w:val="0"/>
          <w:iCs/>
          <w:sz w:val="26"/>
          <w:szCs w:val="28"/>
          <w:lang w:val="en-GB"/>
        </w:rPr>
        <w:t>working-age underemployment rate among six socio-economic regions in the third quarter of 2021 shows that this rate was highest in the Southeast with 7.73%, followed by the Mekong Delta with 6.10%. Before the pandemic appeared (i.e., third quarter of 2019), the underemployment rate in the Southeast region was 0.37%, the lowest in the country. In the third quarter of 2021, this rate was especially high in Ho Chi Minh City, with 8.50%, 3.6 times higher than in Ha Noi (2.39%). The Delta variant has had the most impact on people working in the Southeast region in general and Ho Chi Minh City in particular, causing the underemployment rate in this region to increase sharply</w:t>
      </w:r>
      <w:r w:rsidR="00836B84" w:rsidRPr="0005391C">
        <w:rPr>
          <w:rFonts w:eastAsia="Calibri"/>
          <w:b w:val="0"/>
          <w:i w:val="0"/>
          <w:iCs/>
          <w:sz w:val="26"/>
          <w:szCs w:val="28"/>
          <w:lang w:val="en-GB"/>
        </w:rPr>
        <w:t xml:space="preserve">. </w:t>
      </w:r>
    </w:p>
    <w:p w14:paraId="239D9164" w14:textId="319FC5A1" w:rsidR="00615D15" w:rsidRPr="0005391C" w:rsidRDefault="00615D15" w:rsidP="00CB2AFD">
      <w:pPr>
        <w:spacing w:before="120" w:after="120" w:line="288" w:lineRule="auto"/>
        <w:ind w:firstLine="709"/>
        <w:jc w:val="both"/>
        <w:rPr>
          <w:rFonts w:eastAsia="Calibri"/>
          <w:b w:val="0"/>
          <w:i w:val="0"/>
          <w:iCs/>
          <w:sz w:val="26"/>
          <w:szCs w:val="28"/>
          <w:lang w:val="en-GB"/>
        </w:rPr>
      </w:pPr>
      <w:r w:rsidRPr="0005391C">
        <w:rPr>
          <w:rFonts w:eastAsia="Calibri"/>
          <w:b w:val="0"/>
          <w:i w:val="0"/>
          <w:iCs/>
          <w:sz w:val="26"/>
          <w:szCs w:val="28"/>
          <w:lang w:val="en-GB"/>
        </w:rPr>
        <w:t xml:space="preserve">Among the three economic sectors, </w:t>
      </w:r>
      <w:r w:rsidR="00422F0A">
        <w:rPr>
          <w:rFonts w:eastAsia="Calibri"/>
          <w:b w:val="0"/>
          <w:i w:val="0"/>
          <w:iCs/>
          <w:sz w:val="26"/>
          <w:szCs w:val="28"/>
          <w:lang w:val="en-GB"/>
        </w:rPr>
        <w:t xml:space="preserve">statutory </w:t>
      </w:r>
      <w:r w:rsidRPr="0005391C">
        <w:rPr>
          <w:rFonts w:eastAsia="Calibri"/>
          <w:b w:val="0"/>
          <w:i w:val="0"/>
          <w:iCs/>
          <w:sz w:val="26"/>
          <w:szCs w:val="28"/>
          <w:lang w:val="en-GB"/>
        </w:rPr>
        <w:t xml:space="preserve">working-age underemployed workers in the </w:t>
      </w:r>
      <w:r w:rsidR="00953759" w:rsidRPr="0005391C">
        <w:rPr>
          <w:rFonts w:eastAsia="Calibri"/>
          <w:b w:val="0"/>
          <w:i w:val="0"/>
          <w:iCs/>
          <w:sz w:val="26"/>
          <w:szCs w:val="28"/>
          <w:lang w:val="en-GB"/>
        </w:rPr>
        <w:t>services sector</w:t>
      </w:r>
      <w:r w:rsidRPr="0005391C">
        <w:rPr>
          <w:rFonts w:eastAsia="Calibri"/>
          <w:b w:val="0"/>
          <w:i w:val="0"/>
          <w:iCs/>
          <w:sz w:val="26"/>
          <w:szCs w:val="28"/>
          <w:lang w:val="en-GB"/>
        </w:rPr>
        <w:t xml:space="preserve"> in the third quarter of 2021 accounted for the highest share with 36.1% (equivalent to more than 666 thousand underemployed people); followed by industry and construction sector with 35.0% (nearly 646 thousand people); the </w:t>
      </w:r>
      <w:r w:rsidR="000D32A4" w:rsidRPr="0005391C">
        <w:rPr>
          <w:rFonts w:eastAsia="Calibri"/>
          <w:b w:val="0"/>
          <w:i w:val="0"/>
          <w:iCs/>
          <w:sz w:val="26"/>
          <w:szCs w:val="28"/>
          <w:lang w:val="en-GB"/>
        </w:rPr>
        <w:t>AFF</w:t>
      </w:r>
      <w:r w:rsidRPr="0005391C">
        <w:rPr>
          <w:rFonts w:eastAsia="Calibri"/>
          <w:b w:val="0"/>
          <w:i w:val="0"/>
          <w:iCs/>
          <w:sz w:val="26"/>
          <w:szCs w:val="28"/>
          <w:lang w:val="en-GB"/>
        </w:rPr>
        <w:t xml:space="preserve"> sector accounted for the lowest share with 28.9% (more than 533 thousand people). </w:t>
      </w:r>
      <w:r w:rsidR="0085694E" w:rsidRPr="0005391C">
        <w:rPr>
          <w:rFonts w:eastAsia="Calibri"/>
          <w:b w:val="0"/>
          <w:i w:val="0"/>
          <w:iCs/>
          <w:sz w:val="26"/>
          <w:szCs w:val="28"/>
          <w:lang w:val="en-GB"/>
        </w:rPr>
        <w:t>Relative to the</w:t>
      </w:r>
      <w:r w:rsidRPr="0005391C">
        <w:rPr>
          <w:rFonts w:eastAsia="Calibri"/>
          <w:b w:val="0"/>
          <w:i w:val="0"/>
          <w:iCs/>
          <w:sz w:val="26"/>
          <w:szCs w:val="28"/>
          <w:lang w:val="en-GB"/>
        </w:rPr>
        <w:t xml:space="preserve"> same period in 2020, the number of underemployed workers in the third quarter of 2021 in the service</w:t>
      </w:r>
      <w:r w:rsidR="001B1676" w:rsidRPr="0005391C">
        <w:rPr>
          <w:rFonts w:eastAsia="Calibri"/>
          <w:b w:val="0"/>
          <w:i w:val="0"/>
          <w:iCs/>
          <w:sz w:val="26"/>
          <w:szCs w:val="28"/>
          <w:lang w:val="en-GB"/>
        </w:rPr>
        <w:t>s</w:t>
      </w:r>
      <w:r w:rsidRPr="0005391C">
        <w:rPr>
          <w:rFonts w:eastAsia="Calibri"/>
          <w:b w:val="0"/>
          <w:i w:val="0"/>
          <w:iCs/>
          <w:sz w:val="26"/>
          <w:szCs w:val="28"/>
          <w:lang w:val="en-GB"/>
        </w:rPr>
        <w:t xml:space="preserve"> sector increased by more than 339 thousand people, the industry and construction sector increased by more than 303 thousand people. The prolonged period of social distancing measures along with the complicated developments of the pandemic in the third quarter of 2021 have significantly increased the demand and desire for overtime work among many workers in </w:t>
      </w:r>
      <w:r w:rsidR="001B1676" w:rsidRPr="0005391C">
        <w:rPr>
          <w:rFonts w:eastAsia="Calibri"/>
          <w:b w:val="0"/>
          <w:i w:val="0"/>
          <w:iCs/>
          <w:sz w:val="26"/>
          <w:szCs w:val="28"/>
          <w:lang w:val="en-GB"/>
        </w:rPr>
        <w:t xml:space="preserve">both </w:t>
      </w:r>
      <w:r w:rsidRPr="0005391C">
        <w:rPr>
          <w:rFonts w:eastAsia="Calibri"/>
          <w:b w:val="0"/>
          <w:i w:val="0"/>
          <w:iCs/>
          <w:sz w:val="26"/>
          <w:szCs w:val="28"/>
          <w:lang w:val="en-GB"/>
        </w:rPr>
        <w:t>the services and the industrial and construction sectors.</w:t>
      </w:r>
    </w:p>
    <w:p w14:paraId="0CBA58C2" w14:textId="0ED54EF0" w:rsidR="009D4FF1" w:rsidRPr="0005391C" w:rsidRDefault="009D4FF1" w:rsidP="00AE75EB">
      <w:pPr>
        <w:spacing w:before="120" w:after="120"/>
        <w:ind w:firstLine="709"/>
        <w:jc w:val="both"/>
        <w:rPr>
          <w:rFonts w:eastAsia="Calibri"/>
          <w:i w:val="0"/>
          <w:iCs/>
          <w:sz w:val="26"/>
          <w:szCs w:val="28"/>
          <w:lang w:val="en-GB"/>
        </w:rPr>
      </w:pPr>
      <w:r w:rsidRPr="0005391C">
        <w:rPr>
          <w:rFonts w:eastAsia="Calibri"/>
          <w:i w:val="0"/>
          <w:iCs/>
          <w:sz w:val="26"/>
          <w:szCs w:val="28"/>
          <w:lang w:val="en-GB"/>
        </w:rPr>
        <w:t xml:space="preserve">The average monthly earnings of workers </w:t>
      </w:r>
      <w:r w:rsidR="00363B3F" w:rsidRPr="0005391C">
        <w:rPr>
          <w:rFonts w:eastAsia="Calibri"/>
          <w:i w:val="0"/>
          <w:iCs/>
          <w:sz w:val="26"/>
          <w:szCs w:val="28"/>
          <w:lang w:val="en-GB"/>
        </w:rPr>
        <w:t>were</w:t>
      </w:r>
      <w:r w:rsidRPr="0005391C">
        <w:rPr>
          <w:rFonts w:eastAsia="Calibri"/>
          <w:i w:val="0"/>
          <w:iCs/>
          <w:sz w:val="26"/>
          <w:szCs w:val="28"/>
          <w:lang w:val="en-GB"/>
        </w:rPr>
        <w:t xml:space="preserve"> 5.2 million dong, a serious decrease </w:t>
      </w:r>
      <w:r w:rsidR="0085694E" w:rsidRPr="0005391C">
        <w:rPr>
          <w:rFonts w:eastAsia="Calibri"/>
          <w:i w:val="0"/>
          <w:iCs/>
          <w:sz w:val="26"/>
          <w:szCs w:val="28"/>
          <w:lang w:val="en-GB"/>
        </w:rPr>
        <w:t>relative to the</w:t>
      </w:r>
      <w:r w:rsidRPr="0005391C">
        <w:rPr>
          <w:rFonts w:eastAsia="Calibri"/>
          <w:i w:val="0"/>
          <w:iCs/>
          <w:sz w:val="26"/>
          <w:szCs w:val="28"/>
          <w:lang w:val="en-GB"/>
        </w:rPr>
        <w:t xml:space="preserve"> previous quarter and the same period last year. Workers in the Southeast </w:t>
      </w:r>
      <w:r w:rsidR="00174480" w:rsidRPr="0005391C">
        <w:rPr>
          <w:rFonts w:eastAsia="Calibri"/>
          <w:i w:val="0"/>
          <w:iCs/>
          <w:sz w:val="26"/>
          <w:szCs w:val="28"/>
          <w:lang w:val="en-GB"/>
        </w:rPr>
        <w:t xml:space="preserve">region </w:t>
      </w:r>
      <w:r w:rsidRPr="0005391C">
        <w:rPr>
          <w:rFonts w:eastAsia="Calibri"/>
          <w:i w:val="0"/>
          <w:iCs/>
          <w:sz w:val="26"/>
          <w:szCs w:val="28"/>
          <w:lang w:val="en-GB"/>
        </w:rPr>
        <w:t xml:space="preserve">are the hardest hit with </w:t>
      </w:r>
      <w:r w:rsidR="00174480" w:rsidRPr="0005391C">
        <w:rPr>
          <w:rFonts w:eastAsia="Calibri"/>
          <w:i w:val="0"/>
          <w:iCs/>
          <w:sz w:val="26"/>
          <w:szCs w:val="28"/>
          <w:lang w:val="en-GB"/>
        </w:rPr>
        <w:t>the sharp decline in</w:t>
      </w:r>
      <w:r w:rsidRPr="0005391C">
        <w:rPr>
          <w:rFonts w:eastAsia="Calibri"/>
          <w:i w:val="0"/>
          <w:iCs/>
          <w:sz w:val="26"/>
          <w:szCs w:val="28"/>
          <w:lang w:val="en-GB"/>
        </w:rPr>
        <w:t xml:space="preserve"> </w:t>
      </w:r>
      <w:r w:rsidR="00F96D2B" w:rsidRPr="0005391C">
        <w:rPr>
          <w:rFonts w:eastAsia="Calibri"/>
          <w:i w:val="0"/>
          <w:iCs/>
          <w:sz w:val="26"/>
          <w:szCs w:val="28"/>
          <w:lang w:val="en-GB"/>
        </w:rPr>
        <w:t>earnings</w:t>
      </w:r>
      <w:r w:rsidRPr="0005391C">
        <w:rPr>
          <w:rFonts w:eastAsia="Calibri"/>
          <w:i w:val="0"/>
          <w:iCs/>
          <w:sz w:val="26"/>
          <w:szCs w:val="28"/>
          <w:lang w:val="en-GB"/>
        </w:rPr>
        <w:t>.</w:t>
      </w:r>
    </w:p>
    <w:p w14:paraId="49D1D434" w14:textId="1262D57C" w:rsidR="00564A7E" w:rsidRPr="0005391C" w:rsidRDefault="00904A32" w:rsidP="00CB2AFD">
      <w:pPr>
        <w:spacing w:before="120" w:after="120" w:line="288" w:lineRule="auto"/>
        <w:ind w:firstLine="709"/>
        <w:jc w:val="both"/>
        <w:rPr>
          <w:b w:val="0"/>
          <w:bCs/>
          <w:i w:val="0"/>
          <w:iCs/>
          <w:sz w:val="26"/>
          <w:szCs w:val="28"/>
          <w:lang w:val="en-GB"/>
        </w:rPr>
      </w:pPr>
      <w:r w:rsidRPr="0005391C">
        <w:rPr>
          <w:b w:val="0"/>
          <w:bCs/>
          <w:i w:val="0"/>
          <w:iCs/>
          <w:sz w:val="26"/>
          <w:szCs w:val="28"/>
          <w:lang w:val="en-GB"/>
        </w:rPr>
        <w:t xml:space="preserve">The average monthly earnings of </w:t>
      </w:r>
      <w:r w:rsidR="00363B3F" w:rsidRPr="0005391C">
        <w:rPr>
          <w:b w:val="0"/>
          <w:bCs/>
          <w:i w:val="0"/>
          <w:iCs/>
          <w:sz w:val="26"/>
          <w:szCs w:val="28"/>
          <w:lang w:val="en-GB"/>
        </w:rPr>
        <w:t>workers</w:t>
      </w:r>
      <w:r w:rsidRPr="0005391C">
        <w:rPr>
          <w:b w:val="0"/>
          <w:bCs/>
          <w:i w:val="0"/>
          <w:iCs/>
          <w:sz w:val="26"/>
          <w:szCs w:val="28"/>
          <w:lang w:val="en-GB"/>
        </w:rPr>
        <w:t xml:space="preserve"> in the third quarter of 2021 </w:t>
      </w:r>
      <w:r w:rsidR="00363B3F" w:rsidRPr="0005391C">
        <w:rPr>
          <w:b w:val="0"/>
          <w:bCs/>
          <w:i w:val="0"/>
          <w:iCs/>
          <w:sz w:val="26"/>
          <w:szCs w:val="28"/>
          <w:lang w:val="en-GB"/>
        </w:rPr>
        <w:t>were</w:t>
      </w:r>
      <w:r w:rsidRPr="0005391C">
        <w:rPr>
          <w:b w:val="0"/>
          <w:bCs/>
          <w:i w:val="0"/>
          <w:iCs/>
          <w:sz w:val="26"/>
          <w:szCs w:val="28"/>
          <w:lang w:val="en-GB"/>
        </w:rPr>
        <w:t xml:space="preserve"> 5.2 million dong, down 877 thousand dong </w:t>
      </w:r>
      <w:r w:rsidR="0085694E" w:rsidRPr="0005391C">
        <w:rPr>
          <w:b w:val="0"/>
          <w:bCs/>
          <w:i w:val="0"/>
          <w:iCs/>
          <w:sz w:val="26"/>
          <w:szCs w:val="28"/>
          <w:lang w:val="en-GB"/>
        </w:rPr>
        <w:t>relative to the</w:t>
      </w:r>
      <w:r w:rsidRPr="0005391C">
        <w:rPr>
          <w:b w:val="0"/>
          <w:bCs/>
          <w:i w:val="0"/>
          <w:iCs/>
          <w:sz w:val="26"/>
          <w:szCs w:val="28"/>
          <w:lang w:val="en-GB"/>
        </w:rPr>
        <w:t xml:space="preserve"> previous quarter and 603 thousand dong lower than the same period last year. The average monthly </w:t>
      </w:r>
      <w:r w:rsidR="00363B3F" w:rsidRPr="0005391C">
        <w:rPr>
          <w:b w:val="0"/>
          <w:bCs/>
          <w:i w:val="0"/>
          <w:iCs/>
          <w:sz w:val="26"/>
          <w:szCs w:val="28"/>
          <w:lang w:val="en-GB"/>
        </w:rPr>
        <w:t>earnings</w:t>
      </w:r>
      <w:r w:rsidRPr="0005391C">
        <w:rPr>
          <w:b w:val="0"/>
          <w:bCs/>
          <w:i w:val="0"/>
          <w:iCs/>
          <w:sz w:val="26"/>
          <w:szCs w:val="28"/>
          <w:lang w:val="en-GB"/>
        </w:rPr>
        <w:t xml:space="preserve"> of male </w:t>
      </w:r>
      <w:r w:rsidR="00363B3F" w:rsidRPr="0005391C">
        <w:rPr>
          <w:b w:val="0"/>
          <w:bCs/>
          <w:i w:val="0"/>
          <w:iCs/>
          <w:sz w:val="26"/>
          <w:szCs w:val="28"/>
          <w:lang w:val="en-GB"/>
        </w:rPr>
        <w:t>workers</w:t>
      </w:r>
      <w:r w:rsidRPr="0005391C">
        <w:rPr>
          <w:b w:val="0"/>
          <w:bCs/>
          <w:i w:val="0"/>
          <w:iCs/>
          <w:sz w:val="26"/>
          <w:szCs w:val="28"/>
          <w:lang w:val="en-GB"/>
        </w:rPr>
        <w:t xml:space="preserve"> </w:t>
      </w:r>
      <w:r w:rsidR="00363B3F" w:rsidRPr="0005391C">
        <w:rPr>
          <w:b w:val="0"/>
          <w:bCs/>
          <w:i w:val="0"/>
          <w:iCs/>
          <w:sz w:val="26"/>
          <w:szCs w:val="28"/>
          <w:lang w:val="en-GB"/>
        </w:rPr>
        <w:t>were</w:t>
      </w:r>
      <w:r w:rsidRPr="0005391C">
        <w:rPr>
          <w:b w:val="0"/>
          <w:bCs/>
          <w:i w:val="0"/>
          <w:iCs/>
          <w:sz w:val="26"/>
          <w:szCs w:val="28"/>
          <w:lang w:val="en-GB"/>
        </w:rPr>
        <w:t xml:space="preserve"> 1.40 times higher than that of female workers (6.0 million VND compared to 4.3 million VND); the average </w:t>
      </w:r>
      <w:r w:rsidR="00363B3F" w:rsidRPr="0005391C">
        <w:rPr>
          <w:b w:val="0"/>
          <w:bCs/>
          <w:i w:val="0"/>
          <w:iCs/>
          <w:sz w:val="26"/>
          <w:szCs w:val="28"/>
          <w:lang w:val="en-GB"/>
        </w:rPr>
        <w:t>earnings</w:t>
      </w:r>
      <w:r w:rsidRPr="0005391C">
        <w:rPr>
          <w:b w:val="0"/>
          <w:bCs/>
          <w:i w:val="0"/>
          <w:iCs/>
          <w:sz w:val="26"/>
          <w:szCs w:val="28"/>
          <w:lang w:val="en-GB"/>
        </w:rPr>
        <w:t xml:space="preserve"> of workers in urban areas </w:t>
      </w:r>
      <w:r w:rsidR="00363B3F" w:rsidRPr="0005391C">
        <w:rPr>
          <w:b w:val="0"/>
          <w:bCs/>
          <w:i w:val="0"/>
          <w:iCs/>
          <w:sz w:val="26"/>
          <w:szCs w:val="28"/>
          <w:lang w:val="en-GB"/>
        </w:rPr>
        <w:t>were</w:t>
      </w:r>
      <w:r w:rsidRPr="0005391C">
        <w:rPr>
          <w:b w:val="0"/>
          <w:bCs/>
          <w:i w:val="0"/>
          <w:iCs/>
          <w:sz w:val="26"/>
          <w:szCs w:val="28"/>
          <w:lang w:val="en-GB"/>
        </w:rPr>
        <w:t xml:space="preserve"> 1.35 times higher than in rural areas (6.2 million VND compared to 4.6 million VND). The complicated developments of the Covid-19 </w:t>
      </w:r>
      <w:r w:rsidR="00363B3F" w:rsidRPr="0005391C">
        <w:rPr>
          <w:b w:val="0"/>
          <w:bCs/>
          <w:i w:val="0"/>
          <w:iCs/>
          <w:sz w:val="26"/>
          <w:szCs w:val="28"/>
          <w:lang w:val="en-GB"/>
        </w:rPr>
        <w:t>pan</w:t>
      </w:r>
      <w:r w:rsidRPr="0005391C">
        <w:rPr>
          <w:b w:val="0"/>
          <w:bCs/>
          <w:i w:val="0"/>
          <w:iCs/>
          <w:sz w:val="26"/>
          <w:szCs w:val="28"/>
          <w:lang w:val="en-GB"/>
        </w:rPr>
        <w:t xml:space="preserve">demic have seriously affected the lives of workers. Compared to the </w:t>
      </w:r>
      <w:r w:rsidR="00363B3F" w:rsidRPr="0005391C">
        <w:rPr>
          <w:b w:val="0"/>
          <w:bCs/>
          <w:i w:val="0"/>
          <w:iCs/>
          <w:sz w:val="26"/>
          <w:szCs w:val="28"/>
          <w:lang w:val="en-GB"/>
        </w:rPr>
        <w:t>second quarter of last year, which had witnessed</w:t>
      </w:r>
      <w:r w:rsidRPr="0005391C">
        <w:rPr>
          <w:b w:val="0"/>
          <w:bCs/>
          <w:i w:val="0"/>
          <w:iCs/>
          <w:sz w:val="26"/>
          <w:szCs w:val="28"/>
          <w:lang w:val="en-GB"/>
        </w:rPr>
        <w:t xml:space="preserve"> the </w:t>
      </w:r>
      <w:r w:rsidR="007A7FD7" w:rsidRPr="0005391C">
        <w:rPr>
          <w:b w:val="0"/>
          <w:bCs/>
          <w:i w:val="0"/>
          <w:iCs/>
          <w:sz w:val="26"/>
          <w:szCs w:val="28"/>
          <w:lang w:val="en-GB"/>
        </w:rPr>
        <w:t>“</w:t>
      </w:r>
      <w:r w:rsidR="00363B3F" w:rsidRPr="0005391C">
        <w:rPr>
          <w:b w:val="0"/>
          <w:bCs/>
          <w:i w:val="0"/>
          <w:iCs/>
          <w:sz w:val="26"/>
          <w:szCs w:val="28"/>
          <w:lang w:val="en-GB"/>
        </w:rPr>
        <w:t>bottom</w:t>
      </w:r>
      <w:r w:rsidR="007A7FD7" w:rsidRPr="0005391C">
        <w:rPr>
          <w:b w:val="0"/>
          <w:bCs/>
          <w:i w:val="0"/>
          <w:iCs/>
          <w:sz w:val="26"/>
          <w:szCs w:val="28"/>
          <w:lang w:val="en-GB"/>
        </w:rPr>
        <w:t>”</w:t>
      </w:r>
      <w:r w:rsidR="00363B3F" w:rsidRPr="0005391C">
        <w:rPr>
          <w:b w:val="0"/>
          <w:bCs/>
          <w:i w:val="0"/>
          <w:iCs/>
          <w:sz w:val="26"/>
          <w:szCs w:val="28"/>
          <w:lang w:val="en-GB"/>
        </w:rPr>
        <w:t xml:space="preserve"> </w:t>
      </w:r>
      <w:r w:rsidRPr="0005391C">
        <w:rPr>
          <w:b w:val="0"/>
          <w:bCs/>
          <w:i w:val="0"/>
          <w:iCs/>
          <w:sz w:val="26"/>
          <w:szCs w:val="28"/>
          <w:lang w:val="en-GB"/>
        </w:rPr>
        <w:t xml:space="preserve">average </w:t>
      </w:r>
      <w:r w:rsidR="00363B3F" w:rsidRPr="0005391C">
        <w:rPr>
          <w:b w:val="0"/>
          <w:bCs/>
          <w:i w:val="0"/>
          <w:iCs/>
          <w:sz w:val="26"/>
          <w:szCs w:val="28"/>
          <w:lang w:val="en-GB"/>
        </w:rPr>
        <w:t xml:space="preserve">earnings </w:t>
      </w:r>
      <w:r w:rsidRPr="0005391C">
        <w:rPr>
          <w:b w:val="0"/>
          <w:bCs/>
          <w:i w:val="0"/>
          <w:iCs/>
          <w:sz w:val="26"/>
          <w:szCs w:val="28"/>
          <w:lang w:val="en-GB"/>
        </w:rPr>
        <w:t xml:space="preserve">due to the implementation of social </w:t>
      </w:r>
      <w:r w:rsidR="00363B3F" w:rsidRPr="0005391C">
        <w:rPr>
          <w:b w:val="0"/>
          <w:bCs/>
          <w:i w:val="0"/>
          <w:iCs/>
          <w:sz w:val="26"/>
          <w:szCs w:val="28"/>
          <w:lang w:val="en-GB"/>
        </w:rPr>
        <w:t>distancing</w:t>
      </w:r>
      <w:r w:rsidRPr="0005391C">
        <w:rPr>
          <w:b w:val="0"/>
          <w:bCs/>
          <w:i w:val="0"/>
          <w:iCs/>
          <w:sz w:val="26"/>
          <w:szCs w:val="28"/>
          <w:lang w:val="en-GB"/>
        </w:rPr>
        <w:t xml:space="preserve"> in accordance with Directive 16, the average monthly </w:t>
      </w:r>
      <w:r w:rsidR="00363B3F" w:rsidRPr="0005391C">
        <w:rPr>
          <w:b w:val="0"/>
          <w:bCs/>
          <w:i w:val="0"/>
          <w:iCs/>
          <w:sz w:val="26"/>
          <w:szCs w:val="28"/>
          <w:lang w:val="en-GB"/>
        </w:rPr>
        <w:t>earnings</w:t>
      </w:r>
      <w:r w:rsidRPr="0005391C">
        <w:rPr>
          <w:b w:val="0"/>
          <w:bCs/>
          <w:i w:val="0"/>
          <w:iCs/>
          <w:sz w:val="26"/>
          <w:szCs w:val="28"/>
          <w:lang w:val="en-GB"/>
        </w:rPr>
        <w:t xml:space="preserve"> of </w:t>
      </w:r>
      <w:r w:rsidR="00363B3F" w:rsidRPr="0005391C">
        <w:rPr>
          <w:b w:val="0"/>
          <w:bCs/>
          <w:i w:val="0"/>
          <w:iCs/>
          <w:sz w:val="26"/>
          <w:szCs w:val="28"/>
          <w:lang w:val="en-GB"/>
        </w:rPr>
        <w:t>workers</w:t>
      </w:r>
      <w:r w:rsidRPr="0005391C">
        <w:rPr>
          <w:b w:val="0"/>
          <w:bCs/>
          <w:i w:val="0"/>
          <w:iCs/>
          <w:sz w:val="26"/>
          <w:szCs w:val="28"/>
          <w:lang w:val="en-GB"/>
        </w:rPr>
        <w:t xml:space="preserve"> in the third quarter of this year </w:t>
      </w:r>
      <w:r w:rsidR="00363B3F" w:rsidRPr="0005391C">
        <w:rPr>
          <w:b w:val="0"/>
          <w:bCs/>
          <w:i w:val="0"/>
          <w:iCs/>
          <w:sz w:val="26"/>
          <w:szCs w:val="28"/>
          <w:lang w:val="en-GB"/>
        </w:rPr>
        <w:t xml:space="preserve">were even </w:t>
      </w:r>
      <w:r w:rsidRPr="0005391C">
        <w:rPr>
          <w:b w:val="0"/>
          <w:bCs/>
          <w:i w:val="0"/>
          <w:iCs/>
          <w:sz w:val="26"/>
          <w:szCs w:val="28"/>
          <w:lang w:val="en-GB"/>
        </w:rPr>
        <w:t xml:space="preserve">much lower (lower than 329,000 VND). This </w:t>
      </w:r>
      <w:r w:rsidR="00363B3F" w:rsidRPr="0005391C">
        <w:rPr>
          <w:b w:val="0"/>
          <w:bCs/>
          <w:i w:val="0"/>
          <w:iCs/>
          <w:sz w:val="26"/>
          <w:szCs w:val="28"/>
          <w:lang w:val="en-GB"/>
        </w:rPr>
        <w:t>has been</w:t>
      </w:r>
      <w:r w:rsidRPr="0005391C">
        <w:rPr>
          <w:b w:val="0"/>
          <w:bCs/>
          <w:i w:val="0"/>
          <w:iCs/>
          <w:sz w:val="26"/>
          <w:szCs w:val="28"/>
          <w:lang w:val="en-GB"/>
        </w:rPr>
        <w:t xml:space="preserve"> </w:t>
      </w:r>
      <w:r w:rsidR="00174480" w:rsidRPr="0005391C">
        <w:rPr>
          <w:b w:val="0"/>
          <w:bCs/>
          <w:i w:val="0"/>
          <w:iCs/>
          <w:sz w:val="26"/>
          <w:szCs w:val="28"/>
          <w:lang w:val="en-GB"/>
        </w:rPr>
        <w:t>the</w:t>
      </w:r>
      <w:r w:rsidRPr="0005391C">
        <w:rPr>
          <w:b w:val="0"/>
          <w:bCs/>
          <w:i w:val="0"/>
          <w:iCs/>
          <w:sz w:val="26"/>
          <w:szCs w:val="28"/>
          <w:lang w:val="en-GB"/>
        </w:rPr>
        <w:t xml:space="preserve"> low</w:t>
      </w:r>
      <w:r w:rsidR="00174480" w:rsidRPr="0005391C">
        <w:rPr>
          <w:b w:val="0"/>
          <w:bCs/>
          <w:i w:val="0"/>
          <w:iCs/>
          <w:sz w:val="26"/>
          <w:szCs w:val="28"/>
          <w:lang w:val="en-GB"/>
        </w:rPr>
        <w:t>est</w:t>
      </w:r>
      <w:r w:rsidRPr="0005391C">
        <w:rPr>
          <w:b w:val="0"/>
          <w:bCs/>
          <w:i w:val="0"/>
          <w:iCs/>
          <w:sz w:val="26"/>
          <w:szCs w:val="28"/>
          <w:lang w:val="en-GB"/>
        </w:rPr>
        <w:t xml:space="preserve"> </w:t>
      </w:r>
      <w:r w:rsidR="00363B3F" w:rsidRPr="0005391C">
        <w:rPr>
          <w:b w:val="0"/>
          <w:bCs/>
          <w:i w:val="0"/>
          <w:iCs/>
          <w:sz w:val="26"/>
          <w:szCs w:val="28"/>
          <w:lang w:val="en-GB"/>
        </w:rPr>
        <w:t>level of earnings</w:t>
      </w:r>
      <w:r w:rsidRPr="0005391C">
        <w:rPr>
          <w:b w:val="0"/>
          <w:bCs/>
          <w:i w:val="0"/>
          <w:iCs/>
          <w:sz w:val="26"/>
          <w:szCs w:val="28"/>
          <w:lang w:val="en-GB"/>
        </w:rPr>
        <w:t xml:space="preserve"> recorded in </w:t>
      </w:r>
      <w:r w:rsidR="00363B3F" w:rsidRPr="0005391C">
        <w:rPr>
          <w:b w:val="0"/>
          <w:bCs/>
          <w:i w:val="0"/>
          <w:iCs/>
          <w:sz w:val="26"/>
          <w:szCs w:val="28"/>
          <w:lang w:val="en-GB"/>
        </w:rPr>
        <w:t>many</w:t>
      </w:r>
      <w:r w:rsidRPr="0005391C">
        <w:rPr>
          <w:b w:val="0"/>
          <w:bCs/>
          <w:i w:val="0"/>
          <w:iCs/>
          <w:sz w:val="26"/>
          <w:szCs w:val="28"/>
          <w:lang w:val="en-GB"/>
        </w:rPr>
        <w:t xml:space="preserve"> years.</w:t>
      </w:r>
      <w:r w:rsidR="0040164B" w:rsidRPr="0005391C">
        <w:rPr>
          <w:b w:val="0"/>
          <w:bCs/>
          <w:i w:val="0"/>
          <w:iCs/>
          <w:sz w:val="26"/>
          <w:szCs w:val="28"/>
          <w:lang w:val="en-GB"/>
        </w:rPr>
        <w:t xml:space="preserve"> </w:t>
      </w:r>
    </w:p>
    <w:p w14:paraId="7F9C696B" w14:textId="64179BDB" w:rsidR="00BC479F" w:rsidRPr="0005391C" w:rsidRDefault="00BC479F" w:rsidP="00CB2AFD">
      <w:pPr>
        <w:spacing w:before="120" w:after="120" w:line="288" w:lineRule="auto"/>
        <w:ind w:firstLine="709"/>
        <w:jc w:val="both"/>
        <w:rPr>
          <w:b w:val="0"/>
          <w:bCs/>
          <w:i w:val="0"/>
          <w:iCs/>
          <w:sz w:val="26"/>
          <w:szCs w:val="28"/>
          <w:lang w:val="en-GB"/>
        </w:rPr>
      </w:pPr>
      <w:r w:rsidRPr="0005391C">
        <w:rPr>
          <w:b w:val="0"/>
          <w:bCs/>
          <w:i w:val="0"/>
          <w:iCs/>
          <w:sz w:val="26"/>
          <w:szCs w:val="28"/>
          <w:lang w:val="en-GB"/>
        </w:rPr>
        <w:t>Workers in the Southeast region experienced the biggest decrease in earnings. Compared to the previous quarter and the same period last year,</w:t>
      </w:r>
      <w:r w:rsidR="00502C6E">
        <w:rPr>
          <w:b w:val="0"/>
          <w:bCs/>
          <w:i w:val="0"/>
          <w:iCs/>
          <w:sz w:val="26"/>
          <w:szCs w:val="28"/>
          <w:lang w:val="en-GB"/>
        </w:rPr>
        <w:t xml:space="preserve"> the </w:t>
      </w:r>
      <w:r w:rsidRPr="0005391C">
        <w:rPr>
          <w:b w:val="0"/>
          <w:bCs/>
          <w:i w:val="0"/>
          <w:iCs/>
          <w:sz w:val="26"/>
          <w:szCs w:val="28"/>
          <w:lang w:val="en-GB"/>
        </w:rPr>
        <w:t xml:space="preserve">Delta variant has swept away about a quarter of the average monthly earnings of workers in this region. In the third quarter of 2021, the average earnings of workers in this region were 5.7 million VND, down 2.4 million VND (equivalent to 29.8%) </w:t>
      </w:r>
      <w:r w:rsidR="0085694E" w:rsidRPr="0005391C">
        <w:rPr>
          <w:b w:val="0"/>
          <w:bCs/>
          <w:i w:val="0"/>
          <w:iCs/>
          <w:sz w:val="26"/>
          <w:szCs w:val="28"/>
          <w:lang w:val="en-GB"/>
        </w:rPr>
        <w:t>relative to the</w:t>
      </w:r>
      <w:r w:rsidRPr="0005391C">
        <w:rPr>
          <w:b w:val="0"/>
          <w:bCs/>
          <w:i w:val="0"/>
          <w:iCs/>
          <w:sz w:val="26"/>
          <w:szCs w:val="28"/>
          <w:lang w:val="en-GB"/>
        </w:rPr>
        <w:t xml:space="preserve"> previous quarter and down 1.9 million VND (equivalent to 24.9%) over the same period last year. In particular, workers in Ho Chi Minh City were even more severely affected with the deepest decrease in average earnings, down by 2.6 million VND (equivalent to 31.0%) </w:t>
      </w:r>
      <w:r w:rsidR="0085694E" w:rsidRPr="0005391C">
        <w:rPr>
          <w:b w:val="0"/>
          <w:bCs/>
          <w:i w:val="0"/>
          <w:iCs/>
          <w:sz w:val="26"/>
          <w:szCs w:val="28"/>
          <w:lang w:val="en-GB"/>
        </w:rPr>
        <w:t>relative to the</w:t>
      </w:r>
      <w:r w:rsidRPr="0005391C">
        <w:rPr>
          <w:b w:val="0"/>
          <w:bCs/>
          <w:i w:val="0"/>
          <w:iCs/>
          <w:sz w:val="26"/>
          <w:szCs w:val="28"/>
          <w:lang w:val="en-GB"/>
        </w:rPr>
        <w:t xml:space="preserve"> previous quarter and a decrease of 2.5 million VND (equivalent to 30.3%) </w:t>
      </w:r>
      <w:r w:rsidR="0085694E" w:rsidRPr="0005391C">
        <w:rPr>
          <w:b w:val="0"/>
          <w:bCs/>
          <w:i w:val="0"/>
          <w:iCs/>
          <w:sz w:val="26"/>
          <w:szCs w:val="28"/>
          <w:lang w:val="en-GB"/>
        </w:rPr>
        <w:t>relative to the</w:t>
      </w:r>
      <w:r w:rsidRPr="0005391C">
        <w:rPr>
          <w:b w:val="0"/>
          <w:bCs/>
          <w:i w:val="0"/>
          <w:iCs/>
          <w:sz w:val="26"/>
          <w:szCs w:val="28"/>
          <w:lang w:val="en-GB"/>
        </w:rPr>
        <w:t xml:space="preserve"> same period last year. The average monthly earnings of workers in Ho Chi Minh City were only 5.8 million VND, the lowest level in many years.</w:t>
      </w:r>
    </w:p>
    <w:p w14:paraId="259EBA20" w14:textId="4FFDDC37" w:rsidR="00BC479F" w:rsidRPr="0005391C" w:rsidRDefault="00BC479F" w:rsidP="00CB2AFD">
      <w:pPr>
        <w:spacing w:before="120" w:after="120" w:line="288" w:lineRule="auto"/>
        <w:ind w:firstLine="709"/>
        <w:jc w:val="both"/>
        <w:rPr>
          <w:b w:val="0"/>
          <w:bCs/>
          <w:i w:val="0"/>
          <w:iCs/>
          <w:sz w:val="26"/>
          <w:szCs w:val="28"/>
          <w:lang w:val="en-GB"/>
        </w:rPr>
      </w:pPr>
      <w:r w:rsidRPr="0005391C">
        <w:rPr>
          <w:b w:val="0"/>
          <w:bCs/>
          <w:i w:val="0"/>
          <w:iCs/>
          <w:sz w:val="26"/>
          <w:szCs w:val="28"/>
          <w:lang w:val="en-GB"/>
        </w:rPr>
        <w:t xml:space="preserve">The second most damaged after those in the Southeast region are workers in the Mekong Delta. The average earnings of workers in this region were 4.5 million VND, down 873 thousand VND (equivalent to 16.1%) </w:t>
      </w:r>
      <w:r w:rsidR="0085694E" w:rsidRPr="0005391C">
        <w:rPr>
          <w:b w:val="0"/>
          <w:bCs/>
          <w:i w:val="0"/>
          <w:iCs/>
          <w:sz w:val="26"/>
          <w:szCs w:val="28"/>
          <w:lang w:val="en-GB"/>
        </w:rPr>
        <w:t>relative to the</w:t>
      </w:r>
      <w:r w:rsidRPr="0005391C">
        <w:rPr>
          <w:b w:val="0"/>
          <w:bCs/>
          <w:i w:val="0"/>
          <w:iCs/>
          <w:sz w:val="26"/>
          <w:szCs w:val="28"/>
          <w:lang w:val="en-GB"/>
        </w:rPr>
        <w:t xml:space="preserve"> previous quarter and down 623 thousand VND (equivalent to a 12.1% decrease </w:t>
      </w:r>
      <w:r w:rsidR="0085694E" w:rsidRPr="0005391C">
        <w:rPr>
          <w:b w:val="0"/>
          <w:bCs/>
          <w:i w:val="0"/>
          <w:iCs/>
          <w:sz w:val="26"/>
          <w:szCs w:val="28"/>
          <w:lang w:val="en-GB"/>
        </w:rPr>
        <w:t>relative to the</w:t>
      </w:r>
      <w:r w:rsidRPr="0005391C">
        <w:rPr>
          <w:b w:val="0"/>
          <w:bCs/>
          <w:i w:val="0"/>
          <w:iCs/>
          <w:sz w:val="26"/>
          <w:szCs w:val="28"/>
          <w:lang w:val="en-GB"/>
        </w:rPr>
        <w:t xml:space="preserve"> same period last year). The least affected by the Covid-19 pandemic are workers in the Northern Midlands and Mountains. The average monthly earnings of workers in this region were 4.4 million VND, a slight decrease </w:t>
      </w:r>
      <w:r w:rsidR="0085694E" w:rsidRPr="0005391C">
        <w:rPr>
          <w:b w:val="0"/>
          <w:bCs/>
          <w:i w:val="0"/>
          <w:iCs/>
          <w:sz w:val="26"/>
          <w:szCs w:val="28"/>
          <w:lang w:val="en-GB"/>
        </w:rPr>
        <w:t>relative to the</w:t>
      </w:r>
      <w:r w:rsidRPr="0005391C">
        <w:rPr>
          <w:b w:val="0"/>
          <w:bCs/>
          <w:i w:val="0"/>
          <w:iCs/>
          <w:sz w:val="26"/>
          <w:szCs w:val="28"/>
          <w:lang w:val="en-GB"/>
        </w:rPr>
        <w:t xml:space="preserve"> previous quarter (down 93 thousand VND).</w:t>
      </w:r>
    </w:p>
    <w:p w14:paraId="71FCF135" w14:textId="3BB1E428" w:rsidR="00CB2AFD" w:rsidRDefault="00BC479F" w:rsidP="00CB2AFD">
      <w:pPr>
        <w:spacing w:before="120" w:after="120" w:line="288" w:lineRule="auto"/>
        <w:ind w:firstLine="709"/>
        <w:jc w:val="both"/>
        <w:rPr>
          <w:b w:val="0"/>
          <w:bCs/>
          <w:i w:val="0"/>
          <w:iCs/>
          <w:spacing w:val="-4"/>
          <w:sz w:val="26"/>
          <w:szCs w:val="28"/>
          <w:lang w:val="en-GB"/>
        </w:rPr>
      </w:pPr>
      <w:r w:rsidRPr="0005391C">
        <w:rPr>
          <w:b w:val="0"/>
          <w:bCs/>
          <w:i w:val="0"/>
          <w:iCs/>
          <w:spacing w:val="-4"/>
          <w:sz w:val="26"/>
          <w:szCs w:val="28"/>
          <w:lang w:val="en-GB"/>
        </w:rPr>
        <w:t xml:space="preserve">Compared to their counterparts in Ho Chi Minh City, workers in Hanoi are affected much more gently. The average earnings of workers in the capital city were 7.0 million VND, down about 1.0 million VND (equivalent to 12.5%) </w:t>
      </w:r>
      <w:r w:rsidR="0085694E" w:rsidRPr="0005391C">
        <w:rPr>
          <w:b w:val="0"/>
          <w:bCs/>
          <w:i w:val="0"/>
          <w:iCs/>
          <w:spacing w:val="-4"/>
          <w:sz w:val="26"/>
          <w:szCs w:val="28"/>
          <w:lang w:val="en-GB"/>
        </w:rPr>
        <w:t>relative to the</w:t>
      </w:r>
      <w:r w:rsidRPr="0005391C">
        <w:rPr>
          <w:b w:val="0"/>
          <w:bCs/>
          <w:i w:val="0"/>
          <w:iCs/>
          <w:spacing w:val="-4"/>
          <w:sz w:val="26"/>
          <w:szCs w:val="28"/>
          <w:lang w:val="en-GB"/>
        </w:rPr>
        <w:t xml:space="preserve"> previous quart</w:t>
      </w:r>
      <w:r w:rsidR="002A4C8C" w:rsidRPr="0005391C">
        <w:rPr>
          <w:b w:val="0"/>
          <w:bCs/>
          <w:i w:val="0"/>
          <w:iCs/>
          <w:spacing w:val="-4"/>
          <w:sz w:val="26"/>
          <w:szCs w:val="28"/>
          <w:lang w:val="en-GB"/>
        </w:rPr>
        <w:t xml:space="preserve">er and down 342 thousand VND, an equivalent of </w:t>
      </w:r>
      <w:r w:rsidRPr="0005391C">
        <w:rPr>
          <w:b w:val="0"/>
          <w:bCs/>
          <w:i w:val="0"/>
          <w:iCs/>
          <w:spacing w:val="-4"/>
          <w:sz w:val="26"/>
          <w:szCs w:val="28"/>
          <w:lang w:val="en-GB"/>
        </w:rPr>
        <w:t xml:space="preserve">4.6% </w:t>
      </w:r>
      <w:r w:rsidR="0085694E" w:rsidRPr="0005391C">
        <w:rPr>
          <w:b w:val="0"/>
          <w:bCs/>
          <w:i w:val="0"/>
          <w:iCs/>
          <w:spacing w:val="-4"/>
          <w:sz w:val="26"/>
          <w:szCs w:val="28"/>
          <w:lang w:val="en-GB"/>
        </w:rPr>
        <w:t>relative to the</w:t>
      </w:r>
      <w:r w:rsidRPr="0005391C">
        <w:rPr>
          <w:b w:val="0"/>
          <w:bCs/>
          <w:i w:val="0"/>
          <w:iCs/>
          <w:spacing w:val="-4"/>
          <w:sz w:val="26"/>
          <w:szCs w:val="28"/>
          <w:lang w:val="en-GB"/>
        </w:rPr>
        <w:t xml:space="preserve"> same period last year.</w:t>
      </w:r>
    </w:p>
    <w:p w14:paraId="328AA926" w14:textId="77777777" w:rsidR="00CB2AFD" w:rsidRDefault="00CB2AFD">
      <w:pPr>
        <w:spacing w:after="240"/>
        <w:ind w:left="1559" w:hanging="1559"/>
        <w:jc w:val="both"/>
        <w:rPr>
          <w:b w:val="0"/>
          <w:bCs/>
          <w:i w:val="0"/>
          <w:iCs/>
          <w:spacing w:val="-4"/>
          <w:sz w:val="26"/>
          <w:szCs w:val="28"/>
          <w:lang w:val="en-GB"/>
        </w:rPr>
      </w:pPr>
      <w:r>
        <w:rPr>
          <w:b w:val="0"/>
          <w:bCs/>
          <w:i w:val="0"/>
          <w:iCs/>
          <w:spacing w:val="-4"/>
          <w:sz w:val="26"/>
          <w:szCs w:val="28"/>
          <w:lang w:val="en-GB"/>
        </w:rPr>
        <w:br w:type="page"/>
      </w:r>
    </w:p>
    <w:p w14:paraId="06073C6A" w14:textId="3D4B5893" w:rsidR="00564A7E" w:rsidRPr="0005391C" w:rsidRDefault="00B00857" w:rsidP="00AE75EB">
      <w:pPr>
        <w:spacing w:after="60"/>
        <w:jc w:val="center"/>
        <w:rPr>
          <w:bCs/>
          <w:i w:val="0"/>
          <w:iCs/>
          <w:sz w:val="26"/>
          <w:szCs w:val="28"/>
          <w:lang w:val="en-GB"/>
        </w:rPr>
      </w:pPr>
      <w:r w:rsidRPr="0005391C">
        <w:rPr>
          <w:bCs/>
          <w:i w:val="0"/>
          <w:iCs/>
          <w:sz w:val="26"/>
          <w:szCs w:val="28"/>
          <w:lang w:val="en-GB"/>
        </w:rPr>
        <w:t>Figure</w:t>
      </w:r>
      <w:r w:rsidR="002A4C8C" w:rsidRPr="0005391C">
        <w:rPr>
          <w:bCs/>
          <w:i w:val="0"/>
          <w:iCs/>
          <w:sz w:val="26"/>
          <w:szCs w:val="28"/>
          <w:lang w:val="en-GB"/>
        </w:rPr>
        <w:t xml:space="preserve"> 9: Average monthly earnings of workers by socio-economic region and Q2 and Q3 of </w:t>
      </w:r>
      <w:r w:rsidR="00564A7E" w:rsidRPr="0005391C">
        <w:rPr>
          <w:bCs/>
          <w:i w:val="0"/>
          <w:iCs/>
          <w:sz w:val="26"/>
          <w:szCs w:val="28"/>
          <w:lang w:val="en-GB"/>
        </w:rPr>
        <w:t xml:space="preserve">2020 </w:t>
      </w:r>
      <w:r w:rsidR="002A4C8C" w:rsidRPr="0005391C">
        <w:rPr>
          <w:bCs/>
          <w:i w:val="0"/>
          <w:iCs/>
          <w:sz w:val="26"/>
          <w:szCs w:val="28"/>
          <w:lang w:val="en-GB"/>
        </w:rPr>
        <w:t>and</w:t>
      </w:r>
      <w:r w:rsidR="00564A7E" w:rsidRPr="0005391C">
        <w:rPr>
          <w:bCs/>
          <w:i w:val="0"/>
          <w:iCs/>
          <w:sz w:val="26"/>
          <w:szCs w:val="28"/>
          <w:lang w:val="en-GB"/>
        </w:rPr>
        <w:t xml:space="preserve"> 2021</w:t>
      </w:r>
    </w:p>
    <w:p w14:paraId="5EA55B04" w14:textId="019FB1B4" w:rsidR="00564A7E" w:rsidRPr="0005391C" w:rsidRDefault="0040164B" w:rsidP="00AE75EB">
      <w:pPr>
        <w:spacing w:before="120" w:after="120"/>
        <w:jc w:val="right"/>
        <w:rPr>
          <w:b w:val="0"/>
          <w:bCs/>
          <w:iCs/>
          <w:spacing w:val="-2"/>
          <w:szCs w:val="26"/>
          <w:lang w:val="en-GB"/>
        </w:rPr>
      </w:pPr>
      <w:r w:rsidRPr="0005391C">
        <w:rPr>
          <w:noProof/>
          <w:sz w:val="22"/>
          <w:lang w:val="en-GB"/>
        </w:rPr>
        <w:t xml:space="preserve"> </w:t>
      </w:r>
      <w:r w:rsidRPr="0005391C">
        <w:rPr>
          <w:b w:val="0"/>
          <w:bCs/>
          <w:iCs/>
          <w:spacing w:val="-2"/>
          <w:szCs w:val="26"/>
          <w:lang w:val="en-GB"/>
        </w:rPr>
        <w:t xml:space="preserve">                                               </w:t>
      </w:r>
      <w:r w:rsidR="00564A7E" w:rsidRPr="0005391C">
        <w:rPr>
          <w:b w:val="0"/>
          <w:bCs/>
          <w:iCs/>
          <w:spacing w:val="-2"/>
          <w:szCs w:val="26"/>
          <w:lang w:val="en-GB"/>
        </w:rPr>
        <w:t xml:space="preserve"> </w:t>
      </w:r>
      <w:r w:rsidR="00B00857" w:rsidRPr="0005391C">
        <w:rPr>
          <w:b w:val="0"/>
          <w:bCs/>
          <w:iCs/>
          <w:spacing w:val="-2"/>
          <w:szCs w:val="26"/>
          <w:lang w:val="en-GB"/>
        </w:rPr>
        <w:t>Unit:</w:t>
      </w:r>
      <w:r w:rsidR="00564A7E" w:rsidRPr="0005391C">
        <w:rPr>
          <w:b w:val="0"/>
          <w:bCs/>
          <w:iCs/>
          <w:spacing w:val="-2"/>
          <w:szCs w:val="26"/>
          <w:lang w:val="en-GB"/>
        </w:rPr>
        <w:t xml:space="preserve"> </w:t>
      </w:r>
      <w:r w:rsidR="00B00857" w:rsidRPr="0005391C">
        <w:rPr>
          <w:b w:val="0"/>
          <w:bCs/>
          <w:iCs/>
          <w:spacing w:val="-2"/>
          <w:szCs w:val="26"/>
          <w:lang w:val="en-GB"/>
        </w:rPr>
        <w:t>Million dong</w:t>
      </w:r>
    </w:p>
    <w:p w14:paraId="08A17E40" w14:textId="3B8BF4CD" w:rsidR="00564A7E" w:rsidRPr="0005391C" w:rsidRDefault="006D438E" w:rsidP="00AE75EB">
      <w:pPr>
        <w:spacing w:before="120" w:after="120"/>
        <w:jc w:val="both"/>
        <w:rPr>
          <w:b w:val="0"/>
          <w:bCs/>
          <w:i w:val="0"/>
          <w:iCs/>
          <w:sz w:val="26"/>
          <w:szCs w:val="28"/>
          <w:lang w:val="en-GB"/>
        </w:rPr>
      </w:pPr>
      <w:r w:rsidRPr="0005391C">
        <w:rPr>
          <w:noProof/>
          <w:sz w:val="22"/>
        </w:rPr>
        <w:drawing>
          <wp:inline distT="0" distB="0" distL="0" distR="0" wp14:anchorId="033B3065" wp14:editId="3F745CAE">
            <wp:extent cx="5555672" cy="2473037"/>
            <wp:effectExtent l="0" t="0" r="6985" b="381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DE0F89C" w14:textId="70222574" w:rsidR="000816F7" w:rsidRPr="0005391C" w:rsidRDefault="000816F7" w:rsidP="00CB2AFD">
      <w:pPr>
        <w:spacing w:before="120" w:after="120" w:line="288" w:lineRule="auto"/>
        <w:ind w:firstLine="709"/>
        <w:jc w:val="both"/>
        <w:rPr>
          <w:b w:val="0"/>
          <w:bCs/>
          <w:i w:val="0"/>
          <w:iCs/>
          <w:sz w:val="26"/>
          <w:szCs w:val="28"/>
          <w:lang w:val="en-GB"/>
        </w:rPr>
      </w:pPr>
      <w:r w:rsidRPr="0005391C">
        <w:rPr>
          <w:b w:val="0"/>
          <w:bCs/>
          <w:i w:val="0"/>
          <w:iCs/>
          <w:sz w:val="26"/>
          <w:szCs w:val="28"/>
          <w:lang w:val="en-GB"/>
        </w:rPr>
        <w:t xml:space="preserve">In the third quarter of 2021, most economic sectors recorded a decrease in the average earnings of workers </w:t>
      </w:r>
      <w:r w:rsidR="0085694E" w:rsidRPr="0005391C">
        <w:rPr>
          <w:b w:val="0"/>
          <w:bCs/>
          <w:i w:val="0"/>
          <w:iCs/>
          <w:sz w:val="26"/>
          <w:szCs w:val="28"/>
          <w:lang w:val="en-GB"/>
        </w:rPr>
        <w:t>relative to the</w:t>
      </w:r>
      <w:r w:rsidRPr="0005391C">
        <w:rPr>
          <w:b w:val="0"/>
          <w:bCs/>
          <w:i w:val="0"/>
          <w:iCs/>
          <w:sz w:val="26"/>
          <w:szCs w:val="28"/>
          <w:lang w:val="en-GB"/>
        </w:rPr>
        <w:t xml:space="preserve"> previous quarter. Workers in the services sector suffered the most income reduction, with an average monthly earnings of 6.2 million VND, down about 1.0 million VND, equivalent to a decrease of 14.3% </w:t>
      </w:r>
      <w:r w:rsidR="0085694E" w:rsidRPr="0005391C">
        <w:rPr>
          <w:b w:val="0"/>
          <w:bCs/>
          <w:i w:val="0"/>
          <w:iCs/>
          <w:sz w:val="26"/>
          <w:szCs w:val="28"/>
          <w:lang w:val="en-GB"/>
        </w:rPr>
        <w:t>relative to the</w:t>
      </w:r>
      <w:r w:rsidRPr="0005391C">
        <w:rPr>
          <w:b w:val="0"/>
          <w:bCs/>
          <w:i w:val="0"/>
          <w:iCs/>
          <w:sz w:val="26"/>
          <w:szCs w:val="28"/>
          <w:lang w:val="en-GB"/>
        </w:rPr>
        <w:t xml:space="preserve"> previous quarter; in industrial and construction sector, workers had average earnings of 5.8 million VND, down 906 thousand VND, equivalent to a decrease of 13.5% </w:t>
      </w:r>
      <w:r w:rsidR="0085694E" w:rsidRPr="0005391C">
        <w:rPr>
          <w:b w:val="0"/>
          <w:bCs/>
          <w:i w:val="0"/>
          <w:iCs/>
          <w:sz w:val="26"/>
          <w:szCs w:val="28"/>
          <w:lang w:val="en-GB"/>
        </w:rPr>
        <w:t>relative to the</w:t>
      </w:r>
      <w:r w:rsidRPr="0005391C">
        <w:rPr>
          <w:b w:val="0"/>
          <w:bCs/>
          <w:i w:val="0"/>
          <w:iCs/>
          <w:sz w:val="26"/>
          <w:szCs w:val="28"/>
          <w:lang w:val="en-GB"/>
        </w:rPr>
        <w:t xml:space="preserve"> previous quarter. Workers in the </w:t>
      </w:r>
      <w:r w:rsidR="000D32A4" w:rsidRPr="0005391C">
        <w:rPr>
          <w:b w:val="0"/>
          <w:bCs/>
          <w:i w:val="0"/>
          <w:iCs/>
          <w:sz w:val="26"/>
          <w:szCs w:val="28"/>
          <w:lang w:val="en-GB"/>
        </w:rPr>
        <w:t>AFF</w:t>
      </w:r>
      <w:r w:rsidRPr="0005391C">
        <w:rPr>
          <w:b w:val="0"/>
          <w:bCs/>
          <w:i w:val="0"/>
          <w:iCs/>
          <w:sz w:val="26"/>
          <w:szCs w:val="28"/>
          <w:lang w:val="en-GB"/>
        </w:rPr>
        <w:t xml:space="preserve"> sector no longer maintained the stable growth rate as observed in the </w:t>
      </w:r>
      <w:r w:rsidR="00597020" w:rsidRPr="0005391C">
        <w:rPr>
          <w:b w:val="0"/>
          <w:bCs/>
          <w:i w:val="0"/>
          <w:iCs/>
          <w:sz w:val="26"/>
          <w:szCs w:val="28"/>
          <w:lang w:val="en-GB"/>
        </w:rPr>
        <w:t>many previous</w:t>
      </w:r>
      <w:r w:rsidRPr="0005391C">
        <w:rPr>
          <w:b w:val="0"/>
          <w:bCs/>
          <w:i w:val="0"/>
          <w:iCs/>
          <w:sz w:val="26"/>
          <w:szCs w:val="28"/>
          <w:lang w:val="en-GB"/>
        </w:rPr>
        <w:t xml:space="preserve"> quarters, but also began to </w:t>
      </w:r>
      <w:r w:rsidR="00174480" w:rsidRPr="0005391C">
        <w:rPr>
          <w:b w:val="0"/>
          <w:bCs/>
          <w:i w:val="0"/>
          <w:iCs/>
          <w:sz w:val="26"/>
          <w:szCs w:val="28"/>
          <w:lang w:val="en-GB"/>
        </w:rPr>
        <w:t>sink into a decline</w:t>
      </w:r>
      <w:r w:rsidRPr="0005391C">
        <w:rPr>
          <w:b w:val="0"/>
          <w:bCs/>
          <w:i w:val="0"/>
          <w:iCs/>
          <w:sz w:val="26"/>
          <w:szCs w:val="28"/>
          <w:lang w:val="en-GB"/>
        </w:rPr>
        <w:t xml:space="preserve">. The </w:t>
      </w:r>
      <w:r w:rsidR="00597020" w:rsidRPr="0005391C">
        <w:rPr>
          <w:b w:val="0"/>
          <w:bCs/>
          <w:i w:val="0"/>
          <w:iCs/>
          <w:sz w:val="26"/>
          <w:szCs w:val="28"/>
          <w:lang w:val="en-GB"/>
        </w:rPr>
        <w:t>earnings</w:t>
      </w:r>
      <w:r w:rsidRPr="0005391C">
        <w:rPr>
          <w:b w:val="0"/>
          <w:bCs/>
          <w:i w:val="0"/>
          <w:iCs/>
          <w:sz w:val="26"/>
          <w:szCs w:val="28"/>
          <w:lang w:val="en-GB"/>
        </w:rPr>
        <w:t xml:space="preserve"> of workers in this </w:t>
      </w:r>
      <w:r w:rsidR="00597020" w:rsidRPr="0005391C">
        <w:rPr>
          <w:b w:val="0"/>
          <w:bCs/>
          <w:i w:val="0"/>
          <w:iCs/>
          <w:sz w:val="26"/>
          <w:szCs w:val="28"/>
          <w:lang w:val="en-GB"/>
        </w:rPr>
        <w:t>sector were</w:t>
      </w:r>
      <w:r w:rsidRPr="0005391C">
        <w:rPr>
          <w:b w:val="0"/>
          <w:bCs/>
          <w:i w:val="0"/>
          <w:iCs/>
          <w:sz w:val="26"/>
          <w:szCs w:val="28"/>
          <w:lang w:val="en-GB"/>
        </w:rPr>
        <w:t xml:space="preserve"> 3.4 million VND/person/month, down 340 thousand VND/person, equivalent to a decrease of 9.2% </w:t>
      </w:r>
      <w:r w:rsidR="0085694E" w:rsidRPr="0005391C">
        <w:rPr>
          <w:b w:val="0"/>
          <w:bCs/>
          <w:i w:val="0"/>
          <w:iCs/>
          <w:sz w:val="26"/>
          <w:szCs w:val="28"/>
          <w:lang w:val="en-GB"/>
        </w:rPr>
        <w:t>relative to the</w:t>
      </w:r>
      <w:r w:rsidRPr="0005391C">
        <w:rPr>
          <w:b w:val="0"/>
          <w:bCs/>
          <w:i w:val="0"/>
          <w:iCs/>
          <w:sz w:val="26"/>
          <w:szCs w:val="28"/>
          <w:lang w:val="en-GB"/>
        </w:rPr>
        <w:t xml:space="preserve"> previous quarter.</w:t>
      </w:r>
    </w:p>
    <w:p w14:paraId="43EFE2AA" w14:textId="10014774" w:rsidR="00564A7E" w:rsidRPr="0005391C" w:rsidRDefault="00B00857" w:rsidP="00AE75EB">
      <w:pPr>
        <w:jc w:val="center"/>
        <w:rPr>
          <w:rFonts w:ascii="Times New Roman Bold" w:hAnsi="Times New Roman Bold"/>
          <w:bCs/>
          <w:i w:val="0"/>
          <w:iCs/>
          <w:spacing w:val="-6"/>
          <w:sz w:val="26"/>
          <w:szCs w:val="28"/>
          <w:lang w:val="en-GB"/>
        </w:rPr>
      </w:pPr>
      <w:r w:rsidRPr="0005391C">
        <w:rPr>
          <w:rFonts w:ascii="Times New Roman Bold" w:hAnsi="Times New Roman Bold"/>
          <w:bCs/>
          <w:i w:val="0"/>
          <w:iCs/>
          <w:spacing w:val="-6"/>
          <w:sz w:val="26"/>
          <w:szCs w:val="28"/>
          <w:lang w:val="en-GB"/>
        </w:rPr>
        <w:t>Figure</w:t>
      </w:r>
      <w:r w:rsidR="00597020" w:rsidRPr="0005391C">
        <w:rPr>
          <w:rFonts w:ascii="Times New Roman Bold" w:hAnsi="Times New Roman Bold"/>
          <w:bCs/>
          <w:i w:val="0"/>
          <w:iCs/>
          <w:spacing w:val="-6"/>
          <w:sz w:val="26"/>
          <w:szCs w:val="28"/>
          <w:lang w:val="en-GB"/>
        </w:rPr>
        <w:t xml:space="preserve"> 10: Average monthly earnings of workers by economic sector and quarters of </w:t>
      </w:r>
      <w:r w:rsidR="00564A7E" w:rsidRPr="0005391C">
        <w:rPr>
          <w:rFonts w:ascii="Times New Roman Bold" w:hAnsi="Times New Roman Bold"/>
          <w:bCs/>
          <w:i w:val="0"/>
          <w:iCs/>
          <w:spacing w:val="-6"/>
          <w:sz w:val="26"/>
          <w:szCs w:val="28"/>
          <w:lang w:val="en-GB"/>
        </w:rPr>
        <w:t xml:space="preserve">2020 </w:t>
      </w:r>
      <w:r w:rsidR="00597020" w:rsidRPr="0005391C">
        <w:rPr>
          <w:rFonts w:ascii="Times New Roman Bold" w:hAnsi="Times New Roman Bold"/>
          <w:bCs/>
          <w:i w:val="0"/>
          <w:iCs/>
          <w:spacing w:val="-6"/>
          <w:sz w:val="26"/>
          <w:szCs w:val="28"/>
          <w:lang w:val="en-GB"/>
        </w:rPr>
        <w:t>and</w:t>
      </w:r>
      <w:r w:rsidR="00564A7E" w:rsidRPr="0005391C">
        <w:rPr>
          <w:rFonts w:ascii="Times New Roman Bold" w:hAnsi="Times New Roman Bold"/>
          <w:bCs/>
          <w:i w:val="0"/>
          <w:iCs/>
          <w:spacing w:val="-6"/>
          <w:sz w:val="26"/>
          <w:szCs w:val="28"/>
          <w:lang w:val="en-GB"/>
        </w:rPr>
        <w:t xml:space="preserve"> 2021</w:t>
      </w:r>
    </w:p>
    <w:p w14:paraId="64D7741D" w14:textId="4048279B" w:rsidR="00564A7E" w:rsidRPr="0005391C" w:rsidRDefault="0040164B" w:rsidP="00AE75EB">
      <w:pPr>
        <w:jc w:val="right"/>
        <w:rPr>
          <w:i w:val="0"/>
          <w:noProof/>
          <w:sz w:val="22"/>
          <w:lang w:val="en-GB"/>
        </w:rPr>
      </w:pPr>
      <w:r w:rsidRPr="0005391C">
        <w:rPr>
          <w:noProof/>
          <w:sz w:val="22"/>
          <w:lang w:val="en-GB"/>
        </w:rPr>
        <w:t xml:space="preserve"> </w:t>
      </w:r>
      <w:r w:rsidRPr="0005391C">
        <w:rPr>
          <w:b w:val="0"/>
          <w:bCs/>
          <w:iCs/>
          <w:spacing w:val="-2"/>
          <w:szCs w:val="26"/>
          <w:lang w:val="en-GB"/>
        </w:rPr>
        <w:t xml:space="preserve">                                               </w:t>
      </w:r>
      <w:r w:rsidR="00564A7E" w:rsidRPr="0005391C">
        <w:rPr>
          <w:b w:val="0"/>
          <w:bCs/>
          <w:iCs/>
          <w:spacing w:val="-2"/>
          <w:szCs w:val="26"/>
          <w:lang w:val="en-GB"/>
        </w:rPr>
        <w:t xml:space="preserve"> </w:t>
      </w:r>
      <w:r w:rsidR="00B00857" w:rsidRPr="0005391C">
        <w:rPr>
          <w:b w:val="0"/>
          <w:bCs/>
          <w:iCs/>
          <w:spacing w:val="-2"/>
          <w:szCs w:val="26"/>
          <w:lang w:val="en-GB"/>
        </w:rPr>
        <w:t>Unit:</w:t>
      </w:r>
      <w:r w:rsidR="00564A7E" w:rsidRPr="0005391C">
        <w:rPr>
          <w:b w:val="0"/>
          <w:bCs/>
          <w:iCs/>
          <w:spacing w:val="-2"/>
          <w:szCs w:val="26"/>
          <w:lang w:val="en-GB"/>
        </w:rPr>
        <w:t xml:space="preserve"> </w:t>
      </w:r>
      <w:r w:rsidR="00B00857" w:rsidRPr="0005391C">
        <w:rPr>
          <w:b w:val="0"/>
          <w:bCs/>
          <w:iCs/>
          <w:spacing w:val="-2"/>
          <w:szCs w:val="26"/>
          <w:lang w:val="en-GB"/>
        </w:rPr>
        <w:t>Million dong</w:t>
      </w:r>
    </w:p>
    <w:p w14:paraId="4AF88B7D" w14:textId="145D5578" w:rsidR="00564A7E" w:rsidRPr="0005391C" w:rsidRDefault="006D438E" w:rsidP="00AE75EB">
      <w:pPr>
        <w:spacing w:before="120" w:after="120"/>
        <w:jc w:val="both"/>
        <w:rPr>
          <w:b w:val="0"/>
          <w:bCs/>
          <w:i w:val="0"/>
          <w:iCs/>
          <w:sz w:val="26"/>
          <w:szCs w:val="28"/>
          <w:lang w:val="en-GB"/>
        </w:rPr>
      </w:pPr>
      <w:r w:rsidRPr="0005391C">
        <w:rPr>
          <w:noProof/>
          <w:sz w:val="22"/>
        </w:rPr>
        <w:drawing>
          <wp:inline distT="0" distB="0" distL="0" distR="0" wp14:anchorId="5BA4A4F9" wp14:editId="6C474826">
            <wp:extent cx="5842000" cy="2638425"/>
            <wp:effectExtent l="0" t="0" r="635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8DF8B5D" w14:textId="5799712B" w:rsidR="004B765B" w:rsidRPr="0005391C" w:rsidRDefault="004B765B" w:rsidP="00CB2AFD">
      <w:pPr>
        <w:spacing w:before="120" w:after="120" w:line="288" w:lineRule="auto"/>
        <w:ind w:firstLine="709"/>
        <w:jc w:val="both"/>
        <w:rPr>
          <w:b w:val="0"/>
          <w:bCs/>
          <w:i w:val="0"/>
          <w:iCs/>
          <w:sz w:val="26"/>
          <w:szCs w:val="28"/>
          <w:lang w:val="en-GB"/>
        </w:rPr>
      </w:pPr>
      <w:r w:rsidRPr="0005391C">
        <w:rPr>
          <w:b w:val="0"/>
          <w:bCs/>
          <w:i w:val="0"/>
          <w:iCs/>
          <w:sz w:val="26"/>
          <w:szCs w:val="28"/>
          <w:lang w:val="en-GB"/>
        </w:rPr>
        <w:t>Some economic sectors also recorded the piled up difficulties experienced by workers as their average earnings continuously decreased through each outbreak of the pandemic. They typically include the following: Accommodati</w:t>
      </w:r>
      <w:r w:rsidR="00783794" w:rsidRPr="0005391C">
        <w:rPr>
          <w:b w:val="0"/>
          <w:bCs/>
          <w:i w:val="0"/>
          <w:iCs/>
          <w:sz w:val="26"/>
          <w:szCs w:val="28"/>
          <w:lang w:val="en-GB"/>
        </w:rPr>
        <w:t>on and catering services with</w:t>
      </w:r>
      <w:r w:rsidRPr="0005391C">
        <w:rPr>
          <w:b w:val="0"/>
          <w:bCs/>
          <w:i w:val="0"/>
          <w:iCs/>
          <w:sz w:val="26"/>
          <w:szCs w:val="28"/>
          <w:lang w:val="en-GB"/>
        </w:rPr>
        <w:t xml:space="preserve"> average </w:t>
      </w:r>
      <w:r w:rsidR="00783794" w:rsidRPr="0005391C">
        <w:rPr>
          <w:b w:val="0"/>
          <w:bCs/>
          <w:i w:val="0"/>
          <w:iCs/>
          <w:sz w:val="26"/>
          <w:szCs w:val="28"/>
          <w:lang w:val="en-GB"/>
        </w:rPr>
        <w:t>earnings</w:t>
      </w:r>
      <w:r w:rsidRPr="0005391C">
        <w:rPr>
          <w:b w:val="0"/>
          <w:bCs/>
          <w:i w:val="0"/>
          <w:iCs/>
          <w:sz w:val="26"/>
          <w:szCs w:val="28"/>
          <w:lang w:val="en-GB"/>
        </w:rPr>
        <w:t xml:space="preserve"> down 21.2%, </w:t>
      </w:r>
      <w:r w:rsidR="00783794" w:rsidRPr="0005391C">
        <w:rPr>
          <w:b w:val="0"/>
          <w:bCs/>
          <w:i w:val="0"/>
          <w:iCs/>
          <w:sz w:val="26"/>
          <w:szCs w:val="28"/>
          <w:lang w:val="en-GB"/>
        </w:rPr>
        <w:t>or</w:t>
      </w:r>
      <w:r w:rsidRPr="0005391C">
        <w:rPr>
          <w:b w:val="0"/>
          <w:bCs/>
          <w:i w:val="0"/>
          <w:iCs/>
          <w:sz w:val="26"/>
          <w:szCs w:val="28"/>
          <w:lang w:val="en-GB"/>
        </w:rPr>
        <w:t xml:space="preserve"> </w:t>
      </w:r>
      <w:r w:rsidR="00783794" w:rsidRPr="0005391C">
        <w:rPr>
          <w:b w:val="0"/>
          <w:bCs/>
          <w:i w:val="0"/>
          <w:iCs/>
          <w:sz w:val="26"/>
          <w:szCs w:val="28"/>
          <w:lang w:val="en-GB"/>
        </w:rPr>
        <w:t xml:space="preserve">by </w:t>
      </w:r>
      <w:r w:rsidRPr="0005391C">
        <w:rPr>
          <w:b w:val="0"/>
          <w:bCs/>
          <w:i w:val="0"/>
          <w:iCs/>
          <w:sz w:val="26"/>
          <w:szCs w:val="28"/>
          <w:lang w:val="en-GB"/>
        </w:rPr>
        <w:t xml:space="preserve">about 1.2 million dong </w:t>
      </w:r>
      <w:r w:rsidR="0085694E" w:rsidRPr="0005391C">
        <w:rPr>
          <w:b w:val="0"/>
          <w:bCs/>
          <w:i w:val="0"/>
          <w:iCs/>
          <w:sz w:val="26"/>
          <w:szCs w:val="28"/>
          <w:lang w:val="en-GB"/>
        </w:rPr>
        <w:t>relative to the</w:t>
      </w:r>
      <w:r w:rsidR="00783794" w:rsidRPr="0005391C">
        <w:rPr>
          <w:b w:val="0"/>
          <w:bCs/>
          <w:i w:val="0"/>
          <w:iCs/>
          <w:sz w:val="26"/>
          <w:szCs w:val="28"/>
          <w:lang w:val="en-GB"/>
        </w:rPr>
        <w:t xml:space="preserve"> previous quarter; t</w:t>
      </w:r>
      <w:r w:rsidRPr="0005391C">
        <w:rPr>
          <w:b w:val="0"/>
          <w:bCs/>
          <w:i w:val="0"/>
          <w:iCs/>
          <w:sz w:val="26"/>
          <w:szCs w:val="28"/>
          <w:lang w:val="en-GB"/>
        </w:rPr>
        <w:t xml:space="preserve">he transportation and warehousing industry with average </w:t>
      </w:r>
      <w:r w:rsidR="00783794" w:rsidRPr="0005391C">
        <w:rPr>
          <w:b w:val="0"/>
          <w:bCs/>
          <w:i w:val="0"/>
          <w:iCs/>
          <w:sz w:val="26"/>
          <w:szCs w:val="28"/>
          <w:lang w:val="en-GB"/>
        </w:rPr>
        <w:t>earnings</w:t>
      </w:r>
      <w:r w:rsidRPr="0005391C">
        <w:rPr>
          <w:b w:val="0"/>
          <w:bCs/>
          <w:i w:val="0"/>
          <w:iCs/>
          <w:sz w:val="26"/>
          <w:szCs w:val="28"/>
          <w:lang w:val="en-GB"/>
        </w:rPr>
        <w:t xml:space="preserve"> </w:t>
      </w:r>
      <w:r w:rsidR="00783794" w:rsidRPr="0005391C">
        <w:rPr>
          <w:b w:val="0"/>
          <w:bCs/>
          <w:i w:val="0"/>
          <w:iCs/>
          <w:sz w:val="26"/>
          <w:szCs w:val="28"/>
          <w:lang w:val="en-GB"/>
        </w:rPr>
        <w:t>down</w:t>
      </w:r>
      <w:r w:rsidRPr="0005391C">
        <w:rPr>
          <w:b w:val="0"/>
          <w:bCs/>
          <w:i w:val="0"/>
          <w:iCs/>
          <w:sz w:val="26"/>
          <w:szCs w:val="28"/>
          <w:lang w:val="en-GB"/>
        </w:rPr>
        <w:t xml:space="preserve"> 20.3%, equivalent to a decrease of about VND 1.6 million </w:t>
      </w:r>
      <w:r w:rsidR="0085694E" w:rsidRPr="0005391C">
        <w:rPr>
          <w:b w:val="0"/>
          <w:bCs/>
          <w:i w:val="0"/>
          <w:iCs/>
          <w:sz w:val="26"/>
          <w:szCs w:val="28"/>
          <w:lang w:val="en-GB"/>
        </w:rPr>
        <w:t>relative to the</w:t>
      </w:r>
      <w:r w:rsidRPr="0005391C">
        <w:rPr>
          <w:b w:val="0"/>
          <w:bCs/>
          <w:i w:val="0"/>
          <w:iCs/>
          <w:sz w:val="26"/>
          <w:szCs w:val="28"/>
          <w:lang w:val="en-GB"/>
        </w:rPr>
        <w:t xml:space="preserve"> previous quarter.</w:t>
      </w:r>
    </w:p>
    <w:p w14:paraId="7E796624" w14:textId="44F7BE10" w:rsidR="00047253" w:rsidRPr="0005391C" w:rsidRDefault="00767B12" w:rsidP="00AE75EB">
      <w:pPr>
        <w:spacing w:after="120"/>
        <w:ind w:firstLine="709"/>
        <w:jc w:val="both"/>
        <w:rPr>
          <w:rFonts w:asciiTheme="majorHAnsi" w:eastAsia="Calibri" w:hAnsiTheme="majorHAnsi" w:cstheme="majorHAnsi"/>
          <w:i w:val="0"/>
          <w:iCs/>
          <w:spacing w:val="-2"/>
          <w:sz w:val="26"/>
          <w:szCs w:val="22"/>
          <w:lang w:val="en-GB"/>
        </w:rPr>
      </w:pPr>
      <w:r w:rsidRPr="0005391C">
        <w:rPr>
          <w:rFonts w:asciiTheme="majorHAnsi" w:eastAsia="Calibri" w:hAnsiTheme="majorHAnsi" w:cstheme="majorHAnsi"/>
          <w:i w:val="0"/>
          <w:iCs/>
          <w:spacing w:val="-2"/>
          <w:sz w:val="26"/>
          <w:szCs w:val="22"/>
          <w:lang w:val="en-GB"/>
        </w:rPr>
        <w:t>The unusual development of the Covid-19 pandemic has pushed the unemployment rate to spike, far exceeding the usually observed 2% figure</w:t>
      </w:r>
      <w:r w:rsidR="000A666E" w:rsidRPr="0005391C">
        <w:rPr>
          <w:rFonts w:asciiTheme="majorHAnsi" w:eastAsia="Calibri" w:hAnsiTheme="majorHAnsi" w:cstheme="majorHAnsi"/>
          <w:i w:val="0"/>
          <w:iCs/>
          <w:spacing w:val="-2"/>
          <w:sz w:val="26"/>
          <w:szCs w:val="22"/>
          <w:lang w:val="en-GB"/>
        </w:rPr>
        <w:t>.</w:t>
      </w:r>
    </w:p>
    <w:p w14:paraId="31A08C34" w14:textId="6C2892CD" w:rsidR="000A666E" w:rsidRPr="0005391C" w:rsidRDefault="000A666E" w:rsidP="00CB2AFD">
      <w:pPr>
        <w:spacing w:before="120" w:after="120" w:line="288" w:lineRule="auto"/>
        <w:ind w:firstLine="709"/>
        <w:jc w:val="both"/>
        <w:rPr>
          <w:b w:val="0"/>
          <w:i w:val="0"/>
          <w:sz w:val="26"/>
          <w:szCs w:val="28"/>
          <w:lang w:val="en-GB"/>
        </w:rPr>
      </w:pPr>
      <w:r w:rsidRPr="0005391C">
        <w:rPr>
          <w:b w:val="0"/>
          <w:i w:val="0"/>
          <w:sz w:val="26"/>
          <w:szCs w:val="28"/>
          <w:lang w:val="en-GB"/>
        </w:rPr>
        <w:t xml:space="preserve">On a national scale, the number of </w:t>
      </w:r>
      <w:r w:rsidR="006F52C9">
        <w:rPr>
          <w:b w:val="0"/>
          <w:i w:val="0"/>
          <w:sz w:val="26"/>
          <w:szCs w:val="28"/>
          <w:lang w:val="en-GB"/>
        </w:rPr>
        <w:t xml:space="preserve">statutory </w:t>
      </w:r>
      <w:r w:rsidRPr="0005391C">
        <w:rPr>
          <w:b w:val="0"/>
          <w:i w:val="0"/>
          <w:sz w:val="26"/>
          <w:szCs w:val="28"/>
          <w:lang w:val="en-GB"/>
        </w:rPr>
        <w:t xml:space="preserve">working-age unemployed people in the third quarter of 2021 was more than 1.7 million people, an increase of 532.2 thousand people </w:t>
      </w:r>
      <w:r w:rsidR="0085694E" w:rsidRPr="0005391C">
        <w:rPr>
          <w:b w:val="0"/>
          <w:i w:val="0"/>
          <w:sz w:val="26"/>
          <w:szCs w:val="28"/>
          <w:lang w:val="en-GB"/>
        </w:rPr>
        <w:t>relative to the</w:t>
      </w:r>
      <w:r w:rsidRPr="0005391C">
        <w:rPr>
          <w:b w:val="0"/>
          <w:i w:val="0"/>
          <w:sz w:val="26"/>
          <w:szCs w:val="28"/>
          <w:lang w:val="en-GB"/>
        </w:rPr>
        <w:t xml:space="preserve"> previous quarter and an increase of 449.6 thousand people </w:t>
      </w:r>
      <w:r w:rsidR="0085694E" w:rsidRPr="0005391C">
        <w:rPr>
          <w:b w:val="0"/>
          <w:i w:val="0"/>
          <w:sz w:val="26"/>
          <w:szCs w:val="28"/>
          <w:lang w:val="en-GB"/>
        </w:rPr>
        <w:t>relative to the</w:t>
      </w:r>
      <w:r w:rsidRPr="0005391C">
        <w:rPr>
          <w:b w:val="0"/>
          <w:i w:val="0"/>
          <w:sz w:val="26"/>
          <w:szCs w:val="28"/>
          <w:lang w:val="en-GB"/>
        </w:rPr>
        <w:t xml:space="preserve"> same period last year. . The </w:t>
      </w:r>
      <w:r w:rsidR="006F52C9">
        <w:rPr>
          <w:b w:val="0"/>
          <w:i w:val="0"/>
          <w:sz w:val="26"/>
          <w:szCs w:val="28"/>
          <w:lang w:val="en-GB"/>
        </w:rPr>
        <w:t xml:space="preserve">statutory </w:t>
      </w:r>
      <w:r w:rsidRPr="0005391C">
        <w:rPr>
          <w:b w:val="0"/>
          <w:i w:val="0"/>
          <w:sz w:val="26"/>
          <w:szCs w:val="28"/>
          <w:lang w:val="en-GB"/>
        </w:rPr>
        <w:t xml:space="preserve">working-age unemployment rate in the third quarter of 2021 was 3.98%, an increase of 1.36 percentage points </w:t>
      </w:r>
      <w:r w:rsidR="0085694E" w:rsidRPr="0005391C">
        <w:rPr>
          <w:b w:val="0"/>
          <w:i w:val="0"/>
          <w:sz w:val="26"/>
          <w:szCs w:val="28"/>
          <w:lang w:val="en-GB"/>
        </w:rPr>
        <w:t>relative to the</w:t>
      </w:r>
      <w:r w:rsidRPr="0005391C">
        <w:rPr>
          <w:b w:val="0"/>
          <w:i w:val="0"/>
          <w:sz w:val="26"/>
          <w:szCs w:val="28"/>
          <w:lang w:val="en-GB"/>
        </w:rPr>
        <w:t xml:space="preserve"> previous quarter and an increase of 1.25 percentage points over the same period last year. The urban </w:t>
      </w:r>
      <w:r w:rsidR="006F52C9">
        <w:rPr>
          <w:b w:val="0"/>
          <w:i w:val="0"/>
          <w:sz w:val="26"/>
          <w:szCs w:val="28"/>
          <w:lang w:val="en-GB"/>
        </w:rPr>
        <w:t xml:space="preserve">statutory </w:t>
      </w:r>
      <w:r w:rsidRPr="0005391C">
        <w:rPr>
          <w:b w:val="0"/>
          <w:i w:val="0"/>
          <w:sz w:val="26"/>
          <w:szCs w:val="28"/>
          <w:lang w:val="en-GB"/>
        </w:rPr>
        <w:t xml:space="preserve">working-age unemployment rate was 5.54%, an increase of 2.18 percentage points </w:t>
      </w:r>
      <w:r w:rsidR="0085694E" w:rsidRPr="0005391C">
        <w:rPr>
          <w:b w:val="0"/>
          <w:i w:val="0"/>
          <w:sz w:val="26"/>
          <w:szCs w:val="28"/>
          <w:lang w:val="en-GB"/>
        </w:rPr>
        <w:t>relative to the</w:t>
      </w:r>
      <w:r w:rsidRPr="0005391C">
        <w:rPr>
          <w:b w:val="0"/>
          <w:i w:val="0"/>
          <w:sz w:val="26"/>
          <w:szCs w:val="28"/>
          <w:lang w:val="en-GB"/>
        </w:rPr>
        <w:t xml:space="preserve"> previous quarter and an increase of 1.60 percentage points over the same period last year.</w:t>
      </w:r>
    </w:p>
    <w:p w14:paraId="7A4C3155" w14:textId="6434EB36" w:rsidR="000A666E" w:rsidRPr="0005391C" w:rsidRDefault="00767B12" w:rsidP="00CB2AFD">
      <w:pPr>
        <w:spacing w:before="120" w:after="120" w:line="288" w:lineRule="auto"/>
        <w:ind w:firstLine="709"/>
        <w:jc w:val="both"/>
        <w:rPr>
          <w:rFonts w:eastAsia="Calibri"/>
          <w:b w:val="0"/>
          <w:i w:val="0"/>
          <w:iCs/>
          <w:sz w:val="26"/>
          <w:szCs w:val="28"/>
          <w:lang w:val="en-GB"/>
        </w:rPr>
      </w:pPr>
      <w:r w:rsidRPr="0005391C">
        <w:rPr>
          <w:rFonts w:eastAsia="Calibri"/>
          <w:b w:val="0"/>
          <w:i w:val="0"/>
          <w:iCs/>
          <w:sz w:val="26"/>
          <w:szCs w:val="28"/>
          <w:lang w:val="en-GB"/>
        </w:rPr>
        <w:t xml:space="preserve">The </w:t>
      </w:r>
      <w:r w:rsidR="006F52C9">
        <w:rPr>
          <w:rFonts w:eastAsia="Calibri"/>
          <w:b w:val="0"/>
          <w:i w:val="0"/>
          <w:iCs/>
          <w:sz w:val="26"/>
          <w:szCs w:val="28"/>
          <w:lang w:val="en-GB"/>
        </w:rPr>
        <w:t xml:space="preserve">statutory </w:t>
      </w:r>
      <w:r w:rsidRPr="0005391C">
        <w:rPr>
          <w:rFonts w:eastAsia="Calibri"/>
          <w:b w:val="0"/>
          <w:i w:val="0"/>
          <w:iCs/>
          <w:sz w:val="26"/>
          <w:szCs w:val="28"/>
          <w:lang w:val="en-GB"/>
        </w:rPr>
        <w:t xml:space="preserve">working-age unemployment rate of 3.98% is the highest increase witnessed in the past 10 years, making it even more difficult for workers to find a job. </w:t>
      </w:r>
      <w:r w:rsidR="000A666E" w:rsidRPr="0005391C">
        <w:rPr>
          <w:rFonts w:eastAsia="Calibri"/>
          <w:b w:val="0"/>
          <w:i w:val="0"/>
          <w:iCs/>
          <w:sz w:val="26"/>
          <w:szCs w:val="28"/>
          <w:lang w:val="en-GB"/>
        </w:rPr>
        <w:t>Prior to the pandemic, although there were periods when the economy faced many difficulties, the unemployment rate still increased only to 2.82% (in the first quarter of 2011). In 2020 and the first 6 months of 2021, despite bein</w:t>
      </w:r>
      <w:r w:rsidR="007A7FD7" w:rsidRPr="0005391C">
        <w:rPr>
          <w:rFonts w:eastAsia="Calibri"/>
          <w:b w:val="0"/>
          <w:i w:val="0"/>
          <w:iCs/>
          <w:sz w:val="26"/>
          <w:szCs w:val="28"/>
          <w:lang w:val="en-GB"/>
        </w:rPr>
        <w:t>g heavily impacted by the Covid-</w:t>
      </w:r>
      <w:r w:rsidR="000A666E" w:rsidRPr="0005391C">
        <w:rPr>
          <w:rFonts w:eastAsia="Calibri"/>
          <w:b w:val="0"/>
          <w:i w:val="0"/>
          <w:iCs/>
          <w:sz w:val="26"/>
          <w:szCs w:val="28"/>
          <w:lang w:val="en-GB"/>
        </w:rPr>
        <w:t>19 pandemic, the national unemployment rate still fluctuated around 2%, with the highest level recorded in the seco</w:t>
      </w:r>
      <w:r w:rsidRPr="0005391C">
        <w:rPr>
          <w:rFonts w:eastAsia="Calibri"/>
          <w:b w:val="0"/>
          <w:i w:val="0"/>
          <w:iCs/>
          <w:sz w:val="26"/>
          <w:szCs w:val="28"/>
          <w:lang w:val="en-GB"/>
        </w:rPr>
        <w:t>nd quarter of 2020 being 2.85%.</w:t>
      </w:r>
    </w:p>
    <w:p w14:paraId="5A8EEC4F" w14:textId="0A4D1B1D" w:rsidR="0034045F" w:rsidRPr="0005391C" w:rsidRDefault="00B00857" w:rsidP="00AE75EB">
      <w:pPr>
        <w:spacing w:before="120"/>
        <w:jc w:val="center"/>
        <w:rPr>
          <w:bCs/>
          <w:i w:val="0"/>
          <w:iCs/>
          <w:sz w:val="26"/>
          <w:szCs w:val="28"/>
          <w:lang w:val="en-GB"/>
        </w:rPr>
      </w:pPr>
      <w:r w:rsidRPr="0005391C">
        <w:rPr>
          <w:bCs/>
          <w:i w:val="0"/>
          <w:iCs/>
          <w:sz w:val="26"/>
          <w:szCs w:val="28"/>
          <w:lang w:val="en-GB"/>
        </w:rPr>
        <w:t>Figure</w:t>
      </w:r>
      <w:r w:rsidR="00EC1FD9" w:rsidRPr="0005391C">
        <w:rPr>
          <w:bCs/>
          <w:i w:val="0"/>
          <w:iCs/>
          <w:sz w:val="26"/>
          <w:szCs w:val="28"/>
          <w:lang w:val="en-GB"/>
        </w:rPr>
        <w:t xml:space="preserve"> 11</w:t>
      </w:r>
      <w:r w:rsidR="002809B1" w:rsidRPr="0005391C">
        <w:rPr>
          <w:bCs/>
          <w:i w:val="0"/>
          <w:iCs/>
          <w:sz w:val="26"/>
          <w:szCs w:val="28"/>
          <w:lang w:val="en-GB"/>
        </w:rPr>
        <w:t xml:space="preserve">: </w:t>
      </w:r>
      <w:r w:rsidR="001F0F2C" w:rsidRPr="0005391C">
        <w:rPr>
          <w:bCs/>
          <w:i w:val="0"/>
          <w:iCs/>
          <w:sz w:val="26"/>
          <w:szCs w:val="28"/>
          <w:lang w:val="en-GB"/>
        </w:rPr>
        <w:t xml:space="preserve">The number and rate of </w:t>
      </w:r>
      <w:r w:rsidR="006F52C9">
        <w:rPr>
          <w:bCs/>
          <w:i w:val="0"/>
          <w:iCs/>
          <w:sz w:val="26"/>
          <w:szCs w:val="28"/>
          <w:lang w:val="en-GB"/>
        </w:rPr>
        <w:t xml:space="preserve">statutory </w:t>
      </w:r>
      <w:r w:rsidR="001F0F2C" w:rsidRPr="0005391C">
        <w:rPr>
          <w:bCs/>
          <w:i w:val="0"/>
          <w:iCs/>
          <w:sz w:val="26"/>
          <w:szCs w:val="28"/>
          <w:lang w:val="en-GB"/>
        </w:rPr>
        <w:t xml:space="preserve">working-age unemployed workers across quarters of </w:t>
      </w:r>
      <w:r w:rsidR="0034045F" w:rsidRPr="0005391C">
        <w:rPr>
          <w:bCs/>
          <w:i w:val="0"/>
          <w:iCs/>
          <w:sz w:val="26"/>
          <w:szCs w:val="28"/>
          <w:lang w:val="en-GB"/>
        </w:rPr>
        <w:t xml:space="preserve">2020 </w:t>
      </w:r>
      <w:r w:rsidR="001F0F2C" w:rsidRPr="0005391C">
        <w:rPr>
          <w:bCs/>
          <w:i w:val="0"/>
          <w:iCs/>
          <w:sz w:val="26"/>
          <w:szCs w:val="28"/>
          <w:lang w:val="en-GB"/>
        </w:rPr>
        <w:t>and</w:t>
      </w:r>
      <w:r w:rsidR="0034045F" w:rsidRPr="0005391C">
        <w:rPr>
          <w:bCs/>
          <w:i w:val="0"/>
          <w:iCs/>
          <w:sz w:val="26"/>
          <w:szCs w:val="28"/>
          <w:lang w:val="en-GB"/>
        </w:rPr>
        <w:t xml:space="preserve"> 2021</w:t>
      </w:r>
    </w:p>
    <w:p w14:paraId="508A11D9" w14:textId="4FA5EF37" w:rsidR="001E57B3" w:rsidRPr="0005391C" w:rsidRDefault="00A414E0" w:rsidP="00AE75EB">
      <w:pPr>
        <w:spacing w:after="120"/>
        <w:jc w:val="center"/>
        <w:rPr>
          <w:rFonts w:eastAsia="Calibri"/>
          <w:b w:val="0"/>
          <w:i w:val="0"/>
          <w:iCs/>
          <w:sz w:val="26"/>
          <w:szCs w:val="28"/>
          <w:lang w:val="en-GB"/>
        </w:rPr>
      </w:pPr>
      <w:r w:rsidRPr="0005391C">
        <w:rPr>
          <w:noProof/>
          <w:sz w:val="22"/>
        </w:rPr>
        <w:drawing>
          <wp:inline distT="0" distB="0" distL="0" distR="0" wp14:anchorId="2BD6E43A" wp14:editId="7D110034">
            <wp:extent cx="4777154" cy="2450123"/>
            <wp:effectExtent l="0" t="0" r="4445" b="762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21E65B9" w14:textId="72044A50" w:rsidR="00832FD7" w:rsidRPr="0005391C" w:rsidRDefault="00832FD7" w:rsidP="00CB2AFD">
      <w:pPr>
        <w:spacing w:before="120" w:after="120" w:line="288" w:lineRule="auto"/>
        <w:ind w:firstLine="709"/>
        <w:jc w:val="both"/>
        <w:rPr>
          <w:rFonts w:eastAsia="Calibri"/>
          <w:b w:val="0"/>
          <w:i w:val="0"/>
          <w:iCs/>
          <w:spacing w:val="-6"/>
          <w:sz w:val="26"/>
          <w:szCs w:val="28"/>
          <w:lang w:val="en-GB"/>
        </w:rPr>
      </w:pPr>
      <w:r w:rsidRPr="0005391C">
        <w:rPr>
          <w:rFonts w:eastAsia="Calibri"/>
          <w:b w:val="0"/>
          <w:i w:val="0"/>
          <w:iCs/>
          <w:spacing w:val="-6"/>
          <w:sz w:val="26"/>
          <w:szCs w:val="28"/>
          <w:lang w:val="en-GB"/>
        </w:rPr>
        <w:t xml:space="preserve">Southeast and the Mekong River Delta are the two regions </w:t>
      </w:r>
      <w:r w:rsidR="0050784A" w:rsidRPr="0005391C">
        <w:rPr>
          <w:rFonts w:eastAsia="Calibri"/>
          <w:b w:val="0"/>
          <w:i w:val="0"/>
          <w:iCs/>
          <w:spacing w:val="-6"/>
          <w:sz w:val="26"/>
          <w:szCs w:val="28"/>
          <w:lang w:val="en-GB"/>
        </w:rPr>
        <w:t xml:space="preserve">that record </w:t>
      </w:r>
      <w:r w:rsidRPr="0005391C">
        <w:rPr>
          <w:rFonts w:eastAsia="Calibri"/>
          <w:b w:val="0"/>
          <w:i w:val="0"/>
          <w:iCs/>
          <w:spacing w:val="-6"/>
          <w:sz w:val="26"/>
          <w:szCs w:val="28"/>
          <w:lang w:val="en-GB"/>
        </w:rPr>
        <w:t xml:space="preserve">the highest unemployment rate in this quarter, much higher than the national average. </w:t>
      </w:r>
      <w:r w:rsidR="009A00DD" w:rsidRPr="0005391C">
        <w:rPr>
          <w:rFonts w:eastAsia="Calibri"/>
          <w:b w:val="0"/>
          <w:i w:val="0"/>
          <w:iCs/>
          <w:spacing w:val="-6"/>
          <w:sz w:val="26"/>
          <w:szCs w:val="28"/>
          <w:lang w:val="en-GB"/>
        </w:rPr>
        <w:t>Over</w:t>
      </w:r>
      <w:r w:rsidRPr="0005391C">
        <w:rPr>
          <w:rFonts w:eastAsia="Calibri"/>
          <w:b w:val="0"/>
          <w:i w:val="0"/>
          <w:iCs/>
          <w:spacing w:val="-6"/>
          <w:sz w:val="26"/>
          <w:szCs w:val="28"/>
          <w:lang w:val="en-GB"/>
        </w:rPr>
        <w:t xml:space="preserve"> 6% of </w:t>
      </w:r>
      <w:r w:rsidR="009A00DD" w:rsidRPr="0005391C">
        <w:rPr>
          <w:rFonts w:eastAsia="Calibri"/>
          <w:b w:val="0"/>
          <w:i w:val="0"/>
          <w:iCs/>
          <w:spacing w:val="-6"/>
          <w:sz w:val="26"/>
          <w:szCs w:val="28"/>
          <w:lang w:val="en-GB"/>
        </w:rPr>
        <w:t xml:space="preserve">working-age </w:t>
      </w:r>
      <w:r w:rsidRPr="0005391C">
        <w:rPr>
          <w:rFonts w:eastAsia="Calibri"/>
          <w:b w:val="0"/>
          <w:i w:val="0"/>
          <w:iCs/>
          <w:spacing w:val="-6"/>
          <w:sz w:val="26"/>
          <w:szCs w:val="28"/>
          <w:lang w:val="en-GB"/>
        </w:rPr>
        <w:t xml:space="preserve">workers in these two regions </w:t>
      </w:r>
      <w:r w:rsidR="009A00DD" w:rsidRPr="0005391C">
        <w:rPr>
          <w:rFonts w:eastAsia="Calibri"/>
          <w:b w:val="0"/>
          <w:i w:val="0"/>
          <w:iCs/>
          <w:spacing w:val="-6"/>
          <w:sz w:val="26"/>
          <w:szCs w:val="28"/>
          <w:lang w:val="en-GB"/>
        </w:rPr>
        <w:t xml:space="preserve">have been </w:t>
      </w:r>
      <w:r w:rsidRPr="0005391C">
        <w:rPr>
          <w:rFonts w:eastAsia="Calibri"/>
          <w:b w:val="0"/>
          <w:i w:val="0"/>
          <w:iCs/>
          <w:spacing w:val="-6"/>
          <w:sz w:val="26"/>
          <w:szCs w:val="28"/>
          <w:lang w:val="en-GB"/>
        </w:rPr>
        <w:t xml:space="preserve">actively looking for </w:t>
      </w:r>
      <w:r w:rsidR="009A00DD" w:rsidRPr="0005391C">
        <w:rPr>
          <w:rFonts w:eastAsia="Calibri"/>
          <w:b w:val="0"/>
          <w:i w:val="0"/>
          <w:iCs/>
          <w:spacing w:val="-6"/>
          <w:sz w:val="26"/>
          <w:szCs w:val="28"/>
          <w:lang w:val="en-GB"/>
        </w:rPr>
        <w:t>jobs</w:t>
      </w:r>
      <w:r w:rsidRPr="0005391C">
        <w:rPr>
          <w:rFonts w:eastAsia="Calibri"/>
          <w:b w:val="0"/>
          <w:i w:val="0"/>
          <w:iCs/>
          <w:spacing w:val="-6"/>
          <w:sz w:val="26"/>
          <w:szCs w:val="28"/>
          <w:lang w:val="en-GB"/>
        </w:rPr>
        <w:t xml:space="preserve"> but still cannot find </w:t>
      </w:r>
      <w:r w:rsidR="009A00DD" w:rsidRPr="0005391C">
        <w:rPr>
          <w:rFonts w:eastAsia="Calibri"/>
          <w:b w:val="0"/>
          <w:i w:val="0"/>
          <w:iCs/>
          <w:spacing w:val="-6"/>
          <w:sz w:val="26"/>
          <w:szCs w:val="28"/>
          <w:lang w:val="en-GB"/>
        </w:rPr>
        <w:t>one</w:t>
      </w:r>
      <w:r w:rsidRPr="0005391C">
        <w:rPr>
          <w:rFonts w:eastAsia="Calibri"/>
          <w:b w:val="0"/>
          <w:i w:val="0"/>
          <w:iCs/>
          <w:spacing w:val="-6"/>
          <w:sz w:val="26"/>
          <w:szCs w:val="28"/>
          <w:lang w:val="en-GB"/>
        </w:rPr>
        <w:t xml:space="preserve">. Before the outbreak of the Covid-19 pandemic (third quarter of 2019), this rate </w:t>
      </w:r>
      <w:r w:rsidR="008335F1" w:rsidRPr="0005391C">
        <w:rPr>
          <w:rFonts w:eastAsia="Calibri"/>
          <w:b w:val="0"/>
          <w:i w:val="0"/>
          <w:iCs/>
          <w:spacing w:val="-6"/>
          <w:sz w:val="26"/>
          <w:szCs w:val="28"/>
          <w:lang w:val="en-GB"/>
        </w:rPr>
        <w:t>had been</w:t>
      </w:r>
      <w:r w:rsidRPr="0005391C">
        <w:rPr>
          <w:rFonts w:eastAsia="Calibri"/>
          <w:b w:val="0"/>
          <w:i w:val="0"/>
          <w:iCs/>
          <w:spacing w:val="-6"/>
          <w:sz w:val="26"/>
          <w:szCs w:val="28"/>
          <w:lang w:val="en-GB"/>
        </w:rPr>
        <w:t xml:space="preserve"> onl</w:t>
      </w:r>
      <w:r w:rsidR="008335F1" w:rsidRPr="0005391C">
        <w:rPr>
          <w:rFonts w:eastAsia="Calibri"/>
          <w:b w:val="0"/>
          <w:i w:val="0"/>
          <w:iCs/>
          <w:spacing w:val="-6"/>
          <w:sz w:val="26"/>
          <w:szCs w:val="28"/>
          <w:lang w:val="en-GB"/>
        </w:rPr>
        <w:t>y 2.33% in the Southeast region and</w:t>
      </w:r>
      <w:r w:rsidRPr="0005391C">
        <w:rPr>
          <w:rFonts w:eastAsia="Calibri"/>
          <w:b w:val="0"/>
          <w:i w:val="0"/>
          <w:iCs/>
          <w:spacing w:val="-6"/>
          <w:sz w:val="26"/>
          <w:szCs w:val="28"/>
          <w:lang w:val="en-GB"/>
        </w:rPr>
        <w:t xml:space="preserve"> 2.28% in the Mekong River Delta. In the third quarter of 2021, this rate </w:t>
      </w:r>
      <w:r w:rsidR="008335F1" w:rsidRPr="0005391C">
        <w:rPr>
          <w:rFonts w:eastAsia="Calibri"/>
          <w:b w:val="0"/>
          <w:i w:val="0"/>
          <w:iCs/>
          <w:spacing w:val="-6"/>
          <w:sz w:val="26"/>
          <w:szCs w:val="28"/>
          <w:lang w:val="en-GB"/>
        </w:rPr>
        <w:t>was</w:t>
      </w:r>
      <w:r w:rsidRPr="0005391C">
        <w:rPr>
          <w:rFonts w:eastAsia="Calibri"/>
          <w:b w:val="0"/>
          <w:i w:val="0"/>
          <w:iCs/>
          <w:spacing w:val="-6"/>
          <w:sz w:val="26"/>
          <w:szCs w:val="28"/>
          <w:lang w:val="en-GB"/>
        </w:rPr>
        <w:t xml:space="preserve"> especially high in Ho Chi Minh City with 9</w:t>
      </w:r>
      <w:r w:rsidR="00B34B99" w:rsidRPr="0005391C">
        <w:rPr>
          <w:rFonts w:eastAsia="Calibri"/>
          <w:b w:val="0"/>
          <w:i w:val="0"/>
          <w:iCs/>
          <w:spacing w:val="-6"/>
          <w:sz w:val="26"/>
          <w:szCs w:val="28"/>
          <w:lang w:val="en-GB"/>
        </w:rPr>
        <w:t>.93%, 4 times higher than in Ha N</w:t>
      </w:r>
      <w:r w:rsidRPr="0005391C">
        <w:rPr>
          <w:rFonts w:eastAsia="Calibri"/>
          <w:b w:val="0"/>
          <w:i w:val="0"/>
          <w:iCs/>
          <w:spacing w:val="-6"/>
          <w:sz w:val="26"/>
          <w:szCs w:val="28"/>
          <w:lang w:val="en-GB"/>
        </w:rPr>
        <w:t>oi (2.49%).</w:t>
      </w:r>
    </w:p>
    <w:p w14:paraId="3BF26949" w14:textId="65A56E4C" w:rsidR="005179AB" w:rsidRPr="0005391C" w:rsidRDefault="005179AB" w:rsidP="00CB2AFD">
      <w:pPr>
        <w:spacing w:before="120" w:after="120" w:line="288" w:lineRule="auto"/>
        <w:ind w:firstLine="709"/>
        <w:jc w:val="both"/>
        <w:rPr>
          <w:rFonts w:eastAsia="Calibri"/>
          <w:b w:val="0"/>
          <w:i w:val="0"/>
          <w:iCs/>
          <w:sz w:val="26"/>
          <w:szCs w:val="28"/>
          <w:lang w:val="en-GB"/>
        </w:rPr>
      </w:pPr>
      <w:r w:rsidRPr="0005391C">
        <w:rPr>
          <w:rFonts w:eastAsia="Calibri"/>
          <w:b w:val="0"/>
          <w:i w:val="0"/>
          <w:iCs/>
          <w:sz w:val="26"/>
          <w:szCs w:val="28"/>
          <w:lang w:val="en-GB"/>
        </w:rPr>
        <w:t xml:space="preserve">Compared to the same period last year, the </w:t>
      </w:r>
      <w:r w:rsidR="006F52C9">
        <w:rPr>
          <w:rFonts w:eastAsia="Calibri"/>
          <w:b w:val="0"/>
          <w:i w:val="0"/>
          <w:iCs/>
          <w:sz w:val="26"/>
          <w:szCs w:val="28"/>
          <w:lang w:val="en-GB"/>
        </w:rPr>
        <w:t xml:space="preserve">statutory </w:t>
      </w:r>
      <w:r w:rsidRPr="0005391C">
        <w:rPr>
          <w:rFonts w:eastAsia="Calibri"/>
          <w:b w:val="0"/>
          <w:i w:val="0"/>
          <w:iCs/>
          <w:sz w:val="26"/>
          <w:szCs w:val="28"/>
          <w:lang w:val="en-GB"/>
        </w:rPr>
        <w:t xml:space="preserve">working-age unemployment rate among workers without professional and technical qualifications and those with elementary qualifications in the third quarter of 2021 both increased, by 2.39 and 0.72 percentage points, respectively. Meanwhile, the </w:t>
      </w:r>
      <w:r w:rsidR="006F52C9">
        <w:rPr>
          <w:rFonts w:eastAsia="Calibri"/>
          <w:b w:val="0"/>
          <w:i w:val="0"/>
          <w:iCs/>
          <w:sz w:val="26"/>
          <w:szCs w:val="28"/>
          <w:lang w:val="en-GB"/>
        </w:rPr>
        <w:t xml:space="preserve">statutory working age </w:t>
      </w:r>
      <w:r w:rsidRPr="0005391C">
        <w:rPr>
          <w:rFonts w:eastAsia="Calibri"/>
          <w:b w:val="0"/>
          <w:i w:val="0"/>
          <w:iCs/>
          <w:sz w:val="26"/>
          <w:szCs w:val="28"/>
          <w:lang w:val="en-GB"/>
        </w:rPr>
        <w:t>unemployment rate among workers with intermediate or higher qualifications decreased relative to the same period last year (the unemployment rate decreased by 2.53 percentage points</w:t>
      </w:r>
      <w:r w:rsidR="00712E5A" w:rsidRPr="0005391C">
        <w:rPr>
          <w:rFonts w:eastAsia="Calibri"/>
          <w:b w:val="0"/>
          <w:i w:val="0"/>
          <w:iCs/>
          <w:sz w:val="26"/>
          <w:szCs w:val="28"/>
          <w:lang w:val="en-GB"/>
        </w:rPr>
        <w:t xml:space="preserve"> among those with intermediate qualifications</w:t>
      </w:r>
      <w:r w:rsidR="00925F34" w:rsidRPr="0005391C">
        <w:rPr>
          <w:rFonts w:eastAsia="Calibri"/>
          <w:b w:val="0"/>
          <w:i w:val="0"/>
          <w:iCs/>
          <w:sz w:val="26"/>
          <w:szCs w:val="28"/>
          <w:lang w:val="en-GB"/>
        </w:rPr>
        <w:t>,</w:t>
      </w:r>
      <w:r w:rsidRPr="0005391C">
        <w:rPr>
          <w:rFonts w:eastAsia="Calibri"/>
          <w:b w:val="0"/>
          <w:i w:val="0"/>
          <w:iCs/>
          <w:sz w:val="26"/>
          <w:szCs w:val="28"/>
          <w:lang w:val="en-GB"/>
        </w:rPr>
        <w:t xml:space="preserve"> decreased by 3.66 percentage points</w:t>
      </w:r>
      <w:r w:rsidR="00712E5A" w:rsidRPr="0005391C">
        <w:rPr>
          <w:rFonts w:eastAsia="Calibri"/>
          <w:b w:val="0"/>
          <w:i w:val="0"/>
          <w:iCs/>
          <w:sz w:val="26"/>
          <w:szCs w:val="28"/>
          <w:lang w:val="en-GB"/>
        </w:rPr>
        <w:t xml:space="preserve"> among those with college qualifications</w:t>
      </w:r>
      <w:r w:rsidR="00925F34" w:rsidRPr="0005391C">
        <w:rPr>
          <w:rFonts w:eastAsia="Calibri"/>
          <w:b w:val="0"/>
          <w:i w:val="0"/>
          <w:iCs/>
          <w:sz w:val="26"/>
          <w:szCs w:val="28"/>
          <w:lang w:val="en-GB"/>
        </w:rPr>
        <w:t xml:space="preserve">, and </w:t>
      </w:r>
      <w:r w:rsidR="005D4523" w:rsidRPr="0005391C">
        <w:rPr>
          <w:rFonts w:eastAsia="Calibri"/>
          <w:b w:val="0"/>
          <w:i w:val="0"/>
          <w:iCs/>
          <w:sz w:val="26"/>
          <w:szCs w:val="28"/>
          <w:lang w:val="en-GB"/>
        </w:rPr>
        <w:t>decreased</w:t>
      </w:r>
      <w:r w:rsidR="00925F34" w:rsidRPr="0005391C">
        <w:rPr>
          <w:rFonts w:eastAsia="Calibri"/>
          <w:b w:val="0"/>
          <w:i w:val="0"/>
          <w:iCs/>
          <w:sz w:val="26"/>
          <w:szCs w:val="28"/>
          <w:lang w:val="en-GB"/>
        </w:rPr>
        <w:t xml:space="preserve"> by</w:t>
      </w:r>
      <w:r w:rsidRPr="0005391C">
        <w:rPr>
          <w:rFonts w:eastAsia="Calibri"/>
          <w:b w:val="0"/>
          <w:i w:val="0"/>
          <w:iCs/>
          <w:sz w:val="26"/>
          <w:szCs w:val="28"/>
          <w:lang w:val="en-GB"/>
        </w:rPr>
        <w:t xml:space="preserve"> 1.79 percentage points</w:t>
      </w:r>
      <w:r w:rsidR="00925F34" w:rsidRPr="0005391C">
        <w:rPr>
          <w:rFonts w:eastAsia="Calibri"/>
          <w:b w:val="0"/>
          <w:i w:val="0"/>
          <w:iCs/>
          <w:sz w:val="26"/>
          <w:szCs w:val="28"/>
          <w:lang w:val="en-GB"/>
        </w:rPr>
        <w:t xml:space="preserve"> among those with university or higher qualifications</w:t>
      </w:r>
      <w:r w:rsidRPr="0005391C">
        <w:rPr>
          <w:rFonts w:eastAsia="Calibri"/>
          <w:b w:val="0"/>
          <w:i w:val="0"/>
          <w:iCs/>
          <w:sz w:val="26"/>
          <w:szCs w:val="28"/>
          <w:lang w:val="en-GB"/>
        </w:rPr>
        <w:t xml:space="preserve">). This situation shows that unskilled or low-skilled workers face more difficulties in job opportunities than </w:t>
      </w:r>
      <w:r w:rsidR="00925F34" w:rsidRPr="0005391C">
        <w:rPr>
          <w:rFonts w:eastAsia="Calibri"/>
          <w:b w:val="0"/>
          <w:i w:val="0"/>
          <w:iCs/>
          <w:sz w:val="26"/>
          <w:szCs w:val="28"/>
          <w:lang w:val="en-GB"/>
        </w:rPr>
        <w:t>those</w:t>
      </w:r>
      <w:r w:rsidRPr="0005391C">
        <w:rPr>
          <w:rFonts w:eastAsia="Calibri"/>
          <w:b w:val="0"/>
          <w:i w:val="0"/>
          <w:iCs/>
          <w:sz w:val="26"/>
          <w:szCs w:val="28"/>
          <w:lang w:val="en-GB"/>
        </w:rPr>
        <w:t xml:space="preserve"> with higher technical and professional qualifications in the face of socio-economic shocks.</w:t>
      </w:r>
    </w:p>
    <w:p w14:paraId="2BA0D996" w14:textId="17B0D5F5" w:rsidR="00573E08" w:rsidRPr="006F52C9" w:rsidRDefault="00573E08" w:rsidP="00AE75EB">
      <w:pPr>
        <w:spacing w:after="120"/>
        <w:ind w:firstLine="709"/>
        <w:jc w:val="both"/>
        <w:rPr>
          <w:rFonts w:ascii="Times New Roman Bold" w:eastAsia="Calibri" w:hAnsi="Times New Roman Bold"/>
          <w:i w:val="0"/>
          <w:iCs/>
          <w:spacing w:val="-6"/>
          <w:sz w:val="26"/>
          <w:szCs w:val="28"/>
          <w:lang w:val="en-GB"/>
        </w:rPr>
      </w:pPr>
      <w:r w:rsidRPr="006F52C9">
        <w:rPr>
          <w:rFonts w:ascii="Times New Roman Bold" w:eastAsia="Calibri" w:hAnsi="Times New Roman Bold"/>
          <w:i w:val="0"/>
          <w:iCs/>
          <w:spacing w:val="-6"/>
          <w:sz w:val="26"/>
          <w:szCs w:val="28"/>
          <w:lang w:val="en-GB"/>
        </w:rPr>
        <w:t xml:space="preserve">Youth unemployment rate (15 to 24 years old) remained high. </w:t>
      </w:r>
      <w:r w:rsidRPr="006F52C9">
        <w:rPr>
          <w:rFonts w:eastAsia="Calibri"/>
          <w:i w:val="0"/>
          <w:spacing w:val="-6"/>
          <w:sz w:val="26"/>
          <w:lang w:val="en-GB"/>
        </w:rPr>
        <w:t>The rate of youth (15 to 24 years old) not in employment, education or training (NEET) continued to climb</w:t>
      </w:r>
      <w:r w:rsidR="006F52C9" w:rsidRPr="006F52C9">
        <w:rPr>
          <w:rFonts w:eastAsia="Calibri"/>
          <w:i w:val="0"/>
          <w:spacing w:val="-6"/>
          <w:sz w:val="26"/>
          <w:lang w:val="en-GB"/>
        </w:rPr>
        <w:t>.</w:t>
      </w:r>
      <w:r w:rsidRPr="006F52C9">
        <w:rPr>
          <w:rFonts w:ascii="Times New Roman Bold" w:eastAsia="Calibri" w:hAnsi="Times New Roman Bold"/>
          <w:i w:val="0"/>
          <w:iCs/>
          <w:spacing w:val="-6"/>
          <w:sz w:val="26"/>
          <w:szCs w:val="28"/>
          <w:lang w:val="en-GB"/>
        </w:rPr>
        <w:t xml:space="preserve"> </w:t>
      </w:r>
    </w:p>
    <w:p w14:paraId="01762C12" w14:textId="737225D4" w:rsidR="003B294B" w:rsidRPr="00CB2AFD" w:rsidRDefault="003B294B" w:rsidP="00CB2AFD">
      <w:pPr>
        <w:spacing w:before="120" w:after="120" w:line="288" w:lineRule="auto"/>
        <w:ind w:firstLine="709"/>
        <w:jc w:val="both"/>
        <w:rPr>
          <w:rFonts w:eastAsia="Calibri"/>
          <w:b w:val="0"/>
          <w:i w:val="0"/>
          <w:iCs/>
          <w:spacing w:val="-10"/>
          <w:sz w:val="26"/>
          <w:szCs w:val="28"/>
          <w:lang w:val="en-GB"/>
        </w:rPr>
      </w:pPr>
      <w:r w:rsidRPr="00CB2AFD">
        <w:rPr>
          <w:rFonts w:eastAsia="Calibri"/>
          <w:b w:val="0"/>
          <w:i w:val="0"/>
          <w:iCs/>
          <w:spacing w:val="-10"/>
          <w:sz w:val="26"/>
          <w:szCs w:val="28"/>
          <w:lang w:val="en-GB"/>
        </w:rPr>
        <w:t xml:space="preserve">In the third quarter of 2021, the youth unemployment rate (15 to 24 years old) was 8.89%, 0.75 percentage points higher than the same period last year and 2.2 times higher than the </w:t>
      </w:r>
      <w:r w:rsidR="006F52C9" w:rsidRPr="00CB2AFD">
        <w:rPr>
          <w:rFonts w:eastAsia="Calibri"/>
          <w:b w:val="0"/>
          <w:i w:val="0"/>
          <w:iCs/>
          <w:spacing w:val="-10"/>
          <w:sz w:val="26"/>
          <w:szCs w:val="28"/>
          <w:lang w:val="en-GB"/>
        </w:rPr>
        <w:t xml:space="preserve">statutory </w:t>
      </w:r>
      <w:r w:rsidRPr="00CB2AFD">
        <w:rPr>
          <w:rFonts w:eastAsia="Calibri"/>
          <w:b w:val="0"/>
          <w:i w:val="0"/>
          <w:iCs/>
          <w:spacing w:val="-10"/>
          <w:sz w:val="26"/>
          <w:szCs w:val="28"/>
          <w:lang w:val="en-GB"/>
        </w:rPr>
        <w:t xml:space="preserve">working-age unemployment rate. The youth unemployment rate in urban areas </w:t>
      </w:r>
      <w:r w:rsidR="00D82FB9" w:rsidRPr="00CB2AFD">
        <w:rPr>
          <w:rFonts w:eastAsia="Calibri"/>
          <w:b w:val="0"/>
          <w:i w:val="0"/>
          <w:iCs/>
          <w:spacing w:val="-10"/>
          <w:sz w:val="26"/>
          <w:szCs w:val="28"/>
          <w:lang w:val="en-GB"/>
        </w:rPr>
        <w:t>was</w:t>
      </w:r>
      <w:r w:rsidRPr="00CB2AFD">
        <w:rPr>
          <w:rFonts w:eastAsia="Calibri"/>
          <w:b w:val="0"/>
          <w:i w:val="0"/>
          <w:iCs/>
          <w:spacing w:val="-10"/>
          <w:sz w:val="26"/>
          <w:szCs w:val="28"/>
          <w:lang w:val="en-GB"/>
        </w:rPr>
        <w:t xml:space="preserve"> 1.8 times higher than in rural areas. Specifically, in urban areas, for every 100 young people aged 15-24 engaged in economic activities, there </w:t>
      </w:r>
      <w:r w:rsidR="00D82FB9" w:rsidRPr="00CB2AFD">
        <w:rPr>
          <w:rFonts w:eastAsia="Calibri"/>
          <w:b w:val="0"/>
          <w:i w:val="0"/>
          <w:iCs/>
          <w:spacing w:val="-10"/>
          <w:sz w:val="26"/>
          <w:szCs w:val="28"/>
          <w:lang w:val="en-GB"/>
        </w:rPr>
        <w:t>were</w:t>
      </w:r>
      <w:r w:rsidRPr="00CB2AFD">
        <w:rPr>
          <w:rFonts w:eastAsia="Calibri"/>
          <w:b w:val="0"/>
          <w:i w:val="0"/>
          <w:iCs/>
          <w:spacing w:val="-10"/>
          <w:sz w:val="26"/>
          <w:szCs w:val="28"/>
          <w:lang w:val="en-GB"/>
        </w:rPr>
        <w:t xml:space="preserve"> about 13 unemployed people, this</w:t>
      </w:r>
      <w:r w:rsidR="00A45D23" w:rsidRPr="00CB2AFD">
        <w:rPr>
          <w:rFonts w:eastAsia="Calibri"/>
          <w:b w:val="0"/>
          <w:i w:val="0"/>
          <w:iCs/>
          <w:spacing w:val="-10"/>
          <w:sz w:val="26"/>
          <w:szCs w:val="28"/>
          <w:lang w:val="en-GB"/>
        </w:rPr>
        <w:t xml:space="preserve"> corresponding</w:t>
      </w:r>
      <w:r w:rsidRPr="00CB2AFD">
        <w:rPr>
          <w:rFonts w:eastAsia="Calibri"/>
          <w:b w:val="0"/>
          <w:i w:val="0"/>
          <w:iCs/>
          <w:spacing w:val="-10"/>
          <w:sz w:val="26"/>
          <w:szCs w:val="28"/>
          <w:lang w:val="en-GB"/>
        </w:rPr>
        <w:t xml:space="preserve"> number </w:t>
      </w:r>
      <w:r w:rsidR="00D82FB9" w:rsidRPr="00CB2AFD">
        <w:rPr>
          <w:rFonts w:eastAsia="Calibri"/>
          <w:b w:val="0"/>
          <w:i w:val="0"/>
          <w:iCs/>
          <w:spacing w:val="-10"/>
          <w:sz w:val="26"/>
          <w:szCs w:val="28"/>
          <w:lang w:val="en-GB"/>
        </w:rPr>
        <w:t>was</w:t>
      </w:r>
      <w:r w:rsidRPr="00CB2AFD">
        <w:rPr>
          <w:rFonts w:eastAsia="Calibri"/>
          <w:b w:val="0"/>
          <w:i w:val="0"/>
          <w:iCs/>
          <w:spacing w:val="-10"/>
          <w:sz w:val="26"/>
          <w:szCs w:val="28"/>
          <w:lang w:val="en-GB"/>
        </w:rPr>
        <w:t xml:space="preserve"> 7 people in rural areas. The youth unemployment rate in Ho Chi Minh City in the third quarter of 2021 </w:t>
      </w:r>
      <w:r w:rsidR="00D82FB9" w:rsidRPr="00CB2AFD">
        <w:rPr>
          <w:rFonts w:eastAsia="Calibri"/>
          <w:b w:val="0"/>
          <w:i w:val="0"/>
          <w:iCs/>
          <w:spacing w:val="-10"/>
          <w:sz w:val="26"/>
          <w:szCs w:val="28"/>
          <w:lang w:val="en-GB"/>
        </w:rPr>
        <w:t>was</w:t>
      </w:r>
      <w:r w:rsidRPr="00CB2AFD">
        <w:rPr>
          <w:rFonts w:eastAsia="Calibri"/>
          <w:b w:val="0"/>
          <w:i w:val="0"/>
          <w:iCs/>
          <w:spacing w:val="-10"/>
          <w:sz w:val="26"/>
          <w:szCs w:val="28"/>
          <w:lang w:val="en-GB"/>
        </w:rPr>
        <w:t xml:space="preserve"> 15.12%, 1</w:t>
      </w:r>
      <w:r w:rsidR="00D82FB9" w:rsidRPr="00CB2AFD">
        <w:rPr>
          <w:rFonts w:eastAsia="Calibri"/>
          <w:b w:val="0"/>
          <w:i w:val="0"/>
          <w:iCs/>
          <w:spacing w:val="-10"/>
          <w:sz w:val="26"/>
          <w:szCs w:val="28"/>
          <w:lang w:val="en-GB"/>
        </w:rPr>
        <w:t>.7 times higher than that of Ha N</w:t>
      </w:r>
      <w:r w:rsidRPr="00CB2AFD">
        <w:rPr>
          <w:rFonts w:eastAsia="Calibri"/>
          <w:b w:val="0"/>
          <w:i w:val="0"/>
          <w:iCs/>
          <w:spacing w:val="-10"/>
          <w:sz w:val="26"/>
          <w:szCs w:val="28"/>
          <w:lang w:val="en-GB"/>
        </w:rPr>
        <w:t>oi (8.85%).</w:t>
      </w:r>
    </w:p>
    <w:p w14:paraId="45EF24BF" w14:textId="54D6FF23" w:rsidR="00102101" w:rsidRPr="0005391C" w:rsidRDefault="00102101" w:rsidP="00CB2AFD">
      <w:pPr>
        <w:spacing w:before="120" w:after="120" w:line="288" w:lineRule="auto"/>
        <w:ind w:firstLine="709"/>
        <w:jc w:val="both"/>
        <w:rPr>
          <w:rFonts w:eastAsia="Calibri"/>
          <w:b w:val="0"/>
          <w:i w:val="0"/>
          <w:iCs/>
          <w:spacing w:val="-8"/>
          <w:sz w:val="26"/>
          <w:szCs w:val="28"/>
          <w:lang w:val="en-GB"/>
        </w:rPr>
      </w:pPr>
      <w:r w:rsidRPr="0005391C">
        <w:rPr>
          <w:rFonts w:eastAsia="Calibri"/>
          <w:b w:val="0"/>
          <w:i w:val="0"/>
          <w:iCs/>
          <w:spacing w:val="-8"/>
          <w:sz w:val="26"/>
          <w:szCs w:val="28"/>
          <w:lang w:val="en-GB"/>
        </w:rPr>
        <w:t>In the third quarter of 2021, the whole country recorded nearly 2.4 million (accounting for 19.6%) young people aged 15-24 not in employment, education or training, an increase of 642 thousand people over the same period last year. The rate of youth (15 to 24 years old) not in employment, education or training</w:t>
      </w:r>
      <w:r w:rsidR="0040164B" w:rsidRPr="0005391C">
        <w:rPr>
          <w:rFonts w:eastAsia="Calibri"/>
          <w:b w:val="0"/>
          <w:i w:val="0"/>
          <w:iCs/>
          <w:spacing w:val="-8"/>
          <w:sz w:val="26"/>
          <w:szCs w:val="28"/>
          <w:lang w:val="en-GB"/>
        </w:rPr>
        <w:t xml:space="preserve"> </w:t>
      </w:r>
      <w:r w:rsidRPr="0005391C">
        <w:rPr>
          <w:rFonts w:eastAsia="Calibri"/>
          <w:b w:val="0"/>
          <w:i w:val="0"/>
          <w:iCs/>
          <w:spacing w:val="-8"/>
          <w:sz w:val="26"/>
          <w:szCs w:val="28"/>
          <w:lang w:val="en-GB"/>
        </w:rPr>
        <w:t>(NEET) was higher in rural areas than in urban areas, 21.0% compared to 17.4% and higher among young women than young men, 21.5% versus 17.8%.</w:t>
      </w:r>
    </w:p>
    <w:p w14:paraId="410CB206" w14:textId="2B243662" w:rsidR="00E64FE4" w:rsidRPr="006F52C9" w:rsidRDefault="00E64FE4" w:rsidP="00CB2AFD">
      <w:pPr>
        <w:spacing w:before="120" w:after="120" w:line="288" w:lineRule="auto"/>
        <w:ind w:firstLine="709"/>
        <w:jc w:val="both"/>
        <w:rPr>
          <w:rFonts w:eastAsia="Calibri"/>
          <w:b w:val="0"/>
          <w:i w:val="0"/>
          <w:iCs/>
          <w:spacing w:val="-4"/>
          <w:sz w:val="26"/>
          <w:szCs w:val="28"/>
          <w:lang w:val="en-GB"/>
        </w:rPr>
      </w:pPr>
      <w:r w:rsidRPr="006F52C9">
        <w:rPr>
          <w:rFonts w:eastAsia="Calibri"/>
          <w:b w:val="0"/>
          <w:i w:val="0"/>
          <w:iCs/>
          <w:spacing w:val="-4"/>
          <w:sz w:val="26"/>
          <w:szCs w:val="28"/>
          <w:lang w:val="en-GB"/>
        </w:rPr>
        <w:t>Compared among six socio-economic regions, the NEET in the Northern Midlands and Mountains was the highest with 26.1%, followed by Mekong River Delta with 25.6%, up 18.6 and 6.5 percentage points respectively over the same period last year. This rate in Ho Chi Minh City in the third quarter of 2021 was 21.1%, 2.2 times higher than in Ha Noi (9.5%). Compared to the same period last year, this rate in Ho Chi Minh City increased by 10.5 percentage points, whereas in Ha Noi</w:t>
      </w:r>
      <w:r w:rsidR="0040164B" w:rsidRPr="006F52C9">
        <w:rPr>
          <w:rFonts w:eastAsia="Calibri"/>
          <w:b w:val="0"/>
          <w:i w:val="0"/>
          <w:iCs/>
          <w:spacing w:val="-4"/>
          <w:sz w:val="26"/>
          <w:szCs w:val="28"/>
          <w:lang w:val="en-GB"/>
        </w:rPr>
        <w:t>,</w:t>
      </w:r>
      <w:r w:rsidRPr="006F52C9">
        <w:rPr>
          <w:rFonts w:eastAsia="Calibri"/>
          <w:b w:val="0"/>
          <w:i w:val="0"/>
          <w:iCs/>
          <w:spacing w:val="-4"/>
          <w:sz w:val="26"/>
          <w:szCs w:val="28"/>
          <w:lang w:val="en-GB"/>
        </w:rPr>
        <w:t xml:space="preserve"> it decreased by 0.2 percentage points.</w:t>
      </w:r>
    </w:p>
    <w:p w14:paraId="51D8C5F9" w14:textId="4431C64A" w:rsidR="007D739F" w:rsidRPr="0005391C" w:rsidRDefault="00E64FE4" w:rsidP="00AE75EB">
      <w:pPr>
        <w:spacing w:after="120"/>
        <w:ind w:firstLine="709"/>
        <w:jc w:val="both"/>
        <w:rPr>
          <w:rFonts w:eastAsia="Calibri"/>
          <w:i w:val="0"/>
          <w:sz w:val="26"/>
          <w:szCs w:val="28"/>
          <w:lang w:val="en-GB"/>
        </w:rPr>
      </w:pPr>
      <w:bookmarkStart w:id="7" w:name="OLE_LINK37"/>
      <w:bookmarkStart w:id="8" w:name="OLE_LINK38"/>
      <w:r w:rsidRPr="0005391C">
        <w:rPr>
          <w:rFonts w:eastAsia="Calibri"/>
          <w:i w:val="0"/>
          <w:sz w:val="26"/>
          <w:szCs w:val="28"/>
          <w:lang w:val="en-GB"/>
        </w:rPr>
        <w:t xml:space="preserve">The rate of labour underutilization doubled from the previous quarter, </w:t>
      </w:r>
      <w:r w:rsidR="00876D2D" w:rsidRPr="0005391C">
        <w:rPr>
          <w:rFonts w:eastAsia="Calibri"/>
          <w:i w:val="0"/>
          <w:sz w:val="26"/>
          <w:szCs w:val="28"/>
          <w:lang w:val="en-GB"/>
        </w:rPr>
        <w:t>much higher than the increase recorded in the second quarter of 2020.</w:t>
      </w:r>
    </w:p>
    <w:p w14:paraId="70790E55" w14:textId="7117B7B0" w:rsidR="00C02FEB" w:rsidRPr="0005391C" w:rsidRDefault="0008042D" w:rsidP="00CB2AFD">
      <w:pPr>
        <w:spacing w:before="120" w:after="120" w:line="288" w:lineRule="auto"/>
        <w:ind w:firstLine="709"/>
        <w:jc w:val="both"/>
        <w:rPr>
          <w:b w:val="0"/>
          <w:i w:val="0"/>
          <w:sz w:val="26"/>
          <w:szCs w:val="28"/>
          <w:lang w:val="en-GB"/>
        </w:rPr>
      </w:pPr>
      <w:r w:rsidRPr="0005391C">
        <w:rPr>
          <w:b w:val="0"/>
          <w:i w:val="0"/>
          <w:sz w:val="26"/>
          <w:szCs w:val="28"/>
          <w:lang w:val="en-GB"/>
        </w:rPr>
        <w:t>The l</w:t>
      </w:r>
      <w:r w:rsidR="00C02FEB" w:rsidRPr="0005391C">
        <w:rPr>
          <w:b w:val="0"/>
          <w:i w:val="0"/>
          <w:sz w:val="26"/>
          <w:szCs w:val="28"/>
          <w:lang w:val="en-GB"/>
        </w:rPr>
        <w:t>abour underutilization rate</w:t>
      </w:r>
      <w:r w:rsidR="00C02FEB" w:rsidRPr="0005391C">
        <w:rPr>
          <w:rFonts w:eastAsia="Calibri"/>
          <w:b w:val="0"/>
          <w:i w:val="0"/>
          <w:iCs/>
          <w:color w:val="000000" w:themeColor="text1"/>
          <w:sz w:val="26"/>
          <w:szCs w:val="28"/>
          <w:vertAlign w:val="superscript"/>
          <w:lang w:val="en-GB"/>
        </w:rPr>
        <w:footnoteReference w:id="9"/>
      </w:r>
      <w:r w:rsidR="00C02FEB" w:rsidRPr="0005391C">
        <w:rPr>
          <w:b w:val="0"/>
          <w:i w:val="0"/>
          <w:sz w:val="26"/>
          <w:szCs w:val="28"/>
          <w:lang w:val="en-GB"/>
        </w:rPr>
        <w:t xml:space="preserve"> in the third quarter of 2021 was 10.4%, nearly double that of the previous quarter and the same period last year (</w:t>
      </w:r>
      <w:r w:rsidR="006F52C9">
        <w:rPr>
          <w:b w:val="0"/>
          <w:i w:val="0"/>
          <w:sz w:val="26"/>
          <w:szCs w:val="28"/>
          <w:lang w:val="en-GB"/>
        </w:rPr>
        <w:t>Q2 of 2021: 5,2% and Q3 of 2020</w:t>
      </w:r>
      <w:r w:rsidR="00876D2D" w:rsidRPr="0005391C">
        <w:rPr>
          <w:b w:val="0"/>
          <w:i w:val="0"/>
          <w:sz w:val="26"/>
          <w:szCs w:val="28"/>
          <w:lang w:val="en-GB"/>
        </w:rPr>
        <w:t xml:space="preserve">: </w:t>
      </w:r>
      <w:r w:rsidR="00C02FEB" w:rsidRPr="0005391C">
        <w:rPr>
          <w:b w:val="0"/>
          <w:i w:val="0"/>
          <w:sz w:val="26"/>
          <w:szCs w:val="28"/>
          <w:lang w:val="en-GB"/>
        </w:rPr>
        <w:t xml:space="preserve">5.5%). For many years, the labour underutilization rate in Viet Nam had constantly stood only 4%. From the first quarter of 2020 to the end of the second quarter of 2021, this rate began to increase and reached a peak of 6.2% in the second quarter of 2020. In the last months of 2020, when socio-economic activities gradually returned to a new normal, this rate dropped to 4.4% in the fourth quarter of 2020. However, the Covid-19 </w:t>
      </w:r>
      <w:r w:rsidR="00261A33" w:rsidRPr="0005391C">
        <w:rPr>
          <w:b w:val="0"/>
          <w:i w:val="0"/>
          <w:sz w:val="26"/>
          <w:szCs w:val="28"/>
          <w:lang w:val="en-GB"/>
        </w:rPr>
        <w:t>pandemic</w:t>
      </w:r>
      <w:r w:rsidR="00C02FEB" w:rsidRPr="0005391C">
        <w:rPr>
          <w:b w:val="0"/>
          <w:i w:val="0"/>
          <w:sz w:val="26"/>
          <w:szCs w:val="28"/>
          <w:lang w:val="en-GB"/>
        </w:rPr>
        <w:t xml:space="preserve"> in 2021 especially in the third quarter once again </w:t>
      </w:r>
      <w:r w:rsidR="00261A33" w:rsidRPr="0005391C">
        <w:rPr>
          <w:b w:val="0"/>
          <w:i w:val="0"/>
          <w:sz w:val="26"/>
          <w:szCs w:val="28"/>
          <w:lang w:val="en-GB"/>
        </w:rPr>
        <w:t xml:space="preserve">increased </w:t>
      </w:r>
      <w:r w:rsidR="00C02FEB" w:rsidRPr="0005391C">
        <w:rPr>
          <w:b w:val="0"/>
          <w:i w:val="0"/>
          <w:sz w:val="26"/>
          <w:szCs w:val="28"/>
          <w:lang w:val="en-GB"/>
        </w:rPr>
        <w:t>this rate</w:t>
      </w:r>
      <w:r w:rsidR="00261A33" w:rsidRPr="0005391C">
        <w:rPr>
          <w:b w:val="0"/>
          <w:i w:val="0"/>
          <w:sz w:val="26"/>
          <w:szCs w:val="28"/>
          <w:lang w:val="en-GB"/>
        </w:rPr>
        <w:t xml:space="preserve"> significantly</w:t>
      </w:r>
      <w:r w:rsidR="00C02FEB" w:rsidRPr="0005391C">
        <w:rPr>
          <w:b w:val="0"/>
          <w:i w:val="0"/>
          <w:sz w:val="26"/>
          <w:szCs w:val="28"/>
          <w:lang w:val="en-GB"/>
        </w:rPr>
        <w:t>, surpassing the record of 6.2% set in the second quarter of last year.</w:t>
      </w:r>
      <w:r w:rsidR="00261A33" w:rsidRPr="0005391C">
        <w:rPr>
          <w:b w:val="0"/>
          <w:i w:val="0"/>
          <w:sz w:val="26"/>
          <w:szCs w:val="28"/>
          <w:lang w:val="en-GB"/>
        </w:rPr>
        <w:t xml:space="preserve"> </w:t>
      </w:r>
    </w:p>
    <w:p w14:paraId="1056D125" w14:textId="3A882C00" w:rsidR="007D739F" w:rsidRPr="002822B7" w:rsidRDefault="00B00857" w:rsidP="00AE75EB">
      <w:pPr>
        <w:spacing w:after="160"/>
        <w:jc w:val="center"/>
        <w:rPr>
          <w:rFonts w:eastAsia="Calibri"/>
          <w:i w:val="0"/>
          <w:szCs w:val="26"/>
          <w:lang w:val="en-GB"/>
        </w:rPr>
      </w:pPr>
      <w:r w:rsidRPr="002822B7">
        <w:rPr>
          <w:rFonts w:ascii="Times New Roman Bold" w:eastAsia="Calibri" w:hAnsi="Times New Roman Bold"/>
          <w:i w:val="0"/>
          <w:szCs w:val="26"/>
          <w:lang w:val="en-GB"/>
        </w:rPr>
        <w:t>Figure</w:t>
      </w:r>
      <w:r w:rsidR="007D739F" w:rsidRPr="002822B7">
        <w:rPr>
          <w:rFonts w:ascii="Times New Roman Bold" w:eastAsia="Calibri" w:hAnsi="Times New Roman Bold"/>
          <w:i w:val="0"/>
          <w:szCs w:val="26"/>
          <w:lang w:val="en-GB"/>
        </w:rPr>
        <w:t xml:space="preserve"> 12: </w:t>
      </w:r>
      <w:r w:rsidR="00C02FEB" w:rsidRPr="002822B7">
        <w:rPr>
          <w:rFonts w:eastAsia="Calibri"/>
          <w:i w:val="0"/>
          <w:szCs w:val="26"/>
          <w:lang w:val="en-GB"/>
        </w:rPr>
        <w:t>Labour underutilization rate across quarters, 2019-2021</w:t>
      </w:r>
    </w:p>
    <w:p w14:paraId="6DA2288B" w14:textId="33F2670F" w:rsidR="007D739F" w:rsidRPr="0005391C" w:rsidRDefault="00B00857" w:rsidP="00AE75EB">
      <w:pPr>
        <w:jc w:val="right"/>
        <w:rPr>
          <w:rFonts w:eastAsia="Calibri"/>
          <w:b w:val="0"/>
          <w:szCs w:val="26"/>
          <w:lang w:val="en-GB"/>
        </w:rPr>
      </w:pPr>
      <w:r w:rsidRPr="0005391C">
        <w:rPr>
          <w:rFonts w:eastAsia="Calibri"/>
          <w:b w:val="0"/>
          <w:szCs w:val="26"/>
          <w:lang w:val="en-GB"/>
        </w:rPr>
        <w:t>Unit:</w:t>
      </w:r>
      <w:r w:rsidR="007D739F" w:rsidRPr="0005391C">
        <w:rPr>
          <w:rFonts w:eastAsia="Calibri"/>
          <w:b w:val="0"/>
          <w:szCs w:val="26"/>
          <w:lang w:val="en-GB"/>
        </w:rPr>
        <w:t xml:space="preserve"> %</w:t>
      </w:r>
    </w:p>
    <w:p w14:paraId="00FA4DDE" w14:textId="77777777" w:rsidR="007D739F" w:rsidRPr="0005391C" w:rsidRDefault="007D739F" w:rsidP="00AE75EB">
      <w:pPr>
        <w:jc w:val="center"/>
        <w:rPr>
          <w:rFonts w:eastAsia="Calibri"/>
          <w:b w:val="0"/>
          <w:i w:val="0"/>
          <w:color w:val="FF0000"/>
          <w:szCs w:val="26"/>
          <w:lang w:val="en-GB"/>
        </w:rPr>
      </w:pPr>
      <w:r w:rsidRPr="0005391C">
        <w:rPr>
          <w:rFonts w:eastAsia="Calibri"/>
          <w:b w:val="0"/>
          <w:i w:val="0"/>
          <w:noProof/>
          <w:color w:val="FF0000"/>
          <w:sz w:val="22"/>
          <w:szCs w:val="22"/>
          <w:lang w:val="en-GB"/>
        </w:rPr>
        <w:t xml:space="preserve"> </w:t>
      </w:r>
      <w:r w:rsidRPr="0005391C">
        <w:rPr>
          <w:rFonts w:eastAsia="Calibri"/>
          <w:b w:val="0"/>
          <w:i w:val="0"/>
          <w:noProof/>
          <w:color w:val="FF0000"/>
          <w:szCs w:val="26"/>
        </w:rPr>
        <w:drawing>
          <wp:inline distT="0" distB="0" distL="0" distR="0" wp14:anchorId="03F8B075" wp14:editId="394D1538">
            <wp:extent cx="4866640" cy="1722120"/>
            <wp:effectExtent l="0" t="0" r="10160" b="1143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FB632EB" w14:textId="6DFD48EE" w:rsidR="0008042D" w:rsidRPr="0005391C" w:rsidRDefault="0008042D" w:rsidP="00CB2AFD">
      <w:pPr>
        <w:spacing w:before="120" w:after="120" w:line="288" w:lineRule="auto"/>
        <w:ind w:firstLine="709"/>
        <w:jc w:val="both"/>
        <w:rPr>
          <w:rFonts w:eastAsia="Calibri"/>
          <w:b w:val="0"/>
          <w:i w:val="0"/>
          <w:iCs/>
          <w:sz w:val="26"/>
          <w:szCs w:val="28"/>
          <w:lang w:val="en-GB"/>
        </w:rPr>
      </w:pPr>
      <w:r w:rsidRPr="0005391C">
        <w:rPr>
          <w:b w:val="0"/>
          <w:i w:val="0"/>
          <w:sz w:val="26"/>
          <w:szCs w:val="28"/>
          <w:lang w:val="en-GB"/>
        </w:rPr>
        <w:t>The labour underutilization rate</w:t>
      </w:r>
      <w:r w:rsidRPr="0005391C">
        <w:rPr>
          <w:rFonts w:eastAsia="Calibri"/>
          <w:b w:val="0"/>
          <w:i w:val="0"/>
          <w:iCs/>
          <w:sz w:val="26"/>
          <w:szCs w:val="28"/>
          <w:lang w:val="en-GB"/>
        </w:rPr>
        <w:t xml:space="preserve"> in the third quarter of 2021 in both urban and rural areas nearly doubled that of the previous quarter (13.3% in urban areas compared to 6.1%, </w:t>
      </w:r>
      <w:r w:rsidR="001362FC" w:rsidRPr="0005391C">
        <w:rPr>
          <w:rFonts w:eastAsia="Calibri"/>
          <w:b w:val="0"/>
          <w:i w:val="0"/>
          <w:iCs/>
          <w:sz w:val="26"/>
          <w:szCs w:val="28"/>
          <w:lang w:val="en-GB"/>
        </w:rPr>
        <w:t xml:space="preserve">and </w:t>
      </w:r>
      <w:r w:rsidRPr="0005391C">
        <w:rPr>
          <w:rFonts w:eastAsia="Calibri"/>
          <w:b w:val="0"/>
          <w:i w:val="0"/>
          <w:iCs/>
          <w:sz w:val="26"/>
          <w:szCs w:val="28"/>
          <w:lang w:val="en-GB"/>
        </w:rPr>
        <w:t xml:space="preserve">8.7% </w:t>
      </w:r>
      <w:r w:rsidR="001362FC" w:rsidRPr="0005391C">
        <w:rPr>
          <w:rFonts w:eastAsia="Calibri"/>
          <w:b w:val="0"/>
          <w:i w:val="0"/>
          <w:iCs/>
          <w:sz w:val="26"/>
          <w:szCs w:val="28"/>
          <w:lang w:val="en-GB"/>
        </w:rPr>
        <w:t xml:space="preserve">in rural areas compared to </w:t>
      </w:r>
      <w:r w:rsidRPr="0005391C">
        <w:rPr>
          <w:rFonts w:eastAsia="Calibri"/>
          <w:b w:val="0"/>
          <w:i w:val="0"/>
          <w:iCs/>
          <w:sz w:val="26"/>
          <w:szCs w:val="28"/>
          <w:lang w:val="en-GB"/>
        </w:rPr>
        <w:t xml:space="preserve">versus 4.7%). The majority of workers who are not </w:t>
      </w:r>
      <w:r w:rsidR="001362FC" w:rsidRPr="0005391C">
        <w:rPr>
          <w:rFonts w:eastAsia="Calibri"/>
          <w:b w:val="0"/>
          <w:i w:val="0"/>
          <w:iCs/>
          <w:sz w:val="26"/>
          <w:szCs w:val="28"/>
          <w:lang w:val="en-GB"/>
        </w:rPr>
        <w:t>utilizing</w:t>
      </w:r>
      <w:r w:rsidRPr="0005391C">
        <w:rPr>
          <w:rFonts w:eastAsia="Calibri"/>
          <w:b w:val="0"/>
          <w:i w:val="0"/>
          <w:iCs/>
          <w:sz w:val="26"/>
          <w:szCs w:val="28"/>
          <w:lang w:val="en-GB"/>
        </w:rPr>
        <w:t xml:space="preserve"> their full potential are </w:t>
      </w:r>
      <w:r w:rsidR="001362FC" w:rsidRPr="0005391C">
        <w:rPr>
          <w:rFonts w:eastAsia="Calibri"/>
          <w:b w:val="0"/>
          <w:i w:val="0"/>
          <w:iCs/>
          <w:sz w:val="26"/>
          <w:szCs w:val="28"/>
          <w:lang w:val="en-GB"/>
        </w:rPr>
        <w:t>those</w:t>
      </w:r>
      <w:r w:rsidR="00183CFC" w:rsidRPr="0005391C">
        <w:rPr>
          <w:rFonts w:eastAsia="Calibri"/>
          <w:b w:val="0"/>
          <w:i w:val="0"/>
          <w:iCs/>
          <w:sz w:val="26"/>
          <w:szCs w:val="28"/>
          <w:lang w:val="en-GB"/>
        </w:rPr>
        <w:t xml:space="preserve"> aged 15-34 (45.2</w:t>
      </w:r>
      <w:r w:rsidRPr="0005391C">
        <w:rPr>
          <w:rFonts w:eastAsia="Calibri"/>
          <w:b w:val="0"/>
          <w:i w:val="0"/>
          <w:iCs/>
          <w:sz w:val="26"/>
          <w:szCs w:val="28"/>
          <w:lang w:val="en-GB"/>
        </w:rPr>
        <w:t xml:space="preserve">%), while the </w:t>
      </w:r>
      <w:r w:rsidR="005D4523" w:rsidRPr="0005391C">
        <w:rPr>
          <w:rFonts w:eastAsia="Calibri"/>
          <w:b w:val="0"/>
          <w:i w:val="0"/>
          <w:iCs/>
          <w:sz w:val="26"/>
          <w:szCs w:val="28"/>
          <w:lang w:val="en-GB"/>
        </w:rPr>
        <w:t>labour</w:t>
      </w:r>
      <w:r w:rsidRPr="0005391C">
        <w:rPr>
          <w:rFonts w:eastAsia="Calibri"/>
          <w:b w:val="0"/>
          <w:i w:val="0"/>
          <w:iCs/>
          <w:sz w:val="26"/>
          <w:szCs w:val="28"/>
          <w:lang w:val="en-GB"/>
        </w:rPr>
        <w:t xml:space="preserve"> force of the same age group accounts for only 34.5%. This </w:t>
      </w:r>
      <w:r w:rsidR="001362FC" w:rsidRPr="0005391C">
        <w:rPr>
          <w:rFonts w:eastAsia="Calibri"/>
          <w:b w:val="0"/>
          <w:i w:val="0"/>
          <w:iCs/>
          <w:sz w:val="26"/>
          <w:szCs w:val="28"/>
          <w:lang w:val="en-GB"/>
        </w:rPr>
        <w:t>suggests</w:t>
      </w:r>
      <w:r w:rsidRPr="0005391C">
        <w:rPr>
          <w:rFonts w:eastAsia="Calibri"/>
          <w:b w:val="0"/>
          <w:i w:val="0"/>
          <w:iCs/>
          <w:sz w:val="26"/>
          <w:szCs w:val="28"/>
          <w:lang w:val="en-GB"/>
        </w:rPr>
        <w:t xml:space="preserve"> that Viet</w:t>
      </w:r>
      <w:r w:rsidR="00953759" w:rsidRPr="0005391C">
        <w:rPr>
          <w:rFonts w:eastAsia="Calibri"/>
          <w:b w:val="0"/>
          <w:i w:val="0"/>
          <w:iCs/>
          <w:sz w:val="26"/>
          <w:szCs w:val="28"/>
          <w:lang w:val="en-GB"/>
        </w:rPr>
        <w:t xml:space="preserve"> N</w:t>
      </w:r>
      <w:r w:rsidRPr="0005391C">
        <w:rPr>
          <w:rFonts w:eastAsia="Calibri"/>
          <w:b w:val="0"/>
          <w:i w:val="0"/>
          <w:iCs/>
          <w:sz w:val="26"/>
          <w:szCs w:val="28"/>
          <w:lang w:val="en-GB"/>
        </w:rPr>
        <w:t xml:space="preserve">am still has a large number of untapped potential </w:t>
      </w:r>
      <w:r w:rsidR="005D4523" w:rsidRPr="0005391C">
        <w:rPr>
          <w:rFonts w:eastAsia="Calibri"/>
          <w:b w:val="0"/>
          <w:i w:val="0"/>
          <w:iCs/>
          <w:sz w:val="26"/>
          <w:szCs w:val="28"/>
          <w:lang w:val="en-GB"/>
        </w:rPr>
        <w:t>labour</w:t>
      </w:r>
      <w:r w:rsidRPr="0005391C">
        <w:rPr>
          <w:rFonts w:eastAsia="Calibri"/>
          <w:b w:val="0"/>
          <w:i w:val="0"/>
          <w:iCs/>
          <w:sz w:val="26"/>
          <w:szCs w:val="28"/>
          <w:lang w:val="en-GB"/>
        </w:rPr>
        <w:t xml:space="preserve"> force, especially young workers, and </w:t>
      </w:r>
      <w:r w:rsidR="001362FC" w:rsidRPr="0005391C">
        <w:rPr>
          <w:rFonts w:eastAsia="Calibri"/>
          <w:b w:val="0"/>
          <w:i w:val="0"/>
          <w:iCs/>
          <w:sz w:val="26"/>
          <w:szCs w:val="28"/>
          <w:lang w:val="en-GB"/>
        </w:rPr>
        <w:t xml:space="preserve">that </w:t>
      </w:r>
      <w:r w:rsidRPr="0005391C">
        <w:rPr>
          <w:rFonts w:eastAsia="Calibri"/>
          <w:b w:val="0"/>
          <w:i w:val="0"/>
          <w:iCs/>
          <w:sz w:val="26"/>
          <w:szCs w:val="28"/>
          <w:lang w:val="en-GB"/>
        </w:rPr>
        <w:t>in</w:t>
      </w:r>
      <w:r w:rsidR="001362FC" w:rsidRPr="0005391C">
        <w:rPr>
          <w:rFonts w:eastAsia="Calibri"/>
          <w:b w:val="0"/>
          <w:i w:val="0"/>
          <w:iCs/>
          <w:sz w:val="26"/>
          <w:szCs w:val="28"/>
          <w:lang w:val="en-GB"/>
        </w:rPr>
        <w:t xml:space="preserve"> the context of the Covid-19 pan</w:t>
      </w:r>
      <w:r w:rsidRPr="0005391C">
        <w:rPr>
          <w:rFonts w:eastAsia="Calibri"/>
          <w:b w:val="0"/>
          <w:i w:val="0"/>
          <w:iCs/>
          <w:sz w:val="26"/>
          <w:szCs w:val="28"/>
          <w:lang w:val="en-GB"/>
        </w:rPr>
        <w:t xml:space="preserve">demic, it </w:t>
      </w:r>
      <w:r w:rsidR="001362FC" w:rsidRPr="0005391C">
        <w:rPr>
          <w:rFonts w:eastAsia="Calibri"/>
          <w:b w:val="0"/>
          <w:i w:val="0"/>
          <w:iCs/>
          <w:sz w:val="26"/>
          <w:szCs w:val="28"/>
          <w:lang w:val="en-GB"/>
        </w:rPr>
        <w:t>has become all the more</w:t>
      </w:r>
      <w:r w:rsidRPr="0005391C">
        <w:rPr>
          <w:rFonts w:eastAsia="Calibri"/>
          <w:b w:val="0"/>
          <w:i w:val="0"/>
          <w:iCs/>
          <w:sz w:val="26"/>
          <w:szCs w:val="28"/>
          <w:lang w:val="en-GB"/>
        </w:rPr>
        <w:t xml:space="preserve"> important to study </w:t>
      </w:r>
      <w:r w:rsidR="009A3C6C" w:rsidRPr="0005391C">
        <w:rPr>
          <w:rFonts w:eastAsia="Calibri"/>
          <w:b w:val="0"/>
          <w:i w:val="0"/>
          <w:iCs/>
          <w:sz w:val="26"/>
          <w:szCs w:val="28"/>
          <w:lang w:val="en-GB"/>
        </w:rPr>
        <w:t xml:space="preserve">and </w:t>
      </w:r>
      <w:r w:rsidR="005D4523" w:rsidRPr="0005391C">
        <w:rPr>
          <w:rFonts w:eastAsia="Calibri"/>
          <w:b w:val="0"/>
          <w:i w:val="0"/>
          <w:iCs/>
          <w:sz w:val="26"/>
          <w:szCs w:val="28"/>
          <w:lang w:val="en-GB"/>
        </w:rPr>
        <w:t>devise</w:t>
      </w:r>
      <w:r w:rsidR="009A3C6C" w:rsidRPr="0005391C">
        <w:rPr>
          <w:rFonts w:eastAsia="Calibri"/>
          <w:b w:val="0"/>
          <w:i w:val="0"/>
          <w:iCs/>
          <w:sz w:val="26"/>
          <w:szCs w:val="28"/>
          <w:lang w:val="en-GB"/>
        </w:rPr>
        <w:t xml:space="preserve"> appropriate </w:t>
      </w:r>
      <w:r w:rsidRPr="0005391C">
        <w:rPr>
          <w:rFonts w:eastAsia="Calibri"/>
          <w:b w:val="0"/>
          <w:i w:val="0"/>
          <w:iCs/>
          <w:sz w:val="26"/>
          <w:szCs w:val="28"/>
          <w:lang w:val="en-GB"/>
        </w:rPr>
        <w:t xml:space="preserve">policies to </w:t>
      </w:r>
      <w:r w:rsidR="00701ABA" w:rsidRPr="0005391C">
        <w:rPr>
          <w:rFonts w:eastAsia="Calibri"/>
          <w:b w:val="0"/>
          <w:i w:val="0"/>
          <w:iCs/>
          <w:sz w:val="26"/>
          <w:szCs w:val="28"/>
          <w:lang w:val="en-GB"/>
        </w:rPr>
        <w:t>capture the full</w:t>
      </w:r>
      <w:r w:rsidRPr="0005391C">
        <w:rPr>
          <w:rFonts w:eastAsia="Calibri"/>
          <w:b w:val="0"/>
          <w:i w:val="0"/>
          <w:iCs/>
          <w:sz w:val="26"/>
          <w:szCs w:val="28"/>
          <w:lang w:val="en-GB"/>
        </w:rPr>
        <w:t xml:space="preserve"> </w:t>
      </w:r>
      <w:r w:rsidR="009A15B8" w:rsidRPr="0005391C">
        <w:rPr>
          <w:rFonts w:eastAsia="Calibri"/>
          <w:b w:val="0"/>
          <w:i w:val="0"/>
          <w:iCs/>
          <w:sz w:val="26"/>
          <w:szCs w:val="28"/>
          <w:lang w:val="en-GB"/>
        </w:rPr>
        <w:t xml:space="preserve">potentials </w:t>
      </w:r>
      <w:r w:rsidRPr="0005391C">
        <w:rPr>
          <w:rFonts w:eastAsia="Calibri"/>
          <w:b w:val="0"/>
          <w:i w:val="0"/>
          <w:iCs/>
          <w:sz w:val="26"/>
          <w:szCs w:val="28"/>
          <w:lang w:val="en-GB"/>
        </w:rPr>
        <w:t>this group of workers</w:t>
      </w:r>
      <w:r w:rsidR="009A15B8" w:rsidRPr="0005391C">
        <w:rPr>
          <w:rFonts w:eastAsia="Calibri"/>
          <w:b w:val="0"/>
          <w:i w:val="0"/>
          <w:iCs/>
          <w:sz w:val="26"/>
          <w:szCs w:val="28"/>
          <w:lang w:val="en-GB"/>
        </w:rPr>
        <w:t xml:space="preserve"> has to offer</w:t>
      </w:r>
      <w:r w:rsidRPr="0005391C">
        <w:rPr>
          <w:rFonts w:eastAsia="Calibri"/>
          <w:b w:val="0"/>
          <w:i w:val="0"/>
          <w:iCs/>
          <w:sz w:val="26"/>
          <w:szCs w:val="28"/>
          <w:lang w:val="en-GB"/>
        </w:rPr>
        <w:t>.</w:t>
      </w:r>
    </w:p>
    <w:p w14:paraId="4EF175F0" w14:textId="0A3502BE" w:rsidR="007D739F" w:rsidRPr="0005391C" w:rsidRDefault="00B00857" w:rsidP="00AE75EB">
      <w:pPr>
        <w:jc w:val="center"/>
        <w:rPr>
          <w:rFonts w:ascii="Times New Roman Bold" w:eastAsia="Calibri" w:hAnsi="Times New Roman Bold"/>
          <w:i w:val="0"/>
          <w:spacing w:val="-6"/>
          <w:szCs w:val="26"/>
          <w:lang w:val="en-GB"/>
        </w:rPr>
      </w:pPr>
      <w:r w:rsidRPr="0005391C">
        <w:rPr>
          <w:rFonts w:ascii="Times New Roman Bold" w:eastAsia="Calibri" w:hAnsi="Times New Roman Bold"/>
          <w:i w:val="0"/>
          <w:spacing w:val="-6"/>
          <w:szCs w:val="26"/>
          <w:lang w:val="en-GB"/>
        </w:rPr>
        <w:t>Figure</w:t>
      </w:r>
      <w:r w:rsidR="007D739F" w:rsidRPr="0005391C">
        <w:rPr>
          <w:rFonts w:ascii="Times New Roman Bold" w:eastAsia="Calibri" w:hAnsi="Times New Roman Bold"/>
          <w:i w:val="0"/>
          <w:spacing w:val="-6"/>
          <w:szCs w:val="26"/>
          <w:lang w:val="en-GB"/>
        </w:rPr>
        <w:t xml:space="preserve"> 13: </w:t>
      </w:r>
      <w:r w:rsidR="008635AA" w:rsidRPr="0005391C">
        <w:rPr>
          <w:rFonts w:ascii="Times New Roman Bold" w:eastAsia="Calibri" w:hAnsi="Times New Roman Bold"/>
          <w:i w:val="0"/>
          <w:spacing w:val="-6"/>
          <w:szCs w:val="26"/>
          <w:lang w:val="en-GB"/>
        </w:rPr>
        <w:t>Age structure of labour force and labour underutilization, Q3/2021</w:t>
      </w:r>
    </w:p>
    <w:p w14:paraId="20465058" w14:textId="434F1795" w:rsidR="007D739F" w:rsidRPr="0005391C" w:rsidRDefault="00B00857" w:rsidP="00AE75EB">
      <w:pPr>
        <w:jc w:val="right"/>
        <w:rPr>
          <w:rFonts w:eastAsia="Calibri"/>
          <w:b w:val="0"/>
          <w:i w:val="0"/>
          <w:noProof/>
          <w:sz w:val="22"/>
          <w:szCs w:val="22"/>
          <w:lang w:val="en-GB"/>
        </w:rPr>
      </w:pPr>
      <w:r w:rsidRPr="0005391C">
        <w:rPr>
          <w:rFonts w:eastAsia="Calibri"/>
          <w:b w:val="0"/>
          <w:szCs w:val="26"/>
          <w:lang w:val="en-GB"/>
        </w:rPr>
        <w:t>Unit:</w:t>
      </w:r>
      <w:r w:rsidR="007D739F" w:rsidRPr="0005391C">
        <w:rPr>
          <w:rFonts w:eastAsia="Calibri"/>
          <w:b w:val="0"/>
          <w:szCs w:val="26"/>
          <w:lang w:val="en-GB"/>
        </w:rPr>
        <w:t xml:space="preserve"> %</w:t>
      </w:r>
      <w:r w:rsidR="007D739F" w:rsidRPr="0005391C">
        <w:rPr>
          <w:rFonts w:eastAsia="Calibri"/>
          <w:b w:val="0"/>
          <w:i w:val="0"/>
          <w:noProof/>
          <w:sz w:val="22"/>
          <w:szCs w:val="22"/>
          <w:lang w:val="en-GB"/>
        </w:rPr>
        <w:t xml:space="preserve"> </w:t>
      </w:r>
    </w:p>
    <w:p w14:paraId="4484FB2A" w14:textId="77777777" w:rsidR="007D739F" w:rsidRPr="0005391C" w:rsidRDefault="007D739F" w:rsidP="00AE75EB">
      <w:pPr>
        <w:jc w:val="center"/>
        <w:rPr>
          <w:rFonts w:eastAsia="Calibri"/>
          <w:i w:val="0"/>
          <w:color w:val="FF0000"/>
          <w:sz w:val="26"/>
          <w:szCs w:val="28"/>
          <w:lang w:val="en-GB"/>
        </w:rPr>
      </w:pPr>
      <w:r w:rsidRPr="0005391C">
        <w:rPr>
          <w:rFonts w:eastAsia="Calibri"/>
          <w:i w:val="0"/>
          <w:noProof/>
          <w:color w:val="FF0000"/>
          <w:sz w:val="26"/>
          <w:szCs w:val="28"/>
        </w:rPr>
        <w:drawing>
          <wp:inline distT="0" distB="0" distL="0" distR="0" wp14:anchorId="77BAE987" wp14:editId="2AD4AE73">
            <wp:extent cx="4495800" cy="1666240"/>
            <wp:effectExtent l="0" t="0" r="0" b="1016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CA440C4" w14:textId="5EB8E877" w:rsidR="007D739F" w:rsidRPr="0005391C" w:rsidRDefault="00183CFC" w:rsidP="00AE75EB">
      <w:pPr>
        <w:spacing w:after="120"/>
        <w:ind w:firstLine="709"/>
        <w:jc w:val="both"/>
        <w:rPr>
          <w:rFonts w:asciiTheme="minorHAnsi" w:eastAsia="Calibri" w:hAnsiTheme="minorHAnsi"/>
          <w:i w:val="0"/>
          <w:sz w:val="26"/>
          <w:szCs w:val="28"/>
          <w:lang w:val="en-GB"/>
        </w:rPr>
      </w:pPr>
      <w:r w:rsidRPr="0005391C">
        <w:rPr>
          <w:rFonts w:ascii="Times New Roman Bold" w:eastAsia="Calibri" w:hAnsi="Times New Roman Bold"/>
          <w:i w:val="0"/>
          <w:sz w:val="26"/>
          <w:szCs w:val="28"/>
          <w:lang w:val="en-GB"/>
        </w:rPr>
        <w:t>T</w:t>
      </w:r>
      <w:r w:rsidR="00636512" w:rsidRPr="0005391C">
        <w:rPr>
          <w:rFonts w:ascii="Times New Roman Bold" w:eastAsia="Calibri" w:hAnsi="Times New Roman Bold"/>
          <w:i w:val="0"/>
          <w:sz w:val="26"/>
          <w:szCs w:val="28"/>
          <w:lang w:val="en-GB"/>
        </w:rPr>
        <w:t>he number of s</w:t>
      </w:r>
      <w:r w:rsidR="000A38CA" w:rsidRPr="0005391C">
        <w:rPr>
          <w:rFonts w:ascii="Times New Roman Bold" w:eastAsia="Calibri" w:hAnsi="Times New Roman Bold"/>
          <w:i w:val="0"/>
          <w:sz w:val="26"/>
          <w:szCs w:val="28"/>
          <w:lang w:val="en-GB"/>
        </w:rPr>
        <w:t xml:space="preserve">ubsistence </w:t>
      </w:r>
      <w:r w:rsidR="00636512" w:rsidRPr="0005391C">
        <w:rPr>
          <w:rFonts w:ascii="Times New Roman Bold" w:eastAsia="Calibri" w:hAnsi="Times New Roman Bold"/>
          <w:i w:val="0"/>
          <w:sz w:val="26"/>
          <w:szCs w:val="28"/>
          <w:lang w:val="en-GB"/>
        </w:rPr>
        <w:t xml:space="preserve">workers in </w:t>
      </w:r>
      <w:r w:rsidR="000D32A4" w:rsidRPr="0005391C">
        <w:rPr>
          <w:rFonts w:ascii="Times New Roman Bold" w:eastAsia="Calibri" w:hAnsi="Times New Roman Bold"/>
          <w:i w:val="0"/>
          <w:sz w:val="26"/>
          <w:szCs w:val="28"/>
          <w:lang w:val="en-GB"/>
        </w:rPr>
        <w:t>AFF</w:t>
      </w:r>
      <w:r w:rsidR="00636512" w:rsidRPr="0005391C">
        <w:rPr>
          <w:rFonts w:ascii="Times New Roman Bold" w:eastAsia="Calibri" w:hAnsi="Times New Roman Bold"/>
          <w:i w:val="0"/>
          <w:sz w:val="26"/>
          <w:szCs w:val="28"/>
          <w:lang w:val="en-GB"/>
        </w:rPr>
        <w:t xml:space="preserve"> </w:t>
      </w:r>
      <w:r w:rsidR="000A38CA" w:rsidRPr="0005391C">
        <w:rPr>
          <w:rFonts w:ascii="Times New Roman Bold" w:eastAsia="Calibri" w:hAnsi="Times New Roman Bold"/>
          <w:i w:val="0"/>
          <w:sz w:val="26"/>
          <w:szCs w:val="28"/>
          <w:lang w:val="en-GB"/>
        </w:rPr>
        <w:t xml:space="preserve">sector </w:t>
      </w:r>
      <w:r w:rsidRPr="0005391C">
        <w:rPr>
          <w:rFonts w:ascii="Times New Roman Bold" w:eastAsia="Calibri" w:hAnsi="Times New Roman Bold"/>
          <w:i w:val="0"/>
          <w:sz w:val="26"/>
          <w:szCs w:val="28"/>
          <w:lang w:val="en-GB"/>
        </w:rPr>
        <w:t>has increased significantly</w:t>
      </w:r>
      <w:r w:rsidR="00636512" w:rsidRPr="0005391C">
        <w:rPr>
          <w:rFonts w:ascii="Times New Roman Bold" w:eastAsia="Calibri" w:hAnsi="Times New Roman Bold"/>
          <w:i w:val="0"/>
          <w:sz w:val="26"/>
          <w:szCs w:val="28"/>
          <w:lang w:val="en-GB"/>
        </w:rPr>
        <w:t xml:space="preserve">. </w:t>
      </w:r>
    </w:p>
    <w:p w14:paraId="6B274115" w14:textId="67D10FE8" w:rsidR="000A38CA" w:rsidRPr="0005391C" w:rsidRDefault="000A38CA" w:rsidP="00CB2AFD">
      <w:pPr>
        <w:spacing w:after="120" w:line="288" w:lineRule="auto"/>
        <w:ind w:firstLine="709"/>
        <w:jc w:val="both"/>
        <w:rPr>
          <w:b w:val="0"/>
          <w:i w:val="0"/>
          <w:color w:val="000000" w:themeColor="text1"/>
          <w:sz w:val="26"/>
          <w:szCs w:val="28"/>
          <w:lang w:val="en-GB"/>
        </w:rPr>
      </w:pPr>
      <w:r w:rsidRPr="0005391C">
        <w:rPr>
          <w:b w:val="0"/>
          <w:i w:val="0"/>
          <w:color w:val="000000" w:themeColor="text1"/>
          <w:sz w:val="26"/>
          <w:szCs w:val="28"/>
          <w:lang w:val="en-GB"/>
        </w:rPr>
        <w:t xml:space="preserve">The number of workers in </w:t>
      </w:r>
      <w:r w:rsidR="000D32A4" w:rsidRPr="0005391C">
        <w:rPr>
          <w:b w:val="0"/>
          <w:i w:val="0"/>
          <w:color w:val="000000" w:themeColor="text1"/>
          <w:sz w:val="26"/>
          <w:szCs w:val="28"/>
          <w:lang w:val="en-GB"/>
        </w:rPr>
        <w:t>AFF</w:t>
      </w:r>
      <w:r w:rsidRPr="0005391C">
        <w:rPr>
          <w:b w:val="0"/>
          <w:i w:val="0"/>
          <w:color w:val="000000" w:themeColor="text1"/>
          <w:sz w:val="26"/>
          <w:szCs w:val="28"/>
          <w:lang w:val="en-GB"/>
        </w:rPr>
        <w:t xml:space="preserve"> sector </w:t>
      </w:r>
      <w:r w:rsidR="000D32A4" w:rsidRPr="0005391C">
        <w:rPr>
          <w:b w:val="0"/>
          <w:i w:val="0"/>
          <w:color w:val="000000" w:themeColor="text1"/>
          <w:sz w:val="26"/>
          <w:szCs w:val="28"/>
          <w:lang w:val="en-GB"/>
        </w:rPr>
        <w:t xml:space="preserve">making products and services </w:t>
      </w:r>
      <w:r w:rsidRPr="0005391C">
        <w:rPr>
          <w:b w:val="0"/>
          <w:i w:val="0"/>
          <w:color w:val="000000" w:themeColor="text1"/>
          <w:sz w:val="26"/>
          <w:szCs w:val="28"/>
          <w:lang w:val="en-GB"/>
        </w:rPr>
        <w:t>for the main purpose of household consumption (commonly referred to as subsistence workers</w:t>
      </w:r>
      <w:r w:rsidR="00CE013A" w:rsidRPr="0005391C">
        <w:rPr>
          <w:b w:val="0"/>
          <w:i w:val="0"/>
          <w:color w:val="000000" w:themeColor="text1"/>
          <w:sz w:val="26"/>
          <w:szCs w:val="28"/>
          <w:vertAlign w:val="superscript"/>
          <w:lang w:val="en-GB"/>
        </w:rPr>
        <w:footnoteReference w:id="10"/>
      </w:r>
      <w:r w:rsidRPr="0005391C">
        <w:rPr>
          <w:b w:val="0"/>
          <w:i w:val="0"/>
          <w:color w:val="000000" w:themeColor="text1"/>
          <w:sz w:val="26"/>
          <w:szCs w:val="28"/>
          <w:lang w:val="en-GB"/>
        </w:rPr>
        <w:t xml:space="preserve">) in the third quarter of 2021 </w:t>
      </w:r>
      <w:r w:rsidR="008B4009" w:rsidRPr="0005391C">
        <w:rPr>
          <w:b w:val="0"/>
          <w:i w:val="0"/>
          <w:color w:val="000000" w:themeColor="text1"/>
          <w:sz w:val="26"/>
          <w:szCs w:val="28"/>
          <w:lang w:val="en-GB"/>
        </w:rPr>
        <w:t xml:space="preserve">was 5.2 million people, </w:t>
      </w:r>
      <w:r w:rsidRPr="0005391C">
        <w:rPr>
          <w:b w:val="0"/>
          <w:i w:val="0"/>
          <w:color w:val="000000" w:themeColor="text1"/>
          <w:sz w:val="26"/>
          <w:szCs w:val="28"/>
          <w:lang w:val="en-GB"/>
        </w:rPr>
        <w:t>an</w:t>
      </w:r>
      <w:r w:rsidR="008B4009" w:rsidRPr="0005391C">
        <w:rPr>
          <w:b w:val="0"/>
          <w:i w:val="0"/>
          <w:color w:val="000000" w:themeColor="text1"/>
          <w:sz w:val="26"/>
          <w:szCs w:val="28"/>
          <w:lang w:val="en-GB"/>
        </w:rPr>
        <w:t xml:space="preserve"> increase of nearly 1 million </w:t>
      </w:r>
      <w:r w:rsidRPr="0005391C">
        <w:rPr>
          <w:b w:val="0"/>
          <w:i w:val="0"/>
          <w:color w:val="000000" w:themeColor="text1"/>
          <w:sz w:val="26"/>
          <w:szCs w:val="28"/>
          <w:lang w:val="en-GB"/>
        </w:rPr>
        <w:t xml:space="preserve">people </w:t>
      </w:r>
      <w:r w:rsidR="0085694E" w:rsidRPr="0005391C">
        <w:rPr>
          <w:b w:val="0"/>
          <w:i w:val="0"/>
          <w:color w:val="000000" w:themeColor="text1"/>
          <w:sz w:val="26"/>
          <w:szCs w:val="28"/>
          <w:lang w:val="en-GB"/>
        </w:rPr>
        <w:t>relative to the</w:t>
      </w:r>
      <w:r w:rsidRPr="0005391C">
        <w:rPr>
          <w:b w:val="0"/>
          <w:i w:val="0"/>
          <w:color w:val="000000" w:themeColor="text1"/>
          <w:sz w:val="26"/>
          <w:szCs w:val="28"/>
          <w:lang w:val="en-GB"/>
        </w:rPr>
        <w:t xml:space="preserve"> previous quarter and an increase of nearly 2 million people </w:t>
      </w:r>
      <w:r w:rsidR="0085694E" w:rsidRPr="0005391C">
        <w:rPr>
          <w:b w:val="0"/>
          <w:i w:val="0"/>
          <w:color w:val="000000" w:themeColor="text1"/>
          <w:sz w:val="26"/>
          <w:szCs w:val="28"/>
          <w:lang w:val="en-GB"/>
        </w:rPr>
        <w:t>relative to the</w:t>
      </w:r>
      <w:r w:rsidR="008B4009" w:rsidRPr="0005391C">
        <w:rPr>
          <w:b w:val="0"/>
          <w:i w:val="0"/>
          <w:color w:val="000000" w:themeColor="text1"/>
          <w:sz w:val="26"/>
          <w:szCs w:val="28"/>
          <w:lang w:val="en-GB"/>
        </w:rPr>
        <w:t xml:space="preserve"> same period last year</w:t>
      </w:r>
      <w:r w:rsidRPr="0005391C">
        <w:rPr>
          <w:b w:val="0"/>
          <w:i w:val="0"/>
          <w:color w:val="000000" w:themeColor="text1"/>
          <w:sz w:val="26"/>
          <w:szCs w:val="28"/>
          <w:lang w:val="en-GB"/>
        </w:rPr>
        <w:t xml:space="preserve">. This number of workers mainly increased in rural areas. Nearly two-thirds of </w:t>
      </w:r>
      <w:r w:rsidR="008B4009" w:rsidRPr="0005391C">
        <w:rPr>
          <w:b w:val="0"/>
          <w:i w:val="0"/>
          <w:color w:val="000000" w:themeColor="text1"/>
          <w:sz w:val="26"/>
          <w:szCs w:val="28"/>
          <w:lang w:val="en-GB"/>
        </w:rPr>
        <w:t>subsistence workers</w:t>
      </w:r>
      <w:r w:rsidRPr="0005391C">
        <w:rPr>
          <w:b w:val="0"/>
          <w:i w:val="0"/>
          <w:color w:val="000000" w:themeColor="text1"/>
          <w:sz w:val="26"/>
          <w:szCs w:val="28"/>
          <w:lang w:val="en-GB"/>
        </w:rPr>
        <w:t xml:space="preserve"> in the third quarter of 2021 </w:t>
      </w:r>
      <w:r w:rsidR="008B4009" w:rsidRPr="0005391C">
        <w:rPr>
          <w:b w:val="0"/>
          <w:i w:val="0"/>
          <w:color w:val="000000" w:themeColor="text1"/>
          <w:sz w:val="26"/>
          <w:szCs w:val="28"/>
          <w:lang w:val="en-GB"/>
        </w:rPr>
        <w:t>were</w:t>
      </w:r>
      <w:r w:rsidRPr="0005391C">
        <w:rPr>
          <w:b w:val="0"/>
          <w:i w:val="0"/>
          <w:color w:val="000000" w:themeColor="text1"/>
          <w:sz w:val="26"/>
          <w:szCs w:val="28"/>
          <w:lang w:val="en-GB"/>
        </w:rPr>
        <w:t xml:space="preserve"> women (62.9%). </w:t>
      </w:r>
      <w:r w:rsidR="008B4009" w:rsidRPr="0005391C">
        <w:rPr>
          <w:b w:val="0"/>
          <w:i w:val="0"/>
          <w:color w:val="000000" w:themeColor="text1"/>
          <w:sz w:val="26"/>
          <w:szCs w:val="28"/>
          <w:lang w:val="en-GB"/>
        </w:rPr>
        <w:t>Subsistence workers were</w:t>
      </w:r>
      <w:r w:rsidRPr="0005391C">
        <w:rPr>
          <w:b w:val="0"/>
          <w:i w:val="0"/>
          <w:color w:val="000000" w:themeColor="text1"/>
          <w:sz w:val="26"/>
          <w:szCs w:val="28"/>
          <w:lang w:val="en-GB"/>
        </w:rPr>
        <w:t xml:space="preserve"> mainly aged 55 and </w:t>
      </w:r>
      <w:r w:rsidR="008B4009" w:rsidRPr="0005391C">
        <w:rPr>
          <w:b w:val="0"/>
          <w:i w:val="0"/>
          <w:color w:val="000000" w:themeColor="text1"/>
          <w:sz w:val="26"/>
          <w:szCs w:val="28"/>
          <w:lang w:val="en-GB"/>
        </w:rPr>
        <w:t>older</w:t>
      </w:r>
      <w:r w:rsidRPr="0005391C">
        <w:rPr>
          <w:b w:val="0"/>
          <w:i w:val="0"/>
          <w:color w:val="000000" w:themeColor="text1"/>
          <w:sz w:val="26"/>
          <w:szCs w:val="28"/>
          <w:lang w:val="en-GB"/>
        </w:rPr>
        <w:t xml:space="preserve"> (accounting for 47.4%). The data also shows that, out of 5.2 million </w:t>
      </w:r>
      <w:r w:rsidR="008B4009" w:rsidRPr="0005391C">
        <w:rPr>
          <w:b w:val="0"/>
          <w:i w:val="0"/>
          <w:color w:val="000000" w:themeColor="text1"/>
          <w:sz w:val="26"/>
          <w:szCs w:val="28"/>
          <w:lang w:val="en-GB"/>
        </w:rPr>
        <w:t>subsistence workers</w:t>
      </w:r>
      <w:r w:rsidRPr="0005391C">
        <w:rPr>
          <w:b w:val="0"/>
          <w:i w:val="0"/>
          <w:color w:val="000000" w:themeColor="text1"/>
          <w:sz w:val="26"/>
          <w:szCs w:val="28"/>
          <w:lang w:val="en-GB"/>
        </w:rPr>
        <w:t xml:space="preserve">, more than 700 thousand people said </w:t>
      </w:r>
      <w:r w:rsidR="008B4009" w:rsidRPr="0005391C">
        <w:rPr>
          <w:b w:val="0"/>
          <w:i w:val="0"/>
          <w:color w:val="000000" w:themeColor="text1"/>
          <w:sz w:val="26"/>
          <w:szCs w:val="28"/>
          <w:lang w:val="en-GB"/>
        </w:rPr>
        <w:t>to have</w:t>
      </w:r>
      <w:r w:rsidRPr="0005391C">
        <w:rPr>
          <w:b w:val="0"/>
          <w:i w:val="0"/>
          <w:color w:val="000000" w:themeColor="text1"/>
          <w:sz w:val="26"/>
          <w:szCs w:val="28"/>
          <w:lang w:val="en-GB"/>
        </w:rPr>
        <w:t xml:space="preserve"> </w:t>
      </w:r>
      <w:r w:rsidR="008B4009" w:rsidRPr="0005391C">
        <w:rPr>
          <w:b w:val="0"/>
          <w:i w:val="0"/>
          <w:color w:val="000000" w:themeColor="text1"/>
          <w:sz w:val="26"/>
          <w:szCs w:val="28"/>
          <w:lang w:val="en-GB"/>
        </w:rPr>
        <w:t xml:space="preserve">been </w:t>
      </w:r>
      <w:r w:rsidRPr="0005391C">
        <w:rPr>
          <w:b w:val="0"/>
          <w:i w:val="0"/>
          <w:color w:val="000000" w:themeColor="text1"/>
          <w:sz w:val="26"/>
          <w:szCs w:val="28"/>
          <w:lang w:val="en-GB"/>
        </w:rPr>
        <w:t>negatively impacted by the Covid-19 pandemic (accounting for 13.9%).</w:t>
      </w:r>
    </w:p>
    <w:p w14:paraId="5DA151B6" w14:textId="10F735FD" w:rsidR="007D739F" w:rsidRPr="0005391C" w:rsidRDefault="00B00857" w:rsidP="00AE75EB">
      <w:pPr>
        <w:ind w:left="1559" w:hanging="1559"/>
        <w:jc w:val="center"/>
        <w:rPr>
          <w:rFonts w:eastAsia="Calibri"/>
          <w:i w:val="0"/>
          <w:szCs w:val="26"/>
          <w:lang w:val="en-GB"/>
        </w:rPr>
      </w:pPr>
      <w:r w:rsidRPr="0005391C">
        <w:rPr>
          <w:rFonts w:eastAsia="Calibri"/>
          <w:i w:val="0"/>
          <w:szCs w:val="26"/>
          <w:lang w:val="en-GB"/>
        </w:rPr>
        <w:t>Figure</w:t>
      </w:r>
      <w:r w:rsidR="00495023" w:rsidRPr="0005391C">
        <w:rPr>
          <w:rFonts w:eastAsia="Calibri"/>
          <w:i w:val="0"/>
          <w:szCs w:val="26"/>
          <w:lang w:val="en-GB"/>
        </w:rPr>
        <w:t xml:space="preserve"> 14: Subsistence workers across quarters, 2019 - 2021</w:t>
      </w:r>
    </w:p>
    <w:p w14:paraId="10C893C7" w14:textId="600D3DF4" w:rsidR="007D739F" w:rsidRPr="0005391C" w:rsidRDefault="0040164B" w:rsidP="0050784A">
      <w:pPr>
        <w:ind w:left="1559" w:hanging="1559"/>
        <w:jc w:val="right"/>
        <w:rPr>
          <w:rFonts w:eastAsia="Calibri"/>
          <w:b w:val="0"/>
          <w:i w:val="0"/>
          <w:szCs w:val="26"/>
          <w:lang w:val="en-GB"/>
        </w:rPr>
      </w:pPr>
      <w:r w:rsidRPr="0005391C">
        <w:rPr>
          <w:rFonts w:eastAsia="Calibri"/>
          <w:b w:val="0"/>
          <w:szCs w:val="26"/>
          <w:lang w:val="en-GB"/>
        </w:rPr>
        <w:t xml:space="preserve">                                                  </w:t>
      </w:r>
      <w:r w:rsidR="00B00857" w:rsidRPr="0005391C">
        <w:rPr>
          <w:rFonts w:eastAsia="Calibri"/>
          <w:b w:val="0"/>
          <w:szCs w:val="26"/>
          <w:lang w:val="en-GB"/>
        </w:rPr>
        <w:t>Unit:</w:t>
      </w:r>
      <w:r w:rsidR="007D739F" w:rsidRPr="0005391C">
        <w:rPr>
          <w:rFonts w:eastAsia="Calibri"/>
          <w:b w:val="0"/>
          <w:szCs w:val="26"/>
          <w:lang w:val="en-GB"/>
        </w:rPr>
        <w:t xml:space="preserve"> </w:t>
      </w:r>
      <w:r w:rsidR="0099720B" w:rsidRPr="0005391C">
        <w:rPr>
          <w:rFonts w:eastAsia="Calibri"/>
          <w:b w:val="0"/>
          <w:szCs w:val="26"/>
          <w:lang w:val="en-GB"/>
        </w:rPr>
        <w:t>Million people</w:t>
      </w:r>
      <w:r w:rsidRPr="0005391C">
        <w:rPr>
          <w:rFonts w:eastAsia="Calibri"/>
          <w:b w:val="0"/>
          <w:i w:val="0"/>
          <w:szCs w:val="26"/>
          <w:lang w:val="en-GB"/>
        </w:rPr>
        <w:t xml:space="preserve">                 </w:t>
      </w:r>
    </w:p>
    <w:p w14:paraId="79D9F8E7" w14:textId="77777777" w:rsidR="007D739F" w:rsidRPr="0005391C" w:rsidRDefault="007D739F" w:rsidP="00AE75EB">
      <w:pPr>
        <w:spacing w:after="120"/>
        <w:jc w:val="center"/>
        <w:rPr>
          <w:rFonts w:eastAsia="Calibri"/>
          <w:b w:val="0"/>
          <w:i w:val="0"/>
          <w:iCs/>
          <w:sz w:val="26"/>
          <w:szCs w:val="28"/>
          <w:lang w:val="en-GB"/>
        </w:rPr>
      </w:pPr>
      <w:r w:rsidRPr="0005391C">
        <w:rPr>
          <w:rFonts w:eastAsia="Calibri"/>
          <w:b w:val="0"/>
          <w:i w:val="0"/>
          <w:iCs/>
          <w:noProof/>
          <w:color w:val="FF0000"/>
          <w:sz w:val="26"/>
          <w:szCs w:val="28"/>
        </w:rPr>
        <w:drawing>
          <wp:inline distT="0" distB="0" distL="0" distR="0" wp14:anchorId="3B8E2430" wp14:editId="136CE21F">
            <wp:extent cx="5486400" cy="2596018"/>
            <wp:effectExtent l="0" t="0" r="0" b="1397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DC1F04C" w14:textId="40044084" w:rsidR="00A45B08" w:rsidRPr="0005391C" w:rsidRDefault="00A45B08" w:rsidP="00CB2AFD">
      <w:pPr>
        <w:spacing w:before="120" w:after="120" w:line="288" w:lineRule="auto"/>
        <w:ind w:firstLine="720"/>
        <w:jc w:val="both"/>
        <w:rPr>
          <w:rFonts w:eastAsia="Calibri"/>
          <w:b w:val="0"/>
          <w:i w:val="0"/>
          <w:iCs/>
          <w:color w:val="000000"/>
          <w:sz w:val="26"/>
          <w:szCs w:val="28"/>
          <w:lang w:val="en-GB"/>
        </w:rPr>
      </w:pPr>
      <w:r w:rsidRPr="0005391C">
        <w:rPr>
          <w:rFonts w:eastAsia="Calibri"/>
          <w:b w:val="0"/>
          <w:i w:val="0"/>
          <w:iCs/>
          <w:color w:val="000000"/>
          <w:sz w:val="26"/>
          <w:szCs w:val="28"/>
          <w:lang w:val="en-GB"/>
        </w:rPr>
        <w:t>On average, each week subsistence workers spent 18.2 hours on agricultural work (equivalent to 2.6 hours/day) and 16.7 hours on housework (equivalent to about 2.3 hours/day).</w:t>
      </w:r>
    </w:p>
    <w:p w14:paraId="780DC113" w14:textId="0F18FB04" w:rsidR="00A45B08" w:rsidRPr="00CB2AFD" w:rsidRDefault="00A45B08" w:rsidP="00CB2AFD">
      <w:pPr>
        <w:spacing w:before="120" w:after="120" w:line="288" w:lineRule="auto"/>
        <w:ind w:firstLine="720"/>
        <w:jc w:val="both"/>
        <w:rPr>
          <w:rFonts w:eastAsia="Calibri"/>
          <w:b w:val="0"/>
          <w:i w:val="0"/>
          <w:iCs/>
          <w:color w:val="000000"/>
          <w:spacing w:val="-4"/>
          <w:sz w:val="26"/>
          <w:szCs w:val="28"/>
          <w:lang w:val="en-GB"/>
        </w:rPr>
      </w:pPr>
      <w:r w:rsidRPr="00CB2AFD">
        <w:rPr>
          <w:rFonts w:eastAsia="Calibri"/>
          <w:b w:val="0"/>
          <w:i w:val="0"/>
          <w:iCs/>
          <w:color w:val="000000"/>
          <w:spacing w:val="-4"/>
          <w:sz w:val="26"/>
          <w:szCs w:val="28"/>
          <w:lang w:val="en-GB"/>
        </w:rPr>
        <w:t xml:space="preserve">Not only did female subsistence workers </w:t>
      </w:r>
      <w:r w:rsidR="00393458" w:rsidRPr="00CB2AFD">
        <w:rPr>
          <w:rFonts w:eastAsia="Calibri"/>
          <w:b w:val="0"/>
          <w:i w:val="0"/>
          <w:iCs/>
          <w:color w:val="000000"/>
          <w:spacing w:val="-4"/>
          <w:sz w:val="26"/>
          <w:szCs w:val="28"/>
          <w:lang w:val="en-GB"/>
        </w:rPr>
        <w:t>spend more average working hours on</w:t>
      </w:r>
      <w:r w:rsidRPr="00CB2AFD">
        <w:rPr>
          <w:rFonts w:eastAsia="Calibri"/>
          <w:b w:val="0"/>
          <w:i w:val="0"/>
          <w:iCs/>
          <w:color w:val="000000"/>
          <w:spacing w:val="-4"/>
          <w:sz w:val="26"/>
          <w:szCs w:val="28"/>
          <w:lang w:val="en-GB"/>
        </w:rPr>
        <w:t xml:space="preserve"> housework than </w:t>
      </w:r>
      <w:r w:rsidR="000D32A4" w:rsidRPr="00CB2AFD">
        <w:rPr>
          <w:rFonts w:eastAsia="Calibri"/>
          <w:b w:val="0"/>
          <w:i w:val="0"/>
          <w:iCs/>
          <w:color w:val="000000"/>
          <w:spacing w:val="-4"/>
          <w:sz w:val="26"/>
          <w:szCs w:val="28"/>
          <w:lang w:val="en-GB"/>
        </w:rPr>
        <w:t xml:space="preserve">male </w:t>
      </w:r>
      <w:r w:rsidR="00393458" w:rsidRPr="00CB2AFD">
        <w:rPr>
          <w:rFonts w:eastAsia="Calibri"/>
          <w:b w:val="0"/>
          <w:i w:val="0"/>
          <w:iCs/>
          <w:color w:val="000000"/>
          <w:spacing w:val="-4"/>
          <w:sz w:val="26"/>
          <w:szCs w:val="28"/>
          <w:lang w:val="en-GB"/>
        </w:rPr>
        <w:t>counterparts</w:t>
      </w:r>
      <w:r w:rsidRPr="00CB2AFD">
        <w:rPr>
          <w:rFonts w:eastAsia="Calibri"/>
          <w:b w:val="0"/>
          <w:i w:val="0"/>
          <w:iCs/>
          <w:color w:val="000000"/>
          <w:spacing w:val="-4"/>
          <w:sz w:val="26"/>
          <w:szCs w:val="28"/>
          <w:lang w:val="en-GB"/>
        </w:rPr>
        <w:t xml:space="preserve">, their average working hours </w:t>
      </w:r>
      <w:r w:rsidR="00393458" w:rsidRPr="00CB2AFD">
        <w:rPr>
          <w:rFonts w:eastAsia="Calibri"/>
          <w:b w:val="0"/>
          <w:i w:val="0"/>
          <w:iCs/>
          <w:color w:val="000000"/>
          <w:spacing w:val="-4"/>
          <w:sz w:val="26"/>
          <w:szCs w:val="28"/>
          <w:lang w:val="en-GB"/>
        </w:rPr>
        <w:t xml:space="preserve">on agricultural work </w:t>
      </w:r>
      <w:r w:rsidRPr="00CB2AFD">
        <w:rPr>
          <w:rFonts w:eastAsia="Calibri"/>
          <w:b w:val="0"/>
          <w:i w:val="0"/>
          <w:iCs/>
          <w:color w:val="000000"/>
          <w:spacing w:val="-4"/>
          <w:sz w:val="26"/>
          <w:szCs w:val="28"/>
          <w:lang w:val="en-GB"/>
        </w:rPr>
        <w:t xml:space="preserve">were also much higher than that of men. On average, </w:t>
      </w:r>
      <w:r w:rsidR="00922158" w:rsidRPr="00CB2AFD">
        <w:rPr>
          <w:rFonts w:eastAsia="Calibri"/>
          <w:b w:val="0"/>
          <w:i w:val="0"/>
          <w:iCs/>
          <w:color w:val="000000"/>
          <w:spacing w:val="-4"/>
          <w:sz w:val="26"/>
          <w:szCs w:val="28"/>
          <w:lang w:val="en-GB"/>
        </w:rPr>
        <w:t xml:space="preserve">female subsistence workers </w:t>
      </w:r>
      <w:r w:rsidRPr="00CB2AFD">
        <w:rPr>
          <w:rFonts w:eastAsia="Calibri"/>
          <w:b w:val="0"/>
          <w:i w:val="0"/>
          <w:iCs/>
          <w:color w:val="000000"/>
          <w:spacing w:val="-4"/>
          <w:sz w:val="26"/>
          <w:szCs w:val="28"/>
          <w:lang w:val="en-GB"/>
        </w:rPr>
        <w:t>spen</w:t>
      </w:r>
      <w:r w:rsidR="00922158" w:rsidRPr="00CB2AFD">
        <w:rPr>
          <w:rFonts w:eastAsia="Calibri"/>
          <w:b w:val="0"/>
          <w:i w:val="0"/>
          <w:iCs/>
          <w:color w:val="000000"/>
          <w:spacing w:val="-4"/>
          <w:sz w:val="26"/>
          <w:szCs w:val="28"/>
          <w:lang w:val="en-GB"/>
        </w:rPr>
        <w:t>t</w:t>
      </w:r>
      <w:r w:rsidRPr="00CB2AFD">
        <w:rPr>
          <w:rFonts w:eastAsia="Calibri"/>
          <w:b w:val="0"/>
          <w:i w:val="0"/>
          <w:iCs/>
          <w:color w:val="000000"/>
          <w:spacing w:val="-4"/>
          <w:sz w:val="26"/>
          <w:szCs w:val="28"/>
          <w:lang w:val="en-GB"/>
        </w:rPr>
        <w:t xml:space="preserve"> 19.7 hours </w:t>
      </w:r>
      <w:r w:rsidR="00605E51" w:rsidRPr="00CB2AFD">
        <w:rPr>
          <w:rFonts w:eastAsia="Calibri"/>
          <w:b w:val="0"/>
          <w:i w:val="0"/>
          <w:iCs/>
          <w:color w:val="000000"/>
          <w:spacing w:val="-4"/>
          <w:sz w:val="26"/>
          <w:szCs w:val="28"/>
          <w:lang w:val="en-GB"/>
        </w:rPr>
        <w:t xml:space="preserve">each week </w:t>
      </w:r>
      <w:r w:rsidRPr="00CB2AFD">
        <w:rPr>
          <w:rFonts w:eastAsia="Calibri"/>
          <w:b w:val="0"/>
          <w:i w:val="0"/>
          <w:iCs/>
          <w:color w:val="000000"/>
          <w:spacing w:val="-4"/>
          <w:sz w:val="26"/>
          <w:szCs w:val="28"/>
          <w:lang w:val="en-GB"/>
        </w:rPr>
        <w:t xml:space="preserve">on unpaid work in the family while this figure for men </w:t>
      </w:r>
      <w:r w:rsidR="00605E51" w:rsidRPr="00CB2AFD">
        <w:rPr>
          <w:rFonts w:eastAsia="Calibri"/>
          <w:b w:val="0"/>
          <w:i w:val="0"/>
          <w:iCs/>
          <w:color w:val="000000"/>
          <w:spacing w:val="-4"/>
          <w:sz w:val="26"/>
          <w:szCs w:val="28"/>
          <w:lang w:val="en-GB"/>
        </w:rPr>
        <w:t>was</w:t>
      </w:r>
      <w:r w:rsidRPr="00CB2AFD">
        <w:rPr>
          <w:rFonts w:eastAsia="Calibri"/>
          <w:b w:val="0"/>
          <w:i w:val="0"/>
          <w:iCs/>
          <w:color w:val="000000"/>
          <w:spacing w:val="-4"/>
          <w:sz w:val="26"/>
          <w:szCs w:val="28"/>
          <w:lang w:val="en-GB"/>
        </w:rPr>
        <w:t xml:space="preserve"> 11.6 hours.</w:t>
      </w:r>
    </w:p>
    <w:p w14:paraId="47D3B571" w14:textId="2AB3A14A" w:rsidR="002C5CFE" w:rsidRPr="0005391C" w:rsidRDefault="002C5CFE" w:rsidP="00CB2AFD">
      <w:pPr>
        <w:spacing w:before="120" w:after="120" w:line="288" w:lineRule="auto"/>
        <w:ind w:firstLine="720"/>
        <w:jc w:val="both"/>
        <w:rPr>
          <w:rFonts w:eastAsia="Calibri"/>
          <w:b w:val="0"/>
          <w:i w:val="0"/>
          <w:iCs/>
          <w:color w:val="000000"/>
          <w:sz w:val="26"/>
          <w:szCs w:val="28"/>
          <w:lang w:val="en-GB"/>
        </w:rPr>
      </w:pPr>
      <w:r w:rsidRPr="0005391C">
        <w:rPr>
          <w:rFonts w:eastAsia="Calibri"/>
          <w:b w:val="0"/>
          <w:i w:val="0"/>
          <w:iCs/>
          <w:color w:val="000000"/>
          <w:sz w:val="26"/>
          <w:szCs w:val="28"/>
          <w:lang w:val="en-GB"/>
        </w:rPr>
        <w:t xml:space="preserve">Most subsistence workers do not have diplomas or certificates (accounting for 92.9%). In the context of an increasingly demanding </w:t>
      </w:r>
      <w:r w:rsidR="005D4523" w:rsidRPr="0005391C">
        <w:rPr>
          <w:rFonts w:eastAsia="Calibri"/>
          <w:b w:val="0"/>
          <w:i w:val="0"/>
          <w:iCs/>
          <w:color w:val="000000"/>
          <w:sz w:val="26"/>
          <w:szCs w:val="28"/>
          <w:lang w:val="en-GB"/>
        </w:rPr>
        <w:t>labour</w:t>
      </w:r>
      <w:r w:rsidRPr="0005391C">
        <w:rPr>
          <w:rFonts w:eastAsia="Calibri"/>
          <w:b w:val="0"/>
          <w:i w:val="0"/>
          <w:iCs/>
          <w:color w:val="000000"/>
          <w:sz w:val="26"/>
          <w:szCs w:val="28"/>
          <w:lang w:val="en-GB"/>
        </w:rPr>
        <w:t xml:space="preserve"> market that puts high requirements for technical competencies and skills, plus strong outbreaks of the Covid-19 pandemic that greatly affect</w:t>
      </w:r>
      <w:r w:rsidR="00F6250D" w:rsidRPr="0005391C">
        <w:rPr>
          <w:rFonts w:eastAsia="Calibri"/>
          <w:b w:val="0"/>
          <w:i w:val="0"/>
          <w:iCs/>
          <w:color w:val="000000"/>
          <w:sz w:val="26"/>
          <w:szCs w:val="28"/>
          <w:lang w:val="en-GB"/>
        </w:rPr>
        <w:t xml:space="preserve"> the employment situation, it will become </w:t>
      </w:r>
      <w:r w:rsidR="0012661F" w:rsidRPr="0005391C">
        <w:rPr>
          <w:rFonts w:eastAsia="Calibri"/>
          <w:b w:val="0"/>
          <w:i w:val="0"/>
          <w:iCs/>
          <w:color w:val="000000"/>
          <w:sz w:val="26"/>
          <w:szCs w:val="28"/>
          <w:lang w:val="en-GB"/>
        </w:rPr>
        <w:t xml:space="preserve">even </w:t>
      </w:r>
      <w:r w:rsidR="00F6250D" w:rsidRPr="0005391C">
        <w:rPr>
          <w:rFonts w:eastAsia="Calibri"/>
          <w:b w:val="0"/>
          <w:i w:val="0"/>
          <w:iCs/>
          <w:color w:val="000000"/>
          <w:sz w:val="26"/>
          <w:szCs w:val="28"/>
          <w:lang w:val="en-GB"/>
        </w:rPr>
        <w:t xml:space="preserve">more difficult for </w:t>
      </w:r>
      <w:r w:rsidRPr="0005391C">
        <w:rPr>
          <w:rFonts w:eastAsia="Calibri"/>
          <w:b w:val="0"/>
          <w:i w:val="0"/>
          <w:iCs/>
          <w:color w:val="000000"/>
          <w:sz w:val="26"/>
          <w:szCs w:val="28"/>
          <w:lang w:val="en-GB"/>
        </w:rPr>
        <w:t xml:space="preserve">this group of workers to secure jobs in the </w:t>
      </w:r>
      <w:r w:rsidR="005D4523" w:rsidRPr="0005391C">
        <w:rPr>
          <w:rFonts w:eastAsia="Calibri"/>
          <w:b w:val="0"/>
          <w:i w:val="0"/>
          <w:iCs/>
          <w:color w:val="000000"/>
          <w:sz w:val="26"/>
          <w:szCs w:val="28"/>
          <w:lang w:val="en-GB"/>
        </w:rPr>
        <w:t>labour</w:t>
      </w:r>
      <w:r w:rsidRPr="0005391C">
        <w:rPr>
          <w:rFonts w:eastAsia="Calibri"/>
          <w:b w:val="0"/>
          <w:i w:val="0"/>
          <w:iCs/>
          <w:color w:val="000000"/>
          <w:sz w:val="26"/>
          <w:szCs w:val="28"/>
          <w:lang w:val="en-GB"/>
        </w:rPr>
        <w:t xml:space="preserve"> marke</w:t>
      </w:r>
      <w:r w:rsidR="00F6250D" w:rsidRPr="0005391C">
        <w:rPr>
          <w:rFonts w:eastAsia="Calibri"/>
          <w:b w:val="0"/>
          <w:i w:val="0"/>
          <w:iCs/>
          <w:color w:val="000000"/>
          <w:sz w:val="26"/>
          <w:szCs w:val="28"/>
          <w:lang w:val="en-GB"/>
        </w:rPr>
        <w:t>t.</w:t>
      </w:r>
    </w:p>
    <w:p w14:paraId="63021AC1" w14:textId="77777777" w:rsidR="00CB2AFD" w:rsidRDefault="00CB2AFD" w:rsidP="00AE75EB">
      <w:pPr>
        <w:spacing w:before="120" w:after="120"/>
        <w:ind w:firstLine="709"/>
        <w:jc w:val="both"/>
        <w:rPr>
          <w:rFonts w:eastAsia="Calibri"/>
          <w:i w:val="0"/>
          <w:sz w:val="26"/>
          <w:szCs w:val="28"/>
          <w:lang w:val="en-GB"/>
        </w:rPr>
      </w:pPr>
    </w:p>
    <w:p w14:paraId="79992A4C" w14:textId="45943D57" w:rsidR="007D739F" w:rsidRPr="0005391C" w:rsidRDefault="007D739F" w:rsidP="00AE75EB">
      <w:pPr>
        <w:spacing w:before="120" w:after="120"/>
        <w:ind w:firstLine="709"/>
        <w:jc w:val="both"/>
        <w:rPr>
          <w:rFonts w:eastAsia="Calibri"/>
          <w:i w:val="0"/>
          <w:sz w:val="26"/>
          <w:szCs w:val="28"/>
          <w:lang w:val="en-GB"/>
        </w:rPr>
      </w:pPr>
      <w:r w:rsidRPr="0005391C">
        <w:rPr>
          <w:rFonts w:eastAsia="Calibri"/>
          <w:i w:val="0"/>
          <w:sz w:val="26"/>
          <w:szCs w:val="28"/>
          <w:lang w:val="en-GB"/>
        </w:rPr>
        <w:t xml:space="preserve">3. </w:t>
      </w:r>
      <w:r w:rsidR="00B00857" w:rsidRPr="0005391C">
        <w:rPr>
          <w:rFonts w:eastAsia="Calibri"/>
          <w:i w:val="0"/>
          <w:sz w:val="26"/>
          <w:szCs w:val="28"/>
          <w:lang w:val="en-GB"/>
        </w:rPr>
        <w:t>Conclusions and recommendations</w:t>
      </w:r>
    </w:p>
    <w:bookmarkEnd w:id="7"/>
    <w:bookmarkEnd w:id="8"/>
    <w:p w14:paraId="36A7FE34" w14:textId="2632A4EA" w:rsidR="003C6D76" w:rsidRPr="0005391C" w:rsidRDefault="003C6D76" w:rsidP="00CB2AFD">
      <w:pPr>
        <w:spacing w:before="120" w:after="120" w:line="288" w:lineRule="auto"/>
        <w:ind w:firstLine="709"/>
        <w:jc w:val="both"/>
        <w:rPr>
          <w:rFonts w:eastAsia="Calibri"/>
          <w:b w:val="0"/>
          <w:i w:val="0"/>
          <w:iCs/>
          <w:spacing w:val="-6"/>
          <w:sz w:val="26"/>
          <w:szCs w:val="28"/>
          <w:lang w:val="en-GB"/>
        </w:rPr>
      </w:pPr>
      <w:r w:rsidRPr="0005391C">
        <w:rPr>
          <w:rFonts w:eastAsia="Calibri"/>
          <w:b w:val="0"/>
          <w:i w:val="0"/>
          <w:iCs/>
          <w:spacing w:val="-6"/>
          <w:sz w:val="26"/>
          <w:szCs w:val="28"/>
          <w:lang w:val="en-GB"/>
        </w:rPr>
        <w:t xml:space="preserve">The fourth outbreak of the Covid-19 pandemic has put heavy pressure on all facets of the Vietnamese economy in general and the </w:t>
      </w:r>
      <w:r w:rsidR="005D4523" w:rsidRPr="0005391C">
        <w:rPr>
          <w:rFonts w:eastAsia="Calibri"/>
          <w:b w:val="0"/>
          <w:i w:val="0"/>
          <w:iCs/>
          <w:spacing w:val="-6"/>
          <w:sz w:val="26"/>
          <w:szCs w:val="28"/>
          <w:lang w:val="en-GB"/>
        </w:rPr>
        <w:t>labour</w:t>
      </w:r>
      <w:r w:rsidRPr="0005391C">
        <w:rPr>
          <w:rFonts w:eastAsia="Calibri"/>
          <w:b w:val="0"/>
          <w:i w:val="0"/>
          <w:iCs/>
          <w:spacing w:val="-6"/>
          <w:sz w:val="26"/>
          <w:szCs w:val="28"/>
          <w:lang w:val="en-GB"/>
        </w:rPr>
        <w:t xml:space="preserve"> market in particular. This fact poses great challenges for the Government in its efforts to achieve the growth targets for 2021. In the light of this situation, the General Statistics Office would like to propose a number of solutions to remove difficulties for the </w:t>
      </w:r>
      <w:r w:rsidR="005D4523" w:rsidRPr="0005391C">
        <w:rPr>
          <w:rFonts w:eastAsia="Calibri"/>
          <w:b w:val="0"/>
          <w:i w:val="0"/>
          <w:iCs/>
          <w:spacing w:val="-6"/>
          <w:sz w:val="26"/>
          <w:szCs w:val="28"/>
          <w:lang w:val="en-GB"/>
        </w:rPr>
        <w:t>labour</w:t>
      </w:r>
      <w:r w:rsidRPr="0005391C">
        <w:rPr>
          <w:rFonts w:eastAsia="Calibri"/>
          <w:b w:val="0"/>
          <w:i w:val="0"/>
          <w:iCs/>
          <w:spacing w:val="-6"/>
          <w:sz w:val="26"/>
          <w:szCs w:val="28"/>
          <w:lang w:val="en-GB"/>
        </w:rPr>
        <w:t xml:space="preserve"> market in the context of the ongoing and unpredictable development</w:t>
      </w:r>
      <w:r w:rsidR="00442465" w:rsidRPr="0005391C">
        <w:rPr>
          <w:rFonts w:eastAsia="Calibri"/>
          <w:b w:val="0"/>
          <w:i w:val="0"/>
          <w:iCs/>
          <w:spacing w:val="-6"/>
          <w:sz w:val="26"/>
          <w:szCs w:val="28"/>
          <w:lang w:val="en-GB"/>
        </w:rPr>
        <w:t>s</w:t>
      </w:r>
      <w:r w:rsidRPr="0005391C">
        <w:rPr>
          <w:rFonts w:eastAsia="Calibri"/>
          <w:b w:val="0"/>
          <w:i w:val="0"/>
          <w:iCs/>
          <w:spacing w:val="-6"/>
          <w:sz w:val="26"/>
          <w:szCs w:val="28"/>
          <w:lang w:val="en-GB"/>
        </w:rPr>
        <w:t xml:space="preserve"> of the Covid-19 pandemic, as follows:</w:t>
      </w:r>
    </w:p>
    <w:p w14:paraId="3C979B32" w14:textId="1A61D988" w:rsidR="00B010D9" w:rsidRPr="0005391C" w:rsidRDefault="00B010D9" w:rsidP="00CB2AFD">
      <w:pPr>
        <w:spacing w:before="120" w:after="120" w:line="288" w:lineRule="auto"/>
        <w:ind w:firstLine="709"/>
        <w:jc w:val="both"/>
        <w:rPr>
          <w:rFonts w:eastAsia="Calibri"/>
          <w:b w:val="0"/>
          <w:i w:val="0"/>
          <w:iCs/>
          <w:spacing w:val="-6"/>
          <w:sz w:val="26"/>
          <w:szCs w:val="28"/>
          <w:lang w:val="en-GB"/>
        </w:rPr>
      </w:pPr>
      <w:r w:rsidRPr="0005391C">
        <w:rPr>
          <w:rFonts w:eastAsia="Calibri"/>
          <w:b w:val="0"/>
          <w:i w:val="0"/>
          <w:iCs/>
          <w:spacing w:val="-6"/>
          <w:sz w:val="26"/>
          <w:szCs w:val="28"/>
          <w:lang w:val="en-GB"/>
        </w:rPr>
        <w:t xml:space="preserve">- </w:t>
      </w:r>
      <w:r w:rsidR="00E72864" w:rsidRPr="0005391C">
        <w:rPr>
          <w:rFonts w:eastAsia="Calibri"/>
          <w:b w:val="0"/>
          <w:i w:val="0"/>
          <w:iCs/>
          <w:spacing w:val="-6"/>
          <w:sz w:val="26"/>
          <w:szCs w:val="28"/>
          <w:lang w:val="en-GB"/>
        </w:rPr>
        <w:t>Strictly</w:t>
      </w:r>
      <w:r w:rsidRPr="0005391C">
        <w:rPr>
          <w:rFonts w:eastAsia="Calibri"/>
          <w:b w:val="0"/>
          <w:i w:val="0"/>
          <w:iCs/>
          <w:spacing w:val="-6"/>
          <w:sz w:val="26"/>
          <w:szCs w:val="28"/>
          <w:lang w:val="en-GB"/>
        </w:rPr>
        <w:t xml:space="preserve"> implement </w:t>
      </w:r>
      <w:r w:rsidR="00E72864" w:rsidRPr="0005391C">
        <w:rPr>
          <w:rFonts w:eastAsia="Calibri"/>
          <w:b w:val="0"/>
          <w:i w:val="0"/>
          <w:iCs/>
          <w:spacing w:val="-6"/>
          <w:sz w:val="26"/>
          <w:szCs w:val="28"/>
          <w:lang w:val="en-GB"/>
        </w:rPr>
        <w:t xml:space="preserve">applicable </w:t>
      </w:r>
      <w:r w:rsidRPr="0005391C">
        <w:rPr>
          <w:rFonts w:eastAsia="Calibri"/>
          <w:b w:val="0"/>
          <w:i w:val="0"/>
          <w:iCs/>
          <w:spacing w:val="-6"/>
          <w:sz w:val="26"/>
          <w:szCs w:val="28"/>
          <w:lang w:val="en-GB"/>
        </w:rPr>
        <w:t xml:space="preserve">measures to bring Covid-19 under control, especially in big cities and </w:t>
      </w:r>
      <w:r w:rsidR="00442465" w:rsidRPr="0005391C">
        <w:rPr>
          <w:rFonts w:eastAsia="Calibri"/>
          <w:b w:val="0"/>
          <w:i w:val="0"/>
          <w:iCs/>
          <w:spacing w:val="-6"/>
          <w:sz w:val="26"/>
          <w:szCs w:val="28"/>
          <w:lang w:val="en-GB"/>
        </w:rPr>
        <w:t>provinces</w:t>
      </w:r>
      <w:r w:rsidRPr="0005391C">
        <w:rPr>
          <w:rFonts w:eastAsia="Calibri"/>
          <w:b w:val="0"/>
          <w:i w:val="0"/>
          <w:iCs/>
          <w:spacing w:val="-6"/>
          <w:sz w:val="26"/>
          <w:szCs w:val="28"/>
          <w:lang w:val="en-GB"/>
        </w:rPr>
        <w:t xml:space="preserve"> with many industrial parks. </w:t>
      </w:r>
      <w:r w:rsidR="00442465" w:rsidRPr="0005391C">
        <w:rPr>
          <w:rFonts w:eastAsia="Calibri"/>
          <w:b w:val="0"/>
          <w:i w:val="0"/>
          <w:iCs/>
          <w:spacing w:val="-6"/>
          <w:sz w:val="26"/>
          <w:szCs w:val="28"/>
          <w:lang w:val="en-GB"/>
        </w:rPr>
        <w:t>Strengthen</w:t>
      </w:r>
      <w:r w:rsidRPr="0005391C">
        <w:rPr>
          <w:rFonts w:eastAsia="Calibri"/>
          <w:b w:val="0"/>
          <w:i w:val="0"/>
          <w:iCs/>
          <w:spacing w:val="-6"/>
          <w:sz w:val="26"/>
          <w:szCs w:val="28"/>
          <w:lang w:val="en-GB"/>
        </w:rPr>
        <w:t xml:space="preserve"> the vaccination stra</w:t>
      </w:r>
      <w:r w:rsidR="00442465" w:rsidRPr="0005391C">
        <w:rPr>
          <w:rFonts w:eastAsia="Calibri"/>
          <w:b w:val="0"/>
          <w:i w:val="0"/>
          <w:iCs/>
          <w:spacing w:val="-6"/>
          <w:sz w:val="26"/>
          <w:szCs w:val="28"/>
          <w:lang w:val="en-GB"/>
        </w:rPr>
        <w:t>tegy by availing of</w:t>
      </w:r>
      <w:r w:rsidRPr="0005391C">
        <w:rPr>
          <w:rFonts w:eastAsia="Calibri"/>
          <w:b w:val="0"/>
          <w:i w:val="0"/>
          <w:iCs/>
          <w:spacing w:val="-6"/>
          <w:sz w:val="26"/>
          <w:szCs w:val="28"/>
          <w:lang w:val="en-GB"/>
        </w:rPr>
        <w:t xml:space="preserve"> all </w:t>
      </w:r>
      <w:r w:rsidR="00442465" w:rsidRPr="0005391C">
        <w:rPr>
          <w:rFonts w:eastAsia="Calibri"/>
          <w:b w:val="0"/>
          <w:i w:val="0"/>
          <w:iCs/>
          <w:spacing w:val="-6"/>
          <w:sz w:val="26"/>
          <w:szCs w:val="28"/>
          <w:lang w:val="en-GB"/>
        </w:rPr>
        <w:t xml:space="preserve">possible </w:t>
      </w:r>
      <w:r w:rsidRPr="0005391C">
        <w:rPr>
          <w:rFonts w:eastAsia="Calibri"/>
          <w:b w:val="0"/>
          <w:i w:val="0"/>
          <w:iCs/>
          <w:spacing w:val="-6"/>
          <w:sz w:val="26"/>
          <w:szCs w:val="28"/>
          <w:lang w:val="en-GB"/>
        </w:rPr>
        <w:t xml:space="preserve">resources to </w:t>
      </w:r>
      <w:r w:rsidR="00442465" w:rsidRPr="0005391C">
        <w:rPr>
          <w:rFonts w:eastAsia="Calibri"/>
          <w:b w:val="0"/>
          <w:i w:val="0"/>
          <w:iCs/>
          <w:spacing w:val="-6"/>
          <w:sz w:val="26"/>
          <w:szCs w:val="28"/>
          <w:lang w:val="en-GB"/>
        </w:rPr>
        <w:t xml:space="preserve">ensure sufficient </w:t>
      </w:r>
      <w:r w:rsidR="007A7FD7" w:rsidRPr="0005391C">
        <w:rPr>
          <w:rFonts w:eastAsia="Calibri"/>
          <w:b w:val="0"/>
          <w:i w:val="0"/>
          <w:iCs/>
          <w:spacing w:val="-6"/>
          <w:sz w:val="26"/>
          <w:szCs w:val="28"/>
          <w:lang w:val="en-GB"/>
        </w:rPr>
        <w:t>Covid-19</w:t>
      </w:r>
      <w:r w:rsidR="00442465" w:rsidRPr="0005391C">
        <w:rPr>
          <w:rFonts w:eastAsia="Calibri"/>
          <w:b w:val="0"/>
          <w:i w:val="0"/>
          <w:iCs/>
          <w:spacing w:val="-6"/>
          <w:sz w:val="26"/>
          <w:szCs w:val="28"/>
          <w:lang w:val="en-GB"/>
        </w:rPr>
        <w:t xml:space="preserve"> vaccination </w:t>
      </w:r>
      <w:r w:rsidRPr="0005391C">
        <w:rPr>
          <w:rFonts w:eastAsia="Calibri"/>
          <w:b w:val="0"/>
          <w:i w:val="0"/>
          <w:iCs/>
          <w:spacing w:val="-6"/>
          <w:sz w:val="26"/>
          <w:szCs w:val="28"/>
          <w:lang w:val="en-GB"/>
        </w:rPr>
        <w:t xml:space="preserve">for the people </w:t>
      </w:r>
      <w:r w:rsidR="00442465" w:rsidRPr="0005391C">
        <w:rPr>
          <w:rFonts w:eastAsia="Calibri"/>
          <w:b w:val="0"/>
          <w:i w:val="0"/>
          <w:iCs/>
          <w:spacing w:val="-6"/>
          <w:sz w:val="26"/>
          <w:szCs w:val="28"/>
          <w:lang w:val="en-GB"/>
        </w:rPr>
        <w:t>towards</w:t>
      </w:r>
      <w:r w:rsidRPr="0005391C">
        <w:rPr>
          <w:rFonts w:eastAsia="Calibri"/>
          <w:b w:val="0"/>
          <w:i w:val="0"/>
          <w:iCs/>
          <w:spacing w:val="-6"/>
          <w:sz w:val="26"/>
          <w:szCs w:val="28"/>
          <w:lang w:val="en-GB"/>
        </w:rPr>
        <w:t xml:space="preserve"> a community immunity mechanism as soon as possible.</w:t>
      </w:r>
    </w:p>
    <w:p w14:paraId="7AC08B50" w14:textId="647B6A43" w:rsidR="00442465" w:rsidRPr="0005391C" w:rsidRDefault="00142C80" w:rsidP="00CB2AFD">
      <w:pPr>
        <w:spacing w:before="120" w:after="120" w:line="288" w:lineRule="auto"/>
        <w:ind w:firstLine="709"/>
        <w:jc w:val="both"/>
        <w:rPr>
          <w:rFonts w:eastAsia="Calibri"/>
          <w:b w:val="0"/>
          <w:i w:val="0"/>
          <w:iCs/>
          <w:spacing w:val="-6"/>
          <w:sz w:val="26"/>
          <w:szCs w:val="28"/>
          <w:lang w:val="en-GB"/>
        </w:rPr>
      </w:pPr>
      <w:r w:rsidRPr="0005391C">
        <w:rPr>
          <w:rFonts w:eastAsia="Calibri"/>
          <w:b w:val="0"/>
          <w:i w:val="0"/>
          <w:iCs/>
          <w:spacing w:val="-6"/>
          <w:sz w:val="26"/>
          <w:szCs w:val="28"/>
          <w:lang w:val="en-GB"/>
        </w:rPr>
        <w:tab/>
        <w:t xml:space="preserve">- </w:t>
      </w:r>
      <w:r w:rsidR="00442465" w:rsidRPr="0005391C">
        <w:rPr>
          <w:rFonts w:eastAsia="Calibri"/>
          <w:b w:val="0"/>
          <w:i w:val="0"/>
          <w:iCs/>
          <w:spacing w:val="-6"/>
          <w:sz w:val="26"/>
          <w:szCs w:val="28"/>
          <w:lang w:val="en-GB"/>
        </w:rPr>
        <w:t>Implement effectively the relief support packages for businesses and workers to recover from the pandemic; develop and implement program</w:t>
      </w:r>
      <w:r w:rsidR="00AE75EB" w:rsidRPr="0005391C">
        <w:rPr>
          <w:rFonts w:eastAsia="Calibri"/>
          <w:b w:val="0"/>
          <w:i w:val="0"/>
          <w:iCs/>
          <w:spacing w:val="-6"/>
          <w:sz w:val="26"/>
          <w:szCs w:val="28"/>
          <w:lang w:val="en-GB"/>
        </w:rPr>
        <w:t>me</w:t>
      </w:r>
      <w:r w:rsidR="00442465" w:rsidRPr="0005391C">
        <w:rPr>
          <w:rFonts w:eastAsia="Calibri"/>
          <w:b w:val="0"/>
          <w:i w:val="0"/>
          <w:iCs/>
          <w:spacing w:val="-6"/>
          <w:sz w:val="26"/>
          <w:szCs w:val="28"/>
          <w:lang w:val="en-GB"/>
        </w:rPr>
        <w:t xml:space="preserve">s and policies that encourage workers, especially young people, to actively and promptly study and upgrade their qualifications and acquire necessary skills in response to the </w:t>
      </w:r>
      <w:r w:rsidR="00AE75EB" w:rsidRPr="0005391C">
        <w:rPr>
          <w:rFonts w:eastAsia="Calibri"/>
          <w:b w:val="0"/>
          <w:i w:val="0"/>
          <w:iCs/>
          <w:spacing w:val="-6"/>
          <w:sz w:val="26"/>
          <w:szCs w:val="28"/>
          <w:lang w:val="en-GB"/>
        </w:rPr>
        <w:t xml:space="preserve">growing </w:t>
      </w:r>
      <w:r w:rsidR="00442465" w:rsidRPr="0005391C">
        <w:rPr>
          <w:rFonts w:eastAsia="Calibri"/>
          <w:b w:val="0"/>
          <w:i w:val="0"/>
          <w:iCs/>
          <w:spacing w:val="-6"/>
          <w:sz w:val="26"/>
          <w:szCs w:val="28"/>
          <w:lang w:val="en-GB"/>
        </w:rPr>
        <w:t xml:space="preserve">requirements of business and production recovery of the economy. </w:t>
      </w:r>
    </w:p>
    <w:p w14:paraId="27801DA4" w14:textId="401FA2A1" w:rsidR="007D739F" w:rsidRPr="0005391C" w:rsidRDefault="00142C80" w:rsidP="00CB2AFD">
      <w:pPr>
        <w:spacing w:before="120" w:after="120" w:line="288" w:lineRule="auto"/>
        <w:ind w:firstLine="709"/>
        <w:jc w:val="both"/>
        <w:rPr>
          <w:rFonts w:eastAsia="Calibri"/>
          <w:b w:val="0"/>
          <w:i w:val="0"/>
          <w:iCs/>
          <w:spacing w:val="-6"/>
          <w:sz w:val="26"/>
          <w:szCs w:val="28"/>
          <w:lang w:val="en-GB"/>
        </w:rPr>
      </w:pPr>
      <w:r w:rsidRPr="0005391C">
        <w:rPr>
          <w:rFonts w:eastAsia="Calibri"/>
          <w:b w:val="0"/>
          <w:i w:val="0"/>
          <w:iCs/>
          <w:spacing w:val="-6"/>
          <w:sz w:val="26"/>
          <w:szCs w:val="28"/>
          <w:lang w:val="en-GB"/>
        </w:rPr>
        <w:tab/>
        <w:t xml:space="preserve">- </w:t>
      </w:r>
      <w:r w:rsidR="00C836CF" w:rsidRPr="0005391C">
        <w:rPr>
          <w:rFonts w:eastAsia="Calibri"/>
          <w:b w:val="0"/>
          <w:i w:val="0"/>
          <w:iCs/>
          <w:spacing w:val="-6"/>
          <w:sz w:val="26"/>
          <w:szCs w:val="28"/>
          <w:lang w:val="en-GB"/>
        </w:rPr>
        <w:t xml:space="preserve">The Government should </w:t>
      </w:r>
      <w:r w:rsidR="00953759" w:rsidRPr="0005391C">
        <w:rPr>
          <w:rFonts w:eastAsia="Calibri"/>
          <w:b w:val="0"/>
          <w:i w:val="0"/>
          <w:iCs/>
          <w:spacing w:val="-6"/>
          <w:sz w:val="26"/>
          <w:szCs w:val="28"/>
          <w:lang w:val="en-GB"/>
        </w:rPr>
        <w:t>formulate</w:t>
      </w:r>
      <w:r w:rsidR="00C836CF" w:rsidRPr="0005391C">
        <w:rPr>
          <w:rFonts w:eastAsia="Calibri"/>
          <w:b w:val="0"/>
          <w:i w:val="0"/>
          <w:iCs/>
          <w:spacing w:val="-6"/>
          <w:sz w:val="26"/>
          <w:szCs w:val="28"/>
          <w:lang w:val="en-GB"/>
        </w:rPr>
        <w:t xml:space="preserve"> policies that encourage provinces to set up official and specialized information channels to update businesses and workers on </w:t>
      </w:r>
      <w:r w:rsidR="00953759" w:rsidRPr="0005391C">
        <w:rPr>
          <w:rFonts w:eastAsia="Calibri"/>
          <w:b w:val="0"/>
          <w:i w:val="0"/>
          <w:iCs/>
          <w:spacing w:val="-6"/>
          <w:sz w:val="26"/>
          <w:szCs w:val="28"/>
          <w:lang w:val="en-GB"/>
        </w:rPr>
        <w:t xml:space="preserve">strategies for </w:t>
      </w:r>
      <w:r w:rsidR="00C836CF" w:rsidRPr="0005391C">
        <w:rPr>
          <w:rFonts w:eastAsia="Calibri"/>
          <w:b w:val="0"/>
          <w:i w:val="0"/>
          <w:iCs/>
          <w:spacing w:val="-6"/>
          <w:sz w:val="26"/>
          <w:szCs w:val="28"/>
          <w:lang w:val="en-GB"/>
        </w:rPr>
        <w:t>economic development, policies</w:t>
      </w:r>
      <w:r w:rsidR="00953759" w:rsidRPr="0005391C">
        <w:rPr>
          <w:rFonts w:eastAsia="Calibri"/>
          <w:b w:val="0"/>
          <w:i w:val="0"/>
          <w:iCs/>
          <w:spacing w:val="-6"/>
          <w:sz w:val="26"/>
          <w:szCs w:val="28"/>
          <w:lang w:val="en-GB"/>
        </w:rPr>
        <w:t xml:space="preserve"> for supporting and attracting workers</w:t>
      </w:r>
      <w:r w:rsidR="00C836CF" w:rsidRPr="0005391C">
        <w:rPr>
          <w:rFonts w:eastAsia="Calibri"/>
          <w:b w:val="0"/>
          <w:i w:val="0"/>
          <w:iCs/>
          <w:spacing w:val="-6"/>
          <w:sz w:val="26"/>
          <w:szCs w:val="28"/>
          <w:lang w:val="en-GB"/>
        </w:rPr>
        <w:t xml:space="preserve">, </w:t>
      </w:r>
      <w:r w:rsidR="00953759" w:rsidRPr="0005391C">
        <w:rPr>
          <w:rFonts w:eastAsia="Calibri"/>
          <w:b w:val="0"/>
          <w:i w:val="0"/>
          <w:iCs/>
          <w:spacing w:val="-6"/>
          <w:sz w:val="26"/>
          <w:szCs w:val="28"/>
          <w:lang w:val="en-GB"/>
        </w:rPr>
        <w:t xml:space="preserve">and </w:t>
      </w:r>
      <w:r w:rsidR="00C836CF" w:rsidRPr="0005391C">
        <w:rPr>
          <w:rFonts w:eastAsia="Calibri"/>
          <w:b w:val="0"/>
          <w:i w:val="0"/>
          <w:iCs/>
          <w:spacing w:val="-6"/>
          <w:sz w:val="26"/>
          <w:szCs w:val="28"/>
          <w:lang w:val="en-GB"/>
        </w:rPr>
        <w:t xml:space="preserve">local testing and </w:t>
      </w:r>
      <w:r w:rsidR="00953759" w:rsidRPr="0005391C">
        <w:rPr>
          <w:rFonts w:eastAsia="Calibri"/>
          <w:b w:val="0"/>
          <w:i w:val="0"/>
          <w:iCs/>
          <w:spacing w:val="-6"/>
          <w:sz w:val="26"/>
          <w:szCs w:val="28"/>
          <w:lang w:val="en-GB"/>
        </w:rPr>
        <w:t>outbreak</w:t>
      </w:r>
      <w:r w:rsidR="00C836CF" w:rsidRPr="0005391C">
        <w:rPr>
          <w:rFonts w:eastAsia="Calibri"/>
          <w:b w:val="0"/>
          <w:i w:val="0"/>
          <w:iCs/>
          <w:spacing w:val="-6"/>
          <w:sz w:val="26"/>
          <w:szCs w:val="28"/>
          <w:lang w:val="en-GB"/>
        </w:rPr>
        <w:t xml:space="preserve"> control plans </w:t>
      </w:r>
      <w:r w:rsidR="00953759" w:rsidRPr="0005391C">
        <w:rPr>
          <w:rFonts w:eastAsia="Calibri"/>
          <w:b w:val="0"/>
          <w:i w:val="0"/>
          <w:iCs/>
          <w:spacing w:val="-6"/>
          <w:sz w:val="26"/>
          <w:szCs w:val="28"/>
          <w:lang w:val="en-GB"/>
        </w:rPr>
        <w:t>so that</w:t>
      </w:r>
      <w:r w:rsidR="00C836CF" w:rsidRPr="0005391C">
        <w:rPr>
          <w:rFonts w:eastAsia="Calibri"/>
          <w:b w:val="0"/>
          <w:i w:val="0"/>
          <w:iCs/>
          <w:spacing w:val="-6"/>
          <w:sz w:val="26"/>
          <w:szCs w:val="28"/>
          <w:lang w:val="en-GB"/>
        </w:rPr>
        <w:t xml:space="preserve"> th</w:t>
      </w:r>
      <w:r w:rsidR="00953759" w:rsidRPr="0005391C">
        <w:rPr>
          <w:rFonts w:eastAsia="Calibri"/>
          <w:b w:val="0"/>
          <w:i w:val="0"/>
          <w:iCs/>
          <w:spacing w:val="-6"/>
          <w:sz w:val="26"/>
          <w:szCs w:val="28"/>
          <w:lang w:val="en-GB"/>
        </w:rPr>
        <w:t>ey can take initiative to</w:t>
      </w:r>
      <w:r w:rsidR="00C836CF" w:rsidRPr="0005391C">
        <w:rPr>
          <w:rFonts w:eastAsia="Calibri"/>
          <w:b w:val="0"/>
          <w:i w:val="0"/>
          <w:iCs/>
          <w:spacing w:val="-6"/>
          <w:sz w:val="26"/>
          <w:szCs w:val="28"/>
          <w:lang w:val="en-GB"/>
        </w:rPr>
        <w:t xml:space="preserve"> </w:t>
      </w:r>
      <w:r w:rsidR="00953759" w:rsidRPr="0005391C">
        <w:rPr>
          <w:rFonts w:eastAsia="Calibri"/>
          <w:b w:val="0"/>
          <w:i w:val="0"/>
          <w:iCs/>
          <w:spacing w:val="-6"/>
          <w:sz w:val="26"/>
          <w:szCs w:val="28"/>
          <w:lang w:val="en-GB"/>
        </w:rPr>
        <w:t xml:space="preserve">formulate their own </w:t>
      </w:r>
      <w:r w:rsidR="00C836CF" w:rsidRPr="0005391C">
        <w:rPr>
          <w:rFonts w:eastAsia="Calibri"/>
          <w:b w:val="0"/>
          <w:i w:val="0"/>
          <w:iCs/>
          <w:spacing w:val="-6"/>
          <w:sz w:val="26"/>
          <w:szCs w:val="28"/>
          <w:lang w:val="en-GB"/>
        </w:rPr>
        <w:t xml:space="preserve">plans </w:t>
      </w:r>
      <w:r w:rsidR="00953759" w:rsidRPr="0005391C">
        <w:rPr>
          <w:rFonts w:eastAsia="Calibri"/>
          <w:b w:val="0"/>
          <w:i w:val="0"/>
          <w:iCs/>
          <w:spacing w:val="-6"/>
          <w:sz w:val="26"/>
          <w:szCs w:val="28"/>
          <w:lang w:val="en-GB"/>
        </w:rPr>
        <w:t>for</w:t>
      </w:r>
      <w:r w:rsidR="00C836CF" w:rsidRPr="0005391C">
        <w:rPr>
          <w:rFonts w:eastAsia="Calibri"/>
          <w:b w:val="0"/>
          <w:i w:val="0"/>
          <w:iCs/>
          <w:spacing w:val="-6"/>
          <w:sz w:val="26"/>
          <w:szCs w:val="28"/>
          <w:lang w:val="en-GB"/>
        </w:rPr>
        <w:t xml:space="preserve"> production</w:t>
      </w:r>
      <w:r w:rsidR="00953759" w:rsidRPr="0005391C">
        <w:rPr>
          <w:rFonts w:eastAsia="Calibri"/>
          <w:b w:val="0"/>
          <w:i w:val="0"/>
          <w:iCs/>
          <w:spacing w:val="-6"/>
          <w:sz w:val="26"/>
          <w:szCs w:val="28"/>
          <w:lang w:val="en-GB"/>
        </w:rPr>
        <w:t xml:space="preserve"> recovery and development</w:t>
      </w:r>
      <w:r w:rsidR="00C836CF" w:rsidRPr="0005391C">
        <w:rPr>
          <w:rFonts w:eastAsia="Calibri"/>
          <w:b w:val="0"/>
          <w:i w:val="0"/>
          <w:iCs/>
          <w:spacing w:val="-6"/>
          <w:sz w:val="26"/>
          <w:szCs w:val="28"/>
          <w:lang w:val="en-GB"/>
        </w:rPr>
        <w:t>.</w:t>
      </w:r>
    </w:p>
    <w:sectPr w:rsidR="007D739F" w:rsidRPr="0005391C" w:rsidSect="00235D5B">
      <w:footerReference w:type="even" r:id="rId22"/>
      <w:footerReference w:type="default" r:id="rId23"/>
      <w:footerReference w:type="first" r:id="rId24"/>
      <w:pgSz w:w="11907" w:h="16839" w:code="9"/>
      <w:pgMar w:top="1138" w:right="1008" w:bottom="1138" w:left="1699" w:header="720" w:footer="56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E8626" w14:textId="77777777" w:rsidR="00207A98" w:rsidRDefault="00207A98" w:rsidP="00FC3FE0">
      <w:r>
        <w:separator/>
      </w:r>
    </w:p>
  </w:endnote>
  <w:endnote w:type="continuationSeparator" w:id="0">
    <w:p w14:paraId="44F3D7E4" w14:textId="77777777" w:rsidR="00207A98" w:rsidRDefault="00207A98" w:rsidP="00FC3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VnTimeH">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044949"/>
      <w:docPartObj>
        <w:docPartGallery w:val="Page Numbers (Bottom of Page)"/>
        <w:docPartUnique/>
      </w:docPartObj>
    </w:sdtPr>
    <w:sdtEndPr>
      <w:rPr>
        <w:b w:val="0"/>
      </w:rPr>
    </w:sdtEndPr>
    <w:sdtContent>
      <w:p w14:paraId="7F149345" w14:textId="021188F1" w:rsidR="00BC479F" w:rsidRPr="008B4EA6" w:rsidRDefault="00BC479F">
        <w:pPr>
          <w:pStyle w:val="Footer"/>
          <w:jc w:val="right"/>
          <w:rPr>
            <w:b w:val="0"/>
          </w:rPr>
        </w:pPr>
        <w:r w:rsidRPr="00117925">
          <w:rPr>
            <w:b w:val="0"/>
            <w:i w:val="0"/>
          </w:rPr>
          <w:fldChar w:fldCharType="begin"/>
        </w:r>
        <w:r w:rsidRPr="00117925">
          <w:rPr>
            <w:b w:val="0"/>
            <w:i w:val="0"/>
          </w:rPr>
          <w:instrText xml:space="preserve"> PAGE   \* MERGEFORMAT </w:instrText>
        </w:r>
        <w:r w:rsidRPr="00117925">
          <w:rPr>
            <w:b w:val="0"/>
            <w:i w:val="0"/>
          </w:rPr>
          <w:fldChar w:fldCharType="separate"/>
        </w:r>
        <w:r w:rsidR="00CB2AFD">
          <w:rPr>
            <w:b w:val="0"/>
            <w:i w:val="0"/>
            <w:noProof/>
          </w:rPr>
          <w:t>2</w:t>
        </w:r>
        <w:r w:rsidRPr="00117925">
          <w:rPr>
            <w:b w:val="0"/>
            <w:i w:val="0"/>
            <w:noProof/>
          </w:rPr>
          <w:fldChar w:fldCharType="end"/>
        </w:r>
      </w:p>
    </w:sdtContent>
  </w:sdt>
  <w:p w14:paraId="5362AC23" w14:textId="77777777" w:rsidR="00BC479F" w:rsidRDefault="00BC47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1102725"/>
      <w:docPartObj>
        <w:docPartGallery w:val="Page Numbers (Bottom of Page)"/>
        <w:docPartUnique/>
      </w:docPartObj>
    </w:sdtPr>
    <w:sdtEndPr>
      <w:rPr>
        <w:b w:val="0"/>
        <w:i w:val="0"/>
      </w:rPr>
    </w:sdtEndPr>
    <w:sdtContent>
      <w:p w14:paraId="44C2A861" w14:textId="300B1AC2" w:rsidR="00BC479F" w:rsidRPr="0064321B" w:rsidRDefault="00BC479F">
        <w:pPr>
          <w:pStyle w:val="Footer"/>
          <w:jc w:val="right"/>
          <w:rPr>
            <w:b w:val="0"/>
            <w:i w:val="0"/>
          </w:rPr>
        </w:pPr>
        <w:r w:rsidRPr="00117925">
          <w:rPr>
            <w:b w:val="0"/>
            <w:i w:val="0"/>
          </w:rPr>
          <w:fldChar w:fldCharType="begin"/>
        </w:r>
        <w:r w:rsidRPr="00117925">
          <w:rPr>
            <w:b w:val="0"/>
            <w:i w:val="0"/>
          </w:rPr>
          <w:instrText xml:space="preserve"> PAGE   \* MERGEFORMAT </w:instrText>
        </w:r>
        <w:r w:rsidRPr="00117925">
          <w:rPr>
            <w:b w:val="0"/>
            <w:i w:val="0"/>
          </w:rPr>
          <w:fldChar w:fldCharType="separate"/>
        </w:r>
        <w:r w:rsidR="00CB2AFD">
          <w:rPr>
            <w:b w:val="0"/>
            <w:i w:val="0"/>
            <w:noProof/>
          </w:rPr>
          <w:t>3</w:t>
        </w:r>
        <w:r w:rsidRPr="00117925">
          <w:rPr>
            <w:b w:val="0"/>
            <w:i w:val="0"/>
            <w:noProof/>
          </w:rPr>
          <w:fldChar w:fldCharType="end"/>
        </w:r>
      </w:p>
    </w:sdtContent>
  </w:sdt>
  <w:p w14:paraId="7AC273C4" w14:textId="77777777" w:rsidR="00BC479F" w:rsidRPr="00C71A29" w:rsidRDefault="00BC479F" w:rsidP="00C71A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071267"/>
      <w:docPartObj>
        <w:docPartGallery w:val="Page Numbers (Bottom of Page)"/>
        <w:docPartUnique/>
      </w:docPartObj>
    </w:sdtPr>
    <w:sdtEndPr>
      <w:rPr>
        <w:b w:val="0"/>
        <w:i w:val="0"/>
      </w:rPr>
    </w:sdtEndPr>
    <w:sdtContent>
      <w:p w14:paraId="015C5F0C" w14:textId="75AF434C" w:rsidR="00BC479F" w:rsidRDefault="00BC479F">
        <w:pPr>
          <w:pStyle w:val="Footer"/>
          <w:jc w:val="right"/>
          <w:rPr>
            <w:b w:val="0"/>
            <w:i w:val="0"/>
          </w:rPr>
        </w:pPr>
        <w:r w:rsidRPr="00117925">
          <w:rPr>
            <w:b w:val="0"/>
            <w:i w:val="0"/>
          </w:rPr>
          <w:fldChar w:fldCharType="begin"/>
        </w:r>
        <w:r w:rsidRPr="00117925">
          <w:rPr>
            <w:b w:val="0"/>
            <w:i w:val="0"/>
          </w:rPr>
          <w:instrText xml:space="preserve"> PAGE   \* MERGEFORMAT </w:instrText>
        </w:r>
        <w:r w:rsidRPr="00117925">
          <w:rPr>
            <w:b w:val="0"/>
            <w:i w:val="0"/>
          </w:rPr>
          <w:fldChar w:fldCharType="separate"/>
        </w:r>
        <w:r w:rsidR="00CB2AFD">
          <w:rPr>
            <w:b w:val="0"/>
            <w:i w:val="0"/>
            <w:noProof/>
          </w:rPr>
          <w:t>1</w:t>
        </w:r>
        <w:r w:rsidRPr="00117925">
          <w:rPr>
            <w:b w:val="0"/>
            <w:i w:val="0"/>
          </w:rPr>
          <w:fldChar w:fldCharType="end"/>
        </w:r>
      </w:p>
    </w:sdtContent>
  </w:sdt>
  <w:p w14:paraId="4FB70A41" w14:textId="77777777" w:rsidR="00BC479F" w:rsidRDefault="00BC47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B884D" w14:textId="77777777" w:rsidR="00207A98" w:rsidRDefault="00207A98" w:rsidP="00FC3FE0">
      <w:r>
        <w:separator/>
      </w:r>
    </w:p>
  </w:footnote>
  <w:footnote w:type="continuationSeparator" w:id="0">
    <w:p w14:paraId="0DB6898B" w14:textId="77777777" w:rsidR="00207A98" w:rsidRDefault="00207A98" w:rsidP="00FC3FE0">
      <w:r>
        <w:continuationSeparator/>
      </w:r>
    </w:p>
  </w:footnote>
  <w:footnote w:id="1">
    <w:p w14:paraId="05944A12" w14:textId="2A3A8F90" w:rsidR="00BC479F" w:rsidRPr="00B205D0" w:rsidRDefault="00BC479F" w:rsidP="0040164B">
      <w:pPr>
        <w:pStyle w:val="FootnoteText"/>
        <w:rPr>
          <w:b w:val="0"/>
        </w:rPr>
      </w:pPr>
      <w:r w:rsidRPr="00B205D0">
        <w:rPr>
          <w:rStyle w:val="FootnoteReference"/>
          <w:b w:val="0"/>
        </w:rPr>
        <w:footnoteRef/>
      </w:r>
      <w:r>
        <w:rPr>
          <w:b w:val="0"/>
        </w:rPr>
        <w:t xml:space="preserve"> </w:t>
      </w:r>
      <w:r w:rsidRPr="005A7FA3">
        <w:rPr>
          <w:b w:val="0"/>
          <w:lang w:val="en-GB"/>
        </w:rPr>
        <w:t xml:space="preserve">The </w:t>
      </w:r>
      <w:r>
        <w:rPr>
          <w:b w:val="0"/>
          <w:lang w:val="en-GB"/>
        </w:rPr>
        <w:t>data</w:t>
      </w:r>
      <w:r w:rsidRPr="005A7FA3">
        <w:rPr>
          <w:b w:val="0"/>
          <w:lang w:val="en-GB"/>
        </w:rPr>
        <w:t xml:space="preserve"> </w:t>
      </w:r>
      <w:r>
        <w:rPr>
          <w:b w:val="0"/>
          <w:lang w:val="en-GB"/>
        </w:rPr>
        <w:t xml:space="preserve">for all quarters in 2019 and </w:t>
      </w:r>
      <w:r w:rsidRPr="005A7FA3">
        <w:rPr>
          <w:b w:val="0"/>
          <w:lang w:val="en-GB"/>
        </w:rPr>
        <w:t xml:space="preserve">2020 in this report are recalculated </w:t>
      </w:r>
      <w:r w:rsidR="00FD3C3B">
        <w:rPr>
          <w:b w:val="0"/>
          <w:lang w:val="en-GB"/>
        </w:rPr>
        <w:t>as per</w:t>
      </w:r>
      <w:r w:rsidRPr="005A7FA3">
        <w:rPr>
          <w:b w:val="0"/>
          <w:lang w:val="en-GB"/>
        </w:rPr>
        <w:t xml:space="preserve"> the new conceptual framework of the International Labour Organization, </w:t>
      </w:r>
      <w:r>
        <w:rPr>
          <w:b w:val="0"/>
          <w:lang w:val="en-GB"/>
        </w:rPr>
        <w:t>the 19</w:t>
      </w:r>
      <w:r w:rsidRPr="009317F4">
        <w:rPr>
          <w:b w:val="0"/>
          <w:vertAlign w:val="superscript"/>
          <w:lang w:val="en-GB"/>
        </w:rPr>
        <w:t>th</w:t>
      </w:r>
      <w:r>
        <w:rPr>
          <w:b w:val="0"/>
          <w:lang w:val="en-GB"/>
        </w:rPr>
        <w:t xml:space="preserve"> </w:t>
      </w:r>
      <w:r w:rsidRPr="009317F4">
        <w:rPr>
          <w:b w:val="0"/>
          <w:lang w:val="en-GB"/>
        </w:rPr>
        <w:t>International Conferenc</w:t>
      </w:r>
      <w:r>
        <w:rPr>
          <w:b w:val="0"/>
          <w:lang w:val="en-GB"/>
        </w:rPr>
        <w:t>e of Labour Statisticians (</w:t>
      </w:r>
      <w:r w:rsidRPr="005A7FA3">
        <w:rPr>
          <w:b w:val="0"/>
          <w:lang w:val="en-GB"/>
        </w:rPr>
        <w:t>ICLS 19</w:t>
      </w:r>
      <w:r>
        <w:rPr>
          <w:b w:val="0"/>
          <w:lang w:val="en-GB"/>
        </w:rPr>
        <w:t>) standards</w:t>
      </w:r>
      <w:r w:rsidRPr="00B205D0">
        <w:rPr>
          <w:b w:val="0"/>
        </w:rPr>
        <w:t xml:space="preserve">. </w:t>
      </w:r>
    </w:p>
  </w:footnote>
  <w:footnote w:id="2">
    <w:p w14:paraId="0C03DAA0" w14:textId="0EEE9F60" w:rsidR="00466218" w:rsidRDefault="00466218" w:rsidP="00466218">
      <w:pPr>
        <w:pStyle w:val="FootnoteText"/>
      </w:pPr>
      <w:r>
        <w:rPr>
          <w:rStyle w:val="FootnoteReference"/>
        </w:rPr>
        <w:footnoteRef/>
      </w:r>
      <w:r>
        <w:t xml:space="preserve"> </w:t>
      </w:r>
      <w:r>
        <w:rPr>
          <w:b w:val="0"/>
        </w:rPr>
        <w:t>Source:</w:t>
      </w:r>
      <w:r w:rsidRPr="00EA60D0">
        <w:rPr>
          <w:b w:val="0"/>
        </w:rPr>
        <w:t xml:space="preserve"> </w:t>
      </w:r>
      <w:r w:rsidRPr="001C6B98">
        <w:rPr>
          <w:b w:val="0"/>
        </w:rPr>
        <w:t>https://www.reuters.com/business/imf-sees-global-gdp-2021-slightly-below-prior-forecast-6-2021-10-05/</w:t>
      </w:r>
    </w:p>
  </w:footnote>
  <w:footnote w:id="3">
    <w:p w14:paraId="139B3411" w14:textId="57B5E0FF" w:rsidR="00466218" w:rsidRDefault="00466218">
      <w:pPr>
        <w:pStyle w:val="FootnoteText"/>
      </w:pPr>
      <w:r>
        <w:rPr>
          <w:rStyle w:val="FootnoteReference"/>
        </w:rPr>
        <w:footnoteRef/>
      </w:r>
      <w:r>
        <w:t xml:space="preserve"> </w:t>
      </w:r>
      <w:r w:rsidRPr="00466218">
        <w:rPr>
          <w:b w:val="0"/>
        </w:rPr>
        <w:t>Updated edition of Asian Economic Outlook 2021, September 2021</w:t>
      </w:r>
      <w:r>
        <w:rPr>
          <w:b w:val="0"/>
        </w:rPr>
        <w:t>.</w:t>
      </w:r>
    </w:p>
  </w:footnote>
  <w:footnote w:id="4">
    <w:p w14:paraId="4E659B7B" w14:textId="010A0A42" w:rsidR="00466218" w:rsidRDefault="00466218">
      <w:pPr>
        <w:pStyle w:val="FootnoteText"/>
      </w:pPr>
      <w:r>
        <w:rPr>
          <w:rStyle w:val="FootnoteReference"/>
        </w:rPr>
        <w:footnoteRef/>
      </w:r>
      <w:r>
        <w:t xml:space="preserve"> </w:t>
      </w:r>
      <w:r>
        <w:rPr>
          <w:b w:val="0"/>
        </w:rPr>
        <w:t>Source</w:t>
      </w:r>
      <w:r w:rsidRPr="007319B5">
        <w:rPr>
          <w:b w:val="0"/>
        </w:rPr>
        <w:t>:</w:t>
      </w:r>
      <w:r>
        <w:t xml:space="preserve"> </w:t>
      </w:r>
      <w:r w:rsidRPr="007319B5">
        <w:rPr>
          <w:b w:val="0"/>
        </w:rPr>
        <w:t>https://www.ilo.org/global/about-the-ilo/newsroom/news/WCMS_794834/lang--en/index.htm</w:t>
      </w:r>
    </w:p>
  </w:footnote>
  <w:footnote w:id="5">
    <w:p w14:paraId="41342F95" w14:textId="66F9CF31" w:rsidR="002B1C86" w:rsidRDefault="002B1C86">
      <w:pPr>
        <w:pStyle w:val="FootnoteText"/>
      </w:pPr>
      <w:r>
        <w:rPr>
          <w:rStyle w:val="FootnoteReference"/>
        </w:rPr>
        <w:footnoteRef/>
      </w:r>
      <w:r>
        <w:t xml:space="preserve"> </w:t>
      </w:r>
      <w:r>
        <w:rPr>
          <w:b w:val="0"/>
        </w:rPr>
        <w:t>Source</w:t>
      </w:r>
      <w:r w:rsidRPr="007319B5">
        <w:rPr>
          <w:b w:val="0"/>
        </w:rPr>
        <w:t>:</w:t>
      </w:r>
      <w:r>
        <w:t xml:space="preserve"> </w:t>
      </w:r>
      <w:r w:rsidRPr="007319B5">
        <w:rPr>
          <w:b w:val="0"/>
        </w:rPr>
        <w:t>https://www.ilo.org/hanoi/Informationresources/Publicinformation/Pressreleases/WCMS_816652/lang--vi/index.htm</w:t>
      </w:r>
    </w:p>
  </w:footnote>
  <w:footnote w:id="6">
    <w:p w14:paraId="2F767E68" w14:textId="51701AC4" w:rsidR="00BC479F" w:rsidRPr="00AA2AF8" w:rsidRDefault="00BC479F" w:rsidP="0040164B">
      <w:pPr>
        <w:pStyle w:val="FootnoteText"/>
        <w:jc w:val="both"/>
        <w:rPr>
          <w:b w:val="0"/>
        </w:rPr>
      </w:pPr>
      <w:r>
        <w:rPr>
          <w:rStyle w:val="FootnoteReference"/>
        </w:rPr>
        <w:footnoteRef/>
      </w:r>
      <w:r>
        <w:t xml:space="preserve"> </w:t>
      </w:r>
      <w:r w:rsidR="007B26C1">
        <w:rPr>
          <w:b w:val="0"/>
        </w:rPr>
        <w:t xml:space="preserve">The </w:t>
      </w:r>
      <w:r w:rsidRPr="00AA2AF8">
        <w:rPr>
          <w:b w:val="0"/>
        </w:rPr>
        <w:t xml:space="preserve">informal employment </w:t>
      </w:r>
      <w:r w:rsidR="007B26C1">
        <w:rPr>
          <w:b w:val="0"/>
        </w:rPr>
        <w:t xml:space="preserve">rate </w:t>
      </w:r>
      <w:r w:rsidRPr="00AA2AF8">
        <w:rPr>
          <w:b w:val="0"/>
        </w:rPr>
        <w:t>including agriculture in the third quarter of 2021 was 68.1%, down 0.7 percentage points from the previous quarter and down 0.4 percentage points</w:t>
      </w:r>
      <w:r>
        <w:rPr>
          <w:b w:val="0"/>
        </w:rPr>
        <w:t xml:space="preserve"> from the same period last year.</w:t>
      </w:r>
    </w:p>
  </w:footnote>
  <w:footnote w:id="7">
    <w:p w14:paraId="2D207731" w14:textId="1D7E1349" w:rsidR="00C65962" w:rsidRPr="00C65962" w:rsidRDefault="00C65962" w:rsidP="00C65962">
      <w:pPr>
        <w:pStyle w:val="FootnoteText"/>
        <w:spacing w:before="120"/>
        <w:ind w:left="142" w:hanging="142"/>
        <w:jc w:val="both"/>
        <w:rPr>
          <w:lang w:val="en-GB"/>
        </w:rPr>
      </w:pPr>
      <w:r>
        <w:rPr>
          <w:rStyle w:val="FootnoteReference"/>
        </w:rPr>
        <w:footnoteRef/>
      </w:r>
      <w:r>
        <w:t xml:space="preserve"> </w:t>
      </w:r>
      <w:r w:rsidRPr="00C65962">
        <w:rPr>
          <w:b w:val="0"/>
        </w:rPr>
        <w:t>Statutory</w:t>
      </w:r>
      <w:r>
        <w:t xml:space="preserve"> </w:t>
      </w:r>
      <w:r>
        <w:rPr>
          <w:rFonts w:ascii="Times New Roman Italic" w:hAnsi="Times New Roman Italic"/>
          <w:b w:val="0"/>
          <w:spacing w:val="-8"/>
          <w:lang w:val="en-GB"/>
        </w:rPr>
        <w:t>w</w:t>
      </w:r>
      <w:r w:rsidRPr="004C207F">
        <w:rPr>
          <w:rFonts w:ascii="Times New Roman Italic" w:hAnsi="Times New Roman Italic"/>
          <w:b w:val="0"/>
          <w:spacing w:val="-8"/>
          <w:lang w:val="en-GB"/>
        </w:rPr>
        <w:t>orking-age includes: male from 15 to 59 and female from 15 to 54 (from 2020 and earlier); Male from 15 to 60 years old 3 months and female from 15 to 55 years old 4 months (as from 2021 - according to the 2019 Labour Code).</w:t>
      </w:r>
    </w:p>
  </w:footnote>
  <w:footnote w:id="8">
    <w:p w14:paraId="5C41D2A0" w14:textId="59C68305" w:rsidR="00BC479F" w:rsidRPr="007F2624" w:rsidRDefault="00BC479F" w:rsidP="0040164B">
      <w:pPr>
        <w:pStyle w:val="FootnoteText"/>
        <w:jc w:val="both"/>
        <w:rPr>
          <w:b w:val="0"/>
        </w:rPr>
      </w:pPr>
      <w:r>
        <w:rPr>
          <w:rStyle w:val="FootnoteReference"/>
        </w:rPr>
        <w:footnoteRef/>
      </w:r>
      <w:r>
        <w:t xml:space="preserve"> </w:t>
      </w:r>
      <w:r w:rsidRPr="00BF5941">
        <w:rPr>
          <w:b w:val="0"/>
        </w:rPr>
        <w:t xml:space="preserve">In the third quarter of 2020, the underemployment rate </w:t>
      </w:r>
      <w:r>
        <w:rPr>
          <w:b w:val="0"/>
        </w:rPr>
        <w:t xml:space="preserve">was 1.96% </w:t>
      </w:r>
      <w:r w:rsidRPr="00BF5941">
        <w:rPr>
          <w:b w:val="0"/>
        </w:rPr>
        <w:t>in urban areas</w:t>
      </w:r>
      <w:r>
        <w:rPr>
          <w:b w:val="0"/>
        </w:rPr>
        <w:t xml:space="preserve"> and</w:t>
      </w:r>
      <w:r w:rsidRPr="00BF5941">
        <w:rPr>
          <w:b w:val="0"/>
        </w:rPr>
        <w:t xml:space="preserve"> 3.14%</w:t>
      </w:r>
      <w:r>
        <w:rPr>
          <w:b w:val="0"/>
        </w:rPr>
        <w:t xml:space="preserve"> </w:t>
      </w:r>
      <w:r w:rsidRPr="00BF5941">
        <w:rPr>
          <w:b w:val="0"/>
        </w:rPr>
        <w:t>in rural areas. In the third quarter of 2019, the underemployment rate was 0.63%</w:t>
      </w:r>
      <w:r>
        <w:rPr>
          <w:b w:val="0"/>
        </w:rPr>
        <w:t xml:space="preserve"> </w:t>
      </w:r>
      <w:r w:rsidRPr="00BF5941">
        <w:rPr>
          <w:b w:val="0"/>
        </w:rPr>
        <w:t xml:space="preserve">in </w:t>
      </w:r>
      <w:r>
        <w:rPr>
          <w:b w:val="0"/>
        </w:rPr>
        <w:t xml:space="preserve">urban area </w:t>
      </w:r>
      <w:r w:rsidRPr="00BF5941">
        <w:rPr>
          <w:b w:val="0"/>
        </w:rPr>
        <w:t>1.63%</w:t>
      </w:r>
      <w:r>
        <w:rPr>
          <w:b w:val="0"/>
        </w:rPr>
        <w:t xml:space="preserve"> in rural areas</w:t>
      </w:r>
    </w:p>
  </w:footnote>
  <w:footnote w:id="9">
    <w:p w14:paraId="6F27CA2A" w14:textId="77777777" w:rsidR="00C02FEB" w:rsidRPr="005A7FA3" w:rsidRDefault="00C02FEB" w:rsidP="0040164B">
      <w:pPr>
        <w:pStyle w:val="FootnoteText"/>
        <w:jc w:val="both"/>
        <w:rPr>
          <w:lang w:val="en-GB"/>
        </w:rPr>
      </w:pPr>
      <w:r w:rsidRPr="005A7FA3">
        <w:rPr>
          <w:rStyle w:val="FootnoteReference"/>
          <w:i w:val="0"/>
          <w:lang w:val="en-GB"/>
        </w:rPr>
        <w:footnoteRef/>
      </w:r>
      <w:r w:rsidRPr="005A7FA3">
        <w:rPr>
          <w:lang w:val="en-GB"/>
        </w:rPr>
        <w:t xml:space="preserve"> </w:t>
      </w:r>
      <w:r w:rsidRPr="005A7FA3">
        <w:rPr>
          <w:b w:val="0"/>
          <w:lang w:val="en-GB"/>
        </w:rPr>
        <w:t>Workers who have a need to work but do not have enough work (also known as underutilized workers/labour underutilization) include the unemployed, underemployed, and those outside the labour force who are available for employment although they are not seeking or who are seeking employment although they are not immediately available. Labour underutilization rate is expressed by workers who have a need to work but do not have enough work as a share of the total workers with a need to work in the economy.</w:t>
      </w:r>
    </w:p>
  </w:footnote>
  <w:footnote w:id="10">
    <w:p w14:paraId="14926E35" w14:textId="1AC049F1" w:rsidR="00CE013A" w:rsidRDefault="00CE013A" w:rsidP="0040164B">
      <w:pPr>
        <w:pStyle w:val="FootnoteText"/>
      </w:pPr>
      <w:r>
        <w:rPr>
          <w:rStyle w:val="FootnoteReference"/>
        </w:rPr>
        <w:footnoteRef/>
      </w:r>
      <w:r>
        <w:t xml:space="preserve"> </w:t>
      </w:r>
      <w:r w:rsidR="007A7FD7">
        <w:rPr>
          <w:rFonts w:eastAsia="Calibri"/>
          <w:b w:val="0"/>
          <w:iCs/>
          <w:color w:val="000000" w:themeColor="text1"/>
        </w:rPr>
        <w:t>“</w:t>
      </w:r>
      <w:r w:rsidRPr="00CE013A">
        <w:rPr>
          <w:rFonts w:eastAsia="Calibri"/>
          <w:b w:val="0"/>
          <w:iCs/>
          <w:color w:val="000000" w:themeColor="text1"/>
        </w:rPr>
        <w:t>Subsistence workers</w:t>
      </w:r>
      <w:r w:rsidR="007A7FD7">
        <w:rPr>
          <w:rFonts w:eastAsia="Calibri"/>
          <w:b w:val="0"/>
          <w:iCs/>
          <w:color w:val="000000" w:themeColor="text1"/>
        </w:rPr>
        <w:t>”</w:t>
      </w:r>
      <w:r w:rsidRPr="00CE013A">
        <w:rPr>
          <w:rFonts w:eastAsia="Calibri"/>
          <w:b w:val="0"/>
          <w:iCs/>
          <w:color w:val="000000" w:themeColor="text1"/>
        </w:rPr>
        <w:t xml:space="preserve"> means workers in the </w:t>
      </w:r>
      <w:r w:rsidR="000D32A4">
        <w:rPr>
          <w:rFonts w:eastAsia="Calibri"/>
          <w:b w:val="0"/>
          <w:iCs/>
          <w:color w:val="000000" w:themeColor="text1"/>
        </w:rPr>
        <w:t>AFF</w:t>
      </w:r>
      <w:r w:rsidRPr="00CE013A">
        <w:rPr>
          <w:rFonts w:eastAsia="Calibri"/>
          <w:b w:val="0"/>
          <w:iCs/>
          <w:color w:val="000000" w:themeColor="text1"/>
        </w:rPr>
        <w:t xml:space="preserve"> sector that make products </w:t>
      </w:r>
      <w:r w:rsidR="000D32A4">
        <w:rPr>
          <w:rFonts w:eastAsia="Calibri"/>
          <w:b w:val="0"/>
          <w:iCs/>
          <w:color w:val="000000" w:themeColor="text1"/>
        </w:rPr>
        <w:t xml:space="preserve">and services </w:t>
      </w:r>
      <w:r w:rsidRPr="00CE013A">
        <w:rPr>
          <w:rFonts w:eastAsia="Calibri"/>
          <w:b w:val="0"/>
          <w:iCs/>
          <w:color w:val="000000" w:themeColor="text1"/>
        </w:rPr>
        <w:t>for the main purp</w:t>
      </w:r>
      <w:r>
        <w:rPr>
          <w:rFonts w:eastAsia="Calibri"/>
          <w:b w:val="0"/>
          <w:iCs/>
          <w:color w:val="000000" w:themeColor="text1"/>
        </w:rPr>
        <w:t>ose of individual</w:t>
      </w:r>
      <w:r w:rsidRPr="00CE013A">
        <w:rPr>
          <w:rFonts w:eastAsia="Calibri"/>
          <w:b w:val="0"/>
          <w:iCs/>
          <w:color w:val="000000" w:themeColor="text1"/>
        </w:rPr>
        <w:t xml:space="preserve"> and </w:t>
      </w:r>
      <w:r>
        <w:rPr>
          <w:rFonts w:eastAsia="Calibri"/>
          <w:b w:val="0"/>
          <w:iCs/>
          <w:color w:val="000000" w:themeColor="text1"/>
        </w:rPr>
        <w:t>household consumptions.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F2B66"/>
    <w:multiLevelType w:val="hybridMultilevel"/>
    <w:tmpl w:val="08FE6DD8"/>
    <w:lvl w:ilvl="0" w:tplc="6178A9FE">
      <w:start w:val="4"/>
      <w:numFmt w:val="lowerLetter"/>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D045EF"/>
    <w:multiLevelType w:val="hybridMultilevel"/>
    <w:tmpl w:val="71BEE550"/>
    <w:lvl w:ilvl="0" w:tplc="E990D258">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10740F3"/>
    <w:multiLevelType w:val="hybridMultilevel"/>
    <w:tmpl w:val="F13EA11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2603D7"/>
    <w:multiLevelType w:val="hybridMultilevel"/>
    <w:tmpl w:val="BC5A3D6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E1181C"/>
    <w:multiLevelType w:val="hybridMultilevel"/>
    <w:tmpl w:val="09C6435A"/>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3F705F"/>
    <w:multiLevelType w:val="hybridMultilevel"/>
    <w:tmpl w:val="1B4A3C8C"/>
    <w:lvl w:ilvl="0" w:tplc="DD2698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9EF22FE"/>
    <w:multiLevelType w:val="hybridMultilevel"/>
    <w:tmpl w:val="33023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166907"/>
    <w:multiLevelType w:val="hybridMultilevel"/>
    <w:tmpl w:val="A6B60970"/>
    <w:lvl w:ilvl="0" w:tplc="718215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C0C3594"/>
    <w:multiLevelType w:val="hybridMultilevel"/>
    <w:tmpl w:val="68702B3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067C04"/>
    <w:multiLevelType w:val="hybridMultilevel"/>
    <w:tmpl w:val="48EE67BC"/>
    <w:lvl w:ilvl="0" w:tplc="E200DF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9AC5D6B"/>
    <w:multiLevelType w:val="hybridMultilevel"/>
    <w:tmpl w:val="15606A68"/>
    <w:lvl w:ilvl="0" w:tplc="15DE59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B11050"/>
    <w:multiLevelType w:val="hybridMultilevel"/>
    <w:tmpl w:val="2806CD54"/>
    <w:lvl w:ilvl="0" w:tplc="674434AC">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EE070A4"/>
    <w:multiLevelType w:val="multilevel"/>
    <w:tmpl w:val="D5769F7E"/>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3" w15:restartNumberingAfterBreak="0">
    <w:nsid w:val="693C6C91"/>
    <w:multiLevelType w:val="hybridMultilevel"/>
    <w:tmpl w:val="BCB03B5E"/>
    <w:lvl w:ilvl="0" w:tplc="BB3C6C6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BB1292D"/>
    <w:multiLevelType w:val="hybridMultilevel"/>
    <w:tmpl w:val="51547E52"/>
    <w:lvl w:ilvl="0" w:tplc="A53EA68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DD0D6D"/>
    <w:multiLevelType w:val="hybridMultilevel"/>
    <w:tmpl w:val="952E79A2"/>
    <w:lvl w:ilvl="0" w:tplc="8CAC4D3E">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AD3882"/>
    <w:multiLevelType w:val="hybridMultilevel"/>
    <w:tmpl w:val="61AA2040"/>
    <w:lvl w:ilvl="0" w:tplc="8A844E90">
      <w:start w:val="3"/>
      <w:numFmt w:val="bullet"/>
      <w:lvlText w:val="-"/>
      <w:lvlJc w:val="left"/>
      <w:pPr>
        <w:ind w:left="3375" w:hanging="360"/>
      </w:pPr>
      <w:rPr>
        <w:rFonts w:ascii="Times New Roman" w:eastAsia="Times New Roman" w:hAnsi="Times New Roman" w:cs="Times New Roman" w:hint="default"/>
      </w:rPr>
    </w:lvl>
    <w:lvl w:ilvl="1" w:tplc="04090003" w:tentative="1">
      <w:start w:val="1"/>
      <w:numFmt w:val="bullet"/>
      <w:lvlText w:val="o"/>
      <w:lvlJc w:val="left"/>
      <w:pPr>
        <w:ind w:left="4095" w:hanging="360"/>
      </w:pPr>
      <w:rPr>
        <w:rFonts w:ascii="Courier New" w:hAnsi="Courier New" w:cs="Courier New" w:hint="default"/>
      </w:rPr>
    </w:lvl>
    <w:lvl w:ilvl="2" w:tplc="04090005" w:tentative="1">
      <w:start w:val="1"/>
      <w:numFmt w:val="bullet"/>
      <w:lvlText w:val=""/>
      <w:lvlJc w:val="left"/>
      <w:pPr>
        <w:ind w:left="4815" w:hanging="360"/>
      </w:pPr>
      <w:rPr>
        <w:rFonts w:ascii="Wingdings" w:hAnsi="Wingdings" w:hint="default"/>
      </w:rPr>
    </w:lvl>
    <w:lvl w:ilvl="3" w:tplc="04090001" w:tentative="1">
      <w:start w:val="1"/>
      <w:numFmt w:val="bullet"/>
      <w:lvlText w:val=""/>
      <w:lvlJc w:val="left"/>
      <w:pPr>
        <w:ind w:left="5535" w:hanging="360"/>
      </w:pPr>
      <w:rPr>
        <w:rFonts w:ascii="Symbol" w:hAnsi="Symbol" w:hint="default"/>
      </w:rPr>
    </w:lvl>
    <w:lvl w:ilvl="4" w:tplc="04090003" w:tentative="1">
      <w:start w:val="1"/>
      <w:numFmt w:val="bullet"/>
      <w:lvlText w:val="o"/>
      <w:lvlJc w:val="left"/>
      <w:pPr>
        <w:ind w:left="6255" w:hanging="360"/>
      </w:pPr>
      <w:rPr>
        <w:rFonts w:ascii="Courier New" w:hAnsi="Courier New" w:cs="Courier New" w:hint="default"/>
      </w:rPr>
    </w:lvl>
    <w:lvl w:ilvl="5" w:tplc="04090005" w:tentative="1">
      <w:start w:val="1"/>
      <w:numFmt w:val="bullet"/>
      <w:lvlText w:val=""/>
      <w:lvlJc w:val="left"/>
      <w:pPr>
        <w:ind w:left="6975" w:hanging="360"/>
      </w:pPr>
      <w:rPr>
        <w:rFonts w:ascii="Wingdings" w:hAnsi="Wingdings" w:hint="default"/>
      </w:rPr>
    </w:lvl>
    <w:lvl w:ilvl="6" w:tplc="04090001" w:tentative="1">
      <w:start w:val="1"/>
      <w:numFmt w:val="bullet"/>
      <w:lvlText w:val=""/>
      <w:lvlJc w:val="left"/>
      <w:pPr>
        <w:ind w:left="7695" w:hanging="360"/>
      </w:pPr>
      <w:rPr>
        <w:rFonts w:ascii="Symbol" w:hAnsi="Symbol" w:hint="default"/>
      </w:rPr>
    </w:lvl>
    <w:lvl w:ilvl="7" w:tplc="04090003" w:tentative="1">
      <w:start w:val="1"/>
      <w:numFmt w:val="bullet"/>
      <w:lvlText w:val="o"/>
      <w:lvlJc w:val="left"/>
      <w:pPr>
        <w:ind w:left="8415" w:hanging="360"/>
      </w:pPr>
      <w:rPr>
        <w:rFonts w:ascii="Courier New" w:hAnsi="Courier New" w:cs="Courier New" w:hint="default"/>
      </w:rPr>
    </w:lvl>
    <w:lvl w:ilvl="8" w:tplc="04090005" w:tentative="1">
      <w:start w:val="1"/>
      <w:numFmt w:val="bullet"/>
      <w:lvlText w:val=""/>
      <w:lvlJc w:val="left"/>
      <w:pPr>
        <w:ind w:left="9135" w:hanging="360"/>
      </w:pPr>
      <w:rPr>
        <w:rFonts w:ascii="Wingdings" w:hAnsi="Wingdings" w:hint="default"/>
      </w:rPr>
    </w:lvl>
  </w:abstractNum>
  <w:abstractNum w:abstractNumId="17" w15:restartNumberingAfterBreak="0">
    <w:nsid w:val="753250AB"/>
    <w:multiLevelType w:val="hybridMultilevel"/>
    <w:tmpl w:val="95B2543A"/>
    <w:lvl w:ilvl="0" w:tplc="F9B2AAF2">
      <w:start w:val="1"/>
      <w:numFmt w:val="decimal"/>
      <w:lvlText w:val="%1."/>
      <w:lvlJc w:val="left"/>
      <w:pPr>
        <w:ind w:left="1080" w:hanging="360"/>
      </w:pPr>
      <w:rPr>
        <w:rFonts w:ascii="Calibri" w:hAnsi="Calibri"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7D46413"/>
    <w:multiLevelType w:val="hybridMultilevel"/>
    <w:tmpl w:val="4C584D10"/>
    <w:lvl w:ilvl="0" w:tplc="043606A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F1E66A0"/>
    <w:multiLevelType w:val="hybridMultilevel"/>
    <w:tmpl w:val="CBF02B64"/>
    <w:lvl w:ilvl="0" w:tplc="C464B114">
      <w:start w:val="1"/>
      <w:numFmt w:val="decimal"/>
      <w:lvlText w:val="%1."/>
      <w:lvlJc w:val="left"/>
      <w:pPr>
        <w:ind w:left="4046" w:hanging="360"/>
      </w:pPr>
      <w:rPr>
        <w:rFonts w:hint="default"/>
      </w:rPr>
    </w:lvl>
    <w:lvl w:ilvl="1" w:tplc="04090019" w:tentative="1">
      <w:start w:val="1"/>
      <w:numFmt w:val="lowerLetter"/>
      <w:lvlText w:val="%2."/>
      <w:lvlJc w:val="left"/>
      <w:pPr>
        <w:ind w:left="4766" w:hanging="360"/>
      </w:pPr>
    </w:lvl>
    <w:lvl w:ilvl="2" w:tplc="0409001B" w:tentative="1">
      <w:start w:val="1"/>
      <w:numFmt w:val="lowerRoman"/>
      <w:lvlText w:val="%3."/>
      <w:lvlJc w:val="right"/>
      <w:pPr>
        <w:ind w:left="5486" w:hanging="180"/>
      </w:pPr>
    </w:lvl>
    <w:lvl w:ilvl="3" w:tplc="0409000F" w:tentative="1">
      <w:start w:val="1"/>
      <w:numFmt w:val="decimal"/>
      <w:lvlText w:val="%4."/>
      <w:lvlJc w:val="left"/>
      <w:pPr>
        <w:ind w:left="6206" w:hanging="360"/>
      </w:pPr>
    </w:lvl>
    <w:lvl w:ilvl="4" w:tplc="04090019" w:tentative="1">
      <w:start w:val="1"/>
      <w:numFmt w:val="lowerLetter"/>
      <w:lvlText w:val="%5."/>
      <w:lvlJc w:val="left"/>
      <w:pPr>
        <w:ind w:left="6926" w:hanging="360"/>
      </w:pPr>
    </w:lvl>
    <w:lvl w:ilvl="5" w:tplc="0409001B" w:tentative="1">
      <w:start w:val="1"/>
      <w:numFmt w:val="lowerRoman"/>
      <w:lvlText w:val="%6."/>
      <w:lvlJc w:val="right"/>
      <w:pPr>
        <w:ind w:left="7646" w:hanging="180"/>
      </w:pPr>
    </w:lvl>
    <w:lvl w:ilvl="6" w:tplc="0409000F" w:tentative="1">
      <w:start w:val="1"/>
      <w:numFmt w:val="decimal"/>
      <w:lvlText w:val="%7."/>
      <w:lvlJc w:val="left"/>
      <w:pPr>
        <w:ind w:left="8366" w:hanging="360"/>
      </w:pPr>
    </w:lvl>
    <w:lvl w:ilvl="7" w:tplc="04090019" w:tentative="1">
      <w:start w:val="1"/>
      <w:numFmt w:val="lowerLetter"/>
      <w:lvlText w:val="%8."/>
      <w:lvlJc w:val="left"/>
      <w:pPr>
        <w:ind w:left="9086" w:hanging="360"/>
      </w:pPr>
    </w:lvl>
    <w:lvl w:ilvl="8" w:tplc="0409001B" w:tentative="1">
      <w:start w:val="1"/>
      <w:numFmt w:val="lowerRoman"/>
      <w:lvlText w:val="%9."/>
      <w:lvlJc w:val="right"/>
      <w:pPr>
        <w:ind w:left="9806" w:hanging="180"/>
      </w:pPr>
    </w:lvl>
  </w:abstractNum>
  <w:num w:numId="1">
    <w:abstractNumId w:val="14"/>
  </w:num>
  <w:num w:numId="2">
    <w:abstractNumId w:val="4"/>
  </w:num>
  <w:num w:numId="3">
    <w:abstractNumId w:val="2"/>
  </w:num>
  <w:num w:numId="4">
    <w:abstractNumId w:val="8"/>
  </w:num>
  <w:num w:numId="5">
    <w:abstractNumId w:val="9"/>
  </w:num>
  <w:num w:numId="6">
    <w:abstractNumId w:val="1"/>
  </w:num>
  <w:num w:numId="7">
    <w:abstractNumId w:val="11"/>
  </w:num>
  <w:num w:numId="8">
    <w:abstractNumId w:val="0"/>
  </w:num>
  <w:num w:numId="9">
    <w:abstractNumId w:val="3"/>
  </w:num>
  <w:num w:numId="10">
    <w:abstractNumId w:val="6"/>
  </w:num>
  <w:num w:numId="11">
    <w:abstractNumId w:val="15"/>
  </w:num>
  <w:num w:numId="12">
    <w:abstractNumId w:val="16"/>
  </w:num>
  <w:num w:numId="13">
    <w:abstractNumId w:val="10"/>
  </w:num>
  <w:num w:numId="1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3"/>
  </w:num>
  <w:num w:numId="17">
    <w:abstractNumId w:val="18"/>
  </w:num>
  <w:num w:numId="18">
    <w:abstractNumId w:val="7"/>
  </w:num>
  <w:num w:numId="19">
    <w:abstractNumId w:val="17"/>
  </w:num>
  <w:num w:numId="20">
    <w:abstractNumId w:val="5"/>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drawingGridHorizontalSpacing w:val="241"/>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CBC"/>
    <w:rsid w:val="00007536"/>
    <w:rsid w:val="0001042E"/>
    <w:rsid w:val="000114A7"/>
    <w:rsid w:val="00012B83"/>
    <w:rsid w:val="00014069"/>
    <w:rsid w:val="00016717"/>
    <w:rsid w:val="00016FE5"/>
    <w:rsid w:val="000179A5"/>
    <w:rsid w:val="0002036D"/>
    <w:rsid w:val="00021B0A"/>
    <w:rsid w:val="000226C4"/>
    <w:rsid w:val="00023778"/>
    <w:rsid w:val="0002402F"/>
    <w:rsid w:val="0002441F"/>
    <w:rsid w:val="000251A0"/>
    <w:rsid w:val="000276F2"/>
    <w:rsid w:val="00031126"/>
    <w:rsid w:val="000333CC"/>
    <w:rsid w:val="0003393F"/>
    <w:rsid w:val="00033A16"/>
    <w:rsid w:val="00034009"/>
    <w:rsid w:val="00034433"/>
    <w:rsid w:val="00035851"/>
    <w:rsid w:val="00035ABC"/>
    <w:rsid w:val="0003742D"/>
    <w:rsid w:val="00037A61"/>
    <w:rsid w:val="00040B9C"/>
    <w:rsid w:val="000433C5"/>
    <w:rsid w:val="0004435E"/>
    <w:rsid w:val="00044E6F"/>
    <w:rsid w:val="000452CF"/>
    <w:rsid w:val="00047253"/>
    <w:rsid w:val="00047272"/>
    <w:rsid w:val="00050255"/>
    <w:rsid w:val="00050E10"/>
    <w:rsid w:val="000528B2"/>
    <w:rsid w:val="00052AFF"/>
    <w:rsid w:val="00052B63"/>
    <w:rsid w:val="0005391C"/>
    <w:rsid w:val="00053DA8"/>
    <w:rsid w:val="00054636"/>
    <w:rsid w:val="00054695"/>
    <w:rsid w:val="0005558F"/>
    <w:rsid w:val="000611F7"/>
    <w:rsid w:val="0006191F"/>
    <w:rsid w:val="00061EE1"/>
    <w:rsid w:val="0006251F"/>
    <w:rsid w:val="00065BAB"/>
    <w:rsid w:val="000708C9"/>
    <w:rsid w:val="000715BA"/>
    <w:rsid w:val="00072E15"/>
    <w:rsid w:val="0007358A"/>
    <w:rsid w:val="00074036"/>
    <w:rsid w:val="00075BC2"/>
    <w:rsid w:val="00077E96"/>
    <w:rsid w:val="0008042D"/>
    <w:rsid w:val="00080AD2"/>
    <w:rsid w:val="000816F7"/>
    <w:rsid w:val="00081E1F"/>
    <w:rsid w:val="000823F2"/>
    <w:rsid w:val="0008674D"/>
    <w:rsid w:val="00086DEF"/>
    <w:rsid w:val="00086E31"/>
    <w:rsid w:val="00086E73"/>
    <w:rsid w:val="00090F22"/>
    <w:rsid w:val="000929B5"/>
    <w:rsid w:val="00096467"/>
    <w:rsid w:val="000964AF"/>
    <w:rsid w:val="000A11F0"/>
    <w:rsid w:val="000A1764"/>
    <w:rsid w:val="000A2D37"/>
    <w:rsid w:val="000A38CA"/>
    <w:rsid w:val="000A638A"/>
    <w:rsid w:val="000A666E"/>
    <w:rsid w:val="000A77F6"/>
    <w:rsid w:val="000B1AAA"/>
    <w:rsid w:val="000B3109"/>
    <w:rsid w:val="000B395F"/>
    <w:rsid w:val="000B56E2"/>
    <w:rsid w:val="000C03FA"/>
    <w:rsid w:val="000C0DD7"/>
    <w:rsid w:val="000C30A2"/>
    <w:rsid w:val="000C3CB4"/>
    <w:rsid w:val="000C65E6"/>
    <w:rsid w:val="000C6808"/>
    <w:rsid w:val="000D06E3"/>
    <w:rsid w:val="000D18AA"/>
    <w:rsid w:val="000D1ED6"/>
    <w:rsid w:val="000D2807"/>
    <w:rsid w:val="000D2BCD"/>
    <w:rsid w:val="000D32A4"/>
    <w:rsid w:val="000D5368"/>
    <w:rsid w:val="000D689F"/>
    <w:rsid w:val="000E0811"/>
    <w:rsid w:val="000E2CE5"/>
    <w:rsid w:val="000E3C75"/>
    <w:rsid w:val="000E3E93"/>
    <w:rsid w:val="000F0F2B"/>
    <w:rsid w:val="000F29CE"/>
    <w:rsid w:val="000F6FC8"/>
    <w:rsid w:val="000F7527"/>
    <w:rsid w:val="00100DB7"/>
    <w:rsid w:val="00101F98"/>
    <w:rsid w:val="00102101"/>
    <w:rsid w:val="0010267E"/>
    <w:rsid w:val="00104A42"/>
    <w:rsid w:val="001057EF"/>
    <w:rsid w:val="001058C1"/>
    <w:rsid w:val="00106345"/>
    <w:rsid w:val="00106F4C"/>
    <w:rsid w:val="001104B1"/>
    <w:rsid w:val="00112047"/>
    <w:rsid w:val="00113BA9"/>
    <w:rsid w:val="0011530E"/>
    <w:rsid w:val="0011757E"/>
    <w:rsid w:val="0011772D"/>
    <w:rsid w:val="00117925"/>
    <w:rsid w:val="00121D5C"/>
    <w:rsid w:val="001220C4"/>
    <w:rsid w:val="00122EE2"/>
    <w:rsid w:val="00125408"/>
    <w:rsid w:val="0012550D"/>
    <w:rsid w:val="001257AC"/>
    <w:rsid w:val="001260F9"/>
    <w:rsid w:val="0012661F"/>
    <w:rsid w:val="00127ECA"/>
    <w:rsid w:val="001307FA"/>
    <w:rsid w:val="0013201F"/>
    <w:rsid w:val="0013265D"/>
    <w:rsid w:val="001362FC"/>
    <w:rsid w:val="00136DE7"/>
    <w:rsid w:val="00142832"/>
    <w:rsid w:val="00142C80"/>
    <w:rsid w:val="0014311B"/>
    <w:rsid w:val="001444E6"/>
    <w:rsid w:val="00146BBD"/>
    <w:rsid w:val="00146D41"/>
    <w:rsid w:val="00147E76"/>
    <w:rsid w:val="001526F6"/>
    <w:rsid w:val="00152CDF"/>
    <w:rsid w:val="00152FF5"/>
    <w:rsid w:val="00155D53"/>
    <w:rsid w:val="00160534"/>
    <w:rsid w:val="00163141"/>
    <w:rsid w:val="00163779"/>
    <w:rsid w:val="00165E99"/>
    <w:rsid w:val="00166F71"/>
    <w:rsid w:val="001671AA"/>
    <w:rsid w:val="00167789"/>
    <w:rsid w:val="00171A85"/>
    <w:rsid w:val="00172638"/>
    <w:rsid w:val="00174480"/>
    <w:rsid w:val="001777A2"/>
    <w:rsid w:val="00177C3E"/>
    <w:rsid w:val="001800DF"/>
    <w:rsid w:val="001803B8"/>
    <w:rsid w:val="00180787"/>
    <w:rsid w:val="00182116"/>
    <w:rsid w:val="00182333"/>
    <w:rsid w:val="00182C59"/>
    <w:rsid w:val="00183CFC"/>
    <w:rsid w:val="00185BFA"/>
    <w:rsid w:val="00191987"/>
    <w:rsid w:val="0019219D"/>
    <w:rsid w:val="001924C1"/>
    <w:rsid w:val="0019421B"/>
    <w:rsid w:val="001954BE"/>
    <w:rsid w:val="00197A73"/>
    <w:rsid w:val="001A0821"/>
    <w:rsid w:val="001A260D"/>
    <w:rsid w:val="001A2B7A"/>
    <w:rsid w:val="001A36BD"/>
    <w:rsid w:val="001A38FD"/>
    <w:rsid w:val="001A4393"/>
    <w:rsid w:val="001A5DA6"/>
    <w:rsid w:val="001A704A"/>
    <w:rsid w:val="001B0E87"/>
    <w:rsid w:val="001B15CD"/>
    <w:rsid w:val="001B1676"/>
    <w:rsid w:val="001B273B"/>
    <w:rsid w:val="001B4E2C"/>
    <w:rsid w:val="001B6014"/>
    <w:rsid w:val="001B669E"/>
    <w:rsid w:val="001B71B5"/>
    <w:rsid w:val="001C1737"/>
    <w:rsid w:val="001C2458"/>
    <w:rsid w:val="001C2509"/>
    <w:rsid w:val="001C25A0"/>
    <w:rsid w:val="001C4246"/>
    <w:rsid w:val="001C6332"/>
    <w:rsid w:val="001C6A15"/>
    <w:rsid w:val="001C6D11"/>
    <w:rsid w:val="001D2716"/>
    <w:rsid w:val="001D421F"/>
    <w:rsid w:val="001D6D91"/>
    <w:rsid w:val="001D731E"/>
    <w:rsid w:val="001D78B1"/>
    <w:rsid w:val="001E1202"/>
    <w:rsid w:val="001E34BE"/>
    <w:rsid w:val="001E4FEE"/>
    <w:rsid w:val="001E57B3"/>
    <w:rsid w:val="001E5E4F"/>
    <w:rsid w:val="001E75DE"/>
    <w:rsid w:val="001F01AD"/>
    <w:rsid w:val="001F0F2C"/>
    <w:rsid w:val="001F0FA9"/>
    <w:rsid w:val="001F1C48"/>
    <w:rsid w:val="001F3095"/>
    <w:rsid w:val="001F4BDD"/>
    <w:rsid w:val="001F526D"/>
    <w:rsid w:val="001F7DC4"/>
    <w:rsid w:val="00200929"/>
    <w:rsid w:val="00201F6C"/>
    <w:rsid w:val="00204021"/>
    <w:rsid w:val="0020515C"/>
    <w:rsid w:val="002051F2"/>
    <w:rsid w:val="002056D5"/>
    <w:rsid w:val="00207A98"/>
    <w:rsid w:val="002104D3"/>
    <w:rsid w:val="00210D17"/>
    <w:rsid w:val="0021301D"/>
    <w:rsid w:val="00213262"/>
    <w:rsid w:val="0021472E"/>
    <w:rsid w:val="002214DA"/>
    <w:rsid w:val="0022248E"/>
    <w:rsid w:val="00226BD8"/>
    <w:rsid w:val="00226CDB"/>
    <w:rsid w:val="0022760D"/>
    <w:rsid w:val="00230202"/>
    <w:rsid w:val="00233EF2"/>
    <w:rsid w:val="002359D4"/>
    <w:rsid w:val="00235D5B"/>
    <w:rsid w:val="0023605F"/>
    <w:rsid w:val="0023634A"/>
    <w:rsid w:val="0023715E"/>
    <w:rsid w:val="00252944"/>
    <w:rsid w:val="00252BAF"/>
    <w:rsid w:val="00253ED1"/>
    <w:rsid w:val="00254445"/>
    <w:rsid w:val="00254EE0"/>
    <w:rsid w:val="00257457"/>
    <w:rsid w:val="00261A33"/>
    <w:rsid w:val="00262D4C"/>
    <w:rsid w:val="002635F1"/>
    <w:rsid w:val="00265F0B"/>
    <w:rsid w:val="0026701D"/>
    <w:rsid w:val="00271463"/>
    <w:rsid w:val="0027169C"/>
    <w:rsid w:val="00274395"/>
    <w:rsid w:val="00274F2E"/>
    <w:rsid w:val="0027577D"/>
    <w:rsid w:val="00276344"/>
    <w:rsid w:val="002809B1"/>
    <w:rsid w:val="00281DA6"/>
    <w:rsid w:val="002822B7"/>
    <w:rsid w:val="0028329F"/>
    <w:rsid w:val="002833A1"/>
    <w:rsid w:val="00286094"/>
    <w:rsid w:val="00286C00"/>
    <w:rsid w:val="00287283"/>
    <w:rsid w:val="0028747F"/>
    <w:rsid w:val="002878AC"/>
    <w:rsid w:val="00287F27"/>
    <w:rsid w:val="00292050"/>
    <w:rsid w:val="00292060"/>
    <w:rsid w:val="00293746"/>
    <w:rsid w:val="00293FB4"/>
    <w:rsid w:val="00296B24"/>
    <w:rsid w:val="002A0312"/>
    <w:rsid w:val="002A4C8C"/>
    <w:rsid w:val="002A5085"/>
    <w:rsid w:val="002A676D"/>
    <w:rsid w:val="002A6A15"/>
    <w:rsid w:val="002B0276"/>
    <w:rsid w:val="002B087F"/>
    <w:rsid w:val="002B1C86"/>
    <w:rsid w:val="002B1D83"/>
    <w:rsid w:val="002B32B3"/>
    <w:rsid w:val="002B32C4"/>
    <w:rsid w:val="002B4898"/>
    <w:rsid w:val="002B522C"/>
    <w:rsid w:val="002B5B0D"/>
    <w:rsid w:val="002B7ED8"/>
    <w:rsid w:val="002C1EFF"/>
    <w:rsid w:val="002C2755"/>
    <w:rsid w:val="002C335B"/>
    <w:rsid w:val="002C5CFE"/>
    <w:rsid w:val="002C6879"/>
    <w:rsid w:val="002C7142"/>
    <w:rsid w:val="002D1488"/>
    <w:rsid w:val="002D1C37"/>
    <w:rsid w:val="002D40F2"/>
    <w:rsid w:val="002D48E5"/>
    <w:rsid w:val="002D4A07"/>
    <w:rsid w:val="002D4F8B"/>
    <w:rsid w:val="002D57A3"/>
    <w:rsid w:val="002D6775"/>
    <w:rsid w:val="002D6B01"/>
    <w:rsid w:val="002E026A"/>
    <w:rsid w:val="002E0397"/>
    <w:rsid w:val="002E157C"/>
    <w:rsid w:val="002E17A3"/>
    <w:rsid w:val="002E1B88"/>
    <w:rsid w:val="002E4DDF"/>
    <w:rsid w:val="002E5440"/>
    <w:rsid w:val="002E660E"/>
    <w:rsid w:val="002E6ADA"/>
    <w:rsid w:val="002E7BA1"/>
    <w:rsid w:val="002F4827"/>
    <w:rsid w:val="002F4E71"/>
    <w:rsid w:val="002F6994"/>
    <w:rsid w:val="002F7177"/>
    <w:rsid w:val="00300050"/>
    <w:rsid w:val="003001C9"/>
    <w:rsid w:val="00300B64"/>
    <w:rsid w:val="003024B0"/>
    <w:rsid w:val="00303A5C"/>
    <w:rsid w:val="00306E0E"/>
    <w:rsid w:val="00306EE8"/>
    <w:rsid w:val="003071DA"/>
    <w:rsid w:val="00310821"/>
    <w:rsid w:val="00312E4C"/>
    <w:rsid w:val="003130E7"/>
    <w:rsid w:val="003152B5"/>
    <w:rsid w:val="00316213"/>
    <w:rsid w:val="0032000E"/>
    <w:rsid w:val="00320F33"/>
    <w:rsid w:val="00323FC8"/>
    <w:rsid w:val="003245A9"/>
    <w:rsid w:val="00330BAB"/>
    <w:rsid w:val="003310EE"/>
    <w:rsid w:val="00331653"/>
    <w:rsid w:val="0033445C"/>
    <w:rsid w:val="00335778"/>
    <w:rsid w:val="0034045F"/>
    <w:rsid w:val="00340B1F"/>
    <w:rsid w:val="00341CAC"/>
    <w:rsid w:val="00344F8A"/>
    <w:rsid w:val="00346712"/>
    <w:rsid w:val="0034729B"/>
    <w:rsid w:val="003478CD"/>
    <w:rsid w:val="00350386"/>
    <w:rsid w:val="003517A4"/>
    <w:rsid w:val="003520DF"/>
    <w:rsid w:val="00352E38"/>
    <w:rsid w:val="0035477A"/>
    <w:rsid w:val="003632E4"/>
    <w:rsid w:val="00363B3F"/>
    <w:rsid w:val="00363F57"/>
    <w:rsid w:val="00365461"/>
    <w:rsid w:val="00365EBB"/>
    <w:rsid w:val="0036735F"/>
    <w:rsid w:val="0037043C"/>
    <w:rsid w:val="003717B1"/>
    <w:rsid w:val="00372099"/>
    <w:rsid w:val="00376C12"/>
    <w:rsid w:val="00377FA4"/>
    <w:rsid w:val="00384489"/>
    <w:rsid w:val="0039333D"/>
    <w:rsid w:val="00393458"/>
    <w:rsid w:val="00395ABF"/>
    <w:rsid w:val="0039749A"/>
    <w:rsid w:val="0039794C"/>
    <w:rsid w:val="00397FC0"/>
    <w:rsid w:val="003A0759"/>
    <w:rsid w:val="003A24CC"/>
    <w:rsid w:val="003A3CBC"/>
    <w:rsid w:val="003A50AD"/>
    <w:rsid w:val="003A5A5B"/>
    <w:rsid w:val="003A5FA4"/>
    <w:rsid w:val="003A6233"/>
    <w:rsid w:val="003B294B"/>
    <w:rsid w:val="003B491E"/>
    <w:rsid w:val="003B528B"/>
    <w:rsid w:val="003B62D6"/>
    <w:rsid w:val="003B6C2E"/>
    <w:rsid w:val="003C3F3D"/>
    <w:rsid w:val="003C5A8A"/>
    <w:rsid w:val="003C6D76"/>
    <w:rsid w:val="003C75AF"/>
    <w:rsid w:val="003D119A"/>
    <w:rsid w:val="003D223D"/>
    <w:rsid w:val="003D540C"/>
    <w:rsid w:val="003D6332"/>
    <w:rsid w:val="003D6894"/>
    <w:rsid w:val="003E1D42"/>
    <w:rsid w:val="003E5873"/>
    <w:rsid w:val="003E5EC0"/>
    <w:rsid w:val="003E7E9D"/>
    <w:rsid w:val="003F006D"/>
    <w:rsid w:val="003F17AB"/>
    <w:rsid w:val="003F18D9"/>
    <w:rsid w:val="003F3BF7"/>
    <w:rsid w:val="003F5777"/>
    <w:rsid w:val="003F6165"/>
    <w:rsid w:val="0040054D"/>
    <w:rsid w:val="0040164B"/>
    <w:rsid w:val="00401715"/>
    <w:rsid w:val="00402A4F"/>
    <w:rsid w:val="004053A7"/>
    <w:rsid w:val="004054F2"/>
    <w:rsid w:val="00406282"/>
    <w:rsid w:val="00406CA5"/>
    <w:rsid w:val="00410A82"/>
    <w:rsid w:val="00414D75"/>
    <w:rsid w:val="00415F3C"/>
    <w:rsid w:val="004165D6"/>
    <w:rsid w:val="004209B3"/>
    <w:rsid w:val="00420CF1"/>
    <w:rsid w:val="00421DEB"/>
    <w:rsid w:val="00421E00"/>
    <w:rsid w:val="00422DAA"/>
    <w:rsid w:val="00422F0A"/>
    <w:rsid w:val="004234C5"/>
    <w:rsid w:val="004257A7"/>
    <w:rsid w:val="00425921"/>
    <w:rsid w:val="00431290"/>
    <w:rsid w:val="004312A3"/>
    <w:rsid w:val="00431483"/>
    <w:rsid w:val="004323F7"/>
    <w:rsid w:val="004326C2"/>
    <w:rsid w:val="004329D9"/>
    <w:rsid w:val="004334F3"/>
    <w:rsid w:val="00434605"/>
    <w:rsid w:val="00436A0A"/>
    <w:rsid w:val="0043751C"/>
    <w:rsid w:val="00441732"/>
    <w:rsid w:val="0044213A"/>
    <w:rsid w:val="00442465"/>
    <w:rsid w:val="00443738"/>
    <w:rsid w:val="00443766"/>
    <w:rsid w:val="00443A35"/>
    <w:rsid w:val="00443F86"/>
    <w:rsid w:val="004453C1"/>
    <w:rsid w:val="00447A7E"/>
    <w:rsid w:val="00451417"/>
    <w:rsid w:val="00455179"/>
    <w:rsid w:val="00457E81"/>
    <w:rsid w:val="00460562"/>
    <w:rsid w:val="00460E5C"/>
    <w:rsid w:val="00464277"/>
    <w:rsid w:val="004648BC"/>
    <w:rsid w:val="00464BFD"/>
    <w:rsid w:val="00466218"/>
    <w:rsid w:val="00466C73"/>
    <w:rsid w:val="004672C9"/>
    <w:rsid w:val="004678D0"/>
    <w:rsid w:val="00471DE0"/>
    <w:rsid w:val="00473A0A"/>
    <w:rsid w:val="00475D2E"/>
    <w:rsid w:val="00475DC8"/>
    <w:rsid w:val="00480A95"/>
    <w:rsid w:val="00481C58"/>
    <w:rsid w:val="00483732"/>
    <w:rsid w:val="00485930"/>
    <w:rsid w:val="0048779D"/>
    <w:rsid w:val="004903CC"/>
    <w:rsid w:val="004914AB"/>
    <w:rsid w:val="0049315E"/>
    <w:rsid w:val="00493D7C"/>
    <w:rsid w:val="004940F0"/>
    <w:rsid w:val="004948B2"/>
    <w:rsid w:val="00495023"/>
    <w:rsid w:val="004A100C"/>
    <w:rsid w:val="004A17B4"/>
    <w:rsid w:val="004A2F06"/>
    <w:rsid w:val="004A3BEC"/>
    <w:rsid w:val="004A44B4"/>
    <w:rsid w:val="004A5AE9"/>
    <w:rsid w:val="004A5DA2"/>
    <w:rsid w:val="004A5E20"/>
    <w:rsid w:val="004A777E"/>
    <w:rsid w:val="004B281A"/>
    <w:rsid w:val="004B2A73"/>
    <w:rsid w:val="004B765B"/>
    <w:rsid w:val="004C0655"/>
    <w:rsid w:val="004C0663"/>
    <w:rsid w:val="004C117F"/>
    <w:rsid w:val="004C208C"/>
    <w:rsid w:val="004C3E0F"/>
    <w:rsid w:val="004C60EB"/>
    <w:rsid w:val="004C75E5"/>
    <w:rsid w:val="004D425B"/>
    <w:rsid w:val="004D4D7F"/>
    <w:rsid w:val="004D6679"/>
    <w:rsid w:val="004D7AE2"/>
    <w:rsid w:val="004E0866"/>
    <w:rsid w:val="004E0A37"/>
    <w:rsid w:val="004E2300"/>
    <w:rsid w:val="004E3813"/>
    <w:rsid w:val="004E3BE5"/>
    <w:rsid w:val="004E48A5"/>
    <w:rsid w:val="004E55D4"/>
    <w:rsid w:val="004E5F12"/>
    <w:rsid w:val="004E703A"/>
    <w:rsid w:val="004E749C"/>
    <w:rsid w:val="004F13FB"/>
    <w:rsid w:val="004F1B3D"/>
    <w:rsid w:val="004F1CC0"/>
    <w:rsid w:val="004F22D0"/>
    <w:rsid w:val="004F2FF4"/>
    <w:rsid w:val="004F3606"/>
    <w:rsid w:val="004F3D27"/>
    <w:rsid w:val="004F4A04"/>
    <w:rsid w:val="004F502C"/>
    <w:rsid w:val="004F68B4"/>
    <w:rsid w:val="005016BA"/>
    <w:rsid w:val="00502C6E"/>
    <w:rsid w:val="005041F6"/>
    <w:rsid w:val="00505033"/>
    <w:rsid w:val="0050591B"/>
    <w:rsid w:val="00506156"/>
    <w:rsid w:val="00507648"/>
    <w:rsid w:val="0050784A"/>
    <w:rsid w:val="00510944"/>
    <w:rsid w:val="00512A20"/>
    <w:rsid w:val="0051302F"/>
    <w:rsid w:val="00513A14"/>
    <w:rsid w:val="00513AEC"/>
    <w:rsid w:val="005160B3"/>
    <w:rsid w:val="00516608"/>
    <w:rsid w:val="005179AB"/>
    <w:rsid w:val="00517F65"/>
    <w:rsid w:val="00517F90"/>
    <w:rsid w:val="00521B31"/>
    <w:rsid w:val="0052324E"/>
    <w:rsid w:val="0052401D"/>
    <w:rsid w:val="0052442D"/>
    <w:rsid w:val="0052453A"/>
    <w:rsid w:val="00524D18"/>
    <w:rsid w:val="00525006"/>
    <w:rsid w:val="00525C21"/>
    <w:rsid w:val="005313B6"/>
    <w:rsid w:val="00531FA7"/>
    <w:rsid w:val="00532EEB"/>
    <w:rsid w:val="00533231"/>
    <w:rsid w:val="00537281"/>
    <w:rsid w:val="0054048A"/>
    <w:rsid w:val="00540B46"/>
    <w:rsid w:val="00541102"/>
    <w:rsid w:val="005419E6"/>
    <w:rsid w:val="005465D5"/>
    <w:rsid w:val="00552EE8"/>
    <w:rsid w:val="00553BDE"/>
    <w:rsid w:val="0055571D"/>
    <w:rsid w:val="005572DE"/>
    <w:rsid w:val="005573C2"/>
    <w:rsid w:val="00557824"/>
    <w:rsid w:val="00557980"/>
    <w:rsid w:val="00561493"/>
    <w:rsid w:val="00562627"/>
    <w:rsid w:val="00562D1F"/>
    <w:rsid w:val="00562FDF"/>
    <w:rsid w:val="005637D2"/>
    <w:rsid w:val="00563DCA"/>
    <w:rsid w:val="00564A7E"/>
    <w:rsid w:val="00566AB5"/>
    <w:rsid w:val="005671D6"/>
    <w:rsid w:val="005674AC"/>
    <w:rsid w:val="005676B0"/>
    <w:rsid w:val="00567DE8"/>
    <w:rsid w:val="0057085A"/>
    <w:rsid w:val="005709BF"/>
    <w:rsid w:val="00570D41"/>
    <w:rsid w:val="00571585"/>
    <w:rsid w:val="0057182C"/>
    <w:rsid w:val="00573C31"/>
    <w:rsid w:val="00573E08"/>
    <w:rsid w:val="0057426C"/>
    <w:rsid w:val="0057610F"/>
    <w:rsid w:val="00581028"/>
    <w:rsid w:val="005819C8"/>
    <w:rsid w:val="0058329F"/>
    <w:rsid w:val="0058704B"/>
    <w:rsid w:val="005903B0"/>
    <w:rsid w:val="005903D5"/>
    <w:rsid w:val="005908B9"/>
    <w:rsid w:val="00590EFB"/>
    <w:rsid w:val="00591996"/>
    <w:rsid w:val="00592452"/>
    <w:rsid w:val="005934FB"/>
    <w:rsid w:val="0059474E"/>
    <w:rsid w:val="00594D0A"/>
    <w:rsid w:val="0059662C"/>
    <w:rsid w:val="00597020"/>
    <w:rsid w:val="00597A3C"/>
    <w:rsid w:val="005A2D2F"/>
    <w:rsid w:val="005A3033"/>
    <w:rsid w:val="005A3783"/>
    <w:rsid w:val="005A45BE"/>
    <w:rsid w:val="005A51EA"/>
    <w:rsid w:val="005A546A"/>
    <w:rsid w:val="005A6732"/>
    <w:rsid w:val="005B019F"/>
    <w:rsid w:val="005B0CF7"/>
    <w:rsid w:val="005B1AD9"/>
    <w:rsid w:val="005B1DFE"/>
    <w:rsid w:val="005B31FE"/>
    <w:rsid w:val="005B41A3"/>
    <w:rsid w:val="005B5BB0"/>
    <w:rsid w:val="005B7581"/>
    <w:rsid w:val="005C06C7"/>
    <w:rsid w:val="005C36E4"/>
    <w:rsid w:val="005C3AF6"/>
    <w:rsid w:val="005C6920"/>
    <w:rsid w:val="005D073D"/>
    <w:rsid w:val="005D0B90"/>
    <w:rsid w:val="005D1071"/>
    <w:rsid w:val="005D36B6"/>
    <w:rsid w:val="005D3ABB"/>
    <w:rsid w:val="005D3E75"/>
    <w:rsid w:val="005D42BF"/>
    <w:rsid w:val="005D4523"/>
    <w:rsid w:val="005D7585"/>
    <w:rsid w:val="005D794D"/>
    <w:rsid w:val="005E0371"/>
    <w:rsid w:val="005E1873"/>
    <w:rsid w:val="005E4E81"/>
    <w:rsid w:val="005E5A36"/>
    <w:rsid w:val="005E6C56"/>
    <w:rsid w:val="005F0D4D"/>
    <w:rsid w:val="005F14FA"/>
    <w:rsid w:val="00600831"/>
    <w:rsid w:val="00603116"/>
    <w:rsid w:val="00603746"/>
    <w:rsid w:val="006041E8"/>
    <w:rsid w:val="006045D6"/>
    <w:rsid w:val="00605E51"/>
    <w:rsid w:val="00607038"/>
    <w:rsid w:val="006070D3"/>
    <w:rsid w:val="00612670"/>
    <w:rsid w:val="00612785"/>
    <w:rsid w:val="0061309C"/>
    <w:rsid w:val="00613356"/>
    <w:rsid w:val="00613936"/>
    <w:rsid w:val="00614F98"/>
    <w:rsid w:val="006151C3"/>
    <w:rsid w:val="00615968"/>
    <w:rsid w:val="00615AA5"/>
    <w:rsid w:val="00615D15"/>
    <w:rsid w:val="00616519"/>
    <w:rsid w:val="006171A2"/>
    <w:rsid w:val="00617811"/>
    <w:rsid w:val="006179B8"/>
    <w:rsid w:val="00620702"/>
    <w:rsid w:val="006210A9"/>
    <w:rsid w:val="0062197A"/>
    <w:rsid w:val="00623685"/>
    <w:rsid w:val="00624181"/>
    <w:rsid w:val="00624DD0"/>
    <w:rsid w:val="00625471"/>
    <w:rsid w:val="00627BE5"/>
    <w:rsid w:val="00630342"/>
    <w:rsid w:val="0063088A"/>
    <w:rsid w:val="00630FB0"/>
    <w:rsid w:val="00631A34"/>
    <w:rsid w:val="00631E85"/>
    <w:rsid w:val="00632877"/>
    <w:rsid w:val="00634802"/>
    <w:rsid w:val="00634E6B"/>
    <w:rsid w:val="00635E33"/>
    <w:rsid w:val="00636512"/>
    <w:rsid w:val="006418C2"/>
    <w:rsid w:val="00642290"/>
    <w:rsid w:val="0064321B"/>
    <w:rsid w:val="006438B4"/>
    <w:rsid w:val="00644556"/>
    <w:rsid w:val="00644D0E"/>
    <w:rsid w:val="00645920"/>
    <w:rsid w:val="00646233"/>
    <w:rsid w:val="00650023"/>
    <w:rsid w:val="00652347"/>
    <w:rsid w:val="00655DF1"/>
    <w:rsid w:val="0065601F"/>
    <w:rsid w:val="00657DA9"/>
    <w:rsid w:val="006617A0"/>
    <w:rsid w:val="00665686"/>
    <w:rsid w:val="00667311"/>
    <w:rsid w:val="00667C51"/>
    <w:rsid w:val="00670B32"/>
    <w:rsid w:val="0067197A"/>
    <w:rsid w:val="006735FB"/>
    <w:rsid w:val="00674655"/>
    <w:rsid w:val="00676D9F"/>
    <w:rsid w:val="006772FB"/>
    <w:rsid w:val="00677E4E"/>
    <w:rsid w:val="00682937"/>
    <w:rsid w:val="006847B2"/>
    <w:rsid w:val="00684EE6"/>
    <w:rsid w:val="00685F98"/>
    <w:rsid w:val="006861DD"/>
    <w:rsid w:val="00687A07"/>
    <w:rsid w:val="0069246F"/>
    <w:rsid w:val="00692EAF"/>
    <w:rsid w:val="006937B5"/>
    <w:rsid w:val="00694983"/>
    <w:rsid w:val="006950B1"/>
    <w:rsid w:val="0069778C"/>
    <w:rsid w:val="006977B5"/>
    <w:rsid w:val="00697BD0"/>
    <w:rsid w:val="006A0A28"/>
    <w:rsid w:val="006A1EA1"/>
    <w:rsid w:val="006A2557"/>
    <w:rsid w:val="006A26DD"/>
    <w:rsid w:val="006A49BA"/>
    <w:rsid w:val="006A784E"/>
    <w:rsid w:val="006B016B"/>
    <w:rsid w:val="006B19AB"/>
    <w:rsid w:val="006B1CE0"/>
    <w:rsid w:val="006B4703"/>
    <w:rsid w:val="006B543B"/>
    <w:rsid w:val="006B5830"/>
    <w:rsid w:val="006B5B62"/>
    <w:rsid w:val="006B6991"/>
    <w:rsid w:val="006C0EFE"/>
    <w:rsid w:val="006C2074"/>
    <w:rsid w:val="006C532E"/>
    <w:rsid w:val="006C58B0"/>
    <w:rsid w:val="006C67A1"/>
    <w:rsid w:val="006C6B17"/>
    <w:rsid w:val="006C6BBF"/>
    <w:rsid w:val="006C7C6F"/>
    <w:rsid w:val="006D0289"/>
    <w:rsid w:val="006D2C3F"/>
    <w:rsid w:val="006D3F6B"/>
    <w:rsid w:val="006D438E"/>
    <w:rsid w:val="006D4E84"/>
    <w:rsid w:val="006E60DC"/>
    <w:rsid w:val="006E67A5"/>
    <w:rsid w:val="006F123E"/>
    <w:rsid w:val="006F18B5"/>
    <w:rsid w:val="006F28CA"/>
    <w:rsid w:val="006F3035"/>
    <w:rsid w:val="006F48BC"/>
    <w:rsid w:val="006F4DE8"/>
    <w:rsid w:val="006F52C9"/>
    <w:rsid w:val="006F624D"/>
    <w:rsid w:val="006F6470"/>
    <w:rsid w:val="006F6E40"/>
    <w:rsid w:val="00701ABA"/>
    <w:rsid w:val="00702297"/>
    <w:rsid w:val="0070384C"/>
    <w:rsid w:val="0070464F"/>
    <w:rsid w:val="00705180"/>
    <w:rsid w:val="007073C3"/>
    <w:rsid w:val="0071042B"/>
    <w:rsid w:val="007109A0"/>
    <w:rsid w:val="00711908"/>
    <w:rsid w:val="007124A9"/>
    <w:rsid w:val="00712D9F"/>
    <w:rsid w:val="00712E5A"/>
    <w:rsid w:val="0071330A"/>
    <w:rsid w:val="00714590"/>
    <w:rsid w:val="00714C1A"/>
    <w:rsid w:val="00717458"/>
    <w:rsid w:val="00720090"/>
    <w:rsid w:val="0072088E"/>
    <w:rsid w:val="00720AAD"/>
    <w:rsid w:val="007228C1"/>
    <w:rsid w:val="00723612"/>
    <w:rsid w:val="00723866"/>
    <w:rsid w:val="007247FC"/>
    <w:rsid w:val="00724A2A"/>
    <w:rsid w:val="00724BD7"/>
    <w:rsid w:val="00726D78"/>
    <w:rsid w:val="00727DFD"/>
    <w:rsid w:val="00732D44"/>
    <w:rsid w:val="0073355F"/>
    <w:rsid w:val="007337E3"/>
    <w:rsid w:val="00733F20"/>
    <w:rsid w:val="00735BE9"/>
    <w:rsid w:val="00735DB8"/>
    <w:rsid w:val="00736221"/>
    <w:rsid w:val="00736852"/>
    <w:rsid w:val="00737093"/>
    <w:rsid w:val="007379D9"/>
    <w:rsid w:val="00742B3E"/>
    <w:rsid w:val="007457FD"/>
    <w:rsid w:val="00745953"/>
    <w:rsid w:val="00746170"/>
    <w:rsid w:val="0074766C"/>
    <w:rsid w:val="0075062C"/>
    <w:rsid w:val="00750FCD"/>
    <w:rsid w:val="00752341"/>
    <w:rsid w:val="00754836"/>
    <w:rsid w:val="00756C67"/>
    <w:rsid w:val="0076051C"/>
    <w:rsid w:val="00761975"/>
    <w:rsid w:val="007625DD"/>
    <w:rsid w:val="00762908"/>
    <w:rsid w:val="007645D8"/>
    <w:rsid w:val="0076689B"/>
    <w:rsid w:val="00767B12"/>
    <w:rsid w:val="00770179"/>
    <w:rsid w:val="00771C93"/>
    <w:rsid w:val="00771D8C"/>
    <w:rsid w:val="0077210B"/>
    <w:rsid w:val="007809BC"/>
    <w:rsid w:val="00780D63"/>
    <w:rsid w:val="00781F7C"/>
    <w:rsid w:val="007825B3"/>
    <w:rsid w:val="00783195"/>
    <w:rsid w:val="00783794"/>
    <w:rsid w:val="0078604C"/>
    <w:rsid w:val="0078651D"/>
    <w:rsid w:val="0078721C"/>
    <w:rsid w:val="00791178"/>
    <w:rsid w:val="00793078"/>
    <w:rsid w:val="00796C1D"/>
    <w:rsid w:val="00797221"/>
    <w:rsid w:val="007A052F"/>
    <w:rsid w:val="007A0851"/>
    <w:rsid w:val="007A305F"/>
    <w:rsid w:val="007A32C0"/>
    <w:rsid w:val="007A5759"/>
    <w:rsid w:val="007A7FD7"/>
    <w:rsid w:val="007B1679"/>
    <w:rsid w:val="007B26B1"/>
    <w:rsid w:val="007B26C1"/>
    <w:rsid w:val="007B2D2C"/>
    <w:rsid w:val="007B39D6"/>
    <w:rsid w:val="007B4A1C"/>
    <w:rsid w:val="007B4CA6"/>
    <w:rsid w:val="007B5F01"/>
    <w:rsid w:val="007B7B61"/>
    <w:rsid w:val="007C2750"/>
    <w:rsid w:val="007C4BB1"/>
    <w:rsid w:val="007D2520"/>
    <w:rsid w:val="007D2F03"/>
    <w:rsid w:val="007D33C4"/>
    <w:rsid w:val="007D5112"/>
    <w:rsid w:val="007D5D76"/>
    <w:rsid w:val="007D70B5"/>
    <w:rsid w:val="007D739F"/>
    <w:rsid w:val="007E04F6"/>
    <w:rsid w:val="007E05AE"/>
    <w:rsid w:val="007E1E95"/>
    <w:rsid w:val="007E216D"/>
    <w:rsid w:val="007E2A39"/>
    <w:rsid w:val="007E5D18"/>
    <w:rsid w:val="007E7648"/>
    <w:rsid w:val="007F0EB5"/>
    <w:rsid w:val="007F2624"/>
    <w:rsid w:val="007F65FF"/>
    <w:rsid w:val="00801F68"/>
    <w:rsid w:val="00804A76"/>
    <w:rsid w:val="00804AD1"/>
    <w:rsid w:val="00804F01"/>
    <w:rsid w:val="008053C7"/>
    <w:rsid w:val="00806797"/>
    <w:rsid w:val="00807F37"/>
    <w:rsid w:val="00807FBF"/>
    <w:rsid w:val="00810A67"/>
    <w:rsid w:val="0081253C"/>
    <w:rsid w:val="00812E3D"/>
    <w:rsid w:val="008159B9"/>
    <w:rsid w:val="00815C0D"/>
    <w:rsid w:val="00816952"/>
    <w:rsid w:val="00817920"/>
    <w:rsid w:val="00817A64"/>
    <w:rsid w:val="008202A4"/>
    <w:rsid w:val="008219B1"/>
    <w:rsid w:val="00822DE7"/>
    <w:rsid w:val="008252B3"/>
    <w:rsid w:val="00826D18"/>
    <w:rsid w:val="00827CDB"/>
    <w:rsid w:val="008304DE"/>
    <w:rsid w:val="00832FD7"/>
    <w:rsid w:val="008335F1"/>
    <w:rsid w:val="0083538E"/>
    <w:rsid w:val="008365A3"/>
    <w:rsid w:val="00836B84"/>
    <w:rsid w:val="0083792E"/>
    <w:rsid w:val="00840009"/>
    <w:rsid w:val="008402EC"/>
    <w:rsid w:val="008418A4"/>
    <w:rsid w:val="0084272E"/>
    <w:rsid w:val="00844049"/>
    <w:rsid w:val="0084490E"/>
    <w:rsid w:val="00852532"/>
    <w:rsid w:val="0085585B"/>
    <w:rsid w:val="0085605F"/>
    <w:rsid w:val="0085694E"/>
    <w:rsid w:val="00857051"/>
    <w:rsid w:val="00857932"/>
    <w:rsid w:val="00860B33"/>
    <w:rsid w:val="00861B8A"/>
    <w:rsid w:val="008635AA"/>
    <w:rsid w:val="00864ED3"/>
    <w:rsid w:val="00866942"/>
    <w:rsid w:val="00866D4E"/>
    <w:rsid w:val="00870DC7"/>
    <w:rsid w:val="00871FD5"/>
    <w:rsid w:val="00873A12"/>
    <w:rsid w:val="00874277"/>
    <w:rsid w:val="00876262"/>
    <w:rsid w:val="00876D2D"/>
    <w:rsid w:val="008778EA"/>
    <w:rsid w:val="00877D9E"/>
    <w:rsid w:val="00880111"/>
    <w:rsid w:val="00880315"/>
    <w:rsid w:val="008831D5"/>
    <w:rsid w:val="00883201"/>
    <w:rsid w:val="0088784D"/>
    <w:rsid w:val="008907B5"/>
    <w:rsid w:val="0089134C"/>
    <w:rsid w:val="00894B35"/>
    <w:rsid w:val="008959E6"/>
    <w:rsid w:val="00896248"/>
    <w:rsid w:val="008A14ED"/>
    <w:rsid w:val="008A1FE9"/>
    <w:rsid w:val="008A2A33"/>
    <w:rsid w:val="008A3B15"/>
    <w:rsid w:val="008A40A8"/>
    <w:rsid w:val="008A4608"/>
    <w:rsid w:val="008A7BC0"/>
    <w:rsid w:val="008B36D3"/>
    <w:rsid w:val="008B4009"/>
    <w:rsid w:val="008B49DA"/>
    <w:rsid w:val="008B4CE5"/>
    <w:rsid w:val="008B4EA6"/>
    <w:rsid w:val="008B73E3"/>
    <w:rsid w:val="008C13A9"/>
    <w:rsid w:val="008C1605"/>
    <w:rsid w:val="008C1C1C"/>
    <w:rsid w:val="008C3062"/>
    <w:rsid w:val="008C399F"/>
    <w:rsid w:val="008C4A7F"/>
    <w:rsid w:val="008C56E8"/>
    <w:rsid w:val="008C61B3"/>
    <w:rsid w:val="008C66DD"/>
    <w:rsid w:val="008C7CBA"/>
    <w:rsid w:val="008D0BF0"/>
    <w:rsid w:val="008D10ED"/>
    <w:rsid w:val="008D1863"/>
    <w:rsid w:val="008D217A"/>
    <w:rsid w:val="008D33FE"/>
    <w:rsid w:val="008D3405"/>
    <w:rsid w:val="008D40C4"/>
    <w:rsid w:val="008D450F"/>
    <w:rsid w:val="008D49B2"/>
    <w:rsid w:val="008D6E2B"/>
    <w:rsid w:val="008E0302"/>
    <w:rsid w:val="008E5EA0"/>
    <w:rsid w:val="008F09DE"/>
    <w:rsid w:val="008F0CDC"/>
    <w:rsid w:val="008F16B4"/>
    <w:rsid w:val="008F2257"/>
    <w:rsid w:val="008F2CB9"/>
    <w:rsid w:val="008F353A"/>
    <w:rsid w:val="008F4535"/>
    <w:rsid w:val="008F6C9D"/>
    <w:rsid w:val="008F7654"/>
    <w:rsid w:val="009023CC"/>
    <w:rsid w:val="0090289F"/>
    <w:rsid w:val="00903F59"/>
    <w:rsid w:val="00904A32"/>
    <w:rsid w:val="00905FC0"/>
    <w:rsid w:val="009067A1"/>
    <w:rsid w:val="00906CBC"/>
    <w:rsid w:val="00906E85"/>
    <w:rsid w:val="00907B1C"/>
    <w:rsid w:val="009100F7"/>
    <w:rsid w:val="00913882"/>
    <w:rsid w:val="009140E8"/>
    <w:rsid w:val="00915ED4"/>
    <w:rsid w:val="009170F7"/>
    <w:rsid w:val="009173F6"/>
    <w:rsid w:val="0091765D"/>
    <w:rsid w:val="009214C4"/>
    <w:rsid w:val="00921B6D"/>
    <w:rsid w:val="00922158"/>
    <w:rsid w:val="00922597"/>
    <w:rsid w:val="00924D24"/>
    <w:rsid w:val="009253C1"/>
    <w:rsid w:val="00925F34"/>
    <w:rsid w:val="00925FA1"/>
    <w:rsid w:val="009261E7"/>
    <w:rsid w:val="00926967"/>
    <w:rsid w:val="00930296"/>
    <w:rsid w:val="00933DD8"/>
    <w:rsid w:val="00933EC9"/>
    <w:rsid w:val="00935211"/>
    <w:rsid w:val="00935689"/>
    <w:rsid w:val="0093594B"/>
    <w:rsid w:val="00936FBB"/>
    <w:rsid w:val="00937554"/>
    <w:rsid w:val="0094060B"/>
    <w:rsid w:val="00941626"/>
    <w:rsid w:val="009428A1"/>
    <w:rsid w:val="009431B4"/>
    <w:rsid w:val="00943EA3"/>
    <w:rsid w:val="00945B11"/>
    <w:rsid w:val="009470F0"/>
    <w:rsid w:val="00953759"/>
    <w:rsid w:val="00954320"/>
    <w:rsid w:val="00954D5A"/>
    <w:rsid w:val="00954DDC"/>
    <w:rsid w:val="00956B23"/>
    <w:rsid w:val="00960162"/>
    <w:rsid w:val="0096269B"/>
    <w:rsid w:val="009629A7"/>
    <w:rsid w:val="00963CC6"/>
    <w:rsid w:val="009646C5"/>
    <w:rsid w:val="009653C9"/>
    <w:rsid w:val="00965838"/>
    <w:rsid w:val="00965DCA"/>
    <w:rsid w:val="0097088E"/>
    <w:rsid w:val="00971A59"/>
    <w:rsid w:val="009752EF"/>
    <w:rsid w:val="00975D86"/>
    <w:rsid w:val="009763F4"/>
    <w:rsid w:val="00976D4D"/>
    <w:rsid w:val="00977752"/>
    <w:rsid w:val="00977C1A"/>
    <w:rsid w:val="00980B02"/>
    <w:rsid w:val="00981485"/>
    <w:rsid w:val="00981C65"/>
    <w:rsid w:val="009829BB"/>
    <w:rsid w:val="00984F67"/>
    <w:rsid w:val="00992A3E"/>
    <w:rsid w:val="00993806"/>
    <w:rsid w:val="00993D75"/>
    <w:rsid w:val="009944D1"/>
    <w:rsid w:val="00994A76"/>
    <w:rsid w:val="00995755"/>
    <w:rsid w:val="0099720B"/>
    <w:rsid w:val="009A00DD"/>
    <w:rsid w:val="009A07F0"/>
    <w:rsid w:val="009A15B8"/>
    <w:rsid w:val="009A2F4A"/>
    <w:rsid w:val="009A3C6C"/>
    <w:rsid w:val="009A42FE"/>
    <w:rsid w:val="009A5CAD"/>
    <w:rsid w:val="009B10DB"/>
    <w:rsid w:val="009B319A"/>
    <w:rsid w:val="009B3B45"/>
    <w:rsid w:val="009B40A4"/>
    <w:rsid w:val="009B4456"/>
    <w:rsid w:val="009B4DB5"/>
    <w:rsid w:val="009C2B31"/>
    <w:rsid w:val="009C4282"/>
    <w:rsid w:val="009C439C"/>
    <w:rsid w:val="009D0202"/>
    <w:rsid w:val="009D0B6D"/>
    <w:rsid w:val="009D361B"/>
    <w:rsid w:val="009D48D4"/>
    <w:rsid w:val="009D4FF1"/>
    <w:rsid w:val="009E133D"/>
    <w:rsid w:val="009E2996"/>
    <w:rsid w:val="009E2F55"/>
    <w:rsid w:val="009E31DD"/>
    <w:rsid w:val="009E4432"/>
    <w:rsid w:val="009E4962"/>
    <w:rsid w:val="009E735C"/>
    <w:rsid w:val="009E7E41"/>
    <w:rsid w:val="009F03D3"/>
    <w:rsid w:val="009F1991"/>
    <w:rsid w:val="009F258C"/>
    <w:rsid w:val="009F3A16"/>
    <w:rsid w:val="009F6B85"/>
    <w:rsid w:val="009F6D20"/>
    <w:rsid w:val="009F7BDB"/>
    <w:rsid w:val="00A002D9"/>
    <w:rsid w:val="00A01ABB"/>
    <w:rsid w:val="00A01CBF"/>
    <w:rsid w:val="00A0233F"/>
    <w:rsid w:val="00A03475"/>
    <w:rsid w:val="00A0373A"/>
    <w:rsid w:val="00A04844"/>
    <w:rsid w:val="00A05D39"/>
    <w:rsid w:val="00A10B6D"/>
    <w:rsid w:val="00A125BA"/>
    <w:rsid w:val="00A1449A"/>
    <w:rsid w:val="00A14C2C"/>
    <w:rsid w:val="00A14CEE"/>
    <w:rsid w:val="00A14DE6"/>
    <w:rsid w:val="00A159CF"/>
    <w:rsid w:val="00A15B6D"/>
    <w:rsid w:val="00A17704"/>
    <w:rsid w:val="00A20D0E"/>
    <w:rsid w:val="00A214ED"/>
    <w:rsid w:val="00A22F77"/>
    <w:rsid w:val="00A234AF"/>
    <w:rsid w:val="00A25E24"/>
    <w:rsid w:val="00A27452"/>
    <w:rsid w:val="00A30CAD"/>
    <w:rsid w:val="00A31A9C"/>
    <w:rsid w:val="00A32AA1"/>
    <w:rsid w:val="00A32CDD"/>
    <w:rsid w:val="00A358F3"/>
    <w:rsid w:val="00A36314"/>
    <w:rsid w:val="00A3651B"/>
    <w:rsid w:val="00A41035"/>
    <w:rsid w:val="00A414E0"/>
    <w:rsid w:val="00A4272C"/>
    <w:rsid w:val="00A4286F"/>
    <w:rsid w:val="00A42B72"/>
    <w:rsid w:val="00A441B8"/>
    <w:rsid w:val="00A441DD"/>
    <w:rsid w:val="00A4521B"/>
    <w:rsid w:val="00A45B08"/>
    <w:rsid w:val="00A45D23"/>
    <w:rsid w:val="00A45EC6"/>
    <w:rsid w:val="00A476AB"/>
    <w:rsid w:val="00A47892"/>
    <w:rsid w:val="00A5120A"/>
    <w:rsid w:val="00A513B1"/>
    <w:rsid w:val="00A53A67"/>
    <w:rsid w:val="00A54573"/>
    <w:rsid w:val="00A551BA"/>
    <w:rsid w:val="00A575EE"/>
    <w:rsid w:val="00A61835"/>
    <w:rsid w:val="00A6240C"/>
    <w:rsid w:val="00A62CF6"/>
    <w:rsid w:val="00A6448E"/>
    <w:rsid w:val="00A644C1"/>
    <w:rsid w:val="00A6461C"/>
    <w:rsid w:val="00A65814"/>
    <w:rsid w:val="00A659CA"/>
    <w:rsid w:val="00A663E7"/>
    <w:rsid w:val="00A67065"/>
    <w:rsid w:val="00A67437"/>
    <w:rsid w:val="00A706D1"/>
    <w:rsid w:val="00A73C7F"/>
    <w:rsid w:val="00A828FD"/>
    <w:rsid w:val="00A841B8"/>
    <w:rsid w:val="00A863BC"/>
    <w:rsid w:val="00A87D67"/>
    <w:rsid w:val="00A921B6"/>
    <w:rsid w:val="00A92DF6"/>
    <w:rsid w:val="00A9401E"/>
    <w:rsid w:val="00A94BCF"/>
    <w:rsid w:val="00A9773B"/>
    <w:rsid w:val="00AA0851"/>
    <w:rsid w:val="00AA2767"/>
    <w:rsid w:val="00AA2AF8"/>
    <w:rsid w:val="00AA3122"/>
    <w:rsid w:val="00AA55ED"/>
    <w:rsid w:val="00AA6541"/>
    <w:rsid w:val="00AA6B59"/>
    <w:rsid w:val="00AA703D"/>
    <w:rsid w:val="00AA78AA"/>
    <w:rsid w:val="00AA7A5D"/>
    <w:rsid w:val="00AB155F"/>
    <w:rsid w:val="00AB6E05"/>
    <w:rsid w:val="00AC0399"/>
    <w:rsid w:val="00AC36FD"/>
    <w:rsid w:val="00AC3700"/>
    <w:rsid w:val="00AC417D"/>
    <w:rsid w:val="00AC5735"/>
    <w:rsid w:val="00AC6038"/>
    <w:rsid w:val="00AC7083"/>
    <w:rsid w:val="00AD0FE0"/>
    <w:rsid w:val="00AD3D9E"/>
    <w:rsid w:val="00AD475D"/>
    <w:rsid w:val="00AD7920"/>
    <w:rsid w:val="00AE0880"/>
    <w:rsid w:val="00AE0CBA"/>
    <w:rsid w:val="00AE1EF8"/>
    <w:rsid w:val="00AE7571"/>
    <w:rsid w:val="00AE75EB"/>
    <w:rsid w:val="00AF103A"/>
    <w:rsid w:val="00AF177A"/>
    <w:rsid w:val="00AF1A6C"/>
    <w:rsid w:val="00AF2BC5"/>
    <w:rsid w:val="00AF356B"/>
    <w:rsid w:val="00AF4217"/>
    <w:rsid w:val="00AF45C0"/>
    <w:rsid w:val="00AF4954"/>
    <w:rsid w:val="00AF53FC"/>
    <w:rsid w:val="00AF6813"/>
    <w:rsid w:val="00AF6B7B"/>
    <w:rsid w:val="00AF6E81"/>
    <w:rsid w:val="00AF77BB"/>
    <w:rsid w:val="00B00857"/>
    <w:rsid w:val="00B010D9"/>
    <w:rsid w:val="00B06314"/>
    <w:rsid w:val="00B07607"/>
    <w:rsid w:val="00B10580"/>
    <w:rsid w:val="00B11807"/>
    <w:rsid w:val="00B120FA"/>
    <w:rsid w:val="00B1277C"/>
    <w:rsid w:val="00B13731"/>
    <w:rsid w:val="00B141B6"/>
    <w:rsid w:val="00B14202"/>
    <w:rsid w:val="00B17E2F"/>
    <w:rsid w:val="00B205D0"/>
    <w:rsid w:val="00B246A7"/>
    <w:rsid w:val="00B279B9"/>
    <w:rsid w:val="00B30481"/>
    <w:rsid w:val="00B30909"/>
    <w:rsid w:val="00B31399"/>
    <w:rsid w:val="00B315B2"/>
    <w:rsid w:val="00B32C73"/>
    <w:rsid w:val="00B336D6"/>
    <w:rsid w:val="00B3387A"/>
    <w:rsid w:val="00B3479D"/>
    <w:rsid w:val="00B34B99"/>
    <w:rsid w:val="00B34E2C"/>
    <w:rsid w:val="00B366EF"/>
    <w:rsid w:val="00B36AE3"/>
    <w:rsid w:val="00B36D0C"/>
    <w:rsid w:val="00B37278"/>
    <w:rsid w:val="00B37B72"/>
    <w:rsid w:val="00B40937"/>
    <w:rsid w:val="00B40D7E"/>
    <w:rsid w:val="00B41667"/>
    <w:rsid w:val="00B4221B"/>
    <w:rsid w:val="00B441F6"/>
    <w:rsid w:val="00B443F3"/>
    <w:rsid w:val="00B44672"/>
    <w:rsid w:val="00B45E36"/>
    <w:rsid w:val="00B5086D"/>
    <w:rsid w:val="00B509A6"/>
    <w:rsid w:val="00B51D4E"/>
    <w:rsid w:val="00B52805"/>
    <w:rsid w:val="00B54EF3"/>
    <w:rsid w:val="00B60A17"/>
    <w:rsid w:val="00B67B47"/>
    <w:rsid w:val="00B67B75"/>
    <w:rsid w:val="00B70506"/>
    <w:rsid w:val="00B722DE"/>
    <w:rsid w:val="00B72474"/>
    <w:rsid w:val="00B72B9C"/>
    <w:rsid w:val="00B744AB"/>
    <w:rsid w:val="00B778B7"/>
    <w:rsid w:val="00B802C9"/>
    <w:rsid w:val="00B80550"/>
    <w:rsid w:val="00B8129F"/>
    <w:rsid w:val="00B8258C"/>
    <w:rsid w:val="00B83E88"/>
    <w:rsid w:val="00B870D7"/>
    <w:rsid w:val="00B90754"/>
    <w:rsid w:val="00B90DFE"/>
    <w:rsid w:val="00B911D4"/>
    <w:rsid w:val="00B93F70"/>
    <w:rsid w:val="00B94DB5"/>
    <w:rsid w:val="00B95AA0"/>
    <w:rsid w:val="00B95B7A"/>
    <w:rsid w:val="00B96294"/>
    <w:rsid w:val="00BA03DA"/>
    <w:rsid w:val="00BA21C3"/>
    <w:rsid w:val="00BA5010"/>
    <w:rsid w:val="00BA5049"/>
    <w:rsid w:val="00BA545C"/>
    <w:rsid w:val="00BA5F94"/>
    <w:rsid w:val="00BA64CE"/>
    <w:rsid w:val="00BA7C13"/>
    <w:rsid w:val="00BA7D1E"/>
    <w:rsid w:val="00BA7EF7"/>
    <w:rsid w:val="00BB3020"/>
    <w:rsid w:val="00BB32EA"/>
    <w:rsid w:val="00BB3949"/>
    <w:rsid w:val="00BB41F1"/>
    <w:rsid w:val="00BB6F15"/>
    <w:rsid w:val="00BB74EE"/>
    <w:rsid w:val="00BC0FB5"/>
    <w:rsid w:val="00BC138D"/>
    <w:rsid w:val="00BC1DE2"/>
    <w:rsid w:val="00BC1F3F"/>
    <w:rsid w:val="00BC479F"/>
    <w:rsid w:val="00BC5DD3"/>
    <w:rsid w:val="00BD0BB2"/>
    <w:rsid w:val="00BD1BF7"/>
    <w:rsid w:val="00BD2038"/>
    <w:rsid w:val="00BD5903"/>
    <w:rsid w:val="00BD731D"/>
    <w:rsid w:val="00BD7591"/>
    <w:rsid w:val="00BD7D3A"/>
    <w:rsid w:val="00BD7F4B"/>
    <w:rsid w:val="00BE0406"/>
    <w:rsid w:val="00BE11AE"/>
    <w:rsid w:val="00BE51DB"/>
    <w:rsid w:val="00BE524D"/>
    <w:rsid w:val="00BE5DD2"/>
    <w:rsid w:val="00BE5F03"/>
    <w:rsid w:val="00BE6326"/>
    <w:rsid w:val="00BF01FE"/>
    <w:rsid w:val="00BF0608"/>
    <w:rsid w:val="00BF07A2"/>
    <w:rsid w:val="00BF22E4"/>
    <w:rsid w:val="00BF2648"/>
    <w:rsid w:val="00BF2777"/>
    <w:rsid w:val="00BF322C"/>
    <w:rsid w:val="00BF3A12"/>
    <w:rsid w:val="00BF503A"/>
    <w:rsid w:val="00BF5941"/>
    <w:rsid w:val="00BF6CE8"/>
    <w:rsid w:val="00BF71C5"/>
    <w:rsid w:val="00BF7968"/>
    <w:rsid w:val="00C02FEB"/>
    <w:rsid w:val="00C04C24"/>
    <w:rsid w:val="00C058A8"/>
    <w:rsid w:val="00C079DE"/>
    <w:rsid w:val="00C11800"/>
    <w:rsid w:val="00C128A7"/>
    <w:rsid w:val="00C13F21"/>
    <w:rsid w:val="00C153B1"/>
    <w:rsid w:val="00C176CC"/>
    <w:rsid w:val="00C17981"/>
    <w:rsid w:val="00C214FC"/>
    <w:rsid w:val="00C24BA5"/>
    <w:rsid w:val="00C25FC0"/>
    <w:rsid w:val="00C27C36"/>
    <w:rsid w:val="00C32E2C"/>
    <w:rsid w:val="00C346E0"/>
    <w:rsid w:val="00C35749"/>
    <w:rsid w:val="00C35A03"/>
    <w:rsid w:val="00C364A3"/>
    <w:rsid w:val="00C37FA6"/>
    <w:rsid w:val="00C40792"/>
    <w:rsid w:val="00C40AC3"/>
    <w:rsid w:val="00C436FE"/>
    <w:rsid w:val="00C44A70"/>
    <w:rsid w:val="00C503DB"/>
    <w:rsid w:val="00C51605"/>
    <w:rsid w:val="00C51AE1"/>
    <w:rsid w:val="00C5351F"/>
    <w:rsid w:val="00C5456E"/>
    <w:rsid w:val="00C54916"/>
    <w:rsid w:val="00C56B15"/>
    <w:rsid w:val="00C6086C"/>
    <w:rsid w:val="00C60CE7"/>
    <w:rsid w:val="00C60F7C"/>
    <w:rsid w:val="00C635C5"/>
    <w:rsid w:val="00C65962"/>
    <w:rsid w:val="00C66C9B"/>
    <w:rsid w:val="00C71A29"/>
    <w:rsid w:val="00C7267F"/>
    <w:rsid w:val="00C729E5"/>
    <w:rsid w:val="00C72DA1"/>
    <w:rsid w:val="00C734F6"/>
    <w:rsid w:val="00C738EC"/>
    <w:rsid w:val="00C7449F"/>
    <w:rsid w:val="00C7497F"/>
    <w:rsid w:val="00C75C35"/>
    <w:rsid w:val="00C76635"/>
    <w:rsid w:val="00C77420"/>
    <w:rsid w:val="00C800F5"/>
    <w:rsid w:val="00C82272"/>
    <w:rsid w:val="00C82910"/>
    <w:rsid w:val="00C836CF"/>
    <w:rsid w:val="00C83F6C"/>
    <w:rsid w:val="00C84194"/>
    <w:rsid w:val="00C85D16"/>
    <w:rsid w:val="00C86E43"/>
    <w:rsid w:val="00C87348"/>
    <w:rsid w:val="00C9021D"/>
    <w:rsid w:val="00C918F6"/>
    <w:rsid w:val="00C91ED9"/>
    <w:rsid w:val="00C92DB8"/>
    <w:rsid w:val="00C93752"/>
    <w:rsid w:val="00C939C5"/>
    <w:rsid w:val="00C94BAD"/>
    <w:rsid w:val="00C96A43"/>
    <w:rsid w:val="00C97B7E"/>
    <w:rsid w:val="00CA1F96"/>
    <w:rsid w:val="00CA2111"/>
    <w:rsid w:val="00CA230D"/>
    <w:rsid w:val="00CA3EBD"/>
    <w:rsid w:val="00CA41AA"/>
    <w:rsid w:val="00CA4AD7"/>
    <w:rsid w:val="00CA4C2E"/>
    <w:rsid w:val="00CA56B5"/>
    <w:rsid w:val="00CA79F2"/>
    <w:rsid w:val="00CA7FA7"/>
    <w:rsid w:val="00CB0917"/>
    <w:rsid w:val="00CB0DB7"/>
    <w:rsid w:val="00CB22DE"/>
    <w:rsid w:val="00CB2AFD"/>
    <w:rsid w:val="00CB448B"/>
    <w:rsid w:val="00CB48B8"/>
    <w:rsid w:val="00CB5D92"/>
    <w:rsid w:val="00CB6862"/>
    <w:rsid w:val="00CC31D4"/>
    <w:rsid w:val="00CC3A5F"/>
    <w:rsid w:val="00CC3DEE"/>
    <w:rsid w:val="00CC7190"/>
    <w:rsid w:val="00CC7BFC"/>
    <w:rsid w:val="00CD02F8"/>
    <w:rsid w:val="00CD1613"/>
    <w:rsid w:val="00CD2776"/>
    <w:rsid w:val="00CD3BA8"/>
    <w:rsid w:val="00CD40CC"/>
    <w:rsid w:val="00CD4471"/>
    <w:rsid w:val="00CD5982"/>
    <w:rsid w:val="00CD5E63"/>
    <w:rsid w:val="00CD71C5"/>
    <w:rsid w:val="00CD7A1E"/>
    <w:rsid w:val="00CE013A"/>
    <w:rsid w:val="00CE145C"/>
    <w:rsid w:val="00CE1C36"/>
    <w:rsid w:val="00CE2852"/>
    <w:rsid w:val="00CE3BC0"/>
    <w:rsid w:val="00CE6147"/>
    <w:rsid w:val="00CE7A5A"/>
    <w:rsid w:val="00CF0833"/>
    <w:rsid w:val="00CF0F29"/>
    <w:rsid w:val="00CF1B9A"/>
    <w:rsid w:val="00CF2786"/>
    <w:rsid w:val="00CF4B57"/>
    <w:rsid w:val="00CF51C9"/>
    <w:rsid w:val="00CF5B93"/>
    <w:rsid w:val="00CF75D4"/>
    <w:rsid w:val="00CF7931"/>
    <w:rsid w:val="00D002B8"/>
    <w:rsid w:val="00D072C6"/>
    <w:rsid w:val="00D07BE7"/>
    <w:rsid w:val="00D108F1"/>
    <w:rsid w:val="00D11E1F"/>
    <w:rsid w:val="00D13F29"/>
    <w:rsid w:val="00D152EE"/>
    <w:rsid w:val="00D15846"/>
    <w:rsid w:val="00D16544"/>
    <w:rsid w:val="00D17708"/>
    <w:rsid w:val="00D1780A"/>
    <w:rsid w:val="00D20717"/>
    <w:rsid w:val="00D22B13"/>
    <w:rsid w:val="00D2339C"/>
    <w:rsid w:val="00D238B3"/>
    <w:rsid w:val="00D244B2"/>
    <w:rsid w:val="00D25B27"/>
    <w:rsid w:val="00D26886"/>
    <w:rsid w:val="00D311F0"/>
    <w:rsid w:val="00D31C42"/>
    <w:rsid w:val="00D33BAD"/>
    <w:rsid w:val="00D34D6C"/>
    <w:rsid w:val="00D41871"/>
    <w:rsid w:val="00D42941"/>
    <w:rsid w:val="00D4420B"/>
    <w:rsid w:val="00D453D8"/>
    <w:rsid w:val="00D46DD7"/>
    <w:rsid w:val="00D47F43"/>
    <w:rsid w:val="00D52D4B"/>
    <w:rsid w:val="00D530CC"/>
    <w:rsid w:val="00D555CD"/>
    <w:rsid w:val="00D5590D"/>
    <w:rsid w:val="00D60199"/>
    <w:rsid w:val="00D63DC3"/>
    <w:rsid w:val="00D6430E"/>
    <w:rsid w:val="00D679AA"/>
    <w:rsid w:val="00D67EB8"/>
    <w:rsid w:val="00D70666"/>
    <w:rsid w:val="00D7085A"/>
    <w:rsid w:val="00D70972"/>
    <w:rsid w:val="00D712B9"/>
    <w:rsid w:val="00D73D41"/>
    <w:rsid w:val="00D762BA"/>
    <w:rsid w:val="00D76DE3"/>
    <w:rsid w:val="00D77B0A"/>
    <w:rsid w:val="00D803C5"/>
    <w:rsid w:val="00D80842"/>
    <w:rsid w:val="00D80FF3"/>
    <w:rsid w:val="00D818D1"/>
    <w:rsid w:val="00D82C44"/>
    <w:rsid w:val="00D82FB9"/>
    <w:rsid w:val="00D839E1"/>
    <w:rsid w:val="00D83DFA"/>
    <w:rsid w:val="00D85F4B"/>
    <w:rsid w:val="00D902FE"/>
    <w:rsid w:val="00D90E28"/>
    <w:rsid w:val="00D91186"/>
    <w:rsid w:val="00D920D9"/>
    <w:rsid w:val="00D9219A"/>
    <w:rsid w:val="00DA7C58"/>
    <w:rsid w:val="00DB12AD"/>
    <w:rsid w:val="00DB2123"/>
    <w:rsid w:val="00DB257F"/>
    <w:rsid w:val="00DB533B"/>
    <w:rsid w:val="00DB6441"/>
    <w:rsid w:val="00DB7938"/>
    <w:rsid w:val="00DC05B7"/>
    <w:rsid w:val="00DC311F"/>
    <w:rsid w:val="00DC4771"/>
    <w:rsid w:val="00DC55B5"/>
    <w:rsid w:val="00DC5A34"/>
    <w:rsid w:val="00DC75C8"/>
    <w:rsid w:val="00DD1917"/>
    <w:rsid w:val="00DD430A"/>
    <w:rsid w:val="00DD51BE"/>
    <w:rsid w:val="00DD5A95"/>
    <w:rsid w:val="00DD67A0"/>
    <w:rsid w:val="00DE02A2"/>
    <w:rsid w:val="00DE0C03"/>
    <w:rsid w:val="00DE0E06"/>
    <w:rsid w:val="00DE0F47"/>
    <w:rsid w:val="00DE0F9B"/>
    <w:rsid w:val="00DE1E35"/>
    <w:rsid w:val="00DE2E76"/>
    <w:rsid w:val="00DE3CCE"/>
    <w:rsid w:val="00DE54A3"/>
    <w:rsid w:val="00DE5B33"/>
    <w:rsid w:val="00DE5B3F"/>
    <w:rsid w:val="00DE638E"/>
    <w:rsid w:val="00DF0624"/>
    <w:rsid w:val="00DF07C7"/>
    <w:rsid w:val="00DF1184"/>
    <w:rsid w:val="00DF1A3C"/>
    <w:rsid w:val="00DF3D03"/>
    <w:rsid w:val="00DF4B98"/>
    <w:rsid w:val="00DF5AE2"/>
    <w:rsid w:val="00DF669F"/>
    <w:rsid w:val="00DF68F4"/>
    <w:rsid w:val="00DF6DCF"/>
    <w:rsid w:val="00E01C29"/>
    <w:rsid w:val="00E01F64"/>
    <w:rsid w:val="00E02D2D"/>
    <w:rsid w:val="00E03909"/>
    <w:rsid w:val="00E059A6"/>
    <w:rsid w:val="00E100B6"/>
    <w:rsid w:val="00E13981"/>
    <w:rsid w:val="00E13B0E"/>
    <w:rsid w:val="00E1557A"/>
    <w:rsid w:val="00E23793"/>
    <w:rsid w:val="00E23CA9"/>
    <w:rsid w:val="00E25109"/>
    <w:rsid w:val="00E2536D"/>
    <w:rsid w:val="00E25C98"/>
    <w:rsid w:val="00E26FEC"/>
    <w:rsid w:val="00E30EDD"/>
    <w:rsid w:val="00E32830"/>
    <w:rsid w:val="00E32C7C"/>
    <w:rsid w:val="00E33A86"/>
    <w:rsid w:val="00E33DEE"/>
    <w:rsid w:val="00E36252"/>
    <w:rsid w:val="00E374BD"/>
    <w:rsid w:val="00E40A4D"/>
    <w:rsid w:val="00E40E44"/>
    <w:rsid w:val="00E41B7B"/>
    <w:rsid w:val="00E42632"/>
    <w:rsid w:val="00E43595"/>
    <w:rsid w:val="00E46042"/>
    <w:rsid w:val="00E4645F"/>
    <w:rsid w:val="00E4789E"/>
    <w:rsid w:val="00E500A8"/>
    <w:rsid w:val="00E5467B"/>
    <w:rsid w:val="00E564C9"/>
    <w:rsid w:val="00E61759"/>
    <w:rsid w:val="00E63545"/>
    <w:rsid w:val="00E639E3"/>
    <w:rsid w:val="00E63A32"/>
    <w:rsid w:val="00E646DE"/>
    <w:rsid w:val="00E64C13"/>
    <w:rsid w:val="00E64FE4"/>
    <w:rsid w:val="00E653C7"/>
    <w:rsid w:val="00E66D86"/>
    <w:rsid w:val="00E7110F"/>
    <w:rsid w:val="00E71B3C"/>
    <w:rsid w:val="00E72863"/>
    <w:rsid w:val="00E72864"/>
    <w:rsid w:val="00E73314"/>
    <w:rsid w:val="00E74A27"/>
    <w:rsid w:val="00E75C43"/>
    <w:rsid w:val="00E7790E"/>
    <w:rsid w:val="00E80030"/>
    <w:rsid w:val="00E81180"/>
    <w:rsid w:val="00E85688"/>
    <w:rsid w:val="00E85D8B"/>
    <w:rsid w:val="00E86255"/>
    <w:rsid w:val="00E87A49"/>
    <w:rsid w:val="00E9133D"/>
    <w:rsid w:val="00E96804"/>
    <w:rsid w:val="00E96E56"/>
    <w:rsid w:val="00EA04B6"/>
    <w:rsid w:val="00EA0B41"/>
    <w:rsid w:val="00EA26CD"/>
    <w:rsid w:val="00EA3185"/>
    <w:rsid w:val="00EA3227"/>
    <w:rsid w:val="00EA3D8D"/>
    <w:rsid w:val="00EA4482"/>
    <w:rsid w:val="00EA4C6A"/>
    <w:rsid w:val="00EA6B4A"/>
    <w:rsid w:val="00EB3077"/>
    <w:rsid w:val="00EB48BD"/>
    <w:rsid w:val="00EB5861"/>
    <w:rsid w:val="00EB691D"/>
    <w:rsid w:val="00EC002D"/>
    <w:rsid w:val="00EC0432"/>
    <w:rsid w:val="00EC114F"/>
    <w:rsid w:val="00EC1FD9"/>
    <w:rsid w:val="00EC3639"/>
    <w:rsid w:val="00EC38CA"/>
    <w:rsid w:val="00EC427E"/>
    <w:rsid w:val="00EC456E"/>
    <w:rsid w:val="00EC4A44"/>
    <w:rsid w:val="00EC4CD8"/>
    <w:rsid w:val="00EC4E68"/>
    <w:rsid w:val="00EC6B15"/>
    <w:rsid w:val="00EC714A"/>
    <w:rsid w:val="00ED0B54"/>
    <w:rsid w:val="00ED3097"/>
    <w:rsid w:val="00ED3F9A"/>
    <w:rsid w:val="00ED4572"/>
    <w:rsid w:val="00ED55C6"/>
    <w:rsid w:val="00ED58AF"/>
    <w:rsid w:val="00ED6282"/>
    <w:rsid w:val="00ED6C56"/>
    <w:rsid w:val="00EE2B62"/>
    <w:rsid w:val="00EE44D5"/>
    <w:rsid w:val="00EE4595"/>
    <w:rsid w:val="00EE45A1"/>
    <w:rsid w:val="00EE4705"/>
    <w:rsid w:val="00EE5176"/>
    <w:rsid w:val="00EF0C7D"/>
    <w:rsid w:val="00EF1FCE"/>
    <w:rsid w:val="00EF3FBD"/>
    <w:rsid w:val="00EF6736"/>
    <w:rsid w:val="00EF7B77"/>
    <w:rsid w:val="00F031DE"/>
    <w:rsid w:val="00F0395A"/>
    <w:rsid w:val="00F0510C"/>
    <w:rsid w:val="00F06CF5"/>
    <w:rsid w:val="00F07537"/>
    <w:rsid w:val="00F100DF"/>
    <w:rsid w:val="00F142F6"/>
    <w:rsid w:val="00F153C6"/>
    <w:rsid w:val="00F15AEA"/>
    <w:rsid w:val="00F17214"/>
    <w:rsid w:val="00F174A3"/>
    <w:rsid w:val="00F20B31"/>
    <w:rsid w:val="00F20DD3"/>
    <w:rsid w:val="00F2411D"/>
    <w:rsid w:val="00F26421"/>
    <w:rsid w:val="00F26F80"/>
    <w:rsid w:val="00F321CA"/>
    <w:rsid w:val="00F32FBF"/>
    <w:rsid w:val="00F40B66"/>
    <w:rsid w:val="00F4276B"/>
    <w:rsid w:val="00F438B9"/>
    <w:rsid w:val="00F45172"/>
    <w:rsid w:val="00F456CD"/>
    <w:rsid w:val="00F45709"/>
    <w:rsid w:val="00F45F31"/>
    <w:rsid w:val="00F46F5F"/>
    <w:rsid w:val="00F471AD"/>
    <w:rsid w:val="00F4728A"/>
    <w:rsid w:val="00F50A52"/>
    <w:rsid w:val="00F52A01"/>
    <w:rsid w:val="00F536F4"/>
    <w:rsid w:val="00F5375B"/>
    <w:rsid w:val="00F53FA0"/>
    <w:rsid w:val="00F53FDE"/>
    <w:rsid w:val="00F55F81"/>
    <w:rsid w:val="00F62097"/>
    <w:rsid w:val="00F6250D"/>
    <w:rsid w:val="00F63D6A"/>
    <w:rsid w:val="00F649A5"/>
    <w:rsid w:val="00F658A8"/>
    <w:rsid w:val="00F665EE"/>
    <w:rsid w:val="00F672EC"/>
    <w:rsid w:val="00F7029B"/>
    <w:rsid w:val="00F7033C"/>
    <w:rsid w:val="00F70CDD"/>
    <w:rsid w:val="00F70DDF"/>
    <w:rsid w:val="00F713AC"/>
    <w:rsid w:val="00F72C19"/>
    <w:rsid w:val="00F731E5"/>
    <w:rsid w:val="00F73703"/>
    <w:rsid w:val="00F73B41"/>
    <w:rsid w:val="00F73C94"/>
    <w:rsid w:val="00F751FF"/>
    <w:rsid w:val="00F75206"/>
    <w:rsid w:val="00F77BD1"/>
    <w:rsid w:val="00F77EF1"/>
    <w:rsid w:val="00F77F1E"/>
    <w:rsid w:val="00F803F2"/>
    <w:rsid w:val="00F816CD"/>
    <w:rsid w:val="00F81845"/>
    <w:rsid w:val="00F81B6E"/>
    <w:rsid w:val="00F827B2"/>
    <w:rsid w:val="00F83D19"/>
    <w:rsid w:val="00F84844"/>
    <w:rsid w:val="00F852E8"/>
    <w:rsid w:val="00F85ACC"/>
    <w:rsid w:val="00F87E88"/>
    <w:rsid w:val="00F9169B"/>
    <w:rsid w:val="00F917DF"/>
    <w:rsid w:val="00F93390"/>
    <w:rsid w:val="00F93D75"/>
    <w:rsid w:val="00F93D9B"/>
    <w:rsid w:val="00F94AF8"/>
    <w:rsid w:val="00F94B2F"/>
    <w:rsid w:val="00F96BB0"/>
    <w:rsid w:val="00F96D2B"/>
    <w:rsid w:val="00F9726E"/>
    <w:rsid w:val="00FA05FE"/>
    <w:rsid w:val="00FA2B6F"/>
    <w:rsid w:val="00FA3F1A"/>
    <w:rsid w:val="00FA45DA"/>
    <w:rsid w:val="00FA61B8"/>
    <w:rsid w:val="00FA67A5"/>
    <w:rsid w:val="00FA6C8B"/>
    <w:rsid w:val="00FB3233"/>
    <w:rsid w:val="00FB434A"/>
    <w:rsid w:val="00FB4BAF"/>
    <w:rsid w:val="00FB62CF"/>
    <w:rsid w:val="00FC24BF"/>
    <w:rsid w:val="00FC27EB"/>
    <w:rsid w:val="00FC2E00"/>
    <w:rsid w:val="00FC2F1A"/>
    <w:rsid w:val="00FC3416"/>
    <w:rsid w:val="00FC3FE0"/>
    <w:rsid w:val="00FC4AB6"/>
    <w:rsid w:val="00FC57CE"/>
    <w:rsid w:val="00FC6D7C"/>
    <w:rsid w:val="00FD0073"/>
    <w:rsid w:val="00FD0E99"/>
    <w:rsid w:val="00FD149A"/>
    <w:rsid w:val="00FD3C3B"/>
    <w:rsid w:val="00FD4534"/>
    <w:rsid w:val="00FD7441"/>
    <w:rsid w:val="00FD74B0"/>
    <w:rsid w:val="00FE2EBB"/>
    <w:rsid w:val="00FE3F00"/>
    <w:rsid w:val="00FE474A"/>
    <w:rsid w:val="00FF09B1"/>
    <w:rsid w:val="00FF25A5"/>
    <w:rsid w:val="00FF2827"/>
    <w:rsid w:val="00FF3788"/>
    <w:rsid w:val="00FF3F5C"/>
    <w:rsid w:val="00FF4CD3"/>
    <w:rsid w:val="00FF4F21"/>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0453F6"/>
  <w15:docId w15:val="{9235B69F-5374-4E00-9FBC-FB9525CB0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Bold" w:eastAsia="Calibri" w:hAnsi="Times New Roman Bold" w:cs="Times New Roman"/>
        <w:color w:val="FF0000"/>
        <w:lang w:val="en-US" w:eastAsia="en-US" w:bidi="ar-SA"/>
      </w:rPr>
    </w:rPrDefault>
    <w:pPrDefault>
      <w:pPr>
        <w:spacing w:after="240"/>
        <w:ind w:left="1559" w:hanging="155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CBC"/>
    <w:pPr>
      <w:spacing w:after="0"/>
      <w:ind w:left="0" w:firstLine="0"/>
      <w:jc w:val="left"/>
    </w:pPr>
    <w:rPr>
      <w:rFonts w:ascii="Times New Roman" w:eastAsia="Times New Roman" w:hAnsi="Times New Roman"/>
      <w:b/>
      <w:i/>
      <w:color w:val="auto"/>
      <w:sz w:val="24"/>
      <w:szCs w:val="24"/>
    </w:rPr>
  </w:style>
  <w:style w:type="paragraph" w:styleId="Heading2">
    <w:name w:val="heading 2"/>
    <w:basedOn w:val="Normal"/>
    <w:next w:val="Normal"/>
    <w:link w:val="Heading2Char"/>
    <w:qFormat/>
    <w:rsid w:val="00D82C44"/>
    <w:pPr>
      <w:keepNext/>
      <w:keepLines/>
      <w:spacing w:before="200"/>
      <w:outlineLvl w:val="1"/>
    </w:pPr>
    <w:rPr>
      <w:rFonts w:ascii="Cambria" w:hAnsi="Cambria" w:cs="Cambria"/>
      <w:bCs/>
      <w:color w:val="4F81BD"/>
      <w:sz w:val="26"/>
      <w:szCs w:val="26"/>
    </w:rPr>
  </w:style>
  <w:style w:type="paragraph" w:styleId="Heading4">
    <w:name w:val="heading 4"/>
    <w:basedOn w:val="Normal"/>
    <w:next w:val="Normal"/>
    <w:link w:val="Heading4Char"/>
    <w:unhideWhenUsed/>
    <w:qFormat/>
    <w:rsid w:val="003A3CBC"/>
    <w:pPr>
      <w:keepNext/>
      <w:keepLines/>
      <w:spacing w:before="200"/>
      <w:outlineLvl w:val="3"/>
    </w:pPr>
    <w:rPr>
      <w:rFonts w:asciiTheme="majorHAnsi" w:eastAsiaTheme="majorEastAsia" w:hAnsiTheme="majorHAnsi" w:cstheme="majorBidi"/>
      <w:b w:val="0"/>
      <w:bCs/>
      <w:i w:val="0"/>
      <w:iCs/>
      <w:color w:val="4F81BD" w:themeColor="accent1"/>
    </w:rPr>
  </w:style>
  <w:style w:type="paragraph" w:styleId="Heading5">
    <w:name w:val="heading 5"/>
    <w:basedOn w:val="Normal"/>
    <w:next w:val="Normal"/>
    <w:link w:val="Heading5Char"/>
    <w:unhideWhenUsed/>
    <w:qFormat/>
    <w:rsid w:val="003A3CB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82C44"/>
    <w:rPr>
      <w:rFonts w:ascii="Cambria" w:eastAsia="Times New Roman" w:hAnsi="Cambria" w:cs="Cambria"/>
      <w:b w:val="0"/>
      <w:bCs/>
      <w:color w:val="4F81BD"/>
      <w:sz w:val="26"/>
      <w:szCs w:val="26"/>
    </w:rPr>
  </w:style>
  <w:style w:type="paragraph" w:styleId="Caption">
    <w:name w:val="caption"/>
    <w:basedOn w:val="Normal"/>
    <w:next w:val="Normal"/>
    <w:uiPriority w:val="35"/>
    <w:qFormat/>
    <w:rsid w:val="00D82C44"/>
    <w:pPr>
      <w:spacing w:line="360" w:lineRule="auto"/>
      <w:jc w:val="center"/>
    </w:pPr>
    <w:rPr>
      <w:rFonts w:cs="Calibri"/>
      <w:color w:val="4F81BD"/>
      <w:sz w:val="28"/>
      <w:szCs w:val="28"/>
    </w:rPr>
  </w:style>
  <w:style w:type="character" w:styleId="Emphasis">
    <w:name w:val="Emphasis"/>
    <w:basedOn w:val="DefaultParagraphFont"/>
    <w:uiPriority w:val="20"/>
    <w:qFormat/>
    <w:rsid w:val="00D82C44"/>
    <w:rPr>
      <w:i w:val="0"/>
      <w:iCs/>
    </w:rPr>
  </w:style>
  <w:style w:type="paragraph" w:styleId="ListParagraph">
    <w:name w:val="List Paragraph"/>
    <w:basedOn w:val="Normal"/>
    <w:uiPriority w:val="34"/>
    <w:qFormat/>
    <w:rsid w:val="00D82C44"/>
    <w:pPr>
      <w:ind w:left="720"/>
      <w:contextualSpacing/>
    </w:pPr>
  </w:style>
  <w:style w:type="paragraph" w:customStyle="1" w:styleId="ColorfulList-Accent11">
    <w:name w:val="Colorful List - Accent 11"/>
    <w:basedOn w:val="Normal"/>
    <w:uiPriority w:val="34"/>
    <w:qFormat/>
    <w:rsid w:val="00D82C44"/>
    <w:pPr>
      <w:ind w:left="720"/>
      <w:contextualSpacing/>
    </w:pPr>
    <w:rPr>
      <w:sz w:val="26"/>
    </w:rPr>
  </w:style>
  <w:style w:type="paragraph" w:customStyle="1" w:styleId="MediumGrid1-Accent21">
    <w:name w:val="Medium Grid 1 - Accent 21"/>
    <w:basedOn w:val="Normal"/>
    <w:uiPriority w:val="34"/>
    <w:qFormat/>
    <w:rsid w:val="00D82C44"/>
    <w:pPr>
      <w:spacing w:before="120" w:after="120"/>
      <w:ind w:left="720"/>
      <w:contextualSpacing/>
    </w:pPr>
    <w:rPr>
      <w:rFonts w:eastAsia="Cambria"/>
      <w:lang w:val="en-GB"/>
    </w:rPr>
  </w:style>
  <w:style w:type="character" w:customStyle="1" w:styleId="Heading4Char">
    <w:name w:val="Heading 4 Char"/>
    <w:basedOn w:val="DefaultParagraphFont"/>
    <w:link w:val="Heading4"/>
    <w:rsid w:val="003A3CBC"/>
    <w:rPr>
      <w:rFonts w:asciiTheme="majorHAnsi" w:eastAsiaTheme="majorEastAsia" w:hAnsiTheme="majorHAnsi" w:cstheme="majorBidi"/>
      <w:bCs/>
      <w:iCs/>
      <w:color w:val="4F81BD" w:themeColor="accent1"/>
      <w:sz w:val="24"/>
      <w:szCs w:val="24"/>
    </w:rPr>
  </w:style>
  <w:style w:type="character" w:customStyle="1" w:styleId="Heading5Char">
    <w:name w:val="Heading 5 Char"/>
    <w:basedOn w:val="DefaultParagraphFont"/>
    <w:link w:val="Heading5"/>
    <w:rsid w:val="003A3CBC"/>
    <w:rPr>
      <w:rFonts w:asciiTheme="majorHAnsi" w:eastAsiaTheme="majorEastAsia" w:hAnsiTheme="majorHAnsi" w:cstheme="majorBidi"/>
      <w:b/>
      <w:i/>
      <w:color w:val="243F60" w:themeColor="accent1" w:themeShade="7F"/>
      <w:sz w:val="24"/>
      <w:szCs w:val="24"/>
    </w:rPr>
  </w:style>
  <w:style w:type="paragraph" w:styleId="BodyText3">
    <w:name w:val="Body Text 3"/>
    <w:basedOn w:val="Normal"/>
    <w:link w:val="BodyText3Char"/>
    <w:rsid w:val="003A3CBC"/>
    <w:rPr>
      <w:rFonts w:ascii=".VnTimeH" w:hAnsi=".VnTimeH"/>
      <w:b w:val="0"/>
      <w:bCs/>
      <w:sz w:val="26"/>
      <w:szCs w:val="20"/>
    </w:rPr>
  </w:style>
  <w:style w:type="character" w:customStyle="1" w:styleId="BodyText3Char">
    <w:name w:val="Body Text 3 Char"/>
    <w:basedOn w:val="DefaultParagraphFont"/>
    <w:link w:val="BodyText3"/>
    <w:rsid w:val="003A3CBC"/>
    <w:rPr>
      <w:rFonts w:ascii=".VnTimeH" w:eastAsia="Times New Roman" w:hAnsi=".VnTimeH"/>
      <w:bCs/>
      <w:i/>
      <w:color w:val="auto"/>
      <w:sz w:val="26"/>
    </w:rPr>
  </w:style>
  <w:style w:type="paragraph" w:styleId="FootnoteText">
    <w:name w:val="footnote text"/>
    <w:basedOn w:val="Normal"/>
    <w:link w:val="FootnoteTextChar"/>
    <w:unhideWhenUsed/>
    <w:rsid w:val="00FC3FE0"/>
    <w:rPr>
      <w:sz w:val="20"/>
      <w:szCs w:val="20"/>
    </w:rPr>
  </w:style>
  <w:style w:type="character" w:customStyle="1" w:styleId="FootnoteTextChar">
    <w:name w:val="Footnote Text Char"/>
    <w:basedOn w:val="DefaultParagraphFont"/>
    <w:link w:val="FootnoteText"/>
    <w:rsid w:val="00FC3FE0"/>
    <w:rPr>
      <w:rFonts w:ascii="Times New Roman" w:eastAsia="Times New Roman" w:hAnsi="Times New Roman"/>
      <w:b/>
      <w:i/>
      <w:color w:val="auto"/>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unhideWhenUsed/>
    <w:qFormat/>
    <w:rsid w:val="00FC3FE0"/>
    <w:rPr>
      <w:vertAlign w:val="superscript"/>
    </w:rPr>
  </w:style>
  <w:style w:type="paragraph" w:styleId="Header">
    <w:name w:val="header"/>
    <w:basedOn w:val="Normal"/>
    <w:link w:val="HeaderChar"/>
    <w:uiPriority w:val="99"/>
    <w:unhideWhenUsed/>
    <w:rsid w:val="005637D2"/>
    <w:pPr>
      <w:tabs>
        <w:tab w:val="center" w:pos="4680"/>
        <w:tab w:val="right" w:pos="9360"/>
      </w:tabs>
    </w:pPr>
  </w:style>
  <w:style w:type="character" w:customStyle="1" w:styleId="HeaderChar">
    <w:name w:val="Header Char"/>
    <w:basedOn w:val="DefaultParagraphFont"/>
    <w:link w:val="Header"/>
    <w:uiPriority w:val="99"/>
    <w:rsid w:val="005637D2"/>
    <w:rPr>
      <w:rFonts w:ascii="Times New Roman" w:eastAsia="Times New Roman" w:hAnsi="Times New Roman"/>
      <w:b/>
      <w:i/>
      <w:color w:val="auto"/>
      <w:sz w:val="24"/>
      <w:szCs w:val="24"/>
    </w:rPr>
  </w:style>
  <w:style w:type="paragraph" w:styleId="Footer">
    <w:name w:val="footer"/>
    <w:basedOn w:val="Normal"/>
    <w:link w:val="FooterChar"/>
    <w:uiPriority w:val="99"/>
    <w:unhideWhenUsed/>
    <w:rsid w:val="005637D2"/>
    <w:pPr>
      <w:tabs>
        <w:tab w:val="center" w:pos="4680"/>
        <w:tab w:val="right" w:pos="9360"/>
      </w:tabs>
    </w:pPr>
  </w:style>
  <w:style w:type="character" w:customStyle="1" w:styleId="FooterChar">
    <w:name w:val="Footer Char"/>
    <w:basedOn w:val="DefaultParagraphFont"/>
    <w:link w:val="Footer"/>
    <w:uiPriority w:val="99"/>
    <w:rsid w:val="005637D2"/>
    <w:rPr>
      <w:rFonts w:ascii="Times New Roman" w:eastAsia="Times New Roman" w:hAnsi="Times New Roman"/>
      <w:b/>
      <w:i/>
      <w:color w:val="auto"/>
      <w:sz w:val="24"/>
      <w:szCs w:val="24"/>
    </w:rPr>
  </w:style>
  <w:style w:type="paragraph" w:styleId="BalloonText">
    <w:name w:val="Balloon Text"/>
    <w:basedOn w:val="Normal"/>
    <w:link w:val="BalloonTextChar"/>
    <w:uiPriority w:val="99"/>
    <w:semiHidden/>
    <w:unhideWhenUsed/>
    <w:rsid w:val="005637D2"/>
    <w:rPr>
      <w:rFonts w:ascii="Tahoma" w:hAnsi="Tahoma" w:cs="Tahoma"/>
      <w:sz w:val="16"/>
      <w:szCs w:val="16"/>
    </w:rPr>
  </w:style>
  <w:style w:type="character" w:customStyle="1" w:styleId="BalloonTextChar">
    <w:name w:val="Balloon Text Char"/>
    <w:basedOn w:val="DefaultParagraphFont"/>
    <w:link w:val="BalloonText"/>
    <w:uiPriority w:val="99"/>
    <w:semiHidden/>
    <w:rsid w:val="005637D2"/>
    <w:rPr>
      <w:rFonts w:ascii="Tahoma" w:eastAsia="Times New Roman" w:hAnsi="Tahoma" w:cs="Tahoma"/>
      <w:b/>
      <w:i/>
      <w:color w:val="auto"/>
      <w:sz w:val="16"/>
      <w:szCs w:val="16"/>
    </w:rPr>
  </w:style>
  <w:style w:type="paragraph" w:styleId="NormalWeb">
    <w:name w:val="Normal (Web)"/>
    <w:basedOn w:val="Normal"/>
    <w:uiPriority w:val="99"/>
    <w:rsid w:val="00FA3F1A"/>
    <w:pPr>
      <w:spacing w:before="100" w:beforeAutospacing="1" w:after="100" w:afterAutospacing="1"/>
    </w:pPr>
  </w:style>
  <w:style w:type="character" w:styleId="CommentReference">
    <w:name w:val="annotation reference"/>
    <w:uiPriority w:val="99"/>
    <w:semiHidden/>
    <w:unhideWhenUsed/>
    <w:rsid w:val="00C44A70"/>
    <w:rPr>
      <w:sz w:val="16"/>
      <w:szCs w:val="16"/>
    </w:rPr>
  </w:style>
  <w:style w:type="paragraph" w:styleId="CommentText">
    <w:name w:val="annotation text"/>
    <w:basedOn w:val="Normal"/>
    <w:link w:val="CommentTextChar"/>
    <w:uiPriority w:val="99"/>
    <w:unhideWhenUsed/>
    <w:rsid w:val="00C44A70"/>
    <w:pPr>
      <w:spacing w:after="160" w:line="259" w:lineRule="auto"/>
    </w:pPr>
    <w:rPr>
      <w:rFonts w:ascii="Calibri" w:eastAsia="Calibri" w:hAnsi="Calibri"/>
      <w:sz w:val="20"/>
      <w:szCs w:val="20"/>
    </w:rPr>
  </w:style>
  <w:style w:type="character" w:customStyle="1" w:styleId="CommentTextChar">
    <w:name w:val="Comment Text Char"/>
    <w:basedOn w:val="DefaultParagraphFont"/>
    <w:link w:val="CommentText"/>
    <w:uiPriority w:val="99"/>
    <w:rsid w:val="00C44A70"/>
    <w:rPr>
      <w:rFonts w:ascii="Calibri" w:hAnsi="Calibri"/>
      <w:b/>
      <w:i/>
      <w:color w:val="auto"/>
    </w:rPr>
  </w:style>
  <w:style w:type="table" w:styleId="TableGrid">
    <w:name w:val="Table Grid"/>
    <w:basedOn w:val="TableNormal"/>
    <w:uiPriority w:val="59"/>
    <w:rsid w:val="007645D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9D361B"/>
    <w:rPr>
      <w:rFonts w:ascii="Calibri" w:eastAsia="Calibri" w:hAnsi="Calibri"/>
      <w:sz w:val="20"/>
      <w:szCs w:val="20"/>
    </w:rPr>
  </w:style>
  <w:style w:type="character" w:customStyle="1" w:styleId="EndnoteTextChar">
    <w:name w:val="Endnote Text Char"/>
    <w:basedOn w:val="DefaultParagraphFont"/>
    <w:link w:val="EndnoteText"/>
    <w:uiPriority w:val="99"/>
    <w:semiHidden/>
    <w:rsid w:val="009D361B"/>
    <w:rPr>
      <w:rFonts w:ascii="Calibri" w:hAnsi="Calibri"/>
      <w:b/>
      <w:i/>
      <w:color w:val="auto"/>
    </w:rPr>
  </w:style>
  <w:style w:type="character" w:styleId="EndnoteReference">
    <w:name w:val="endnote reference"/>
    <w:uiPriority w:val="99"/>
    <w:semiHidden/>
    <w:unhideWhenUsed/>
    <w:rsid w:val="009D361B"/>
    <w:rPr>
      <w:vertAlign w:val="superscript"/>
    </w:rPr>
  </w:style>
  <w:style w:type="paragraph" w:styleId="CommentSubject">
    <w:name w:val="annotation subject"/>
    <w:basedOn w:val="CommentText"/>
    <w:next w:val="CommentText"/>
    <w:link w:val="CommentSubjectChar"/>
    <w:uiPriority w:val="99"/>
    <w:semiHidden/>
    <w:unhideWhenUsed/>
    <w:rsid w:val="009D361B"/>
    <w:rPr>
      <w:b w:val="0"/>
      <w:bCs/>
    </w:rPr>
  </w:style>
  <w:style w:type="character" w:customStyle="1" w:styleId="CommentSubjectChar">
    <w:name w:val="Comment Subject Char"/>
    <w:basedOn w:val="CommentTextChar"/>
    <w:link w:val="CommentSubject"/>
    <w:uiPriority w:val="99"/>
    <w:semiHidden/>
    <w:rsid w:val="009D361B"/>
    <w:rPr>
      <w:rFonts w:ascii="Calibri" w:hAnsi="Calibri"/>
      <w:b w:val="0"/>
      <w:bCs/>
      <w:i/>
      <w:color w:val="auto"/>
    </w:rPr>
  </w:style>
  <w:style w:type="paragraph" w:styleId="NoSpacing">
    <w:name w:val="No Spacing"/>
    <w:uiPriority w:val="1"/>
    <w:qFormat/>
    <w:rsid w:val="009D361B"/>
    <w:pPr>
      <w:spacing w:after="0"/>
      <w:ind w:left="0" w:firstLine="0"/>
      <w:jc w:val="left"/>
    </w:pPr>
    <w:rPr>
      <w:rFonts w:ascii="Times New Roman" w:eastAsia="Times New Roman" w:hAnsi="Times New Roman"/>
      <w:b/>
      <w:i/>
      <w:color w:val="auto"/>
      <w:sz w:val="24"/>
      <w:szCs w:val="24"/>
    </w:rPr>
  </w:style>
  <w:style w:type="character" w:styleId="Hyperlink">
    <w:name w:val="Hyperlink"/>
    <w:basedOn w:val="DefaultParagraphFont"/>
    <w:uiPriority w:val="99"/>
    <w:unhideWhenUsed/>
    <w:rsid w:val="00E96E56"/>
    <w:rPr>
      <w:color w:val="0000FF"/>
      <w:u w:val="single"/>
    </w:rPr>
  </w:style>
  <w:style w:type="numbering" w:customStyle="1" w:styleId="NoList1">
    <w:name w:val="No List1"/>
    <w:next w:val="NoList"/>
    <w:uiPriority w:val="99"/>
    <w:semiHidden/>
    <w:unhideWhenUsed/>
    <w:rsid w:val="00DE5B3F"/>
  </w:style>
  <w:style w:type="paragraph" w:styleId="Revision">
    <w:name w:val="Revision"/>
    <w:hidden/>
    <w:uiPriority w:val="99"/>
    <w:semiHidden/>
    <w:rsid w:val="00915ED4"/>
    <w:pPr>
      <w:spacing w:after="0"/>
      <w:ind w:left="0" w:firstLine="0"/>
      <w:jc w:val="left"/>
    </w:pPr>
    <w:rPr>
      <w:rFonts w:ascii="Times New Roman" w:eastAsia="Times New Roman" w:hAnsi="Times New Roman"/>
      <w:b/>
      <w:i/>
      <w:color w:val="auto"/>
      <w:sz w:val="24"/>
      <w:szCs w:val="24"/>
    </w:rPr>
  </w:style>
  <w:style w:type="paragraph" w:styleId="BodyText">
    <w:name w:val="Body Text"/>
    <w:basedOn w:val="Normal"/>
    <w:link w:val="BodyTextChar"/>
    <w:unhideWhenUsed/>
    <w:rsid w:val="006E67A5"/>
    <w:pPr>
      <w:spacing w:after="120"/>
    </w:pPr>
  </w:style>
  <w:style w:type="character" w:customStyle="1" w:styleId="BodyTextChar">
    <w:name w:val="Body Text Char"/>
    <w:basedOn w:val="DefaultParagraphFont"/>
    <w:link w:val="BodyText"/>
    <w:rsid w:val="006E67A5"/>
    <w:rPr>
      <w:rFonts w:ascii="Times New Roman" w:eastAsia="Times New Roman" w:hAnsi="Times New Roman"/>
      <w:b/>
      <w:i/>
      <w:color w:val="auto"/>
      <w:sz w:val="24"/>
      <w:szCs w:val="24"/>
    </w:rPr>
  </w:style>
  <w:style w:type="table" w:customStyle="1" w:styleId="TableGrid1">
    <w:name w:val="Table Grid1"/>
    <w:basedOn w:val="TableNormal"/>
    <w:next w:val="TableGrid"/>
    <w:uiPriority w:val="59"/>
    <w:rsid w:val="006E67A5"/>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NoList"/>
    <w:uiPriority w:val="99"/>
    <w:semiHidden/>
    <w:unhideWhenUsed/>
    <w:rsid w:val="00F438B9"/>
  </w:style>
  <w:style w:type="table" w:customStyle="1" w:styleId="TableGrid2">
    <w:name w:val="Table Grid2"/>
    <w:basedOn w:val="TableNormal"/>
    <w:next w:val="TableGrid"/>
    <w:uiPriority w:val="59"/>
    <w:rsid w:val="00F438B9"/>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char">
    <w:name w:val="normal__char"/>
    <w:rsid w:val="00F438B9"/>
  </w:style>
  <w:style w:type="character" w:styleId="Strong">
    <w:name w:val="Strong"/>
    <w:basedOn w:val="DefaultParagraphFont"/>
    <w:uiPriority w:val="22"/>
    <w:qFormat/>
    <w:rsid w:val="00F438B9"/>
    <w:rPr>
      <w:b/>
      <w:bCs/>
    </w:rPr>
  </w:style>
  <w:style w:type="character" w:styleId="FollowedHyperlink">
    <w:name w:val="FollowedHyperlink"/>
    <w:basedOn w:val="DefaultParagraphFont"/>
    <w:uiPriority w:val="99"/>
    <w:semiHidden/>
    <w:unhideWhenUsed/>
    <w:rsid w:val="0071330A"/>
    <w:rPr>
      <w:color w:val="800080"/>
      <w:u w:val="single"/>
    </w:rPr>
  </w:style>
  <w:style w:type="paragraph" w:customStyle="1" w:styleId="xl73">
    <w:name w:val="xl73"/>
    <w:basedOn w:val="Normal"/>
    <w:rsid w:val="0071330A"/>
    <w:pPr>
      <w:spacing w:before="100" w:beforeAutospacing="1" w:after="100" w:afterAutospacing="1"/>
      <w:jc w:val="center"/>
    </w:pPr>
    <w:rPr>
      <w:b w:val="0"/>
      <w:i w:val="0"/>
    </w:rPr>
  </w:style>
  <w:style w:type="paragraph" w:customStyle="1" w:styleId="xl74">
    <w:name w:val="xl74"/>
    <w:basedOn w:val="Normal"/>
    <w:rsid w:val="0071330A"/>
    <w:pPr>
      <w:spacing w:before="100" w:beforeAutospacing="1" w:after="100" w:afterAutospacing="1"/>
    </w:pPr>
    <w:rPr>
      <w:b w:val="0"/>
      <w:i w:val="0"/>
    </w:rPr>
  </w:style>
  <w:style w:type="paragraph" w:customStyle="1" w:styleId="xl75">
    <w:name w:val="xl75"/>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76">
    <w:name w:val="xl76"/>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i w:val="0"/>
    </w:rPr>
  </w:style>
  <w:style w:type="paragraph" w:customStyle="1" w:styleId="xl77">
    <w:name w:val="xl77"/>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78">
    <w:name w:val="xl78"/>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iCs/>
    </w:rPr>
  </w:style>
  <w:style w:type="paragraph" w:customStyle="1" w:styleId="xl79">
    <w:name w:val="xl79"/>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0">
    <w:name w:val="xl80"/>
    <w:basedOn w:val="Normal"/>
    <w:rsid w:val="0071330A"/>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center"/>
    </w:pPr>
    <w:rPr>
      <w:b w:val="0"/>
      <w:i w:val="0"/>
    </w:rPr>
  </w:style>
  <w:style w:type="paragraph" w:customStyle="1" w:styleId="xl81">
    <w:name w:val="xl81"/>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2">
    <w:name w:val="xl82"/>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3">
    <w:name w:val="xl83"/>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i w:val="0"/>
    </w:rPr>
  </w:style>
  <w:style w:type="paragraph" w:customStyle="1" w:styleId="xl84">
    <w:name w:val="xl84"/>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85">
    <w:name w:val="xl85"/>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6">
    <w:name w:val="xl86"/>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7">
    <w:name w:val="xl87"/>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88">
    <w:name w:val="xl88"/>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89">
    <w:name w:val="xl89"/>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val="0"/>
      <w:i w:val="0"/>
    </w:rPr>
  </w:style>
  <w:style w:type="paragraph" w:customStyle="1" w:styleId="xl90">
    <w:name w:val="xl90"/>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iCs/>
    </w:rPr>
  </w:style>
  <w:style w:type="paragraph" w:customStyle="1" w:styleId="xl91">
    <w:name w:val="xl91"/>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i w:val="0"/>
    </w:rPr>
  </w:style>
  <w:style w:type="paragraph" w:customStyle="1" w:styleId="xl92">
    <w:name w:val="xl92"/>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i w:val="0"/>
    </w:rPr>
  </w:style>
  <w:style w:type="paragraph" w:customStyle="1" w:styleId="xl93">
    <w:name w:val="xl93"/>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94">
    <w:name w:val="xl94"/>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val="0"/>
      <w:i w:val="0"/>
    </w:rPr>
  </w:style>
  <w:style w:type="paragraph" w:customStyle="1" w:styleId="xl95">
    <w:name w:val="xl95"/>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pPr>
    <w:rPr>
      <w:b w:val="0"/>
      <w:i w:val="0"/>
    </w:rPr>
  </w:style>
  <w:style w:type="paragraph" w:customStyle="1" w:styleId="xl96">
    <w:name w:val="xl96"/>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pPr>
    <w:rPr>
      <w:b w:val="0"/>
      <w:i w:val="0"/>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5C6920"/>
    <w:pPr>
      <w:spacing w:after="160" w:line="240" w:lineRule="exact"/>
    </w:pPr>
    <w:rPr>
      <w:rFonts w:ascii="Times New Roman Bold" w:eastAsia="Calibri" w:hAnsi="Times New Roman Bold"/>
      <w:b w:val="0"/>
      <w:i w:val="0"/>
      <w:color w:val="FF0000"/>
      <w:sz w:val="20"/>
      <w:szCs w:val="20"/>
      <w:vertAlign w:val="superscript"/>
    </w:rPr>
  </w:style>
  <w:style w:type="table" w:customStyle="1" w:styleId="TableGrid3">
    <w:name w:val="Table Grid3"/>
    <w:basedOn w:val="TableNormal"/>
    <w:next w:val="TableGrid"/>
    <w:uiPriority w:val="59"/>
    <w:rsid w:val="00A53A6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66204">
      <w:bodyDiv w:val="1"/>
      <w:marLeft w:val="0"/>
      <w:marRight w:val="0"/>
      <w:marTop w:val="0"/>
      <w:marBottom w:val="0"/>
      <w:divBdr>
        <w:top w:val="none" w:sz="0" w:space="0" w:color="auto"/>
        <w:left w:val="none" w:sz="0" w:space="0" w:color="auto"/>
        <w:bottom w:val="none" w:sz="0" w:space="0" w:color="auto"/>
        <w:right w:val="none" w:sz="0" w:space="0" w:color="auto"/>
      </w:divBdr>
    </w:div>
    <w:div w:id="146215544">
      <w:bodyDiv w:val="1"/>
      <w:marLeft w:val="0"/>
      <w:marRight w:val="0"/>
      <w:marTop w:val="0"/>
      <w:marBottom w:val="0"/>
      <w:divBdr>
        <w:top w:val="none" w:sz="0" w:space="0" w:color="auto"/>
        <w:left w:val="none" w:sz="0" w:space="0" w:color="auto"/>
        <w:bottom w:val="none" w:sz="0" w:space="0" w:color="auto"/>
        <w:right w:val="none" w:sz="0" w:space="0" w:color="auto"/>
      </w:divBdr>
    </w:div>
    <w:div w:id="323361241">
      <w:bodyDiv w:val="1"/>
      <w:marLeft w:val="0"/>
      <w:marRight w:val="0"/>
      <w:marTop w:val="0"/>
      <w:marBottom w:val="0"/>
      <w:divBdr>
        <w:top w:val="none" w:sz="0" w:space="0" w:color="auto"/>
        <w:left w:val="none" w:sz="0" w:space="0" w:color="auto"/>
        <w:bottom w:val="none" w:sz="0" w:space="0" w:color="auto"/>
        <w:right w:val="none" w:sz="0" w:space="0" w:color="auto"/>
      </w:divBdr>
    </w:div>
    <w:div w:id="331103578">
      <w:bodyDiv w:val="1"/>
      <w:marLeft w:val="0"/>
      <w:marRight w:val="0"/>
      <w:marTop w:val="0"/>
      <w:marBottom w:val="0"/>
      <w:divBdr>
        <w:top w:val="none" w:sz="0" w:space="0" w:color="auto"/>
        <w:left w:val="none" w:sz="0" w:space="0" w:color="auto"/>
        <w:bottom w:val="none" w:sz="0" w:space="0" w:color="auto"/>
        <w:right w:val="none" w:sz="0" w:space="0" w:color="auto"/>
      </w:divBdr>
    </w:div>
    <w:div w:id="450825827">
      <w:bodyDiv w:val="1"/>
      <w:marLeft w:val="0"/>
      <w:marRight w:val="0"/>
      <w:marTop w:val="0"/>
      <w:marBottom w:val="0"/>
      <w:divBdr>
        <w:top w:val="none" w:sz="0" w:space="0" w:color="auto"/>
        <w:left w:val="none" w:sz="0" w:space="0" w:color="auto"/>
        <w:bottom w:val="none" w:sz="0" w:space="0" w:color="auto"/>
        <w:right w:val="none" w:sz="0" w:space="0" w:color="auto"/>
      </w:divBdr>
    </w:div>
    <w:div w:id="535967608">
      <w:bodyDiv w:val="1"/>
      <w:marLeft w:val="0"/>
      <w:marRight w:val="0"/>
      <w:marTop w:val="0"/>
      <w:marBottom w:val="0"/>
      <w:divBdr>
        <w:top w:val="none" w:sz="0" w:space="0" w:color="auto"/>
        <w:left w:val="none" w:sz="0" w:space="0" w:color="auto"/>
        <w:bottom w:val="none" w:sz="0" w:space="0" w:color="auto"/>
        <w:right w:val="none" w:sz="0" w:space="0" w:color="auto"/>
      </w:divBdr>
    </w:div>
    <w:div w:id="567227772">
      <w:bodyDiv w:val="1"/>
      <w:marLeft w:val="0"/>
      <w:marRight w:val="0"/>
      <w:marTop w:val="0"/>
      <w:marBottom w:val="0"/>
      <w:divBdr>
        <w:top w:val="none" w:sz="0" w:space="0" w:color="auto"/>
        <w:left w:val="none" w:sz="0" w:space="0" w:color="auto"/>
        <w:bottom w:val="none" w:sz="0" w:space="0" w:color="auto"/>
        <w:right w:val="none" w:sz="0" w:space="0" w:color="auto"/>
      </w:divBdr>
    </w:div>
    <w:div w:id="591550584">
      <w:bodyDiv w:val="1"/>
      <w:marLeft w:val="0"/>
      <w:marRight w:val="0"/>
      <w:marTop w:val="0"/>
      <w:marBottom w:val="0"/>
      <w:divBdr>
        <w:top w:val="none" w:sz="0" w:space="0" w:color="auto"/>
        <w:left w:val="none" w:sz="0" w:space="0" w:color="auto"/>
        <w:bottom w:val="none" w:sz="0" w:space="0" w:color="auto"/>
        <w:right w:val="none" w:sz="0" w:space="0" w:color="auto"/>
      </w:divBdr>
    </w:div>
    <w:div w:id="725033119">
      <w:bodyDiv w:val="1"/>
      <w:marLeft w:val="0"/>
      <w:marRight w:val="0"/>
      <w:marTop w:val="0"/>
      <w:marBottom w:val="0"/>
      <w:divBdr>
        <w:top w:val="none" w:sz="0" w:space="0" w:color="auto"/>
        <w:left w:val="none" w:sz="0" w:space="0" w:color="auto"/>
        <w:bottom w:val="none" w:sz="0" w:space="0" w:color="auto"/>
        <w:right w:val="none" w:sz="0" w:space="0" w:color="auto"/>
      </w:divBdr>
    </w:div>
    <w:div w:id="817115606">
      <w:bodyDiv w:val="1"/>
      <w:marLeft w:val="0"/>
      <w:marRight w:val="0"/>
      <w:marTop w:val="0"/>
      <w:marBottom w:val="0"/>
      <w:divBdr>
        <w:top w:val="none" w:sz="0" w:space="0" w:color="auto"/>
        <w:left w:val="none" w:sz="0" w:space="0" w:color="auto"/>
        <w:bottom w:val="none" w:sz="0" w:space="0" w:color="auto"/>
        <w:right w:val="none" w:sz="0" w:space="0" w:color="auto"/>
      </w:divBdr>
    </w:div>
    <w:div w:id="847525688">
      <w:bodyDiv w:val="1"/>
      <w:marLeft w:val="0"/>
      <w:marRight w:val="0"/>
      <w:marTop w:val="0"/>
      <w:marBottom w:val="0"/>
      <w:divBdr>
        <w:top w:val="none" w:sz="0" w:space="0" w:color="auto"/>
        <w:left w:val="none" w:sz="0" w:space="0" w:color="auto"/>
        <w:bottom w:val="none" w:sz="0" w:space="0" w:color="auto"/>
        <w:right w:val="none" w:sz="0" w:space="0" w:color="auto"/>
      </w:divBdr>
    </w:div>
    <w:div w:id="866941170">
      <w:bodyDiv w:val="1"/>
      <w:marLeft w:val="0"/>
      <w:marRight w:val="0"/>
      <w:marTop w:val="0"/>
      <w:marBottom w:val="0"/>
      <w:divBdr>
        <w:top w:val="none" w:sz="0" w:space="0" w:color="auto"/>
        <w:left w:val="none" w:sz="0" w:space="0" w:color="auto"/>
        <w:bottom w:val="none" w:sz="0" w:space="0" w:color="auto"/>
        <w:right w:val="none" w:sz="0" w:space="0" w:color="auto"/>
      </w:divBdr>
    </w:div>
    <w:div w:id="929697353">
      <w:bodyDiv w:val="1"/>
      <w:marLeft w:val="0"/>
      <w:marRight w:val="0"/>
      <w:marTop w:val="0"/>
      <w:marBottom w:val="0"/>
      <w:divBdr>
        <w:top w:val="none" w:sz="0" w:space="0" w:color="auto"/>
        <w:left w:val="none" w:sz="0" w:space="0" w:color="auto"/>
        <w:bottom w:val="none" w:sz="0" w:space="0" w:color="auto"/>
        <w:right w:val="none" w:sz="0" w:space="0" w:color="auto"/>
      </w:divBdr>
    </w:div>
    <w:div w:id="988828554">
      <w:bodyDiv w:val="1"/>
      <w:marLeft w:val="0"/>
      <w:marRight w:val="0"/>
      <w:marTop w:val="0"/>
      <w:marBottom w:val="0"/>
      <w:divBdr>
        <w:top w:val="none" w:sz="0" w:space="0" w:color="auto"/>
        <w:left w:val="none" w:sz="0" w:space="0" w:color="auto"/>
        <w:bottom w:val="none" w:sz="0" w:space="0" w:color="auto"/>
        <w:right w:val="none" w:sz="0" w:space="0" w:color="auto"/>
      </w:divBdr>
    </w:div>
    <w:div w:id="1093932833">
      <w:bodyDiv w:val="1"/>
      <w:marLeft w:val="0"/>
      <w:marRight w:val="0"/>
      <w:marTop w:val="0"/>
      <w:marBottom w:val="0"/>
      <w:divBdr>
        <w:top w:val="none" w:sz="0" w:space="0" w:color="auto"/>
        <w:left w:val="none" w:sz="0" w:space="0" w:color="auto"/>
        <w:bottom w:val="none" w:sz="0" w:space="0" w:color="auto"/>
        <w:right w:val="none" w:sz="0" w:space="0" w:color="auto"/>
      </w:divBdr>
    </w:div>
    <w:div w:id="1178232783">
      <w:bodyDiv w:val="1"/>
      <w:marLeft w:val="0"/>
      <w:marRight w:val="0"/>
      <w:marTop w:val="0"/>
      <w:marBottom w:val="0"/>
      <w:divBdr>
        <w:top w:val="none" w:sz="0" w:space="0" w:color="auto"/>
        <w:left w:val="none" w:sz="0" w:space="0" w:color="auto"/>
        <w:bottom w:val="none" w:sz="0" w:space="0" w:color="auto"/>
        <w:right w:val="none" w:sz="0" w:space="0" w:color="auto"/>
      </w:divBdr>
    </w:div>
    <w:div w:id="1269318212">
      <w:bodyDiv w:val="1"/>
      <w:marLeft w:val="0"/>
      <w:marRight w:val="0"/>
      <w:marTop w:val="0"/>
      <w:marBottom w:val="0"/>
      <w:divBdr>
        <w:top w:val="none" w:sz="0" w:space="0" w:color="auto"/>
        <w:left w:val="none" w:sz="0" w:space="0" w:color="auto"/>
        <w:bottom w:val="none" w:sz="0" w:space="0" w:color="auto"/>
        <w:right w:val="none" w:sz="0" w:space="0" w:color="auto"/>
      </w:divBdr>
    </w:div>
    <w:div w:id="1278369945">
      <w:bodyDiv w:val="1"/>
      <w:marLeft w:val="0"/>
      <w:marRight w:val="0"/>
      <w:marTop w:val="0"/>
      <w:marBottom w:val="0"/>
      <w:divBdr>
        <w:top w:val="none" w:sz="0" w:space="0" w:color="auto"/>
        <w:left w:val="none" w:sz="0" w:space="0" w:color="auto"/>
        <w:bottom w:val="none" w:sz="0" w:space="0" w:color="auto"/>
        <w:right w:val="none" w:sz="0" w:space="0" w:color="auto"/>
      </w:divBdr>
    </w:div>
    <w:div w:id="1396901912">
      <w:bodyDiv w:val="1"/>
      <w:marLeft w:val="0"/>
      <w:marRight w:val="0"/>
      <w:marTop w:val="0"/>
      <w:marBottom w:val="0"/>
      <w:divBdr>
        <w:top w:val="none" w:sz="0" w:space="0" w:color="auto"/>
        <w:left w:val="none" w:sz="0" w:space="0" w:color="auto"/>
        <w:bottom w:val="none" w:sz="0" w:space="0" w:color="auto"/>
        <w:right w:val="none" w:sz="0" w:space="0" w:color="auto"/>
      </w:divBdr>
    </w:div>
    <w:div w:id="1448743003">
      <w:bodyDiv w:val="1"/>
      <w:marLeft w:val="0"/>
      <w:marRight w:val="0"/>
      <w:marTop w:val="0"/>
      <w:marBottom w:val="0"/>
      <w:divBdr>
        <w:top w:val="none" w:sz="0" w:space="0" w:color="auto"/>
        <w:left w:val="none" w:sz="0" w:space="0" w:color="auto"/>
        <w:bottom w:val="none" w:sz="0" w:space="0" w:color="auto"/>
        <w:right w:val="none" w:sz="0" w:space="0" w:color="auto"/>
      </w:divBdr>
    </w:div>
    <w:div w:id="1598636449">
      <w:bodyDiv w:val="1"/>
      <w:marLeft w:val="0"/>
      <w:marRight w:val="0"/>
      <w:marTop w:val="0"/>
      <w:marBottom w:val="0"/>
      <w:divBdr>
        <w:top w:val="none" w:sz="0" w:space="0" w:color="auto"/>
        <w:left w:val="none" w:sz="0" w:space="0" w:color="auto"/>
        <w:bottom w:val="none" w:sz="0" w:space="0" w:color="auto"/>
        <w:right w:val="none" w:sz="0" w:space="0" w:color="auto"/>
      </w:divBdr>
    </w:div>
    <w:div w:id="1651862984">
      <w:bodyDiv w:val="1"/>
      <w:marLeft w:val="0"/>
      <w:marRight w:val="0"/>
      <w:marTop w:val="0"/>
      <w:marBottom w:val="0"/>
      <w:divBdr>
        <w:top w:val="none" w:sz="0" w:space="0" w:color="auto"/>
        <w:left w:val="none" w:sz="0" w:space="0" w:color="auto"/>
        <w:bottom w:val="none" w:sz="0" w:space="0" w:color="auto"/>
        <w:right w:val="none" w:sz="0" w:space="0" w:color="auto"/>
      </w:divBdr>
    </w:div>
    <w:div w:id="1836457475">
      <w:bodyDiv w:val="1"/>
      <w:marLeft w:val="0"/>
      <w:marRight w:val="0"/>
      <w:marTop w:val="0"/>
      <w:marBottom w:val="0"/>
      <w:divBdr>
        <w:top w:val="none" w:sz="0" w:space="0" w:color="auto"/>
        <w:left w:val="none" w:sz="0" w:space="0" w:color="auto"/>
        <w:bottom w:val="none" w:sz="0" w:space="0" w:color="auto"/>
        <w:right w:val="none" w:sz="0" w:space="0" w:color="auto"/>
      </w:divBdr>
    </w:div>
    <w:div w:id="1874537753">
      <w:bodyDiv w:val="1"/>
      <w:marLeft w:val="0"/>
      <w:marRight w:val="0"/>
      <w:marTop w:val="0"/>
      <w:marBottom w:val="0"/>
      <w:divBdr>
        <w:top w:val="none" w:sz="0" w:space="0" w:color="auto"/>
        <w:left w:val="none" w:sz="0" w:space="0" w:color="auto"/>
        <w:bottom w:val="none" w:sz="0" w:space="0" w:color="auto"/>
        <w:right w:val="none" w:sz="0" w:space="0" w:color="auto"/>
      </w:divBdr>
    </w:div>
    <w:div w:id="1933513542">
      <w:bodyDiv w:val="1"/>
      <w:marLeft w:val="0"/>
      <w:marRight w:val="0"/>
      <w:marTop w:val="0"/>
      <w:marBottom w:val="0"/>
      <w:divBdr>
        <w:top w:val="none" w:sz="0" w:space="0" w:color="auto"/>
        <w:left w:val="none" w:sz="0" w:space="0" w:color="auto"/>
        <w:bottom w:val="none" w:sz="0" w:space="0" w:color="auto"/>
        <w:right w:val="none" w:sz="0" w:space="0" w:color="auto"/>
      </w:divBdr>
    </w:div>
    <w:div w:id="2031638745">
      <w:bodyDiv w:val="1"/>
      <w:marLeft w:val="0"/>
      <w:marRight w:val="0"/>
      <w:marTop w:val="0"/>
      <w:marBottom w:val="0"/>
      <w:divBdr>
        <w:top w:val="none" w:sz="0" w:space="0" w:color="auto"/>
        <w:left w:val="none" w:sz="0" w:space="0" w:color="auto"/>
        <w:bottom w:val="none" w:sz="0" w:space="0" w:color="auto"/>
        <w:right w:val="none" w:sz="0" w:space="0" w:color="auto"/>
      </w:divBdr>
      <w:divsChild>
        <w:div w:id="1676298375">
          <w:marLeft w:val="0"/>
          <w:marRight w:val="0"/>
          <w:marTop w:val="100"/>
          <w:marBottom w:val="0"/>
          <w:divBdr>
            <w:top w:val="none" w:sz="0" w:space="0" w:color="auto"/>
            <w:left w:val="none" w:sz="0" w:space="0" w:color="auto"/>
            <w:bottom w:val="none" w:sz="0" w:space="0" w:color="auto"/>
            <w:right w:val="none" w:sz="0" w:space="0" w:color="auto"/>
          </w:divBdr>
          <w:divsChild>
            <w:div w:id="1705397563">
              <w:marLeft w:val="0"/>
              <w:marRight w:val="0"/>
              <w:marTop w:val="60"/>
              <w:marBottom w:val="0"/>
              <w:divBdr>
                <w:top w:val="none" w:sz="0" w:space="0" w:color="auto"/>
                <w:left w:val="none" w:sz="0" w:space="0" w:color="auto"/>
                <w:bottom w:val="none" w:sz="0" w:space="0" w:color="auto"/>
                <w:right w:val="none" w:sz="0" w:space="0" w:color="auto"/>
              </w:divBdr>
            </w:div>
          </w:divsChild>
        </w:div>
        <w:div w:id="144587977">
          <w:marLeft w:val="0"/>
          <w:marRight w:val="0"/>
          <w:marTop w:val="0"/>
          <w:marBottom w:val="0"/>
          <w:divBdr>
            <w:top w:val="none" w:sz="0" w:space="0" w:color="auto"/>
            <w:left w:val="none" w:sz="0" w:space="0" w:color="auto"/>
            <w:bottom w:val="none" w:sz="0" w:space="0" w:color="auto"/>
            <w:right w:val="none" w:sz="0" w:space="0" w:color="auto"/>
          </w:divBdr>
          <w:divsChild>
            <w:div w:id="1096560667">
              <w:marLeft w:val="0"/>
              <w:marRight w:val="0"/>
              <w:marTop w:val="0"/>
              <w:marBottom w:val="0"/>
              <w:divBdr>
                <w:top w:val="none" w:sz="0" w:space="0" w:color="auto"/>
                <w:left w:val="none" w:sz="0" w:space="0" w:color="auto"/>
                <w:bottom w:val="none" w:sz="0" w:space="0" w:color="auto"/>
                <w:right w:val="none" w:sz="0" w:space="0" w:color="auto"/>
              </w:divBdr>
              <w:divsChild>
                <w:div w:id="30975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footer" Target="footer2.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oleObject" Target="file:///E:\ldvl2021\solieu\quy3_2021\solieu\hinhdich_2\0.Do%20thi%20bao%20cao%20Covid19_Quy3.2021_ha.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E:\ldvl2021\solieu\quy3_2021\solieu\hinhdich_2\0_Bieu%20so%20lieu_full_cacquy_ICLS13_ICLS19_9thang2021_lan_add_EA_HCM_2.xlsx" TargetMode="Externa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E:\ldvl2021\solieu\quy3_2021\solieu\hinhdich_2\0_Bieu%20so%20lieu_full_cacquy_ICLS13_ICLS19_all_thudung.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ldvl2021\solieu\quy3_2021\solieu\hinhdich_2\0_Bieu%20so%20lieu_full_cacquy_ICLS13_ICLS19_all_thudu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ldvl2021\solieu\quy3_2021\solieu\hinhdich_2\0_Bieu%20so%20lieu_full_cacquy_ICLS13_ICLS19_all_thudu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ldvl2021\solieu\quy3_2021\solieu\hinhdich_2\0_Bieu%20so%20lieu_full_cacquy_ICLS13_ICLS19_9thang2021_lan_add_EA_HCM_2.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E:\ldvl2021\solieu\quy3_2021\solieu\hinhdich_2\0.Do%20thi%20bao%20cao%20Covid19_Quy3.2021_h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w="25400">
          <a:noFill/>
        </a:ln>
        <a:effectLst/>
        <a:sp3d/>
      </c:spPr>
    </c:sideWall>
    <c:backWall>
      <c:thickness val="0"/>
      <c:spPr>
        <a:noFill/>
        <a:ln w="25400">
          <a:noFill/>
        </a:ln>
        <a:effectLst/>
        <a:sp3d/>
      </c:spPr>
    </c:backWall>
    <c:plotArea>
      <c:layout>
        <c:manualLayout>
          <c:layoutTarget val="inner"/>
          <c:xMode val="edge"/>
          <c:yMode val="edge"/>
          <c:x val="5.7153597382072922E-2"/>
          <c:y val="6.9708491761723695E-2"/>
          <c:w val="0.94284640261792707"/>
          <c:h val="0.67573974831092887"/>
        </c:manualLayout>
      </c:layout>
      <c:bar3DChart>
        <c:barDir val="col"/>
        <c:grouping val="stacked"/>
        <c:varyColors val="0"/>
        <c:ser>
          <c:idx val="0"/>
          <c:order val="0"/>
          <c:tx>
            <c:strRef>
              <c:f>Sheet1!$B$1</c:f>
              <c:strCache>
                <c:ptCount val="1"/>
                <c:pt idx="0">
                  <c:v>Series 1</c:v>
                </c:pt>
              </c:strCache>
            </c:strRef>
          </c:tx>
          <c:spPr>
            <a:solidFill>
              <a:schemeClr val="accent6">
                <a:lumMod val="40000"/>
                <a:lumOff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Northern Midlands and Mountains</c:v>
                </c:pt>
                <c:pt idx="1">
                  <c:v>Red River Delta</c:v>
                </c:pt>
                <c:pt idx="2">
                  <c:v>North and South Central Coast</c:v>
                </c:pt>
                <c:pt idx="3">
                  <c:v>Central Highland</c:v>
                </c:pt>
                <c:pt idx="4">
                  <c:v>Southeast</c:v>
                </c:pt>
                <c:pt idx="5">
                  <c:v>Mekong River Delta</c:v>
                </c:pt>
              </c:strCache>
            </c:strRef>
          </c:cat>
          <c:val>
            <c:numRef>
              <c:f>Sheet1!$B$2:$B$7</c:f>
              <c:numCache>
                <c:formatCode>0.0</c:formatCode>
                <c:ptCount val="6"/>
                <c:pt idx="0">
                  <c:v>17.401079344492786</c:v>
                </c:pt>
                <c:pt idx="1">
                  <c:v>34.780751440938289</c:v>
                </c:pt>
                <c:pt idx="2">
                  <c:v>31.525943753672173</c:v>
                </c:pt>
                <c:pt idx="3">
                  <c:v>19.673464911857486</c:v>
                </c:pt>
                <c:pt idx="4">
                  <c:v>59.1</c:v>
                </c:pt>
                <c:pt idx="5">
                  <c:v>44.684501177810738</c:v>
                </c:pt>
              </c:numCache>
            </c:numRef>
          </c:val>
          <c:extLst>
            <c:ext xmlns:c16="http://schemas.microsoft.com/office/drawing/2014/chart" uri="{C3380CC4-5D6E-409C-BE32-E72D297353CC}">
              <c16:uniqueId val="{00000000-4BA3-4352-9FEA-9727F7F0CAD8}"/>
            </c:ext>
          </c:extLst>
        </c:ser>
        <c:dLbls>
          <c:showLegendKey val="0"/>
          <c:showVal val="0"/>
          <c:showCatName val="0"/>
          <c:showSerName val="0"/>
          <c:showPercent val="0"/>
          <c:showBubbleSize val="0"/>
        </c:dLbls>
        <c:gapWidth val="150"/>
        <c:shape val="box"/>
        <c:axId val="175329280"/>
        <c:axId val="199667648"/>
        <c:axId val="0"/>
      </c:bar3DChart>
      <c:catAx>
        <c:axId val="175329280"/>
        <c:scaling>
          <c:orientation val="minMax"/>
        </c:scaling>
        <c:delete val="0"/>
        <c:axPos val="b"/>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99667648"/>
        <c:crosses val="autoZero"/>
        <c:auto val="1"/>
        <c:lblAlgn val="ctr"/>
        <c:lblOffset val="100"/>
        <c:noMultiLvlLbl val="0"/>
      </c:catAx>
      <c:valAx>
        <c:axId val="19966764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in"/>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3292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8515726771266992E-2"/>
          <c:y val="4.6296296296296294E-2"/>
          <c:w val="0.91792020842755484"/>
          <c:h val="0.68491469816272965"/>
        </c:manualLayout>
      </c:layout>
      <c:lineChart>
        <c:grouping val="standard"/>
        <c:varyColors val="0"/>
        <c:ser>
          <c:idx val="0"/>
          <c:order val="0"/>
          <c:tx>
            <c:strRef>
              <c:f>'Do thi_3 khu vuc_New'!$A$3</c:f>
              <c:strCache>
                <c:ptCount val="1"/>
                <c:pt idx="0">
                  <c:v>Total</c:v>
                </c:pt>
              </c:strCache>
            </c:strRef>
          </c:tx>
          <c:spPr>
            <a:ln w="28575" cap="rnd" cmpd="sng">
              <a:solidFill>
                <a:schemeClr val="accent1"/>
              </a:solidFill>
              <a:prstDash val="lgDash"/>
              <a:round/>
              <a:tailEnd type="arrow"/>
            </a:ln>
            <a:effectLst/>
          </c:spPr>
          <c:marker>
            <c:symbol val="circle"/>
            <c:size val="5"/>
            <c:spPr>
              <a:solidFill>
                <a:schemeClr val="accent1"/>
              </a:solidFill>
              <a:ln w="9525" cap="rnd">
                <a:solidFill>
                  <a:schemeClr val="accent1"/>
                </a:solidFill>
                <a:prstDash val="lgDashDotDot"/>
                <a:headEnd type="diamond" w="lg" len="med"/>
                <a:tailEnd type="arrow"/>
              </a:ln>
              <a:effectLst/>
            </c:spPr>
          </c:marker>
          <c:dLbls>
            <c:dLbl>
              <c:idx val="0"/>
              <c:layout>
                <c:manualLayout>
                  <c:x val="-2.9455081001472771E-2"/>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6CA-42C4-BDFC-7B6B45AF0BF7}"/>
                </c:ext>
              </c:extLst>
            </c:dLbl>
            <c:dLbl>
              <c:idx val="1"/>
              <c:layout>
                <c:manualLayout>
                  <c:x val="-2.7491408934707941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6CA-42C4-BDFC-7B6B45AF0BF7}"/>
                </c:ext>
              </c:extLst>
            </c:dLbl>
            <c:dLbl>
              <c:idx val="2"/>
              <c:layout>
                <c:manualLayout>
                  <c:x val="-1.7673048600883652E-2"/>
                  <c:y val="3.70370370370369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6CA-42C4-BDFC-7B6B45AF0BF7}"/>
                </c:ext>
              </c:extLst>
            </c:dLbl>
            <c:dLbl>
              <c:idx val="3"/>
              <c:layout>
                <c:manualLayout>
                  <c:x val="-1.5709376534118802E-2"/>
                  <c:y val="4.62962962962962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6CA-42C4-BDFC-7B6B45AF0BF7}"/>
                </c:ext>
              </c:extLst>
            </c:dLbl>
            <c:dLbl>
              <c:idx val="4"/>
              <c:layout>
                <c:manualLayout>
                  <c:x val="-2.1600392734413498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6CA-42C4-BDFC-7B6B45AF0BF7}"/>
                </c:ext>
              </c:extLst>
            </c:dLbl>
            <c:dLbl>
              <c:idx val="5"/>
              <c:layout>
                <c:manualLayout>
                  <c:x val="-2.1600392734413353E-2"/>
                  <c:y val="3.70370370370369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6CA-42C4-BDFC-7B6B45AF0BF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thi_3 khu vuc_New'!$B$2:$H$2</c:f>
              <c:strCache>
                <c:ptCount val="7"/>
                <c:pt idx="0">
                  <c:v>Quarter I
 of 2020</c:v>
                </c:pt>
                <c:pt idx="1">
                  <c:v>Quarter II
 of 2020</c:v>
                </c:pt>
                <c:pt idx="2">
                  <c:v>Quarter III
 of 2020</c:v>
                </c:pt>
                <c:pt idx="3">
                  <c:v>Quarter IV
 of 2020</c:v>
                </c:pt>
                <c:pt idx="4">
                  <c:v>Quarter I
 of 2021</c:v>
                </c:pt>
                <c:pt idx="5">
                  <c:v>Quarter II
 of 2021</c:v>
                </c:pt>
                <c:pt idx="6">
                  <c:v>Quarter III
 of 2021</c:v>
                </c:pt>
              </c:strCache>
            </c:strRef>
          </c:cat>
          <c:val>
            <c:numRef>
              <c:f>'Do thi_3 khu vuc_New'!$B$3:$H$3</c:f>
              <c:numCache>
                <c:formatCode>0.00</c:formatCode>
                <c:ptCount val="7"/>
                <c:pt idx="0">
                  <c:v>6.1825573632825952</c:v>
                </c:pt>
                <c:pt idx="1">
                  <c:v>5.5157062066584333</c:v>
                </c:pt>
                <c:pt idx="2">
                  <c:v>5.7895217794126106</c:v>
                </c:pt>
                <c:pt idx="3">
                  <c:v>5.9501533663997854</c:v>
                </c:pt>
                <c:pt idx="4">
                  <c:v>6.2890273385848996</c:v>
                </c:pt>
                <c:pt idx="5">
                  <c:v>6.0631300000000001</c:v>
                </c:pt>
                <c:pt idx="6">
                  <c:v>5.1865399999999999</c:v>
                </c:pt>
              </c:numCache>
            </c:numRef>
          </c:val>
          <c:smooth val="0"/>
          <c:extLst>
            <c:ext xmlns:c16="http://schemas.microsoft.com/office/drawing/2014/chart" uri="{C3380CC4-5D6E-409C-BE32-E72D297353CC}">
              <c16:uniqueId val="{00000006-56CA-42C4-BDFC-7B6B45AF0BF7}"/>
            </c:ext>
          </c:extLst>
        </c:ser>
        <c:ser>
          <c:idx val="1"/>
          <c:order val="1"/>
          <c:tx>
            <c:strRef>
              <c:f>'Do thi_3 khu vuc_New'!$A$4</c:f>
              <c:strCache>
                <c:ptCount val="1"/>
                <c:pt idx="0">
                  <c:v>Agriculture, foresty and fishery</c:v>
                </c:pt>
              </c:strCache>
            </c:strRef>
          </c:tx>
          <c:spPr>
            <a:ln w="28575" cap="rnd">
              <a:solidFill>
                <a:schemeClr val="accent2"/>
              </a:solidFill>
              <a:round/>
              <a:tailEnd type="diamond"/>
            </a:ln>
            <a:effectLst/>
          </c:spPr>
          <c:marker>
            <c:symbol val="square"/>
            <c:size val="5"/>
            <c:spPr>
              <a:solidFill>
                <a:schemeClr val="accent2"/>
              </a:solidFill>
              <a:ln w="9525" cap="rnd" cmpd="sng">
                <a:solidFill>
                  <a:schemeClr val="accent2"/>
                </a:solidFill>
                <a:tailEnd type="none"/>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thi_3 khu vuc_New'!$B$2:$H$2</c:f>
              <c:strCache>
                <c:ptCount val="7"/>
                <c:pt idx="0">
                  <c:v>Quarter I
 of 2020</c:v>
                </c:pt>
                <c:pt idx="1">
                  <c:v>Quarter II
 of 2020</c:v>
                </c:pt>
                <c:pt idx="2">
                  <c:v>Quarter III
 of 2020</c:v>
                </c:pt>
                <c:pt idx="3">
                  <c:v>Quarter IV
 of 2020</c:v>
                </c:pt>
                <c:pt idx="4">
                  <c:v>Quarter I
 of 2021</c:v>
                </c:pt>
                <c:pt idx="5">
                  <c:v>Quarter II
 of 2021</c:v>
                </c:pt>
                <c:pt idx="6">
                  <c:v>Quarter III
 of 2021</c:v>
                </c:pt>
              </c:strCache>
            </c:strRef>
          </c:cat>
          <c:val>
            <c:numRef>
              <c:f>'Do thi_3 khu vuc_New'!$B$4:$H$4</c:f>
              <c:numCache>
                <c:formatCode>0.00</c:formatCode>
                <c:ptCount val="7"/>
                <c:pt idx="0">
                  <c:v>3.4459206376463505</c:v>
                </c:pt>
                <c:pt idx="1">
                  <c:v>3.4058229048822506</c:v>
                </c:pt>
                <c:pt idx="2">
                  <c:v>3.4315230946404331</c:v>
                </c:pt>
                <c:pt idx="3">
                  <c:v>3.3631088152361976</c:v>
                </c:pt>
                <c:pt idx="4">
                  <c:v>3.6265279789516898</c:v>
                </c:pt>
                <c:pt idx="5">
                  <c:v>3.7135700000000003</c:v>
                </c:pt>
                <c:pt idx="6">
                  <c:v>3.3667500000000001</c:v>
                </c:pt>
              </c:numCache>
            </c:numRef>
          </c:val>
          <c:smooth val="0"/>
          <c:extLst>
            <c:ext xmlns:c16="http://schemas.microsoft.com/office/drawing/2014/chart" uri="{C3380CC4-5D6E-409C-BE32-E72D297353CC}">
              <c16:uniqueId val="{0000000D-56CA-42C4-BDFC-7B6B45AF0BF7}"/>
            </c:ext>
          </c:extLst>
        </c:ser>
        <c:ser>
          <c:idx val="2"/>
          <c:order val="2"/>
          <c:tx>
            <c:strRef>
              <c:f>'Do thi_3 khu vuc_New'!$A$5</c:f>
              <c:strCache>
                <c:ptCount val="1"/>
                <c:pt idx="0">
                  <c:v>Industry and Construction</c:v>
                </c:pt>
              </c:strCache>
            </c:strRef>
          </c:tx>
          <c:spPr>
            <a:ln w="28575" cap="rnd">
              <a:solidFill>
                <a:srgbClr val="C00000"/>
              </a:solidFill>
              <a:prstDash val="dashDot"/>
              <a:round/>
            </a:ln>
            <a:effectLst/>
          </c:spPr>
          <c:marker>
            <c:symbol val="diamond"/>
            <c:size val="5"/>
            <c:spPr>
              <a:solidFill>
                <a:srgbClr val="C00000"/>
              </a:solidFill>
              <a:ln w="9525" cap="flat">
                <a:solidFill>
                  <a:schemeClr val="accent2">
                    <a:lumMod val="75000"/>
                  </a:schemeClr>
                </a:solidFill>
                <a:round/>
              </a:ln>
              <a:effectLst/>
            </c:spPr>
          </c:marker>
          <c:dLbls>
            <c:dLbl>
              <c:idx val="0"/>
              <c:layout>
                <c:manualLayout>
                  <c:x val="-3.9273441335297025E-2"/>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56CA-42C4-BDFC-7B6B45AF0BF7}"/>
                </c:ext>
              </c:extLst>
            </c:dLbl>
            <c:dLbl>
              <c:idx val="1"/>
              <c:layout>
                <c:manualLayout>
                  <c:x val="-1.1782032400589138E-2"/>
                  <c:y val="9.25925925925925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56CA-42C4-BDFC-7B6B45AF0BF7}"/>
                </c:ext>
              </c:extLst>
            </c:dLbl>
            <c:dLbl>
              <c:idx val="2"/>
              <c:layout>
                <c:manualLayout>
                  <c:x val="-1.1782032400589174E-2"/>
                  <c:y val="9.25925925925925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56CA-42C4-BDFC-7B6B45AF0BF7}"/>
                </c:ext>
              </c:extLst>
            </c:dLbl>
            <c:dLbl>
              <c:idx val="4"/>
              <c:layout>
                <c:manualLayout>
                  <c:x val="-1.3745704467354024E-2"/>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56CA-42C4-BDFC-7B6B45AF0BF7}"/>
                </c:ext>
              </c:extLst>
            </c:dLbl>
            <c:dLbl>
              <c:idx val="5"/>
              <c:layout>
                <c:manualLayout>
                  <c:x val="-1.1782032400589245E-2"/>
                  <c:y val="9.25925925925925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56CA-42C4-BDFC-7B6B45AF0BF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thi_3 khu vuc_New'!$B$2:$H$2</c:f>
              <c:strCache>
                <c:ptCount val="7"/>
                <c:pt idx="0">
                  <c:v>Quarter I
 of 2020</c:v>
                </c:pt>
                <c:pt idx="1">
                  <c:v>Quarter II
 of 2020</c:v>
                </c:pt>
                <c:pt idx="2">
                  <c:v>Quarter III
 of 2020</c:v>
                </c:pt>
                <c:pt idx="3">
                  <c:v>Quarter IV
 of 2020</c:v>
                </c:pt>
                <c:pt idx="4">
                  <c:v>Quarter I
 of 2021</c:v>
                </c:pt>
                <c:pt idx="5">
                  <c:v>Quarter II
 of 2021</c:v>
                </c:pt>
                <c:pt idx="6">
                  <c:v>Quarter III
 of 2021</c:v>
                </c:pt>
              </c:strCache>
            </c:strRef>
          </c:cat>
          <c:val>
            <c:numRef>
              <c:f>'Do thi_3 khu vuc_New'!$B$5:$H$5</c:f>
              <c:numCache>
                <c:formatCode>0.00</c:formatCode>
                <c:ptCount val="7"/>
                <c:pt idx="0">
                  <c:v>7.1203081525761691</c:v>
                </c:pt>
                <c:pt idx="1">
                  <c:v>6.2008386015540822</c:v>
                </c:pt>
                <c:pt idx="2">
                  <c:v>6.4853340225228084</c:v>
                </c:pt>
                <c:pt idx="3">
                  <c:v>6.7509022920140502</c:v>
                </c:pt>
                <c:pt idx="4">
                  <c:v>7.1757794598508582</c:v>
                </c:pt>
                <c:pt idx="5">
                  <c:v>6.7107700000000001</c:v>
                </c:pt>
                <c:pt idx="6">
                  <c:v>5.8061300000000005</c:v>
                </c:pt>
              </c:numCache>
            </c:numRef>
          </c:val>
          <c:smooth val="0"/>
          <c:extLst>
            <c:ext xmlns:c16="http://schemas.microsoft.com/office/drawing/2014/chart" uri="{C3380CC4-5D6E-409C-BE32-E72D297353CC}">
              <c16:uniqueId val="{00000013-56CA-42C4-BDFC-7B6B45AF0BF7}"/>
            </c:ext>
          </c:extLst>
        </c:ser>
        <c:ser>
          <c:idx val="3"/>
          <c:order val="3"/>
          <c:tx>
            <c:strRef>
              <c:f>'Do thi_3 khu vuc_New'!$A$6</c:f>
              <c:strCache>
                <c:ptCount val="1"/>
                <c:pt idx="0">
                  <c:v>Services</c:v>
                </c:pt>
              </c:strCache>
            </c:strRef>
          </c:tx>
          <c:spPr>
            <a:ln w="28575" cap="sq">
              <a:solidFill>
                <a:schemeClr val="accent6">
                  <a:lumMod val="75000"/>
                </a:schemeClr>
              </a:solidFill>
              <a:round/>
            </a:ln>
            <a:effectLst/>
          </c:spPr>
          <c:marker>
            <c:symbol val="circle"/>
            <c:size val="5"/>
            <c:spPr>
              <a:solidFill>
                <a:schemeClr val="accent6">
                  <a:lumMod val="75000"/>
                </a:schemeClr>
              </a:solidFill>
              <a:ln w="9525" cap="sq">
                <a:solidFill>
                  <a:schemeClr val="accent6">
                    <a:lumMod val="75000"/>
                  </a:schemeClr>
                </a:solidFill>
                <a:headEnd type="diamond"/>
              </a:ln>
              <a:effectLst/>
            </c:spPr>
          </c:marker>
          <c:dLbls>
            <c:dLbl>
              <c:idx val="0"/>
              <c:layout>
                <c:manualLayout>
                  <c:x val="-2.9455081001472771E-2"/>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56CA-42C4-BDFC-7B6B45AF0BF7}"/>
                </c:ext>
              </c:extLst>
            </c:dLbl>
            <c:dLbl>
              <c:idx val="1"/>
              <c:layout>
                <c:manualLayout>
                  <c:x val="-2.1600392734413387E-2"/>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56CA-42C4-BDFC-7B6B45AF0BF7}"/>
                </c:ext>
              </c:extLst>
            </c:dLbl>
            <c:dLbl>
              <c:idx val="2"/>
              <c:layout>
                <c:manualLayout>
                  <c:x val="-2.9455081001472826E-2"/>
                  <c:y val="-3.24074074074074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56CA-42C4-BDFC-7B6B45AF0BF7}"/>
                </c:ext>
              </c:extLst>
            </c:dLbl>
            <c:dLbl>
              <c:idx val="3"/>
              <c:layout>
                <c:manualLayout>
                  <c:x val="-2.5527736867943053E-2"/>
                  <c:y val="-3.24074074074074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56CA-42C4-BDFC-7B6B45AF0BF7}"/>
                </c:ext>
              </c:extLst>
            </c:dLbl>
            <c:dLbl>
              <c:idx val="4"/>
              <c:layout>
                <c:manualLayout>
                  <c:x val="-3.1418753068237673E-2"/>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56CA-42C4-BDFC-7B6B45AF0BF7}"/>
                </c:ext>
              </c:extLst>
            </c:dLbl>
            <c:dLbl>
              <c:idx val="5"/>
              <c:layout>
                <c:manualLayout>
                  <c:x val="-2.1600392734413353E-2"/>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56CA-42C4-BDFC-7B6B45AF0BF7}"/>
                </c:ext>
              </c:extLst>
            </c:dLbl>
            <c:dLbl>
              <c:idx val="6"/>
              <c:layout>
                <c:manualLayout>
                  <c:x val="-2.9455081001472899E-2"/>
                  <c:y val="-3.24074074074074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56CA-42C4-BDFC-7B6B45AF0BF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thi_3 khu vuc_New'!$B$2:$H$2</c:f>
              <c:strCache>
                <c:ptCount val="7"/>
                <c:pt idx="0">
                  <c:v>Quarter I
 of 2020</c:v>
                </c:pt>
                <c:pt idx="1">
                  <c:v>Quarter II
 of 2020</c:v>
                </c:pt>
                <c:pt idx="2">
                  <c:v>Quarter III
 of 2020</c:v>
                </c:pt>
                <c:pt idx="3">
                  <c:v>Quarter IV
 of 2020</c:v>
                </c:pt>
                <c:pt idx="4">
                  <c:v>Quarter I
 of 2021</c:v>
                </c:pt>
                <c:pt idx="5">
                  <c:v>Quarter II
 of 2021</c:v>
                </c:pt>
                <c:pt idx="6">
                  <c:v>Quarter III
 of 2021</c:v>
                </c:pt>
              </c:strCache>
            </c:strRef>
          </c:cat>
          <c:val>
            <c:numRef>
              <c:f>'Do thi_3 khu vuc_New'!$B$6:$H$6</c:f>
              <c:numCache>
                <c:formatCode>0.00</c:formatCode>
                <c:ptCount val="7"/>
                <c:pt idx="0">
                  <c:v>7.3570017969296488</c:v>
                </c:pt>
                <c:pt idx="1">
                  <c:v>6.4291685971481751</c:v>
                </c:pt>
                <c:pt idx="2">
                  <c:v>6.8994350494589343</c:v>
                </c:pt>
                <c:pt idx="3">
                  <c:v>7.0840115189482926</c:v>
                </c:pt>
                <c:pt idx="4">
                  <c:v>7.4690733950269799</c:v>
                </c:pt>
                <c:pt idx="5">
                  <c:v>7.1763699999999995</c:v>
                </c:pt>
                <c:pt idx="6">
                  <c:v>6.1550799999999999</c:v>
                </c:pt>
              </c:numCache>
            </c:numRef>
          </c:val>
          <c:smooth val="0"/>
          <c:extLst>
            <c:ext xmlns:c16="http://schemas.microsoft.com/office/drawing/2014/chart" uri="{C3380CC4-5D6E-409C-BE32-E72D297353CC}">
              <c16:uniqueId val="{0000001B-56CA-42C4-BDFC-7B6B45AF0BF7}"/>
            </c:ext>
          </c:extLst>
        </c:ser>
        <c:dLbls>
          <c:showLegendKey val="0"/>
          <c:showVal val="0"/>
          <c:showCatName val="0"/>
          <c:showSerName val="0"/>
          <c:showPercent val="0"/>
          <c:showBubbleSize val="0"/>
        </c:dLbls>
        <c:marker val="1"/>
        <c:smooth val="0"/>
        <c:axId val="230023168"/>
        <c:axId val="226923008"/>
      </c:lineChart>
      <c:catAx>
        <c:axId val="23002316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26923008"/>
        <c:crosses val="autoZero"/>
        <c:auto val="1"/>
        <c:lblAlgn val="ctr"/>
        <c:lblOffset val="100"/>
        <c:noMultiLvlLbl val="0"/>
      </c:catAx>
      <c:valAx>
        <c:axId val="226923008"/>
        <c:scaling>
          <c:orientation val="minMax"/>
          <c:max val="10"/>
        </c:scaling>
        <c:delete val="0"/>
        <c:axPos val="l"/>
        <c:numFmt formatCode="0.0" sourceLinked="0"/>
        <c:majorTickMark val="in"/>
        <c:minorTickMark val="none"/>
        <c:tickLblPos val="nextTo"/>
        <c:spPr>
          <a:noFill/>
          <a:ln>
            <a:solidFill>
              <a:schemeClr val="tx1">
                <a:alpha val="97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30023168"/>
        <c:crosses val="autoZero"/>
        <c:crossBetween val="between"/>
        <c:majorUnit val="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unem_hinh_capnhat_quy3!$C$6</c:f>
              <c:strCache>
                <c:ptCount val="1"/>
                <c:pt idx="0">
                  <c:v>Unemployed (thousand persons)</c:v>
                </c:pt>
              </c:strCache>
            </c:strRef>
          </c:tx>
          <c:spPr>
            <a:pattFill prst="sphere">
              <a:fgClr>
                <a:schemeClr val="accent1"/>
              </a:fgClr>
              <a:bgClr>
                <a:schemeClr val="bg1"/>
              </a:bgClr>
            </a:pattFill>
            <a:ln>
              <a:solidFill>
                <a:schemeClr val="accen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unem_hinh_capnhat_quy3!$B$7:$B$13</c:f>
              <c:strCache>
                <c:ptCount val="7"/>
                <c:pt idx="0">
                  <c:v>Quarter I 
of 2020</c:v>
                </c:pt>
                <c:pt idx="1">
                  <c:v>Quarter II
 of 2020</c:v>
                </c:pt>
                <c:pt idx="2">
                  <c:v>Quarter III
 of 2020</c:v>
                </c:pt>
                <c:pt idx="3">
                  <c:v>Quarter IV 
of 2020</c:v>
                </c:pt>
                <c:pt idx="4">
                  <c:v>Quarter I
of 2021</c:v>
                </c:pt>
                <c:pt idx="5">
                  <c:v>Quarter II 
of 2021</c:v>
                </c:pt>
                <c:pt idx="6">
                  <c:v>Quarter III 
of 2021</c:v>
                </c:pt>
              </c:strCache>
            </c:strRef>
          </c:cat>
          <c:val>
            <c:numRef>
              <c:f>unem_hinh_capnhat_quy3!$C$7:$C$13</c:f>
              <c:numCache>
                <c:formatCode>0.0</c:formatCode>
                <c:ptCount val="7"/>
                <c:pt idx="0">
                  <c:v>1083.3561247048606</c:v>
                </c:pt>
                <c:pt idx="1">
                  <c:v>1264.6635264179668</c:v>
                </c:pt>
                <c:pt idx="2">
                  <c:v>1265.1890118871847</c:v>
                </c:pt>
                <c:pt idx="3">
                  <c:v>1232.5488513915266</c:v>
                </c:pt>
                <c:pt idx="4">
                  <c:v>1095.3897017599031</c:v>
                </c:pt>
                <c:pt idx="5">
                  <c:v>1182.6332521199222</c:v>
                </c:pt>
                <c:pt idx="6">
                  <c:v>1714.8</c:v>
                </c:pt>
              </c:numCache>
            </c:numRef>
          </c:val>
          <c:extLst>
            <c:ext xmlns:c16="http://schemas.microsoft.com/office/drawing/2014/chart" uri="{C3380CC4-5D6E-409C-BE32-E72D297353CC}">
              <c16:uniqueId val="{00000000-E242-4CA1-A0A6-C5268206329E}"/>
            </c:ext>
          </c:extLst>
        </c:ser>
        <c:dLbls>
          <c:showLegendKey val="0"/>
          <c:showVal val="0"/>
          <c:showCatName val="0"/>
          <c:showSerName val="0"/>
          <c:showPercent val="0"/>
          <c:showBubbleSize val="0"/>
        </c:dLbls>
        <c:gapWidth val="150"/>
        <c:axId val="227985920"/>
        <c:axId val="226924736"/>
      </c:barChart>
      <c:lineChart>
        <c:grouping val="standard"/>
        <c:varyColors val="0"/>
        <c:ser>
          <c:idx val="1"/>
          <c:order val="1"/>
          <c:tx>
            <c:strRef>
              <c:f>unem_hinh_capnhat_quy3!$D$6</c:f>
              <c:strCache>
                <c:ptCount val="1"/>
                <c:pt idx="0">
                  <c:v>Unemployment rate (%)</c:v>
                </c:pt>
              </c:strCache>
            </c:strRef>
          </c:tx>
          <c:spPr>
            <a:ln w="28575" cap="rnd">
              <a:solidFill>
                <a:schemeClr val="accent2"/>
              </a:solidFill>
              <a:round/>
            </a:ln>
            <a:effectLst/>
          </c:spPr>
          <c:marker>
            <c:symbol val="none"/>
          </c:marker>
          <c:dLbls>
            <c:dLbl>
              <c:idx val="0"/>
              <c:layout>
                <c:manualLayout>
                  <c:x val="1.0634055562940316E-2"/>
                  <c:y val="2.96355257303567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242-4CA1-A0A6-C5268206329E}"/>
                </c:ext>
              </c:extLst>
            </c:dLbl>
            <c:dLbl>
              <c:idx val="1"/>
              <c:layout>
                <c:manualLayout>
                  <c:x val="2.7777777777777779E-3"/>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242-4CA1-A0A6-C5268206329E}"/>
                </c:ext>
              </c:extLst>
            </c:dLbl>
            <c:dLbl>
              <c:idx val="2"/>
              <c:layout>
                <c:manualLayout>
                  <c:x val="1.0634055562940364E-2"/>
                  <c:y val="4.62962736189858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242-4CA1-A0A6-C5268206329E}"/>
                </c:ext>
              </c:extLst>
            </c:dLbl>
            <c:dLbl>
              <c:idx val="3"/>
              <c:layout>
                <c:manualLayout>
                  <c:x val="5.3170277814701579E-3"/>
                  <c:y val="4.14722654224987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242-4CA1-A0A6-C5268206329E}"/>
                </c:ext>
              </c:extLst>
            </c:dLbl>
            <c:dLbl>
              <c:idx val="4"/>
              <c:layout>
                <c:manualLayout>
                  <c:x val="7.9755416722051397E-3"/>
                  <c:y val="3.1104199066874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242-4CA1-A0A6-C5268206329E}"/>
                </c:ext>
              </c:extLst>
            </c:dLbl>
            <c:dLbl>
              <c:idx val="5"/>
              <c:layout>
                <c:manualLayout>
                  <c:x val="1.0634055562940415E-2"/>
                  <c:y val="1.05623655518954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242-4CA1-A0A6-C5268206329E}"/>
                </c:ext>
              </c:extLst>
            </c:dLbl>
            <c:dLbl>
              <c:idx val="6"/>
              <c:layout>
                <c:manualLayout>
                  <c:x val="-9.4004065040650592E-2"/>
                  <c:y val="9.78923956031381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242-4CA1-A0A6-C5268206329E}"/>
                </c:ext>
              </c:extLst>
            </c:dLbl>
            <c:dLbl>
              <c:idx val="7"/>
              <c:layout>
                <c:manualLayout>
                  <c:x val="0"/>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242-4CA1-A0A6-C5268206329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unem_hinh_capnhat_quy3!$B$7:$B$13</c:f>
              <c:strCache>
                <c:ptCount val="7"/>
                <c:pt idx="0">
                  <c:v>Quarter I 
of 2020</c:v>
                </c:pt>
                <c:pt idx="1">
                  <c:v>Quarter II
 of 2020</c:v>
                </c:pt>
                <c:pt idx="2">
                  <c:v>Quarter III
 of 2020</c:v>
                </c:pt>
                <c:pt idx="3">
                  <c:v>Quarter IV 
of 2020</c:v>
                </c:pt>
                <c:pt idx="4">
                  <c:v>Quarter I
of 2021</c:v>
                </c:pt>
                <c:pt idx="5">
                  <c:v>Quarter II 
of 2021</c:v>
                </c:pt>
                <c:pt idx="6">
                  <c:v>Quarter III 
of 2021</c:v>
                </c:pt>
              </c:strCache>
            </c:strRef>
          </c:cat>
          <c:val>
            <c:numRef>
              <c:f>unem_hinh_capnhat_quy3!$D$7:$D$13</c:f>
              <c:numCache>
                <c:formatCode>0.00</c:formatCode>
                <c:ptCount val="7"/>
                <c:pt idx="0">
                  <c:v>2.3446700199617365</c:v>
                </c:pt>
                <c:pt idx="1">
                  <c:v>2.8530753097940917</c:v>
                </c:pt>
                <c:pt idx="2">
                  <c:v>2.7349454069854344</c:v>
                </c:pt>
                <c:pt idx="3">
                  <c:v>2.6336545739553738</c:v>
                </c:pt>
                <c:pt idx="4">
                  <c:v>2.4234278299678054</c:v>
                </c:pt>
                <c:pt idx="5">
                  <c:v>2.6193498373365212</c:v>
                </c:pt>
                <c:pt idx="6">
                  <c:v>3.98</c:v>
                </c:pt>
              </c:numCache>
            </c:numRef>
          </c:val>
          <c:smooth val="0"/>
          <c:extLst>
            <c:ext xmlns:c16="http://schemas.microsoft.com/office/drawing/2014/chart" uri="{C3380CC4-5D6E-409C-BE32-E72D297353CC}">
              <c16:uniqueId val="{00000007-E242-4CA1-A0A6-C5268206329E}"/>
            </c:ext>
          </c:extLst>
        </c:ser>
        <c:dLbls>
          <c:showLegendKey val="0"/>
          <c:showVal val="0"/>
          <c:showCatName val="0"/>
          <c:showSerName val="0"/>
          <c:showPercent val="0"/>
          <c:showBubbleSize val="0"/>
        </c:dLbls>
        <c:marker val="1"/>
        <c:smooth val="0"/>
        <c:axId val="232625152"/>
        <c:axId val="226925312"/>
      </c:lineChart>
      <c:catAx>
        <c:axId val="227985920"/>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6924736"/>
        <c:crosses val="autoZero"/>
        <c:auto val="1"/>
        <c:lblAlgn val="ctr"/>
        <c:lblOffset val="100"/>
        <c:noMultiLvlLbl val="0"/>
      </c:catAx>
      <c:valAx>
        <c:axId val="226924736"/>
        <c:scaling>
          <c:orientation val="minMax"/>
        </c:scaling>
        <c:delete val="0"/>
        <c:axPos val="l"/>
        <c:numFmt formatCode="0.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7985920"/>
        <c:crosses val="autoZero"/>
        <c:crossBetween val="between"/>
        <c:majorUnit val="500"/>
      </c:valAx>
      <c:valAx>
        <c:axId val="226925312"/>
        <c:scaling>
          <c:orientation val="minMax"/>
        </c:scaling>
        <c:delete val="0"/>
        <c:axPos val="r"/>
        <c:numFmt formatCode="0.0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2625152"/>
        <c:crosses val="max"/>
        <c:crossBetween val="between"/>
        <c:majorUnit val="1"/>
        <c:minorUnit val="0.5"/>
      </c:valAx>
      <c:catAx>
        <c:axId val="232625152"/>
        <c:scaling>
          <c:orientation val="minMax"/>
        </c:scaling>
        <c:delete val="1"/>
        <c:axPos val="t"/>
        <c:numFmt formatCode="General" sourceLinked="1"/>
        <c:majorTickMark val="out"/>
        <c:minorTickMark val="none"/>
        <c:tickLblPos val="nextTo"/>
        <c:crossAx val="226925312"/>
        <c:crosses val="max"/>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6695162857417242E-2"/>
          <c:y val="6.5868263473053898E-2"/>
          <c:w val="0.93451459431212458"/>
          <c:h val="0.67563864397189877"/>
        </c:manualLayout>
      </c:layout>
      <c:lineChart>
        <c:grouping val="standard"/>
        <c:varyColors val="0"/>
        <c:ser>
          <c:idx val="0"/>
          <c:order val="0"/>
          <c:tx>
            <c:strRef>
              <c:f>Sheet1!$B$1</c:f>
              <c:strCache>
                <c:ptCount val="1"/>
                <c:pt idx="0">
                  <c:v>Series 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Quarter I
 of 2019</c:v>
                </c:pt>
                <c:pt idx="1">
                  <c:v>Quarter II
 of 2019</c:v>
                </c:pt>
                <c:pt idx="2">
                  <c:v>Quarter III
 of 2019</c:v>
                </c:pt>
                <c:pt idx="3">
                  <c:v>Quarter IV
 of 2019</c:v>
                </c:pt>
                <c:pt idx="4">
                  <c:v>Quarter I
 of 2020</c:v>
                </c:pt>
                <c:pt idx="5">
                  <c:v>Quarter II
 of 2020</c:v>
                </c:pt>
                <c:pt idx="6">
                  <c:v>Quarter III
 of 2020</c:v>
                </c:pt>
                <c:pt idx="7">
                  <c:v>Quarter IV
 of 2020</c:v>
                </c:pt>
                <c:pt idx="8">
                  <c:v>Quarter I
 of 2021</c:v>
                </c:pt>
                <c:pt idx="9">
                  <c:v>Quarter II
 of 2021</c:v>
                </c:pt>
                <c:pt idx="10">
                  <c:v>Quarter III
 of 2021</c:v>
                </c:pt>
              </c:strCache>
            </c:strRef>
          </c:cat>
          <c:val>
            <c:numRef>
              <c:f>Sheet1!$B$2:$B$12</c:f>
              <c:numCache>
                <c:formatCode>0.0</c:formatCode>
                <c:ptCount val="11"/>
                <c:pt idx="0">
                  <c:v>4.7144139405468968</c:v>
                </c:pt>
                <c:pt idx="1">
                  <c:v>4.0448282607216699</c:v>
                </c:pt>
                <c:pt idx="2">
                  <c:v>3.8199218050189949</c:v>
                </c:pt>
                <c:pt idx="3">
                  <c:v>3.9887799275208717</c:v>
                </c:pt>
                <c:pt idx="4">
                  <c:v>4.8370843710604277</c:v>
                </c:pt>
                <c:pt idx="5">
                  <c:v>6.2367692600215641</c:v>
                </c:pt>
                <c:pt idx="6">
                  <c:v>5.5023376013805896</c:v>
                </c:pt>
                <c:pt idx="7">
                  <c:v>4.4353221570146051</c:v>
                </c:pt>
                <c:pt idx="8">
                  <c:v>4.9171803295944052</c:v>
                </c:pt>
                <c:pt idx="9">
                  <c:v>5.2</c:v>
                </c:pt>
                <c:pt idx="10">
                  <c:v>10.4</c:v>
                </c:pt>
              </c:numCache>
            </c:numRef>
          </c:val>
          <c:smooth val="0"/>
          <c:extLst>
            <c:ext xmlns:c16="http://schemas.microsoft.com/office/drawing/2014/chart" uri="{C3380CC4-5D6E-409C-BE32-E72D297353CC}">
              <c16:uniqueId val="{00000008-5D8C-48F3-96DE-B2D6FDEE9D64}"/>
            </c:ext>
          </c:extLst>
        </c:ser>
        <c:dLbls>
          <c:showLegendKey val="0"/>
          <c:showVal val="0"/>
          <c:showCatName val="0"/>
          <c:showSerName val="0"/>
          <c:showPercent val="0"/>
          <c:showBubbleSize val="0"/>
        </c:dLbls>
        <c:marker val="1"/>
        <c:smooth val="0"/>
        <c:axId val="232627200"/>
        <c:axId val="226937088"/>
      </c:lineChart>
      <c:catAx>
        <c:axId val="232627200"/>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6937088"/>
        <c:crosses val="autoZero"/>
        <c:auto val="1"/>
        <c:lblAlgn val="ctr"/>
        <c:lblOffset val="100"/>
        <c:noMultiLvlLbl val="0"/>
      </c:catAx>
      <c:valAx>
        <c:axId val="226937088"/>
        <c:scaling>
          <c:orientation val="minMax"/>
        </c:scaling>
        <c:delete val="0"/>
        <c:axPos val="l"/>
        <c:numFmt formatCode="0.0" sourceLinked="1"/>
        <c:majorTickMark val="in"/>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26272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Sheet1!$B$1</c:f>
              <c:strCache>
                <c:ptCount val="1"/>
                <c:pt idx="0">
                  <c:v>Labor underutilization</c:v>
                </c:pt>
              </c:strCache>
            </c:strRef>
          </c:tx>
          <c:spPr>
            <a:ln w="28575" cap="rnd">
              <a:solidFill>
                <a:schemeClr val="accent1"/>
              </a:solidFill>
              <a:round/>
            </a:ln>
            <a:effectLst/>
          </c:spPr>
          <c:marker>
            <c:symbol val="square"/>
            <c:size val="5"/>
            <c:spPr>
              <a:solidFill>
                <a:schemeClr val="accent1"/>
              </a:solidFill>
              <a:ln w="9525">
                <a:solidFill>
                  <a:schemeClr val="accent1"/>
                </a:solidFill>
              </a:ln>
              <a:effectLst/>
            </c:spPr>
          </c:marker>
          <c:dLbls>
            <c:dLbl>
              <c:idx val="1"/>
              <c:layout>
                <c:manualLayout>
                  <c:x val="0"/>
                  <c:y val="-3.57142857142857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A45-4724-86E8-25E8AC48F119}"/>
                </c:ext>
              </c:extLst>
            </c:dLbl>
            <c:dLbl>
              <c:idx val="2"/>
              <c:layout>
                <c:manualLayout>
                  <c:x val="-3.3857315598548973E-2"/>
                  <c:y val="5.86040376212798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A45-4724-86E8-25E8AC48F119}"/>
                </c:ext>
              </c:extLst>
            </c:dLbl>
            <c:dLbl>
              <c:idx val="3"/>
              <c:layout>
                <c:manualLayout>
                  <c:x val="-1.2310722639418934E-2"/>
                  <c:y val="8.69936964250659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A45-4724-86E8-25E8AC48F119}"/>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15-24</c:v>
                </c:pt>
                <c:pt idx="1">
                  <c:v>25-34</c:v>
                </c:pt>
                <c:pt idx="2">
                  <c:v>35-44</c:v>
                </c:pt>
                <c:pt idx="3">
                  <c:v>45-54</c:v>
                </c:pt>
                <c:pt idx="4">
                  <c:v>55+</c:v>
                </c:pt>
              </c:strCache>
            </c:strRef>
          </c:cat>
          <c:val>
            <c:numRef>
              <c:f>Sheet1!$B$2:$B$6</c:f>
              <c:numCache>
                <c:formatCode>0.0</c:formatCode>
                <c:ptCount val="5"/>
                <c:pt idx="0">
                  <c:v>17.658202794857147</c:v>
                </c:pt>
                <c:pt idx="1">
                  <c:v>27.453883847098002</c:v>
                </c:pt>
                <c:pt idx="2">
                  <c:v>24.420252725745545</c:v>
                </c:pt>
                <c:pt idx="3">
                  <c:v>18.325178176192065</c:v>
                </c:pt>
                <c:pt idx="4">
                  <c:v>12.142482456106467</c:v>
                </c:pt>
              </c:numCache>
            </c:numRef>
          </c:val>
          <c:smooth val="0"/>
          <c:extLst>
            <c:ext xmlns:c16="http://schemas.microsoft.com/office/drawing/2014/chart" uri="{C3380CC4-5D6E-409C-BE32-E72D297353CC}">
              <c16:uniqueId val="{00000003-6A45-4724-86E8-25E8AC48F119}"/>
            </c:ext>
          </c:extLst>
        </c:ser>
        <c:ser>
          <c:idx val="1"/>
          <c:order val="1"/>
          <c:tx>
            <c:strRef>
              <c:f>Sheet1!$C$1</c:f>
              <c:strCache>
                <c:ptCount val="1"/>
                <c:pt idx="0">
                  <c:v>Labor force</c:v>
                </c:pt>
              </c:strCache>
            </c:strRef>
          </c:tx>
          <c:spPr>
            <a:ln w="28575" cap="rnd">
              <a:solidFill>
                <a:schemeClr val="accent2"/>
              </a:solidFill>
              <a:round/>
            </a:ln>
            <a:effectLst/>
          </c:spPr>
          <c:marker>
            <c:symbol val="none"/>
          </c:marker>
          <c:dLbls>
            <c:dLbl>
              <c:idx val="1"/>
              <c:layout>
                <c:manualLayout>
                  <c:x val="-2.3148148148147722E-3"/>
                  <c:y val="4.76190476190476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A45-4724-86E8-25E8AC48F119}"/>
                </c:ext>
              </c:extLst>
            </c:dLbl>
            <c:dLbl>
              <c:idx val="2"/>
              <c:layout>
                <c:manualLayout>
                  <c:x val="7.2551390568319227E-3"/>
                  <c:y val="-2.2456770716370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A45-4724-86E8-25E8AC48F119}"/>
                </c:ext>
              </c:extLst>
            </c:dLbl>
            <c:dLbl>
              <c:idx val="3"/>
              <c:layout>
                <c:manualLayout>
                  <c:x val="9.2592592592592587E-3"/>
                  <c:y val="-3.17460317460317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A45-4724-86E8-25E8AC48F119}"/>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15-24</c:v>
                </c:pt>
                <c:pt idx="1">
                  <c:v>25-34</c:v>
                </c:pt>
                <c:pt idx="2">
                  <c:v>35-44</c:v>
                </c:pt>
                <c:pt idx="3">
                  <c:v>45-54</c:v>
                </c:pt>
                <c:pt idx="4">
                  <c:v>55+</c:v>
                </c:pt>
              </c:strCache>
            </c:strRef>
          </c:cat>
          <c:val>
            <c:numRef>
              <c:f>Sheet1!$C$2:$C$6</c:f>
              <c:numCache>
                <c:formatCode>0.0</c:formatCode>
                <c:ptCount val="5"/>
                <c:pt idx="0">
                  <c:v>9.7913617570262179</c:v>
                </c:pt>
                <c:pt idx="1">
                  <c:v>24.689085551436314</c:v>
                </c:pt>
                <c:pt idx="2">
                  <c:v>26.908194488381803</c:v>
                </c:pt>
                <c:pt idx="3">
                  <c:v>21.090280686880163</c:v>
                </c:pt>
                <c:pt idx="4">
                  <c:v>17.521077516279487</c:v>
                </c:pt>
              </c:numCache>
            </c:numRef>
          </c:val>
          <c:smooth val="0"/>
          <c:extLst>
            <c:ext xmlns:c16="http://schemas.microsoft.com/office/drawing/2014/chart" uri="{C3380CC4-5D6E-409C-BE32-E72D297353CC}">
              <c16:uniqueId val="{00000007-6A45-4724-86E8-25E8AC48F119}"/>
            </c:ext>
          </c:extLst>
        </c:ser>
        <c:dLbls>
          <c:showLegendKey val="0"/>
          <c:showVal val="0"/>
          <c:showCatName val="0"/>
          <c:showSerName val="0"/>
          <c:showPercent val="0"/>
          <c:showBubbleSize val="0"/>
        </c:dLbls>
        <c:marker val="1"/>
        <c:smooth val="0"/>
        <c:axId val="233218048"/>
        <c:axId val="226935936"/>
      </c:lineChart>
      <c:catAx>
        <c:axId val="233218048"/>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6935936"/>
        <c:crosses val="autoZero"/>
        <c:auto val="1"/>
        <c:lblAlgn val="ctr"/>
        <c:lblOffset val="100"/>
        <c:noMultiLvlLbl val="0"/>
      </c:catAx>
      <c:valAx>
        <c:axId val="226935936"/>
        <c:scaling>
          <c:orientation val="minMax"/>
        </c:scaling>
        <c:delete val="0"/>
        <c:axPos val="l"/>
        <c:numFmt formatCode="0.0" sourceLinked="1"/>
        <c:majorTickMark val="in"/>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3218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Quarter I of 2020</c:v>
                </c:pt>
                <c:pt idx="1">
                  <c:v>Quarter II of 2020</c:v>
                </c:pt>
                <c:pt idx="2">
                  <c:v>Quarter III of 2020</c:v>
                </c:pt>
                <c:pt idx="3">
                  <c:v>Quarter IV of 2020</c:v>
                </c:pt>
                <c:pt idx="4">
                  <c:v>Quarter I of 2021</c:v>
                </c:pt>
                <c:pt idx="5">
                  <c:v>Quarter II of 2021</c:v>
                </c:pt>
                <c:pt idx="6">
                  <c:v>Quarter III of 2021</c:v>
                </c:pt>
              </c:strCache>
            </c:strRef>
          </c:cat>
          <c:val>
            <c:numRef>
              <c:f>Sheet1!$B$2:$B$8</c:f>
              <c:numCache>
                <c:formatCode>0.0</c:formatCode>
                <c:ptCount val="7"/>
                <c:pt idx="0">
                  <c:v>4.1315</c:v>
                </c:pt>
                <c:pt idx="1">
                  <c:v>3.73719</c:v>
                </c:pt>
                <c:pt idx="2">
                  <c:v>3.2859630000000033</c:v>
                </c:pt>
                <c:pt idx="3">
                  <c:v>3.0876000000000001</c:v>
                </c:pt>
                <c:pt idx="4">
                  <c:v>3.6718000000000002</c:v>
                </c:pt>
                <c:pt idx="5">
                  <c:v>4.2294999999999998</c:v>
                </c:pt>
                <c:pt idx="6">
                  <c:v>5.2224772110589184</c:v>
                </c:pt>
              </c:numCache>
            </c:numRef>
          </c:val>
          <c:extLst>
            <c:ext xmlns:c16="http://schemas.microsoft.com/office/drawing/2014/chart" uri="{C3380CC4-5D6E-409C-BE32-E72D297353CC}">
              <c16:uniqueId val="{00000000-5DBF-4DB4-8511-D314B62CEAF7}"/>
            </c:ext>
          </c:extLst>
        </c:ser>
        <c:dLbls>
          <c:showLegendKey val="0"/>
          <c:showVal val="0"/>
          <c:showCatName val="0"/>
          <c:showSerName val="0"/>
          <c:showPercent val="0"/>
          <c:showBubbleSize val="0"/>
        </c:dLbls>
        <c:gapWidth val="219"/>
        <c:overlap val="-27"/>
        <c:axId val="233219584"/>
        <c:axId val="226940544"/>
      </c:barChart>
      <c:catAx>
        <c:axId val="233219584"/>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6940544"/>
        <c:crosses val="autoZero"/>
        <c:auto val="1"/>
        <c:lblAlgn val="ctr"/>
        <c:lblOffset val="100"/>
        <c:noMultiLvlLbl val="0"/>
      </c:catAx>
      <c:valAx>
        <c:axId val="226940544"/>
        <c:scaling>
          <c:orientation val="minMax"/>
        </c:scaling>
        <c:delete val="0"/>
        <c:axPos val="l"/>
        <c:numFmt formatCode="0.0" sourceLinked="1"/>
        <c:majorTickMark val="in"/>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32195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Quarter II of 2021</c:v>
                </c:pt>
              </c:strCache>
            </c:strRef>
          </c:tx>
          <c:spPr>
            <a:pattFill prst="pct25">
              <a:fgClr>
                <a:schemeClr val="tx1"/>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Employment</c:v>
                </c:pt>
                <c:pt idx="1">
                  <c:v>Unemployed</c:v>
                </c:pt>
                <c:pt idx="2">
                  <c:v>Outside labor force</c:v>
                </c:pt>
              </c:strCache>
            </c:strRef>
          </c:cat>
          <c:val>
            <c:numRef>
              <c:f>Sheet1!$B$2:$B$4</c:f>
              <c:numCache>
                <c:formatCode>General</c:formatCode>
                <c:ptCount val="3"/>
                <c:pt idx="0">
                  <c:v>22.6</c:v>
                </c:pt>
                <c:pt idx="1">
                  <c:v>48.1</c:v>
                </c:pt>
                <c:pt idx="2">
                  <c:v>3.8</c:v>
                </c:pt>
              </c:numCache>
            </c:numRef>
          </c:val>
          <c:extLst>
            <c:ext xmlns:c16="http://schemas.microsoft.com/office/drawing/2014/chart" uri="{C3380CC4-5D6E-409C-BE32-E72D297353CC}">
              <c16:uniqueId val="{00000000-534C-42F1-A7D5-86407E5E9D21}"/>
            </c:ext>
          </c:extLst>
        </c:ser>
        <c:ser>
          <c:idx val="1"/>
          <c:order val="1"/>
          <c:tx>
            <c:strRef>
              <c:f>Sheet1!$C$1</c:f>
              <c:strCache>
                <c:ptCount val="1"/>
                <c:pt idx="0">
                  <c:v>Quarter III of 2021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Employment</c:v>
                </c:pt>
                <c:pt idx="1">
                  <c:v>Unemployed</c:v>
                </c:pt>
                <c:pt idx="2">
                  <c:v>Outside labor force</c:v>
                </c:pt>
              </c:strCache>
            </c:strRef>
          </c:cat>
          <c:val>
            <c:numRef>
              <c:f>Sheet1!$C$2:$C$4</c:f>
              <c:numCache>
                <c:formatCode>General</c:formatCode>
                <c:ptCount val="3"/>
                <c:pt idx="0">
                  <c:v>48.7</c:v>
                </c:pt>
                <c:pt idx="1">
                  <c:v>80.900000000000006</c:v>
                </c:pt>
                <c:pt idx="2">
                  <c:v>14.5</c:v>
                </c:pt>
              </c:numCache>
            </c:numRef>
          </c:val>
          <c:extLst>
            <c:ext xmlns:c16="http://schemas.microsoft.com/office/drawing/2014/chart" uri="{C3380CC4-5D6E-409C-BE32-E72D297353CC}">
              <c16:uniqueId val="{00000001-534C-42F1-A7D5-86407E5E9D21}"/>
            </c:ext>
          </c:extLst>
        </c:ser>
        <c:dLbls>
          <c:showLegendKey val="0"/>
          <c:showVal val="0"/>
          <c:showCatName val="0"/>
          <c:showSerName val="0"/>
          <c:showPercent val="0"/>
          <c:showBubbleSize val="0"/>
        </c:dLbls>
        <c:gapWidth val="219"/>
        <c:overlap val="-27"/>
        <c:axId val="233521664"/>
        <c:axId val="199666496"/>
      </c:barChart>
      <c:catAx>
        <c:axId val="233521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666496"/>
        <c:crosses val="autoZero"/>
        <c:auto val="1"/>
        <c:lblAlgn val="ctr"/>
        <c:lblOffset val="100"/>
        <c:noMultiLvlLbl val="0"/>
      </c:catAx>
      <c:valAx>
        <c:axId val="199666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3521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Quarter II of 2021</c:v>
                </c:pt>
              </c:strCache>
            </c:strRef>
          </c:tx>
          <c:spPr>
            <a:pattFill prst="pct25">
              <a:fgClr>
                <a:schemeClr val="tx1"/>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Agriculture, forestry and fishery</c:v>
                </c:pt>
                <c:pt idx="1">
                  <c:v>Industry and Construction</c:v>
                </c:pt>
                <c:pt idx="2">
                  <c:v>Services</c:v>
                </c:pt>
              </c:strCache>
            </c:strRef>
          </c:cat>
          <c:val>
            <c:numRef>
              <c:f>Sheet1!$B$2:$B$4</c:f>
              <c:numCache>
                <c:formatCode>General</c:formatCode>
                <c:ptCount val="3"/>
                <c:pt idx="0">
                  <c:v>8.9</c:v>
                </c:pt>
                <c:pt idx="1">
                  <c:v>24.6</c:v>
                </c:pt>
                <c:pt idx="2">
                  <c:v>30.6</c:v>
                </c:pt>
              </c:numCache>
            </c:numRef>
          </c:val>
          <c:extLst>
            <c:ext xmlns:c16="http://schemas.microsoft.com/office/drawing/2014/chart" uri="{C3380CC4-5D6E-409C-BE32-E72D297353CC}">
              <c16:uniqueId val="{00000000-D799-4C21-BECB-C674ADA6E046}"/>
            </c:ext>
          </c:extLst>
        </c:ser>
        <c:ser>
          <c:idx val="1"/>
          <c:order val="1"/>
          <c:tx>
            <c:strRef>
              <c:f>Sheet1!$C$1</c:f>
              <c:strCache>
                <c:ptCount val="1"/>
                <c:pt idx="0">
                  <c:v>Quarter III of 2021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Agriculture, forestry and fishery</c:v>
                </c:pt>
                <c:pt idx="1">
                  <c:v>Industry and Construction</c:v>
                </c:pt>
                <c:pt idx="2">
                  <c:v>Services</c:v>
                </c:pt>
              </c:strCache>
            </c:strRef>
          </c:cat>
          <c:val>
            <c:numRef>
              <c:f>Sheet1!$C$2:$C$4</c:f>
              <c:numCache>
                <c:formatCode>0.0</c:formatCode>
                <c:ptCount val="3"/>
                <c:pt idx="0">
                  <c:v>26.427894099771347</c:v>
                </c:pt>
                <c:pt idx="1">
                  <c:v>53.944564199002492</c:v>
                </c:pt>
                <c:pt idx="2">
                  <c:v>62.678399138896296</c:v>
                </c:pt>
              </c:numCache>
            </c:numRef>
          </c:val>
          <c:extLst>
            <c:ext xmlns:c16="http://schemas.microsoft.com/office/drawing/2014/chart" uri="{C3380CC4-5D6E-409C-BE32-E72D297353CC}">
              <c16:uniqueId val="{00000001-D799-4C21-BECB-C674ADA6E046}"/>
            </c:ext>
          </c:extLst>
        </c:ser>
        <c:dLbls>
          <c:showLegendKey val="0"/>
          <c:showVal val="0"/>
          <c:showCatName val="0"/>
          <c:showSerName val="0"/>
          <c:showPercent val="0"/>
          <c:showBubbleSize val="0"/>
        </c:dLbls>
        <c:gapWidth val="219"/>
        <c:overlap val="-27"/>
        <c:axId val="233523200"/>
        <c:axId val="199671104"/>
      </c:barChart>
      <c:catAx>
        <c:axId val="233523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671104"/>
        <c:crosses val="autoZero"/>
        <c:auto val="1"/>
        <c:lblAlgn val="ctr"/>
        <c:lblOffset val="100"/>
        <c:noMultiLvlLbl val="0"/>
      </c:catAx>
      <c:valAx>
        <c:axId val="199671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3523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cked"/>
        <c:varyColors val="0"/>
        <c:ser>
          <c:idx val="0"/>
          <c:order val="0"/>
          <c:tx>
            <c:strRef>
              <c:f>Sheet1!$B$1</c:f>
              <c:strCache>
                <c:ptCount val="1"/>
                <c:pt idx="0">
                  <c:v>Labor force</c:v>
                </c:pt>
              </c:strCache>
            </c:strRef>
          </c:tx>
          <c:spPr>
            <a:ln w="28575" cap="rnd">
              <a:solidFill>
                <a:schemeClr val="accent1"/>
              </a:solidFill>
              <a:round/>
            </a:ln>
            <a:effectLst/>
          </c:spPr>
          <c:marker>
            <c:symbol val="none"/>
          </c:marke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Quarter I
 of 2020</c:v>
                </c:pt>
                <c:pt idx="1">
                  <c:v>Quarter II
 of 2020</c:v>
                </c:pt>
                <c:pt idx="2">
                  <c:v>Quarter III
 of 2020</c:v>
                </c:pt>
                <c:pt idx="3">
                  <c:v>Quarter IV
 of 2020</c:v>
                </c:pt>
                <c:pt idx="4">
                  <c:v>Quarter I
 of 2021</c:v>
                </c:pt>
                <c:pt idx="5">
                  <c:v>Quarter II
 of 2021</c:v>
                </c:pt>
                <c:pt idx="6">
                  <c:v>Quarter III
 of 2021</c:v>
                </c:pt>
              </c:strCache>
            </c:strRef>
          </c:cat>
          <c:val>
            <c:numRef>
              <c:f>Sheet1!$B$2:$B$8</c:f>
              <c:numCache>
                <c:formatCode>0.0</c:formatCode>
                <c:ptCount val="7"/>
                <c:pt idx="0">
                  <c:v>51.202599999999997</c:v>
                </c:pt>
                <c:pt idx="1">
                  <c:v>49.410199999999996</c:v>
                </c:pt>
                <c:pt idx="2">
                  <c:v>51.294400000000003</c:v>
                </c:pt>
                <c:pt idx="3">
                  <c:v>52.139900000000004</c:v>
                </c:pt>
                <c:pt idx="4">
                  <c:v>51.021699999999996</c:v>
                </c:pt>
                <c:pt idx="5">
                  <c:v>51.066400000000002</c:v>
                </c:pt>
                <c:pt idx="6">
                  <c:v>49.1</c:v>
                </c:pt>
              </c:numCache>
            </c:numRef>
          </c:val>
          <c:smooth val="0"/>
          <c:extLst>
            <c:ext xmlns:c16="http://schemas.microsoft.com/office/drawing/2014/chart" uri="{C3380CC4-5D6E-409C-BE32-E72D297353CC}">
              <c16:uniqueId val="{00000007-B338-4F17-85DC-85F24BE9F91B}"/>
            </c:ext>
          </c:extLst>
        </c:ser>
        <c:dLbls>
          <c:showLegendKey val="0"/>
          <c:showVal val="0"/>
          <c:showCatName val="0"/>
          <c:showSerName val="0"/>
          <c:showPercent val="0"/>
          <c:showBubbleSize val="0"/>
        </c:dLbls>
        <c:smooth val="0"/>
        <c:axId val="228803584"/>
        <c:axId val="199673536"/>
      </c:lineChart>
      <c:catAx>
        <c:axId val="228803584"/>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673536"/>
        <c:crosses val="autoZero"/>
        <c:auto val="1"/>
        <c:lblAlgn val="ctr"/>
        <c:lblOffset val="100"/>
        <c:noMultiLvlLbl val="0"/>
      </c:catAx>
      <c:valAx>
        <c:axId val="199673536"/>
        <c:scaling>
          <c:orientation val="minMax"/>
        </c:scaling>
        <c:delete val="0"/>
        <c:axPos val="l"/>
        <c:numFmt formatCode="0.0" sourceLinked="1"/>
        <c:majorTickMark val="in"/>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8803584"/>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3647416146560271E-2"/>
          <c:y val="5.2743561449118147E-2"/>
          <c:w val="0.92269314161816729"/>
          <c:h val="0.7926350512706023"/>
        </c:manualLayout>
      </c:layout>
      <c:lineChart>
        <c:grouping val="standard"/>
        <c:varyColors val="0"/>
        <c:ser>
          <c:idx val="0"/>
          <c:order val="0"/>
          <c:dLbls>
            <c:dLbl>
              <c:idx val="6"/>
              <c:layout>
                <c:manualLayout>
                  <c:x val="-1.4487311159683635E-2"/>
                  <c:y val="5.44465666498157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8DF-47FD-9439-144E083ADF38}"/>
                </c:ext>
              </c:extLst>
            </c:dLbl>
            <c:dLbl>
              <c:idx val="8"/>
              <c:layout>
                <c:manualLayout>
                  <c:x val="-8.3606597670274493E-2"/>
                  <c:y val="3.44615554082469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8DF-47FD-9439-144E083ADF38}"/>
                </c:ext>
              </c:extLst>
            </c:dLbl>
            <c:dLbl>
              <c:idx val="9"/>
              <c:layout>
                <c:manualLayout>
                  <c:x val="-1.0028002352548741E-2"/>
                  <c:y val="-5.04747423684205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8DF-47FD-9439-144E083ADF38}"/>
                </c:ext>
              </c:extLst>
            </c:dLbl>
            <c:dLbl>
              <c:idx val="10"/>
              <c:layout>
                <c:manualLayout>
                  <c:x val="-4.816580201722276E-3"/>
                  <c:y val="-8.59977182187144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8DF-47FD-9439-144E083ADF38}"/>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hinh_coviec!$B$3:$L$3</c:f>
              <c:strCache>
                <c:ptCount val="11"/>
                <c:pt idx="0">
                  <c:v>Quarter I 
of 2019</c:v>
                </c:pt>
                <c:pt idx="1">
                  <c:v>Quarter II 
of 2019</c:v>
                </c:pt>
                <c:pt idx="2">
                  <c:v>Quarter III 
of 2019</c:v>
                </c:pt>
                <c:pt idx="3">
                  <c:v>Quarter IV 
of 2019</c:v>
                </c:pt>
                <c:pt idx="4">
                  <c:v>Quarter I 
of 2020</c:v>
                </c:pt>
                <c:pt idx="5">
                  <c:v>Quarter II
 of 2020</c:v>
                </c:pt>
                <c:pt idx="6">
                  <c:v>Quarter III
 of 2020</c:v>
                </c:pt>
                <c:pt idx="7">
                  <c:v>Quarter IV 
of 2020</c:v>
                </c:pt>
                <c:pt idx="8">
                  <c:v>Quarter I
of 2021</c:v>
                </c:pt>
                <c:pt idx="9">
                  <c:v>Quarter II 
of 2021</c:v>
                </c:pt>
                <c:pt idx="10">
                  <c:v>Quarter III 
of 2021</c:v>
                </c:pt>
              </c:strCache>
            </c:strRef>
          </c:cat>
          <c:val>
            <c:numRef>
              <c:f>hinh_coviec!$B$4:$L$4</c:f>
              <c:numCache>
                <c:formatCode>_(* #,##0.0_);_(* \(#,##0.0\);_(* "-"??_);_(@_)</c:formatCode>
                <c:ptCount val="11"/>
                <c:pt idx="0">
                  <c:v>50.5</c:v>
                </c:pt>
                <c:pt idx="1">
                  <c:v>50.3</c:v>
                </c:pt>
                <c:pt idx="2">
                  <c:v>50.6</c:v>
                </c:pt>
                <c:pt idx="3">
                  <c:v>51</c:v>
                </c:pt>
                <c:pt idx="4">
                  <c:v>50.1</c:v>
                </c:pt>
                <c:pt idx="5">
                  <c:v>48.1</c:v>
                </c:pt>
                <c:pt idx="6">
                  <c:v>50</c:v>
                </c:pt>
                <c:pt idx="7">
                  <c:v>50.9</c:v>
                </c:pt>
                <c:pt idx="8">
                  <c:v>49.9</c:v>
                </c:pt>
                <c:pt idx="9">
                  <c:v>49.8</c:v>
                </c:pt>
                <c:pt idx="10">
                  <c:v>47.2</c:v>
                </c:pt>
              </c:numCache>
            </c:numRef>
          </c:val>
          <c:smooth val="0"/>
          <c:extLst>
            <c:ext xmlns:c16="http://schemas.microsoft.com/office/drawing/2014/chart" uri="{C3380CC4-5D6E-409C-BE32-E72D297353CC}">
              <c16:uniqueId val="{00000000-68DF-47FD-9439-144E083ADF38}"/>
            </c:ext>
          </c:extLst>
        </c:ser>
        <c:dLbls>
          <c:showLegendKey val="0"/>
          <c:showVal val="0"/>
          <c:showCatName val="0"/>
          <c:showSerName val="0"/>
          <c:showPercent val="0"/>
          <c:showBubbleSize val="0"/>
        </c:dLbls>
        <c:marker val="1"/>
        <c:smooth val="0"/>
        <c:axId val="228802560"/>
        <c:axId val="199674688"/>
      </c:lineChart>
      <c:catAx>
        <c:axId val="228802560"/>
        <c:scaling>
          <c:orientation val="minMax"/>
        </c:scaling>
        <c:delete val="0"/>
        <c:axPos val="b"/>
        <c:numFmt formatCode="General" sourceLinked="0"/>
        <c:majorTickMark val="out"/>
        <c:minorTickMark val="none"/>
        <c:tickLblPos val="nextTo"/>
        <c:txPr>
          <a:bodyPr/>
          <a:lstStyle/>
          <a:p>
            <a:pPr>
              <a:defRPr sz="800"/>
            </a:pPr>
            <a:endParaRPr lang="en-US"/>
          </a:p>
        </c:txPr>
        <c:crossAx val="199674688"/>
        <c:crosses val="autoZero"/>
        <c:auto val="1"/>
        <c:lblAlgn val="ctr"/>
        <c:lblOffset val="100"/>
        <c:noMultiLvlLbl val="0"/>
      </c:catAx>
      <c:valAx>
        <c:axId val="199674688"/>
        <c:scaling>
          <c:orientation val="minMax"/>
        </c:scaling>
        <c:delete val="0"/>
        <c:axPos val="l"/>
        <c:numFmt formatCode="_(* #,##0.0_);_(* \(#,##0.0\);_(* &quot;-&quot;??_);_(@_)" sourceLinked="1"/>
        <c:majorTickMark val="out"/>
        <c:minorTickMark val="none"/>
        <c:tickLblPos val="nextTo"/>
        <c:crossAx val="228802560"/>
        <c:crosses val="autoZero"/>
        <c:crossBetween val="between"/>
      </c:valAx>
      <c:spPr>
        <a:noFill/>
        <a:ln w="25400">
          <a:noFill/>
        </a:ln>
      </c:spPr>
    </c:plotArea>
    <c:plotVisOnly val="1"/>
    <c:dispBlanksAs val="gap"/>
    <c:showDLblsOverMax val="0"/>
  </c:chart>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1806230742896271E-2"/>
          <c:y val="4.3242530418848568E-2"/>
          <c:w val="0.92292536802464908"/>
          <c:h val="0.67774318728350802"/>
        </c:manualLayout>
      </c:layout>
      <c:barChart>
        <c:barDir val="col"/>
        <c:grouping val="clustered"/>
        <c:varyColors val="0"/>
        <c:ser>
          <c:idx val="0"/>
          <c:order val="0"/>
          <c:tx>
            <c:strRef>
              <c:f>vung_hinh!$K$10</c:f>
              <c:strCache>
                <c:ptCount val="1"/>
                <c:pt idx="0">
                  <c:v>Quarter III of 2020</c:v>
                </c:pt>
              </c:strCache>
            </c:strRef>
          </c:tx>
          <c:spPr>
            <a:pattFill prst="shingle">
              <a:fgClr>
                <a:schemeClr val="accent1"/>
              </a:fgClr>
              <a:bgClr>
                <a:schemeClr val="bg1"/>
              </a:bgClr>
            </a:pattFill>
            <a:ln>
              <a:solidFill>
                <a:schemeClr val="accent1"/>
              </a:solidFill>
            </a:ln>
          </c:spPr>
          <c:invertIfNegative val="0"/>
          <c:dLbls>
            <c:dLbl>
              <c:idx val="0"/>
              <c:layout>
                <c:manualLayout>
                  <c:x val="1.9521717911176184E-3"/>
                  <c:y val="-3.08710033076075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780-4654-ABCC-4B9A47C62546}"/>
                </c:ext>
              </c:extLst>
            </c:dLbl>
            <c:dLbl>
              <c:idx val="1"/>
              <c:layout>
                <c:manualLayout>
                  <c:x val="-2.5378233284529039E-2"/>
                  <c:y val="4.41014332965821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780-4654-ABCC-4B9A47C62546}"/>
                </c:ext>
              </c:extLst>
            </c:dLbl>
            <c:dLbl>
              <c:idx val="2"/>
              <c:layout>
                <c:manualLayout>
                  <c:x val="-5.856515373352855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780-4654-ABCC-4B9A47C62546}"/>
                </c:ext>
              </c:extLst>
            </c:dLbl>
            <c:dLbl>
              <c:idx val="3"/>
              <c:layout>
                <c:manualLayout>
                  <c:x val="-1.171303074670571E-2"/>
                  <c:y val="2.20507166482910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780-4654-ABCC-4B9A47C62546}"/>
                </c:ext>
              </c:extLst>
            </c:dLbl>
            <c:dLbl>
              <c:idx val="4"/>
              <c:layout>
                <c:manualLayout>
                  <c:x val="-1.1713184461019972E-2"/>
                  <c:y val="1.32304299889746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780-4654-ABCC-4B9A47C62546}"/>
                </c:ext>
              </c:extLst>
            </c:dLbl>
            <c:dLbl>
              <c:idx val="5"/>
              <c:layout>
                <c:manualLayout>
                  <c:x val="-1.7569546120058566E-2"/>
                  <c:y val="8.820286659316427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780-4654-ABCC-4B9A47C62546}"/>
                </c:ext>
              </c:extLst>
            </c:dLbl>
            <c:spPr>
              <a:noFill/>
              <a:ln>
                <a:noFill/>
              </a:ln>
              <a:effectLst/>
            </c:spPr>
            <c:txPr>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vung_hinh!$J$11:$J$16</c:f>
              <c:strCache>
                <c:ptCount val="6"/>
                <c:pt idx="0">
                  <c:v>Northern Midlands and Mountains</c:v>
                </c:pt>
                <c:pt idx="1">
                  <c:v>Red River Delta</c:v>
                </c:pt>
                <c:pt idx="2">
                  <c:v>North and South Central Coast</c:v>
                </c:pt>
                <c:pt idx="3">
                  <c:v>Central Highland</c:v>
                </c:pt>
                <c:pt idx="4">
                  <c:v>Southeast</c:v>
                </c:pt>
                <c:pt idx="5">
                  <c:v>Mekong River Delta</c:v>
                </c:pt>
              </c:strCache>
            </c:strRef>
          </c:cat>
          <c:val>
            <c:numRef>
              <c:f>vung_hinh!$K$11:$K$16</c:f>
              <c:numCache>
                <c:formatCode>_(* #,##0.0_);_(* \(#,##0.0\);_(* "-"??_);_(@_)</c:formatCode>
                <c:ptCount val="6"/>
                <c:pt idx="0">
                  <c:v>5.71</c:v>
                </c:pt>
                <c:pt idx="1">
                  <c:v>11.35</c:v>
                </c:pt>
                <c:pt idx="2">
                  <c:v>10.220000000000001</c:v>
                </c:pt>
                <c:pt idx="3">
                  <c:v>3.33</c:v>
                </c:pt>
                <c:pt idx="4">
                  <c:v>10.01</c:v>
                </c:pt>
                <c:pt idx="5">
                  <c:v>9.3699999999999992</c:v>
                </c:pt>
              </c:numCache>
            </c:numRef>
          </c:val>
          <c:extLst>
            <c:ext xmlns:c16="http://schemas.microsoft.com/office/drawing/2014/chart" uri="{C3380CC4-5D6E-409C-BE32-E72D297353CC}">
              <c16:uniqueId val="{00000006-D780-4654-ABCC-4B9A47C62546}"/>
            </c:ext>
          </c:extLst>
        </c:ser>
        <c:ser>
          <c:idx val="1"/>
          <c:order val="1"/>
          <c:tx>
            <c:strRef>
              <c:f>vung_hinh!$L$10</c:f>
              <c:strCache>
                <c:ptCount val="1"/>
                <c:pt idx="0">
                  <c:v>Quarter II of 2021</c:v>
                </c:pt>
              </c:strCache>
            </c:strRef>
          </c:tx>
          <c:spPr>
            <a:pattFill prst="dkDnDiag">
              <a:fgClr>
                <a:schemeClr val="accent1"/>
              </a:fgClr>
              <a:bgClr>
                <a:schemeClr val="bg1"/>
              </a:bgClr>
            </a:pattFill>
            <a:ln>
              <a:solidFill>
                <a:schemeClr val="accent1"/>
              </a:solidFill>
            </a:ln>
          </c:spPr>
          <c:invertIfNegative val="0"/>
          <c:dLbls>
            <c:dLbl>
              <c:idx val="0"/>
              <c:layout>
                <c:manualLayout>
                  <c:x val="0"/>
                  <c:y val="4.41014332965821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780-4654-ABCC-4B9A47C62546}"/>
                </c:ext>
              </c:extLst>
            </c:dLbl>
            <c:dLbl>
              <c:idx val="2"/>
              <c:layout>
                <c:manualLayout>
                  <c:x val="-1.9521717911176184E-3"/>
                  <c:y val="1.76405733186328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780-4654-ABCC-4B9A47C62546}"/>
                </c:ext>
              </c:extLst>
            </c:dLbl>
            <c:dLbl>
              <c:idx val="3"/>
              <c:layout>
                <c:manualLayout>
                  <c:x val="-5.8565153733528552E-3"/>
                  <c:y val="2.64608599779492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780-4654-ABCC-4B9A47C62546}"/>
                </c:ext>
              </c:extLst>
            </c:dLbl>
            <c:dLbl>
              <c:idx val="4"/>
              <c:layout>
                <c:manualLayout>
                  <c:x val="9.760858955588092E-3"/>
                  <c:y val="8.820286659316427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780-4654-ABCC-4B9A47C62546}"/>
                </c:ext>
              </c:extLst>
            </c:dLbl>
            <c:spPr>
              <a:noFill/>
              <a:ln>
                <a:noFill/>
              </a:ln>
              <a:effectLst/>
            </c:spPr>
            <c:txPr>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vung_hinh!$J$11:$J$16</c:f>
              <c:strCache>
                <c:ptCount val="6"/>
                <c:pt idx="0">
                  <c:v>Northern Midlands and Mountains</c:v>
                </c:pt>
                <c:pt idx="1">
                  <c:v>Red River Delta</c:v>
                </c:pt>
                <c:pt idx="2">
                  <c:v>North and South Central Coast</c:v>
                </c:pt>
                <c:pt idx="3">
                  <c:v>Central Highland</c:v>
                </c:pt>
                <c:pt idx="4">
                  <c:v>Southeast</c:v>
                </c:pt>
                <c:pt idx="5">
                  <c:v>Mekong River Delta</c:v>
                </c:pt>
              </c:strCache>
            </c:strRef>
          </c:cat>
          <c:val>
            <c:numRef>
              <c:f>vung_hinh!$L$11:$L$16</c:f>
              <c:numCache>
                <c:formatCode>_(* #,##0.0_);_(* \(#,##0.0\);_(* "-"??_);_(@_)</c:formatCode>
                <c:ptCount val="6"/>
                <c:pt idx="0">
                  <c:v>5.55</c:v>
                </c:pt>
                <c:pt idx="1">
                  <c:v>11.36</c:v>
                </c:pt>
                <c:pt idx="2">
                  <c:v>10.17</c:v>
                </c:pt>
                <c:pt idx="3">
                  <c:v>3.36</c:v>
                </c:pt>
                <c:pt idx="4">
                  <c:v>10.19</c:v>
                </c:pt>
                <c:pt idx="5">
                  <c:v>9.1999999999999993</c:v>
                </c:pt>
              </c:numCache>
            </c:numRef>
          </c:val>
          <c:extLst>
            <c:ext xmlns:c16="http://schemas.microsoft.com/office/drawing/2014/chart" uri="{C3380CC4-5D6E-409C-BE32-E72D297353CC}">
              <c16:uniqueId val="{0000000B-D780-4654-ABCC-4B9A47C62546}"/>
            </c:ext>
          </c:extLst>
        </c:ser>
        <c:ser>
          <c:idx val="2"/>
          <c:order val="2"/>
          <c:tx>
            <c:strRef>
              <c:f>vung_hinh!$M$10</c:f>
              <c:strCache>
                <c:ptCount val="1"/>
                <c:pt idx="0">
                  <c:v>Quarter III of 2021</c:v>
                </c:pt>
              </c:strCache>
            </c:strRef>
          </c:tx>
          <c:spPr>
            <a:pattFill prst="horzBrick">
              <a:fgClr>
                <a:schemeClr val="accent1"/>
              </a:fgClr>
              <a:bgClr>
                <a:schemeClr val="bg1"/>
              </a:bgClr>
            </a:pattFill>
            <a:ln>
              <a:solidFill>
                <a:schemeClr val="accent1"/>
              </a:solidFill>
            </a:ln>
          </c:spPr>
          <c:invertIfNegative val="0"/>
          <c:dLbls>
            <c:dLbl>
              <c:idx val="0"/>
              <c:layout>
                <c:manualLayout>
                  <c:x val="1.171303074670571E-2"/>
                  <c:y val="2.20507166482910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780-4654-ABCC-4B9A47C62546}"/>
                </c:ext>
              </c:extLst>
            </c:dLbl>
            <c:dLbl>
              <c:idx val="1"/>
              <c:layout>
                <c:manualLayout>
                  <c:x val="7.8086871644704736E-3"/>
                  <c:y val="2.64605127225689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780-4654-ABCC-4B9A47C62546}"/>
                </c:ext>
              </c:extLst>
            </c:dLbl>
            <c:dLbl>
              <c:idx val="2"/>
              <c:layout>
                <c:manualLayout>
                  <c:x val="1.171303074670571E-2"/>
                  <c:y val="1.76405733186328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D780-4654-ABCC-4B9A47C62546}"/>
                </c:ext>
              </c:extLst>
            </c:dLbl>
            <c:dLbl>
              <c:idx val="3"/>
              <c:layout>
                <c:manualLayout>
                  <c:x val="9.7607052412738305E-3"/>
                  <c:y val="2.64608599779492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780-4654-ABCC-4B9A47C62546}"/>
                </c:ext>
              </c:extLst>
            </c:dLbl>
            <c:spPr>
              <a:noFill/>
              <a:ln>
                <a:noFill/>
              </a:ln>
              <a:effectLst/>
            </c:spPr>
            <c:txPr>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vung_hinh!$J$11:$J$16</c:f>
              <c:strCache>
                <c:ptCount val="6"/>
                <c:pt idx="0">
                  <c:v>Northern Midlands and Mountains</c:v>
                </c:pt>
                <c:pt idx="1">
                  <c:v>Red River Delta</c:v>
                </c:pt>
                <c:pt idx="2">
                  <c:v>North and South Central Coast</c:v>
                </c:pt>
                <c:pt idx="3">
                  <c:v>Central Highland</c:v>
                </c:pt>
                <c:pt idx="4">
                  <c:v>Southeast</c:v>
                </c:pt>
                <c:pt idx="5">
                  <c:v>Mekong River Delta</c:v>
                </c:pt>
              </c:strCache>
            </c:strRef>
          </c:cat>
          <c:val>
            <c:numRef>
              <c:f>vung_hinh!$M$11:$M$16</c:f>
              <c:numCache>
                <c:formatCode>_(* #,##0.0_);_(* \(#,##0.0\);_(* "-"??_);_(@_)</c:formatCode>
                <c:ptCount val="6"/>
                <c:pt idx="0">
                  <c:v>5.52</c:v>
                </c:pt>
                <c:pt idx="1">
                  <c:v>11.31</c:v>
                </c:pt>
                <c:pt idx="2">
                  <c:v>9.83</c:v>
                </c:pt>
                <c:pt idx="3">
                  <c:v>3.43</c:v>
                </c:pt>
                <c:pt idx="4">
                  <c:v>8.7100000000000009</c:v>
                </c:pt>
                <c:pt idx="5">
                  <c:v>8.44</c:v>
                </c:pt>
              </c:numCache>
            </c:numRef>
          </c:val>
          <c:extLst>
            <c:ext xmlns:c16="http://schemas.microsoft.com/office/drawing/2014/chart" uri="{C3380CC4-5D6E-409C-BE32-E72D297353CC}">
              <c16:uniqueId val="{00000010-D780-4654-ABCC-4B9A47C62546}"/>
            </c:ext>
          </c:extLst>
        </c:ser>
        <c:dLbls>
          <c:showLegendKey val="0"/>
          <c:showVal val="0"/>
          <c:showCatName val="0"/>
          <c:showSerName val="0"/>
          <c:showPercent val="0"/>
          <c:showBubbleSize val="0"/>
        </c:dLbls>
        <c:gapWidth val="150"/>
        <c:axId val="225992192"/>
        <c:axId val="199675840"/>
      </c:barChart>
      <c:catAx>
        <c:axId val="225992192"/>
        <c:scaling>
          <c:orientation val="minMax"/>
        </c:scaling>
        <c:delete val="0"/>
        <c:axPos val="b"/>
        <c:numFmt formatCode="General" sourceLinked="0"/>
        <c:majorTickMark val="out"/>
        <c:minorTickMark val="none"/>
        <c:tickLblPos val="nextTo"/>
        <c:txPr>
          <a:bodyPr/>
          <a:lstStyle/>
          <a:p>
            <a:pPr>
              <a:defRPr sz="900"/>
            </a:pPr>
            <a:endParaRPr lang="en-US"/>
          </a:p>
        </c:txPr>
        <c:crossAx val="199675840"/>
        <c:crosses val="autoZero"/>
        <c:auto val="1"/>
        <c:lblAlgn val="ctr"/>
        <c:lblOffset val="100"/>
        <c:noMultiLvlLbl val="0"/>
      </c:catAx>
      <c:valAx>
        <c:axId val="199675840"/>
        <c:scaling>
          <c:orientation val="minMax"/>
        </c:scaling>
        <c:delete val="0"/>
        <c:axPos val="l"/>
        <c:numFmt formatCode="_(* #,##0.0_);_(* \(#,##0.0\);_(* &quot;-&quot;??_);_(@_)" sourceLinked="1"/>
        <c:majorTickMark val="out"/>
        <c:minorTickMark val="none"/>
        <c:tickLblPos val="nextTo"/>
        <c:crossAx val="225992192"/>
        <c:crosses val="autoZero"/>
        <c:crossBetween val="between"/>
      </c:valAx>
    </c:plotArea>
    <c:legend>
      <c:legendPos val="r"/>
      <c:layout>
        <c:manualLayout>
          <c:xMode val="edge"/>
          <c:yMode val="edge"/>
          <c:x val="0.1478267716535433"/>
          <c:y val="0.88006632772660376"/>
          <c:w val="0.77173844573776118"/>
          <c:h val="9.8822548352758971E-2"/>
        </c:manualLayout>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564129483814523"/>
          <c:y val="4.044633765041665E-2"/>
          <c:w val="0.8873918493899311"/>
          <c:h val="0.72569254289400964"/>
        </c:manualLayout>
      </c:layout>
      <c:barChart>
        <c:barDir val="col"/>
        <c:grouping val="clustered"/>
        <c:varyColors val="0"/>
        <c:ser>
          <c:idx val="0"/>
          <c:order val="0"/>
          <c:tx>
            <c:strRef>
              <c:f>'khuvuckt_icls_19 (2)'!$G$9</c:f>
              <c:strCache>
                <c:ptCount val="1"/>
                <c:pt idx="0">
                  <c:v>Quarter III of 2019</c:v>
                </c:pt>
              </c:strCache>
            </c:strRef>
          </c:tx>
          <c:spPr>
            <a:pattFill prst="dotGrid">
              <a:fgClr>
                <a:schemeClr val="accent1"/>
              </a:fgClr>
              <a:bgClr>
                <a:schemeClr val="bg1"/>
              </a:bgClr>
            </a:pattFill>
            <a:ln>
              <a:solidFill>
                <a:schemeClr val="accent1"/>
              </a:solid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'khuvuckt_icls_19 (2)'!$H$8:$J$8</c:f>
              <c:strCache>
                <c:ptCount val="3"/>
                <c:pt idx="0">
                  <c:v>Agriculture, foresty and fishery</c:v>
                </c:pt>
                <c:pt idx="1">
                  <c:v>Industry and Construction</c:v>
                </c:pt>
                <c:pt idx="2">
                  <c:v>Services</c:v>
                </c:pt>
              </c:strCache>
            </c:strRef>
          </c:cat>
          <c:val>
            <c:numRef>
              <c:f>'khuvuckt_icls_19 (2)'!$H$9:$J$9</c:f>
              <c:numCache>
                <c:formatCode>_(* #,##0.0_);_(* \(#,##0.0\);_(* "-"??_);_(@_)</c:formatCode>
                <c:ptCount val="3"/>
                <c:pt idx="0">
                  <c:v>14.3</c:v>
                </c:pt>
                <c:pt idx="1">
                  <c:v>16.8</c:v>
                </c:pt>
                <c:pt idx="2">
                  <c:v>19.399999999999999</c:v>
                </c:pt>
              </c:numCache>
            </c:numRef>
          </c:val>
          <c:extLst>
            <c:ext xmlns:c16="http://schemas.microsoft.com/office/drawing/2014/chart" uri="{C3380CC4-5D6E-409C-BE32-E72D297353CC}">
              <c16:uniqueId val="{00000000-A25A-4D11-85F5-3C5FD0044BA1}"/>
            </c:ext>
          </c:extLst>
        </c:ser>
        <c:ser>
          <c:idx val="1"/>
          <c:order val="1"/>
          <c:tx>
            <c:strRef>
              <c:f>'khuvuckt_icls_19 (2)'!$G$10</c:f>
              <c:strCache>
                <c:ptCount val="1"/>
                <c:pt idx="0">
                  <c:v>Quarter III of 2020</c:v>
                </c:pt>
              </c:strCache>
            </c:strRef>
          </c:tx>
          <c:spPr>
            <a:pattFill prst="diagBrick">
              <a:fgClr>
                <a:schemeClr val="accent1"/>
              </a:fgClr>
              <a:bgClr>
                <a:schemeClr val="bg1"/>
              </a:bgClr>
            </a:pattFill>
            <a:ln>
              <a:solidFill>
                <a:schemeClr val="accent1"/>
              </a:solid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'khuvuckt_icls_19 (2)'!$H$8:$J$8</c:f>
              <c:strCache>
                <c:ptCount val="3"/>
                <c:pt idx="0">
                  <c:v>Agriculture, foresty and fishery</c:v>
                </c:pt>
                <c:pt idx="1">
                  <c:v>Industry and Construction</c:v>
                </c:pt>
                <c:pt idx="2">
                  <c:v>Services</c:v>
                </c:pt>
              </c:strCache>
            </c:strRef>
          </c:cat>
          <c:val>
            <c:numRef>
              <c:f>'khuvuckt_icls_19 (2)'!$H$10:$J$10</c:f>
              <c:numCache>
                <c:formatCode>_(* #,##0.0_);_(* \(#,##0.0\);_(* "-"??_);_(@_)</c:formatCode>
                <c:ptCount val="3"/>
                <c:pt idx="0">
                  <c:v>14</c:v>
                </c:pt>
                <c:pt idx="1">
                  <c:v>16.600000000000001</c:v>
                </c:pt>
                <c:pt idx="2">
                  <c:v>19.399999999999999</c:v>
                </c:pt>
              </c:numCache>
            </c:numRef>
          </c:val>
          <c:extLst>
            <c:ext xmlns:c16="http://schemas.microsoft.com/office/drawing/2014/chart" uri="{C3380CC4-5D6E-409C-BE32-E72D297353CC}">
              <c16:uniqueId val="{00000001-A25A-4D11-85F5-3C5FD0044BA1}"/>
            </c:ext>
          </c:extLst>
        </c:ser>
        <c:ser>
          <c:idx val="2"/>
          <c:order val="2"/>
          <c:tx>
            <c:strRef>
              <c:f>'khuvuckt_icls_19 (2)'!$G$11</c:f>
              <c:strCache>
                <c:ptCount val="1"/>
                <c:pt idx="0">
                  <c:v>Quarter III of 2021</c:v>
                </c:pt>
              </c:strCache>
            </c:strRef>
          </c:tx>
          <c:spPr>
            <a:pattFill prst="wdDnDiag">
              <a:fgClr>
                <a:schemeClr val="accent1"/>
              </a:fgClr>
              <a:bgClr>
                <a:schemeClr val="bg1"/>
              </a:bgClr>
            </a:pattFill>
            <a:ln>
              <a:solidFill>
                <a:schemeClr val="accent1"/>
              </a:solid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'khuvuckt_icls_19 (2)'!$H$8:$J$8</c:f>
              <c:strCache>
                <c:ptCount val="3"/>
                <c:pt idx="0">
                  <c:v>Agriculture, foresty and fishery</c:v>
                </c:pt>
                <c:pt idx="1">
                  <c:v>Industry and Construction</c:v>
                </c:pt>
                <c:pt idx="2">
                  <c:v>Services</c:v>
                </c:pt>
              </c:strCache>
            </c:strRef>
          </c:cat>
          <c:val>
            <c:numRef>
              <c:f>'khuvuckt_icls_19 (2)'!$H$11:$J$11</c:f>
              <c:numCache>
                <c:formatCode>_(* #,##0.0_);_(* \(#,##0.0\);_(* "-"??_);_(@_)</c:formatCode>
                <c:ptCount val="3"/>
                <c:pt idx="0">
                  <c:v>14.5</c:v>
                </c:pt>
                <c:pt idx="1">
                  <c:v>15.7</c:v>
                </c:pt>
                <c:pt idx="2">
                  <c:v>17.100000000000001</c:v>
                </c:pt>
              </c:numCache>
            </c:numRef>
          </c:val>
          <c:extLst>
            <c:ext xmlns:c16="http://schemas.microsoft.com/office/drawing/2014/chart" uri="{C3380CC4-5D6E-409C-BE32-E72D297353CC}">
              <c16:uniqueId val="{00000002-A25A-4D11-85F5-3C5FD0044BA1}"/>
            </c:ext>
          </c:extLst>
        </c:ser>
        <c:dLbls>
          <c:showLegendKey val="0"/>
          <c:showVal val="0"/>
          <c:showCatName val="0"/>
          <c:showSerName val="0"/>
          <c:showPercent val="0"/>
          <c:showBubbleSize val="0"/>
        </c:dLbls>
        <c:gapWidth val="150"/>
        <c:axId val="229842432"/>
        <c:axId val="199677568"/>
      </c:barChart>
      <c:catAx>
        <c:axId val="229842432"/>
        <c:scaling>
          <c:orientation val="minMax"/>
        </c:scaling>
        <c:delete val="0"/>
        <c:axPos val="b"/>
        <c:numFmt formatCode="General" sourceLinked="0"/>
        <c:majorTickMark val="out"/>
        <c:minorTickMark val="none"/>
        <c:tickLblPos val="nextTo"/>
        <c:crossAx val="199677568"/>
        <c:crosses val="autoZero"/>
        <c:auto val="1"/>
        <c:lblAlgn val="ctr"/>
        <c:lblOffset val="100"/>
        <c:noMultiLvlLbl val="0"/>
      </c:catAx>
      <c:valAx>
        <c:axId val="199677568"/>
        <c:scaling>
          <c:orientation val="minMax"/>
          <c:max val="20"/>
        </c:scaling>
        <c:delete val="0"/>
        <c:axPos val="l"/>
        <c:numFmt formatCode="_(* #,##0.0_);_(* \(#,##0.0\);_(* &quot;-&quot;??_);_(@_)" sourceLinked="1"/>
        <c:majorTickMark val="out"/>
        <c:minorTickMark val="none"/>
        <c:tickLblPos val="nextTo"/>
        <c:crossAx val="229842432"/>
        <c:crosses val="autoZero"/>
        <c:crossBetween val="between"/>
      </c:valAx>
    </c:plotArea>
    <c:legend>
      <c:legendPos val="r"/>
      <c:layout>
        <c:manualLayout>
          <c:xMode val="edge"/>
          <c:yMode val="edge"/>
          <c:x val="0.17862639691285048"/>
          <c:y val="0.8674882784054373"/>
          <c:w val="0.77415135608048991"/>
          <c:h val="0.13205369820575708"/>
        </c:manualLayout>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thieuvl_hinh_capnhat_q3!$C$6</c:f>
              <c:strCache>
                <c:ptCount val="1"/>
                <c:pt idx="0">
                  <c:v>Underemployed (thousand persons)</c:v>
                </c:pt>
              </c:strCache>
            </c:strRef>
          </c:tx>
          <c:spPr>
            <a:pattFill prst="solidDmnd">
              <a:fgClr>
                <a:schemeClr val="accent1"/>
              </a:fgClr>
              <a:bgClr>
                <a:schemeClr val="bg1"/>
              </a:bgClr>
            </a:pattFill>
            <a:ln>
              <a:solidFill>
                <a:schemeClr val="accent1"/>
              </a:solidFill>
              <a:prstDash val="sysDash"/>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thieuvl_hinh_capnhat_q3!$B$7:$B$13</c:f>
              <c:strCache>
                <c:ptCount val="7"/>
                <c:pt idx="0">
                  <c:v>Quarter I 
of 2020</c:v>
                </c:pt>
                <c:pt idx="1">
                  <c:v>Quarter II
 of 2020</c:v>
                </c:pt>
                <c:pt idx="2">
                  <c:v>Quarter III
 of 2020</c:v>
                </c:pt>
                <c:pt idx="3">
                  <c:v>Quarter IV 
of 2020</c:v>
                </c:pt>
                <c:pt idx="4">
                  <c:v>Quarter I
of 2021</c:v>
                </c:pt>
                <c:pt idx="5">
                  <c:v>Quarter II 
of 2021</c:v>
                </c:pt>
                <c:pt idx="6">
                  <c:v>Quarter III 
of 2021</c:v>
                </c:pt>
              </c:strCache>
            </c:strRef>
          </c:cat>
          <c:val>
            <c:numRef>
              <c:f>thieuvl_hinh_capnhat_q3!$C$7:$C$13</c:f>
              <c:numCache>
                <c:formatCode>0.0</c:formatCode>
                <c:ptCount val="7"/>
                <c:pt idx="0">
                  <c:v>892.71387063845475</c:v>
                </c:pt>
                <c:pt idx="1">
                  <c:v>1282.0034990477761</c:v>
                </c:pt>
                <c:pt idx="2">
                  <c:v>1225.2147580677499</c:v>
                </c:pt>
                <c:pt idx="3">
                  <c:v>828.19197291608077</c:v>
                </c:pt>
                <c:pt idx="4">
                  <c:v>971.4408692667173</c:v>
                </c:pt>
                <c:pt idx="5">
                  <c:v>1144.940782601803</c:v>
                </c:pt>
                <c:pt idx="6">
                  <c:v>1845.2131584768158</c:v>
                </c:pt>
              </c:numCache>
            </c:numRef>
          </c:val>
          <c:extLst>
            <c:ext xmlns:c16="http://schemas.microsoft.com/office/drawing/2014/chart" uri="{C3380CC4-5D6E-409C-BE32-E72D297353CC}">
              <c16:uniqueId val="{00000000-0B1C-4DF4-B3AF-91D9F20E9E37}"/>
            </c:ext>
          </c:extLst>
        </c:ser>
        <c:dLbls>
          <c:showLegendKey val="0"/>
          <c:showVal val="0"/>
          <c:showCatName val="0"/>
          <c:showSerName val="0"/>
          <c:showPercent val="0"/>
          <c:showBubbleSize val="0"/>
        </c:dLbls>
        <c:gapWidth val="150"/>
        <c:axId val="227984384"/>
        <c:axId val="199679296"/>
      </c:barChart>
      <c:lineChart>
        <c:grouping val="standard"/>
        <c:varyColors val="0"/>
        <c:ser>
          <c:idx val="1"/>
          <c:order val="1"/>
          <c:tx>
            <c:strRef>
              <c:f>thieuvl_hinh_capnhat_q3!$D$6</c:f>
              <c:strCache>
                <c:ptCount val="1"/>
                <c:pt idx="0">
                  <c:v>Underemployment rate (%)</c:v>
                </c:pt>
              </c:strCache>
            </c:strRef>
          </c:tx>
          <c:spPr>
            <a:ln w="28575" cap="rnd">
              <a:solidFill>
                <a:schemeClr val="accent2"/>
              </a:solidFill>
              <a:round/>
            </a:ln>
            <a:effectLst/>
          </c:spPr>
          <c:marker>
            <c:symbol val="none"/>
          </c:marker>
          <c:dLbls>
            <c:dLbl>
              <c:idx val="0"/>
              <c:layout>
                <c:manualLayout>
                  <c:x val="4.49842555105713E-3"/>
                  <c:y val="-4.686380763688340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B1C-4DF4-B3AF-91D9F20E9E37}"/>
                </c:ext>
              </c:extLst>
            </c:dLbl>
            <c:dLbl>
              <c:idx val="1"/>
              <c:layout>
                <c:manualLayout>
                  <c:x val="1.5744489428699954E-2"/>
                  <c:y val="-3.57873210633946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B1C-4DF4-B3AF-91D9F20E9E37}"/>
                </c:ext>
              </c:extLst>
            </c:dLbl>
            <c:dLbl>
              <c:idx val="2"/>
              <c:layout>
                <c:manualLayout>
                  <c:x val="1.349527665317139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B1C-4DF4-B3AF-91D9F20E9E37}"/>
                </c:ext>
              </c:extLst>
            </c:dLbl>
            <c:dLbl>
              <c:idx val="3"/>
              <c:layout>
                <c:manualLayout>
                  <c:x val="1.1246063877642825E-2"/>
                  <c:y val="4.60122699386503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B1C-4DF4-B3AF-91D9F20E9E37}"/>
                </c:ext>
              </c:extLst>
            </c:dLbl>
            <c:dLbl>
              <c:idx val="4"/>
              <c:layout>
                <c:manualLayout>
                  <c:x val="1.7993702204228437E-2"/>
                  <c:y val="1.53374233128833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B1C-4DF4-B3AF-91D9F20E9E37}"/>
                </c:ext>
              </c:extLst>
            </c:dLbl>
            <c:dLbl>
              <c:idx val="5"/>
              <c:layout>
                <c:manualLayout>
                  <c:x val="2.0242914979757085E-2"/>
                  <c:y val="-1.53374233128834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B1C-4DF4-B3AF-91D9F20E9E37}"/>
                </c:ext>
              </c:extLst>
            </c:dLbl>
            <c:dLbl>
              <c:idx val="6"/>
              <c:layout>
                <c:manualLayout>
                  <c:x val="-9.2217723796671161E-2"/>
                  <c:y val="5.112474437627823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B1C-4DF4-B3AF-91D9F20E9E3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thieuvl_hinh_capnhat_q3!$B$7:$B$13</c:f>
              <c:strCache>
                <c:ptCount val="7"/>
                <c:pt idx="0">
                  <c:v>Quarter I 
of 2020</c:v>
                </c:pt>
                <c:pt idx="1">
                  <c:v>Quarter II
 of 2020</c:v>
                </c:pt>
                <c:pt idx="2">
                  <c:v>Quarter III
 of 2020</c:v>
                </c:pt>
                <c:pt idx="3">
                  <c:v>Quarter IV 
of 2020</c:v>
                </c:pt>
                <c:pt idx="4">
                  <c:v>Quarter I
of 2021</c:v>
                </c:pt>
                <c:pt idx="5">
                  <c:v>Quarter II 
of 2021</c:v>
                </c:pt>
                <c:pt idx="6">
                  <c:v>Quarter III 
of 2021</c:v>
                </c:pt>
              </c:strCache>
            </c:strRef>
          </c:cat>
          <c:val>
            <c:numRef>
              <c:f>thieuvl_hinh_capnhat_q3!$D$7:$D$13</c:f>
              <c:numCache>
                <c:formatCode>0.00</c:formatCode>
                <c:ptCount val="7"/>
                <c:pt idx="0">
                  <c:v>1.9784579230471995</c:v>
                </c:pt>
                <c:pt idx="1">
                  <c:v>2.977134088812309</c:v>
                </c:pt>
                <c:pt idx="2">
                  <c:v>2.7230062285090635</c:v>
                </c:pt>
                <c:pt idx="3">
                  <c:v>1.8175100422880619</c:v>
                </c:pt>
                <c:pt idx="4">
                  <c:v>2.2025828354062567</c:v>
                </c:pt>
                <c:pt idx="5">
                  <c:v>2.6040767234235003</c:v>
                </c:pt>
                <c:pt idx="6">
                  <c:v>4.46</c:v>
                </c:pt>
              </c:numCache>
            </c:numRef>
          </c:val>
          <c:smooth val="0"/>
          <c:extLst>
            <c:ext xmlns:c16="http://schemas.microsoft.com/office/drawing/2014/chart" uri="{C3380CC4-5D6E-409C-BE32-E72D297353CC}">
              <c16:uniqueId val="{00000006-0B1C-4DF4-B3AF-91D9F20E9E37}"/>
            </c:ext>
          </c:extLst>
        </c:ser>
        <c:dLbls>
          <c:showLegendKey val="0"/>
          <c:showVal val="0"/>
          <c:showCatName val="0"/>
          <c:showSerName val="0"/>
          <c:showPercent val="0"/>
          <c:showBubbleSize val="0"/>
        </c:dLbls>
        <c:marker val="1"/>
        <c:smooth val="0"/>
        <c:axId val="230024704"/>
        <c:axId val="226918400"/>
      </c:lineChart>
      <c:catAx>
        <c:axId val="22798438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679296"/>
        <c:crosses val="autoZero"/>
        <c:auto val="1"/>
        <c:lblAlgn val="ctr"/>
        <c:lblOffset val="100"/>
        <c:noMultiLvlLbl val="0"/>
      </c:catAx>
      <c:valAx>
        <c:axId val="199679296"/>
        <c:scaling>
          <c:orientation val="minMax"/>
        </c:scaling>
        <c:delete val="0"/>
        <c:axPos val="l"/>
        <c:numFmt formatCode="0.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7984384"/>
        <c:crosses val="autoZero"/>
        <c:crossBetween val="between"/>
        <c:majorUnit val="500"/>
      </c:valAx>
      <c:valAx>
        <c:axId val="226918400"/>
        <c:scaling>
          <c:orientation val="minMax"/>
        </c:scaling>
        <c:delete val="0"/>
        <c:axPos val="r"/>
        <c:numFmt formatCode="0.0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0024704"/>
        <c:crosses val="max"/>
        <c:crossBetween val="between"/>
        <c:majorUnit val="1"/>
        <c:minorUnit val="0.5"/>
      </c:valAx>
      <c:catAx>
        <c:axId val="230024704"/>
        <c:scaling>
          <c:orientation val="minMax"/>
        </c:scaling>
        <c:delete val="1"/>
        <c:axPos val="b"/>
        <c:numFmt formatCode="General" sourceLinked="1"/>
        <c:majorTickMark val="none"/>
        <c:minorTickMark val="none"/>
        <c:tickLblPos val="nextTo"/>
        <c:crossAx val="226918400"/>
        <c:crosses val="autoZero"/>
        <c:auto val="1"/>
        <c:lblAlgn val="ctr"/>
        <c:lblOffset val="100"/>
        <c:noMultiLvlLbl val="0"/>
      </c:cat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6653051594459941E-2"/>
          <c:y val="5.1825677267373381E-2"/>
          <c:w val="0.95334694840554002"/>
          <c:h val="0.62759299963829607"/>
        </c:manualLayout>
      </c:layout>
      <c:barChart>
        <c:barDir val="col"/>
        <c:grouping val="clustered"/>
        <c:varyColors val="0"/>
        <c:ser>
          <c:idx val="0"/>
          <c:order val="0"/>
          <c:tx>
            <c:strRef>
              <c:f>chart_6region_NEW!$C$28</c:f>
              <c:strCache>
                <c:ptCount val="1"/>
                <c:pt idx="0">
                  <c:v>Quarter III of 2020</c:v>
                </c:pt>
              </c:strCache>
            </c:strRef>
          </c:tx>
          <c:spPr>
            <a:pattFill prst="divot">
              <a:fgClr>
                <a:schemeClr val="accent1">
                  <a:lumMod val="60000"/>
                  <a:lumOff val="40000"/>
                </a:schemeClr>
              </a:fgClr>
              <a:bgClr>
                <a:schemeClr val="bg1"/>
              </a:bgClr>
            </a:pattFill>
            <a:ln w="6350" cmpd="dbl">
              <a:solidFill>
                <a:srgbClr val="002060"/>
              </a:solidFill>
            </a:ln>
            <a:effectLst/>
          </c:spPr>
          <c:invertIfNegative val="0"/>
          <c:dPt>
            <c:idx val="5"/>
            <c:invertIfNegative val="0"/>
            <c:bubble3D val="0"/>
            <c:spPr>
              <a:pattFill prst="divot">
                <a:fgClr>
                  <a:schemeClr val="accent1">
                    <a:lumMod val="60000"/>
                    <a:lumOff val="40000"/>
                  </a:schemeClr>
                </a:fgClr>
                <a:bgClr>
                  <a:schemeClr val="bg1"/>
                </a:bgClr>
              </a:pattFill>
              <a:ln w="6350" cmpd="dbl">
                <a:solidFill>
                  <a:schemeClr val="accent1"/>
                </a:solidFill>
              </a:ln>
              <a:effectLst/>
            </c:spPr>
            <c:extLst>
              <c:ext xmlns:c16="http://schemas.microsoft.com/office/drawing/2014/chart" uri="{C3380CC4-5D6E-409C-BE32-E72D297353CC}">
                <c16:uniqueId val="{00000001-59B5-4318-BDDD-861D7B09C573}"/>
              </c:ext>
            </c:extLst>
          </c:dPt>
          <c:dLbls>
            <c:dLbl>
              <c:idx val="0"/>
              <c:layout>
                <c:manualLayout>
                  <c:x val="-5.5248618784530384E-3"/>
                  <c:y val="1.44057623049219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9B5-4318-BDDD-861D7B09C573}"/>
                </c:ext>
              </c:extLst>
            </c:dLbl>
            <c:dLbl>
              <c:idx val="1"/>
              <c:layout>
                <c:manualLayout>
                  <c:x val="-7.3664825046040518E-3"/>
                  <c:y val="1.44057623049220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9B5-4318-BDDD-861D7B09C573}"/>
                </c:ext>
              </c:extLst>
            </c:dLbl>
            <c:dLbl>
              <c:idx val="3"/>
              <c:layout>
                <c:manualLayout>
                  <c:x val="-3.6832412523020259E-3"/>
                  <c:y val="9.603841536614645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9B5-4318-BDDD-861D7B09C573}"/>
                </c:ext>
              </c:extLst>
            </c:dLbl>
            <c:dLbl>
              <c:idx val="4"/>
              <c:layout>
                <c:manualLayout>
                  <c:x val="-1.841620626151013E-3"/>
                  <c:y val="1.44057623049219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9B5-4318-BDDD-861D7B09C573}"/>
                </c:ext>
              </c:extLst>
            </c:dLbl>
            <c:dLbl>
              <c:idx val="5"/>
              <c:layout>
                <c:manualLayout>
                  <c:x val="-3.6832412523021608E-3"/>
                  <c:y val="2.40096038415366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9B5-4318-BDDD-861D7B09C573}"/>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chart_6region_NEW!$B$29:$B$34</c:f>
              <c:strCache>
                <c:ptCount val="6"/>
                <c:pt idx="0">
                  <c:v>Northern Midlands and Mountains</c:v>
                </c:pt>
                <c:pt idx="1">
                  <c:v>Red River Delta</c:v>
                </c:pt>
                <c:pt idx="2">
                  <c:v>North and South Central Coast</c:v>
                </c:pt>
                <c:pt idx="3">
                  <c:v>Central Highland</c:v>
                </c:pt>
                <c:pt idx="4">
                  <c:v>Southeast</c:v>
                </c:pt>
                <c:pt idx="5">
                  <c:v>Mekong River Delta</c:v>
                </c:pt>
              </c:strCache>
            </c:strRef>
          </c:cat>
          <c:val>
            <c:numRef>
              <c:f>chart_6region_NEW!$C$29:$C$34</c:f>
              <c:numCache>
                <c:formatCode>0.00</c:formatCode>
                <c:ptCount val="6"/>
                <c:pt idx="0">
                  <c:v>4.57</c:v>
                </c:pt>
                <c:pt idx="1">
                  <c:v>6.52</c:v>
                </c:pt>
                <c:pt idx="2">
                  <c:v>5.0599999999999996</c:v>
                </c:pt>
                <c:pt idx="3">
                  <c:v>4.2699999999999996</c:v>
                </c:pt>
                <c:pt idx="4">
                  <c:v>7.53</c:v>
                </c:pt>
                <c:pt idx="5">
                  <c:v>5.14</c:v>
                </c:pt>
              </c:numCache>
            </c:numRef>
          </c:val>
          <c:extLst>
            <c:ext xmlns:c16="http://schemas.microsoft.com/office/drawing/2014/chart" uri="{C3380CC4-5D6E-409C-BE32-E72D297353CC}">
              <c16:uniqueId val="{00000006-59B5-4318-BDDD-861D7B09C573}"/>
            </c:ext>
          </c:extLst>
        </c:ser>
        <c:ser>
          <c:idx val="1"/>
          <c:order val="1"/>
          <c:tx>
            <c:strRef>
              <c:f>chart_6region_NEW!$D$28</c:f>
              <c:strCache>
                <c:ptCount val="1"/>
                <c:pt idx="0">
                  <c:v>Quarter II of 2021</c:v>
                </c:pt>
              </c:strCache>
            </c:strRef>
          </c:tx>
          <c:spPr>
            <a:pattFill prst="weave">
              <a:fgClr>
                <a:schemeClr val="accent1">
                  <a:lumMod val="60000"/>
                  <a:lumOff val="40000"/>
                </a:schemeClr>
              </a:fgClr>
              <a:bgClr>
                <a:schemeClr val="bg1"/>
              </a:bgClr>
            </a:pattFill>
            <a:ln cmpd="dbl">
              <a:solidFill>
                <a:schemeClr val="accen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chart_6region_NEW!$B$29:$B$34</c:f>
              <c:strCache>
                <c:ptCount val="6"/>
                <c:pt idx="0">
                  <c:v>Northern Midlands and Mountains</c:v>
                </c:pt>
                <c:pt idx="1">
                  <c:v>Red River Delta</c:v>
                </c:pt>
                <c:pt idx="2">
                  <c:v>North and South Central Coast</c:v>
                </c:pt>
                <c:pt idx="3">
                  <c:v>Central Highland</c:v>
                </c:pt>
                <c:pt idx="4">
                  <c:v>Southeast</c:v>
                </c:pt>
                <c:pt idx="5">
                  <c:v>Mekong River Delta</c:v>
                </c:pt>
              </c:strCache>
            </c:strRef>
          </c:cat>
          <c:val>
            <c:numRef>
              <c:f>chart_6region_NEW!$D$29:$D$34</c:f>
              <c:numCache>
                <c:formatCode>0.00</c:formatCode>
                <c:ptCount val="6"/>
                <c:pt idx="0">
                  <c:v>4.4800000000000004</c:v>
                </c:pt>
                <c:pt idx="1">
                  <c:v>6.89</c:v>
                </c:pt>
                <c:pt idx="2">
                  <c:v>5.18</c:v>
                </c:pt>
                <c:pt idx="3">
                  <c:v>4.3499999999999996</c:v>
                </c:pt>
                <c:pt idx="4">
                  <c:v>8.0500000000000007</c:v>
                </c:pt>
                <c:pt idx="5">
                  <c:v>5.39</c:v>
                </c:pt>
              </c:numCache>
            </c:numRef>
          </c:val>
          <c:extLst>
            <c:ext xmlns:c16="http://schemas.microsoft.com/office/drawing/2014/chart" uri="{C3380CC4-5D6E-409C-BE32-E72D297353CC}">
              <c16:uniqueId val="{00000007-59B5-4318-BDDD-861D7B09C573}"/>
            </c:ext>
          </c:extLst>
        </c:ser>
        <c:ser>
          <c:idx val="2"/>
          <c:order val="2"/>
          <c:tx>
            <c:strRef>
              <c:f>chart_6region_NEW!$E$28</c:f>
              <c:strCache>
                <c:ptCount val="1"/>
                <c:pt idx="0">
                  <c:v>Quarter III of 2021</c:v>
                </c:pt>
              </c:strCache>
            </c:strRef>
          </c:tx>
          <c:spPr>
            <a:pattFill prst="pct60">
              <a:fgClr>
                <a:schemeClr val="accent1">
                  <a:lumMod val="60000"/>
                  <a:lumOff val="40000"/>
                </a:schemeClr>
              </a:fgClr>
              <a:bgClr>
                <a:schemeClr val="bg1"/>
              </a:bgClr>
            </a:pattFill>
            <a:ln cmpd="dbl">
              <a:solidFill>
                <a:schemeClr val="accent1"/>
              </a:solidFill>
            </a:ln>
            <a:effectLst/>
          </c:spPr>
          <c:invertIfNegative val="1"/>
          <c:dLbls>
            <c:dLbl>
              <c:idx val="0"/>
              <c:layout>
                <c:manualLayout>
                  <c:x val="5.4249555644879845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9B5-4318-BDDD-861D7B09C573}"/>
                </c:ext>
              </c:extLst>
            </c:dLbl>
            <c:dLbl>
              <c:idx val="1"/>
              <c:layout>
                <c:manualLayout>
                  <c:x val="9.0415926074799736E-3"/>
                  <c:y val="2.501107987387283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9B5-4318-BDDD-861D7B09C573}"/>
                </c:ext>
              </c:extLst>
            </c:dLbl>
            <c:dLbl>
              <c:idx val="2"/>
              <c:layout>
                <c:manualLayout>
                  <c:x val="3.616637042992055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9B5-4318-BDDD-861D7B09C573}"/>
                </c:ext>
              </c:extLst>
            </c:dLbl>
            <c:dLbl>
              <c:idx val="3"/>
              <c:layout>
                <c:manualLayout>
                  <c:x val="5.4249555644879845E-3"/>
                  <c:y val="-5.0022159747745674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9B5-4318-BDDD-861D7B09C573}"/>
                </c:ext>
              </c:extLst>
            </c:dLbl>
            <c:dLbl>
              <c:idx val="4"/>
              <c:layout>
                <c:manualLayout>
                  <c:x val="1.763865914034110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9B5-4318-BDDD-861D7B09C573}"/>
                </c:ext>
              </c:extLst>
            </c:dLbl>
            <c:dLbl>
              <c:idx val="5"/>
              <c:layout>
                <c:manualLayout>
                  <c:x val="1.0849911128975969E-2"/>
                  <c:y val="5.457025920873124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9B5-4318-BDDD-861D7B09C573}"/>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chart_6region_NEW!$B$29:$B$34</c:f>
              <c:strCache>
                <c:ptCount val="6"/>
                <c:pt idx="0">
                  <c:v>Northern Midlands and Mountains</c:v>
                </c:pt>
                <c:pt idx="1">
                  <c:v>Red River Delta</c:v>
                </c:pt>
                <c:pt idx="2">
                  <c:v>North and South Central Coast</c:v>
                </c:pt>
                <c:pt idx="3">
                  <c:v>Central Highland</c:v>
                </c:pt>
                <c:pt idx="4">
                  <c:v>Southeast</c:v>
                </c:pt>
                <c:pt idx="5">
                  <c:v>Mekong River Delta</c:v>
                </c:pt>
              </c:strCache>
            </c:strRef>
          </c:cat>
          <c:val>
            <c:numRef>
              <c:f>chart_6region_NEW!$E$29:$E$34</c:f>
              <c:numCache>
                <c:formatCode>0.00</c:formatCode>
                <c:ptCount val="6"/>
                <c:pt idx="0">
                  <c:v>4.3889300000000002</c:v>
                </c:pt>
                <c:pt idx="1">
                  <c:v>6.3744100000000001</c:v>
                </c:pt>
                <c:pt idx="2">
                  <c:v>4.8160299999999996</c:v>
                </c:pt>
                <c:pt idx="3">
                  <c:v>4.0668600000000001</c:v>
                </c:pt>
                <c:pt idx="4">
                  <c:v>5.6535299999999999</c:v>
                </c:pt>
                <c:pt idx="5">
                  <c:v>4.5213700000000001</c:v>
                </c:pt>
              </c:numCache>
            </c:numRef>
          </c:val>
          <c:extLst>
            <c:ext xmlns:c16="http://schemas.microsoft.com/office/drawing/2014/chart" uri="{C3380CC4-5D6E-409C-BE32-E72D297353CC}">
              <c16:uniqueId val="{0000000E-59B5-4318-BDDD-861D7B09C573}"/>
            </c:ext>
          </c:extLst>
        </c:ser>
        <c:dLbls>
          <c:showLegendKey val="0"/>
          <c:showVal val="0"/>
          <c:showCatName val="0"/>
          <c:showSerName val="0"/>
          <c:showPercent val="0"/>
          <c:showBubbleSize val="0"/>
        </c:dLbls>
        <c:gapWidth val="150"/>
        <c:axId val="227984896"/>
        <c:axId val="226921280"/>
      </c:barChart>
      <c:catAx>
        <c:axId val="2279848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26921280"/>
        <c:crosses val="autoZero"/>
        <c:auto val="1"/>
        <c:lblAlgn val="ctr"/>
        <c:lblOffset val="100"/>
        <c:noMultiLvlLbl val="0"/>
      </c:catAx>
      <c:valAx>
        <c:axId val="226921280"/>
        <c:scaling>
          <c:orientation val="minMax"/>
          <c:max val="10"/>
        </c:scaling>
        <c:delete val="0"/>
        <c:axPos val="l"/>
        <c:majorGridlines>
          <c:spPr>
            <a:ln w="9525" cap="flat" cmpd="sng" algn="ctr">
              <a:no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27984896"/>
        <c:crosses val="autoZero"/>
        <c:crossBetween val="between"/>
        <c:majorUnit val="2"/>
      </c:valAx>
      <c:spPr>
        <a:noFill/>
        <a:ln>
          <a:solidFill>
            <a:schemeClr val="bg2"/>
          </a:solidFill>
        </a:ln>
        <a:effectLst/>
      </c:spPr>
    </c:plotArea>
    <c:legend>
      <c:legendPos val="b"/>
      <c:layout>
        <c:manualLayout>
          <c:xMode val="edge"/>
          <c:yMode val="edge"/>
          <c:x val="0.16241869222868879"/>
          <c:y val="0.8400231947750717"/>
          <c:w val="0.66646696336870936"/>
          <c:h val="8.2457425379967045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0.44309</cdr:x>
      <cdr:y>0.01998</cdr:y>
    </cdr:from>
    <cdr:to>
      <cdr:x>0.9474</cdr:x>
      <cdr:y>0.80485</cdr:y>
    </cdr:to>
    <cdr:grpSp>
      <cdr:nvGrpSpPr>
        <cdr:cNvPr id="20" name="Group 19"/>
        <cdr:cNvGrpSpPr/>
      </cdr:nvGrpSpPr>
      <cdr:grpSpPr>
        <a:xfrm xmlns:a="http://schemas.openxmlformats.org/drawingml/2006/main">
          <a:off x="2523839" y="50785"/>
          <a:ext cx="2872507" cy="1995071"/>
          <a:chOff x="2523839" y="50785"/>
          <a:chExt cx="2872507" cy="1995071"/>
        </a:xfrm>
      </cdr:grpSpPr>
      <cdr:sp macro="" textlink="">
        <cdr:nvSpPr>
          <cdr:cNvPr id="3" name="Rectangle 2"/>
          <cdr:cNvSpPr/>
        </cdr:nvSpPr>
        <cdr:spPr>
          <a:xfrm xmlns:a="http://schemas.openxmlformats.org/drawingml/2006/main">
            <a:off x="2523839" y="1470879"/>
            <a:ext cx="817433" cy="574977"/>
          </a:xfrm>
          <a:prstGeom xmlns:a="http://schemas.openxmlformats.org/drawingml/2006/main" prst="rect">
            <a:avLst/>
          </a:prstGeom>
        </cdr:spPr>
        <cdr:style>
          <a:lnRef xmlns:a="http://schemas.openxmlformats.org/drawingml/2006/main" idx="2">
            <a:schemeClr val="accent1"/>
          </a:lnRef>
          <a:fillRef xmlns:a="http://schemas.openxmlformats.org/drawingml/2006/main" idx="1">
            <a:schemeClr val="l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900"/>
              <a:t>The</a:t>
            </a:r>
            <a:r>
              <a:rPr lang="en-US" sz="900" baseline="0"/>
              <a:t> first wave of Covid-19</a:t>
            </a:r>
            <a:endParaRPr lang="en-US" sz="900"/>
          </a:p>
        </cdr:txBody>
      </cdr:sp>
      <cdr:cxnSp macro="">
        <cdr:nvCxnSpPr>
          <cdr:cNvPr id="4" name="Straight Arrow Connector 3"/>
          <cdr:cNvCxnSpPr/>
        </cdr:nvCxnSpPr>
        <cdr:spPr>
          <a:xfrm xmlns:a="http://schemas.openxmlformats.org/drawingml/2006/main" flipV="1">
            <a:off x="2918701" y="1283868"/>
            <a:ext cx="145463" cy="159302"/>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5" name="Rectangle 4"/>
          <cdr:cNvSpPr/>
        </cdr:nvSpPr>
        <cdr:spPr>
          <a:xfrm xmlns:a="http://schemas.openxmlformats.org/drawingml/2006/main">
            <a:off x="2768604" y="57726"/>
            <a:ext cx="1016023" cy="484908"/>
          </a:xfrm>
          <a:prstGeom xmlns:a="http://schemas.openxmlformats.org/drawingml/2006/main" prst="rect">
            <a:avLst/>
          </a:prstGeom>
        </cdr:spPr>
        <cdr:style>
          <a:lnRef xmlns:a="http://schemas.openxmlformats.org/drawingml/2006/main" idx="2">
            <a:schemeClr val="accent1"/>
          </a:lnRef>
          <a:fillRef xmlns:a="http://schemas.openxmlformats.org/drawingml/2006/main" idx="1">
            <a:schemeClr val="l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900"/>
              <a:t>The</a:t>
            </a:r>
            <a:r>
              <a:rPr lang="en-US" sz="900" baseline="0"/>
              <a:t> second wave of Covid-19</a:t>
            </a:r>
            <a:endParaRPr lang="en-US" sz="900"/>
          </a:p>
        </cdr:txBody>
      </cdr:sp>
      <cdr:sp macro="" textlink="">
        <cdr:nvSpPr>
          <cdr:cNvPr id="6" name="Rectangle 5"/>
          <cdr:cNvSpPr/>
        </cdr:nvSpPr>
        <cdr:spPr>
          <a:xfrm xmlns:a="http://schemas.openxmlformats.org/drawingml/2006/main">
            <a:off x="4170221" y="50785"/>
            <a:ext cx="951361" cy="447986"/>
          </a:xfrm>
          <a:prstGeom xmlns:a="http://schemas.openxmlformats.org/drawingml/2006/main" prst="rect">
            <a:avLst/>
          </a:prstGeom>
        </cdr:spPr>
        <cdr:style>
          <a:lnRef xmlns:a="http://schemas.openxmlformats.org/drawingml/2006/main" idx="2">
            <a:schemeClr val="accent1"/>
          </a:lnRef>
          <a:fillRef xmlns:a="http://schemas.openxmlformats.org/drawingml/2006/main" idx="1">
            <a:schemeClr val="l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900"/>
              <a:t>The</a:t>
            </a:r>
            <a:r>
              <a:rPr lang="en-US" sz="900" baseline="0"/>
              <a:t> third wave of Covid-19</a:t>
            </a:r>
            <a:endParaRPr lang="en-US" sz="900"/>
          </a:p>
        </cdr:txBody>
      </cdr:sp>
      <cdr:sp macro="" textlink="">
        <cdr:nvSpPr>
          <cdr:cNvPr id="7" name="Rectangle 6"/>
          <cdr:cNvSpPr/>
        </cdr:nvSpPr>
        <cdr:spPr>
          <a:xfrm xmlns:a="http://schemas.openxmlformats.org/drawingml/2006/main">
            <a:off x="4274128" y="1484754"/>
            <a:ext cx="882053" cy="533387"/>
          </a:xfrm>
          <a:prstGeom xmlns:a="http://schemas.openxmlformats.org/drawingml/2006/main" prst="rect">
            <a:avLst/>
          </a:prstGeom>
        </cdr:spPr>
        <cdr:style>
          <a:lnRef xmlns:a="http://schemas.openxmlformats.org/drawingml/2006/main" idx="2">
            <a:schemeClr val="accent1"/>
          </a:lnRef>
          <a:fillRef xmlns:a="http://schemas.openxmlformats.org/drawingml/2006/main" idx="1">
            <a:schemeClr val="l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900"/>
              <a:t>The</a:t>
            </a:r>
            <a:r>
              <a:rPr lang="en-US" sz="900" baseline="0"/>
              <a:t> extended fourth wave of Covid-19</a:t>
            </a:r>
            <a:endParaRPr lang="en-US" sz="900"/>
          </a:p>
        </cdr:txBody>
      </cdr:sp>
      <cdr:cxnSp macro="">
        <cdr:nvCxnSpPr>
          <cdr:cNvPr id="8" name="Straight Arrow Connector 7"/>
          <cdr:cNvCxnSpPr/>
        </cdr:nvCxnSpPr>
        <cdr:spPr>
          <a:xfrm xmlns:a="http://schemas.openxmlformats.org/drawingml/2006/main" flipV="1">
            <a:off x="4447310" y="519545"/>
            <a:ext cx="166254" cy="242455"/>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cxnSp macro="">
        <cdr:nvCxnSpPr>
          <cdr:cNvPr id="9" name="Straight Arrow Connector 8"/>
          <cdr:cNvCxnSpPr/>
        </cdr:nvCxnSpPr>
        <cdr:spPr>
          <a:xfrm xmlns:a="http://schemas.openxmlformats.org/drawingml/2006/main" flipV="1">
            <a:off x="5156181" y="1517073"/>
            <a:ext cx="240165" cy="192812"/>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cxnSp macro="">
        <cdr:nvCxnSpPr>
          <cdr:cNvPr id="10" name="Straight Arrow Connector 9"/>
          <cdr:cNvCxnSpPr/>
        </cdr:nvCxnSpPr>
        <cdr:spPr>
          <a:xfrm xmlns:a="http://schemas.openxmlformats.org/drawingml/2006/main" flipH="1" flipV="1">
            <a:off x="3174990" y="570332"/>
            <a:ext cx="309429" cy="143176"/>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16" name="Rectangle 15"/>
          <cdr:cNvSpPr/>
        </cdr:nvSpPr>
        <cdr:spPr>
          <a:xfrm xmlns:a="http://schemas.openxmlformats.org/drawingml/2006/main">
            <a:off x="4082475" y="974422"/>
            <a:ext cx="951361" cy="447986"/>
          </a:xfrm>
          <a:prstGeom xmlns:a="http://schemas.openxmlformats.org/drawingml/2006/main" prst="rect">
            <a:avLst/>
          </a:prstGeom>
        </cdr:spPr>
        <cdr:style>
          <a:lnRef xmlns:a="http://schemas.openxmlformats.org/drawingml/2006/main" idx="2">
            <a:schemeClr val="accent1"/>
          </a:lnRef>
          <a:fillRef xmlns:a="http://schemas.openxmlformats.org/drawingml/2006/main" idx="1">
            <a:schemeClr val="l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900"/>
              <a:t>The</a:t>
            </a:r>
            <a:r>
              <a:rPr lang="en-US" sz="900" baseline="0"/>
              <a:t> fourth wave of Covid-19</a:t>
            </a:r>
            <a:endParaRPr lang="en-US" sz="900"/>
          </a:p>
        </cdr:txBody>
      </cdr:sp>
      <cdr:cxnSp macro="">
        <cdr:nvCxnSpPr>
          <cdr:cNvPr id="17" name="Straight Arrow Connector 16"/>
          <cdr:cNvCxnSpPr/>
        </cdr:nvCxnSpPr>
        <cdr:spPr>
          <a:xfrm xmlns:a="http://schemas.openxmlformats.org/drawingml/2006/main" flipV="1">
            <a:off x="4687435" y="780484"/>
            <a:ext cx="263262" cy="183564"/>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grp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BEAB20-216B-455A-9228-45BEB9C59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4645</Words>
  <Characters>26481</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ntnlan@gso.gov.vn</dc:creator>
  <cp:lastModifiedBy>Nguyen Thi Thanh Huyen</cp:lastModifiedBy>
  <cp:revision>2</cp:revision>
  <cp:lastPrinted>2020-07-09T07:55:00Z</cp:lastPrinted>
  <dcterms:created xsi:type="dcterms:W3CDTF">2021-10-12T09:00:00Z</dcterms:created>
  <dcterms:modified xsi:type="dcterms:W3CDTF">2021-10-12T09:00:00Z</dcterms:modified>
</cp:coreProperties>
</file>