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979" w:rsidRPr="00D76979" w:rsidRDefault="00D76979" w:rsidP="008A48A1">
      <w:pPr>
        <w:spacing w:before="120" w:after="120" w:line="264" w:lineRule="auto"/>
        <w:jc w:val="center"/>
        <w:rPr>
          <w:b/>
          <w:szCs w:val="32"/>
        </w:rPr>
      </w:pPr>
      <w:bookmarkStart w:id="0" w:name="_GoBack"/>
      <w:bookmarkEnd w:id="0"/>
      <w:r w:rsidRPr="00D76979">
        <w:rPr>
          <w:b/>
          <w:szCs w:val="32"/>
        </w:rPr>
        <w:t>Giải thích nội dung Biểu 04/BTC – Một số chỉ tiêu về thị trường bảo hiểm</w:t>
      </w:r>
    </w:p>
    <w:p w:rsidR="00D76979" w:rsidRPr="00D76979" w:rsidRDefault="00D76979" w:rsidP="008A48A1">
      <w:pPr>
        <w:spacing w:before="120" w:after="120" w:line="264" w:lineRule="auto"/>
        <w:jc w:val="center"/>
        <w:rPr>
          <w:b/>
          <w:i/>
          <w:szCs w:val="32"/>
        </w:rPr>
      </w:pPr>
      <w:r w:rsidRPr="00D76979">
        <w:rPr>
          <w:b/>
          <w:i/>
          <w:szCs w:val="32"/>
        </w:rPr>
        <w:t>(Áp dụng đối với Bộ Tài chính)</w:t>
      </w:r>
    </w:p>
    <w:p w:rsidR="008A48A1" w:rsidRDefault="008A48A1" w:rsidP="00C55B34">
      <w:pPr>
        <w:spacing w:before="100" w:after="100" w:line="240" w:lineRule="auto"/>
        <w:ind w:firstLine="567"/>
        <w:jc w:val="both"/>
        <w:rPr>
          <w:b/>
          <w:color w:val="auto"/>
          <w:sz w:val="26"/>
          <w:szCs w:val="26"/>
          <w:lang w:val="sv-SE"/>
        </w:rPr>
      </w:pPr>
    </w:p>
    <w:p w:rsidR="00C55B34" w:rsidRPr="004F2E10" w:rsidRDefault="005F6840" w:rsidP="00C55B34">
      <w:pPr>
        <w:spacing w:before="100" w:after="100" w:line="240" w:lineRule="auto"/>
        <w:ind w:firstLine="567"/>
        <w:jc w:val="both"/>
        <w:rPr>
          <w:b/>
          <w:color w:val="auto"/>
          <w:sz w:val="26"/>
          <w:szCs w:val="26"/>
          <w:lang w:val="sv-SE"/>
        </w:rPr>
      </w:pPr>
      <w:r>
        <w:rPr>
          <w:b/>
          <w:color w:val="auto"/>
          <w:sz w:val="26"/>
          <w:szCs w:val="26"/>
          <w:lang w:val="sv-SE"/>
        </w:rPr>
        <w:t>1. Doanh</w:t>
      </w:r>
      <w:r w:rsidR="00C55B34" w:rsidRPr="004F2E10">
        <w:rPr>
          <w:b/>
          <w:color w:val="auto"/>
          <w:sz w:val="26"/>
          <w:szCs w:val="26"/>
          <w:lang w:val="sv-SE"/>
        </w:rPr>
        <w:t xml:space="preserve"> thu phí bảo hiểm</w:t>
      </w:r>
    </w:p>
    <w:p w:rsidR="00C55B34" w:rsidRPr="004F2E10" w:rsidRDefault="00C55B34" w:rsidP="00C55B34">
      <w:pPr>
        <w:spacing w:before="100" w:after="100" w:line="240" w:lineRule="auto"/>
        <w:ind w:firstLine="567"/>
        <w:jc w:val="both"/>
        <w:rPr>
          <w:b/>
          <w:color w:val="auto"/>
          <w:sz w:val="26"/>
          <w:szCs w:val="26"/>
          <w:lang w:val="pt-BR"/>
        </w:rPr>
      </w:pPr>
      <w:r w:rsidRPr="004F2E10">
        <w:rPr>
          <w:b/>
          <w:color w:val="auto"/>
          <w:sz w:val="26"/>
          <w:szCs w:val="26"/>
          <w:lang w:val="pt-BR"/>
        </w:rPr>
        <w:t xml:space="preserve"> Khái niệm, phương pháp tính</w:t>
      </w:r>
    </w:p>
    <w:p w:rsidR="00C55B34" w:rsidRPr="004F2E10" w:rsidRDefault="00C55B34" w:rsidP="00C55B34">
      <w:pPr>
        <w:tabs>
          <w:tab w:val="left" w:pos="6228"/>
        </w:tabs>
        <w:spacing w:before="120" w:after="120" w:line="240" w:lineRule="auto"/>
        <w:ind w:firstLine="567"/>
        <w:jc w:val="both"/>
        <w:rPr>
          <w:color w:val="auto"/>
          <w:sz w:val="26"/>
          <w:szCs w:val="26"/>
        </w:rPr>
      </w:pPr>
      <w:r w:rsidRPr="004F2E10">
        <w:rPr>
          <w:color w:val="auto"/>
          <w:sz w:val="26"/>
          <w:szCs w:val="26"/>
          <w:lang w:val="nl-NL"/>
        </w:rPr>
        <w:t>Công thức tính:</w:t>
      </w:r>
      <w:r w:rsidRPr="004F2E10">
        <w:rPr>
          <w:color w:val="auto"/>
          <w:sz w:val="26"/>
          <w:szCs w:val="26"/>
          <w:lang w:val="nl-NL"/>
        </w:rPr>
        <w:tab/>
      </w:r>
    </w:p>
    <w:tbl>
      <w:tblPr>
        <w:tblW w:w="0" w:type="auto"/>
        <w:jc w:val="center"/>
        <w:tblCellMar>
          <w:left w:w="28" w:type="dxa"/>
          <w:right w:w="28" w:type="dxa"/>
        </w:tblCellMar>
        <w:tblLook w:val="04A0" w:firstRow="1" w:lastRow="0" w:firstColumn="1" w:lastColumn="0" w:noHBand="0" w:noVBand="1"/>
      </w:tblPr>
      <w:tblGrid>
        <w:gridCol w:w="1688"/>
        <w:gridCol w:w="467"/>
        <w:gridCol w:w="2551"/>
        <w:gridCol w:w="425"/>
        <w:gridCol w:w="2127"/>
      </w:tblGrid>
      <w:tr w:rsidR="00C55B34" w:rsidRPr="004F2E10" w:rsidTr="00B66C52">
        <w:trPr>
          <w:jc w:val="center"/>
        </w:trPr>
        <w:tc>
          <w:tcPr>
            <w:tcW w:w="1688" w:type="dxa"/>
            <w:vAlign w:val="center"/>
          </w:tcPr>
          <w:p w:rsidR="00C55B34" w:rsidRPr="004F2E10" w:rsidRDefault="00C55B34" w:rsidP="00B66C52">
            <w:pPr>
              <w:spacing w:before="120" w:after="120" w:line="240" w:lineRule="auto"/>
              <w:jc w:val="center"/>
              <w:rPr>
                <w:rFonts w:eastAsia="Calibri"/>
                <w:color w:val="auto"/>
                <w:sz w:val="26"/>
                <w:szCs w:val="26"/>
              </w:rPr>
            </w:pPr>
            <w:r w:rsidRPr="004F2E10">
              <w:rPr>
                <w:rFonts w:eastAsia="Calibri"/>
                <w:color w:val="auto"/>
                <w:sz w:val="26"/>
                <w:szCs w:val="26"/>
                <w:lang w:val="nl-NL"/>
              </w:rPr>
              <w:t>Doanh thu phí bảo hiểm</w:t>
            </w:r>
          </w:p>
        </w:tc>
        <w:tc>
          <w:tcPr>
            <w:tcW w:w="467" w:type="dxa"/>
            <w:vAlign w:val="center"/>
          </w:tcPr>
          <w:p w:rsidR="00C55B34" w:rsidRPr="004F2E10" w:rsidRDefault="00C55B34" w:rsidP="00B66C52">
            <w:pPr>
              <w:spacing w:before="120" w:after="120" w:line="240" w:lineRule="auto"/>
              <w:jc w:val="center"/>
              <w:rPr>
                <w:rFonts w:eastAsia="Calibri"/>
                <w:color w:val="auto"/>
                <w:sz w:val="26"/>
                <w:szCs w:val="26"/>
              </w:rPr>
            </w:pPr>
            <w:r w:rsidRPr="004F2E10">
              <w:rPr>
                <w:rFonts w:eastAsia="Calibri"/>
                <w:color w:val="auto"/>
                <w:sz w:val="26"/>
                <w:szCs w:val="26"/>
                <w:lang w:val="nl-NL"/>
              </w:rPr>
              <w:t>=</w:t>
            </w:r>
          </w:p>
        </w:tc>
        <w:tc>
          <w:tcPr>
            <w:tcW w:w="2551" w:type="dxa"/>
            <w:vAlign w:val="center"/>
          </w:tcPr>
          <w:p w:rsidR="00C55B34" w:rsidRPr="004F2E10" w:rsidRDefault="00C55B34" w:rsidP="00B66C52">
            <w:pPr>
              <w:spacing w:before="120" w:after="120" w:line="240" w:lineRule="auto"/>
              <w:jc w:val="center"/>
              <w:rPr>
                <w:rFonts w:eastAsia="Calibri"/>
                <w:color w:val="auto"/>
                <w:sz w:val="26"/>
                <w:szCs w:val="26"/>
              </w:rPr>
            </w:pPr>
            <w:r w:rsidRPr="004F2E10">
              <w:rPr>
                <w:rFonts w:eastAsia="Calibri"/>
                <w:color w:val="auto"/>
                <w:sz w:val="26"/>
                <w:szCs w:val="26"/>
                <w:lang w:val="nl-NL"/>
              </w:rPr>
              <w:t xml:space="preserve">Doanh thu phí </w:t>
            </w:r>
            <w:r w:rsidRPr="004F2E10">
              <w:rPr>
                <w:rFonts w:eastAsia="Calibri"/>
                <w:color w:val="auto"/>
                <w:sz w:val="26"/>
                <w:szCs w:val="26"/>
              </w:rPr>
              <w:br/>
            </w:r>
            <w:r w:rsidRPr="004F2E10">
              <w:rPr>
                <w:rFonts w:eastAsia="Calibri"/>
                <w:color w:val="auto"/>
                <w:sz w:val="26"/>
                <w:szCs w:val="26"/>
                <w:lang w:val="nl-NL"/>
              </w:rPr>
              <w:t>bảo hiểm phi nhân thọ</w:t>
            </w:r>
          </w:p>
        </w:tc>
        <w:tc>
          <w:tcPr>
            <w:tcW w:w="425" w:type="dxa"/>
            <w:vAlign w:val="center"/>
          </w:tcPr>
          <w:p w:rsidR="00C55B34" w:rsidRPr="004F2E10" w:rsidRDefault="00C55B34" w:rsidP="00B66C52">
            <w:pPr>
              <w:spacing w:before="120" w:after="120" w:line="240" w:lineRule="auto"/>
              <w:jc w:val="center"/>
              <w:rPr>
                <w:rFonts w:eastAsia="Calibri"/>
                <w:color w:val="auto"/>
                <w:sz w:val="26"/>
                <w:szCs w:val="26"/>
              </w:rPr>
            </w:pPr>
            <w:r w:rsidRPr="004F2E10">
              <w:rPr>
                <w:rFonts w:eastAsia="Calibri"/>
                <w:color w:val="auto"/>
                <w:sz w:val="26"/>
                <w:szCs w:val="26"/>
                <w:lang w:val="nl-NL"/>
              </w:rPr>
              <w:t>+</w:t>
            </w:r>
          </w:p>
        </w:tc>
        <w:tc>
          <w:tcPr>
            <w:tcW w:w="2127" w:type="dxa"/>
            <w:vAlign w:val="center"/>
          </w:tcPr>
          <w:p w:rsidR="00C55B34" w:rsidRPr="004F2E10" w:rsidRDefault="00C55B34" w:rsidP="00B66C52">
            <w:pPr>
              <w:spacing w:before="120" w:after="120" w:line="240" w:lineRule="auto"/>
              <w:jc w:val="center"/>
              <w:rPr>
                <w:rFonts w:eastAsia="Calibri"/>
                <w:color w:val="auto"/>
                <w:sz w:val="26"/>
                <w:szCs w:val="26"/>
              </w:rPr>
            </w:pPr>
            <w:r w:rsidRPr="004F2E10">
              <w:rPr>
                <w:rFonts w:eastAsia="Calibri"/>
                <w:color w:val="auto"/>
                <w:sz w:val="26"/>
                <w:szCs w:val="26"/>
                <w:lang w:val="nl-NL"/>
              </w:rPr>
              <w:t xml:space="preserve">Doanh thu phí </w:t>
            </w:r>
            <w:r w:rsidRPr="004F2E10">
              <w:rPr>
                <w:rFonts w:eastAsia="Calibri"/>
                <w:color w:val="auto"/>
                <w:sz w:val="26"/>
                <w:szCs w:val="26"/>
              </w:rPr>
              <w:br/>
            </w:r>
            <w:r w:rsidRPr="004F2E10">
              <w:rPr>
                <w:rFonts w:eastAsia="Calibri"/>
                <w:color w:val="auto"/>
                <w:sz w:val="26"/>
                <w:szCs w:val="26"/>
                <w:lang w:val="nl-NL"/>
              </w:rPr>
              <w:t>bảo hiểm nhân thọ</w:t>
            </w:r>
          </w:p>
        </w:tc>
      </w:tr>
    </w:tbl>
    <w:p w:rsidR="00C55B34" w:rsidRPr="008A48A1" w:rsidRDefault="008A48A1" w:rsidP="00C55B34">
      <w:pPr>
        <w:spacing w:before="120" w:after="120" w:line="240" w:lineRule="auto"/>
        <w:ind w:firstLine="567"/>
        <w:jc w:val="both"/>
        <w:rPr>
          <w:color w:val="auto"/>
          <w:sz w:val="26"/>
          <w:szCs w:val="26"/>
          <w:lang w:val="nl-NL"/>
        </w:rPr>
      </w:pPr>
      <w:r w:rsidRPr="008A48A1">
        <w:rPr>
          <w:color w:val="auto"/>
          <w:sz w:val="26"/>
          <w:szCs w:val="26"/>
          <w:lang w:val="nl-NL"/>
        </w:rPr>
        <w:t xml:space="preserve">a. </w:t>
      </w:r>
      <w:r w:rsidR="00C55B34" w:rsidRPr="008A48A1">
        <w:rPr>
          <w:color w:val="auto"/>
          <w:sz w:val="26"/>
          <w:szCs w:val="26"/>
          <w:lang w:val="nl-NL"/>
        </w:rPr>
        <w:t>Doanh thu phí bảo hiểm phi nhân thọ</w:t>
      </w:r>
    </w:p>
    <w:p w:rsidR="00C55B34" w:rsidRPr="004F2E10" w:rsidRDefault="00C55B34" w:rsidP="00C55B34">
      <w:pPr>
        <w:spacing w:before="120" w:after="120" w:line="240" w:lineRule="auto"/>
        <w:ind w:firstLine="567"/>
        <w:jc w:val="both"/>
        <w:rPr>
          <w:color w:val="auto"/>
          <w:sz w:val="26"/>
          <w:szCs w:val="26"/>
          <w:lang w:val="nl-NL"/>
        </w:rPr>
      </w:pPr>
      <w:r w:rsidRPr="004F2E10">
        <w:rPr>
          <w:color w:val="auto"/>
          <w:sz w:val="26"/>
          <w:szCs w:val="26"/>
          <w:lang w:val="nl-NL"/>
        </w:rPr>
        <w:t>Doanh thu phí bảo hiểm phản ánh tổng doanh thu phí bảo hiểm gốc và nhận tái bảo hiểm sau khi trừ (-) các khoản, gồm: giảm phí bảo hiểm gốc, giảm phí nhận tái bảo hiểm, hoàn phí bảo hiểm gốc, hoàn phí nhận tái bảo hiểm và chênh lệch tăng, giảm dự phòng phí bảo hiểm gốc và nhận tái bảo hiểm trong kỳ báo cáo của doanh nghiệp bảo hiểm phi nhân thọ.</w:t>
      </w:r>
    </w:p>
    <w:p w:rsidR="00C55B34" w:rsidRPr="00C55B34" w:rsidRDefault="00C55B34" w:rsidP="00C55B34">
      <w:pPr>
        <w:ind w:firstLine="567"/>
        <w:rPr>
          <w:color w:val="auto"/>
          <w:sz w:val="26"/>
          <w:szCs w:val="26"/>
          <w:lang w:val="nl-NL"/>
        </w:rPr>
      </w:pPr>
      <w:r w:rsidRPr="004F2E10">
        <w:rPr>
          <w:color w:val="auto"/>
          <w:sz w:val="26"/>
          <w:szCs w:val="26"/>
          <w:lang w:val="nl-NL"/>
        </w:rPr>
        <w:t>Công thức tính:</w:t>
      </w:r>
    </w:p>
    <w:tbl>
      <w:tblPr>
        <w:tblW w:w="0" w:type="auto"/>
        <w:jc w:val="center"/>
        <w:tblCellMar>
          <w:left w:w="28" w:type="dxa"/>
          <w:right w:w="28" w:type="dxa"/>
        </w:tblCellMar>
        <w:tblLook w:val="04A0" w:firstRow="1" w:lastRow="0" w:firstColumn="1" w:lastColumn="0" w:noHBand="0" w:noVBand="1"/>
      </w:tblPr>
      <w:tblGrid>
        <w:gridCol w:w="1430"/>
        <w:gridCol w:w="441"/>
        <w:gridCol w:w="1258"/>
        <w:gridCol w:w="342"/>
        <w:gridCol w:w="1428"/>
        <w:gridCol w:w="337"/>
        <w:gridCol w:w="2546"/>
      </w:tblGrid>
      <w:tr w:rsidR="00C55B34" w:rsidRPr="004F2E10" w:rsidTr="00B66C52">
        <w:trPr>
          <w:jc w:val="center"/>
        </w:trPr>
        <w:tc>
          <w:tcPr>
            <w:tcW w:w="1430"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Doanh thu phí bảo hiểm</w:t>
            </w:r>
          </w:p>
        </w:tc>
        <w:tc>
          <w:tcPr>
            <w:tcW w:w="441"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258"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Phí bảo hiểm gốc</w:t>
            </w:r>
          </w:p>
        </w:tc>
        <w:tc>
          <w:tcPr>
            <w:tcW w:w="342"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428"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Phí nhận tái bảo hiểm</w:t>
            </w:r>
          </w:p>
        </w:tc>
        <w:tc>
          <w:tcPr>
            <w:tcW w:w="337"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2546"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Tăng (giảm) dự phòng phí bảo hiểm gốc và nhận tái bảo hiểm</w:t>
            </w:r>
          </w:p>
        </w:tc>
      </w:tr>
    </w:tbl>
    <w:p w:rsidR="00C55B34" w:rsidRPr="008A48A1" w:rsidRDefault="008A48A1" w:rsidP="00C55B34">
      <w:pPr>
        <w:autoSpaceDE w:val="0"/>
        <w:autoSpaceDN w:val="0"/>
        <w:adjustRightInd w:val="0"/>
        <w:spacing w:before="120" w:after="120" w:line="240" w:lineRule="auto"/>
        <w:ind w:firstLine="567"/>
        <w:jc w:val="both"/>
        <w:rPr>
          <w:color w:val="auto"/>
          <w:sz w:val="26"/>
          <w:szCs w:val="26"/>
          <w:lang w:val="nl-NL"/>
        </w:rPr>
      </w:pPr>
      <w:r w:rsidRPr="008A48A1">
        <w:rPr>
          <w:color w:val="auto"/>
          <w:sz w:val="26"/>
          <w:szCs w:val="26"/>
          <w:lang w:val="nl-NL"/>
        </w:rPr>
        <w:t xml:space="preserve">b. </w:t>
      </w:r>
      <w:r w:rsidR="00C55B34" w:rsidRPr="008A48A1">
        <w:rPr>
          <w:color w:val="auto"/>
          <w:sz w:val="26"/>
          <w:szCs w:val="26"/>
          <w:lang w:val="nl-NL"/>
        </w:rPr>
        <w:t>Doanh thu phí bảo hiểm nhân thọ</w:t>
      </w:r>
    </w:p>
    <w:p w:rsidR="00C55B34" w:rsidRDefault="00C55B34" w:rsidP="00C55B34">
      <w:pPr>
        <w:autoSpaceDE w:val="0"/>
        <w:autoSpaceDN w:val="0"/>
        <w:adjustRightInd w:val="0"/>
        <w:spacing w:before="120" w:after="120" w:line="240" w:lineRule="auto"/>
        <w:ind w:firstLine="567"/>
        <w:jc w:val="both"/>
        <w:rPr>
          <w:color w:val="auto"/>
          <w:sz w:val="26"/>
          <w:szCs w:val="26"/>
          <w:lang w:val="nl-NL"/>
        </w:rPr>
      </w:pPr>
      <w:r w:rsidRPr="004F2E10">
        <w:rPr>
          <w:color w:val="auto"/>
          <w:sz w:val="26"/>
          <w:szCs w:val="26"/>
          <w:lang w:val="nl-NL"/>
        </w:rPr>
        <w:t xml:space="preserve">Doanh thu phí bảo hiểm phản ánh tổng doanh thu phí bảo hiểm gốc và nhận tái bảo hiểm sau khi trừ (-) các khoản, gồm giảm phí bảo hiểm gốc, giảm phí nhận tái bảo hiểm, hoàn phí bảo hiểm gốc, hoàn phí nhận tái bảo hiểm và chênh lệch tăng, giảm dự phòng phí chưa được hưởng của bảo hiểm gốc và nhận tái bảo hiểm trong kỳ báo cáo của doanh nghiệp bảo hiểm nhân thọ. </w:t>
      </w:r>
    </w:p>
    <w:p w:rsidR="00C55B34" w:rsidRPr="004F2E10" w:rsidRDefault="00C55B34" w:rsidP="00C55B34">
      <w:pPr>
        <w:autoSpaceDE w:val="0"/>
        <w:autoSpaceDN w:val="0"/>
        <w:adjustRightInd w:val="0"/>
        <w:spacing w:before="120" w:after="120" w:line="240" w:lineRule="auto"/>
        <w:ind w:firstLine="567"/>
        <w:jc w:val="both"/>
        <w:rPr>
          <w:color w:val="auto"/>
          <w:sz w:val="26"/>
          <w:szCs w:val="26"/>
        </w:rPr>
      </w:pPr>
      <w:r>
        <w:rPr>
          <w:color w:val="auto"/>
          <w:sz w:val="26"/>
          <w:szCs w:val="26"/>
          <w:lang w:val="nl-NL"/>
        </w:rPr>
        <w:t>Công thức tính:</w:t>
      </w:r>
      <w:r w:rsidRPr="004F2E10">
        <w:rPr>
          <w:color w:val="auto"/>
          <w:sz w:val="26"/>
          <w:szCs w:val="26"/>
          <w:lang w:val="nl-NL"/>
        </w:rPr>
        <w:t xml:space="preserve">                                                    </w:t>
      </w:r>
    </w:p>
    <w:tbl>
      <w:tblPr>
        <w:tblW w:w="0" w:type="auto"/>
        <w:jc w:val="center"/>
        <w:tblCellMar>
          <w:left w:w="28" w:type="dxa"/>
          <w:right w:w="28" w:type="dxa"/>
        </w:tblCellMar>
        <w:tblLook w:val="04A0" w:firstRow="1" w:lastRow="0" w:firstColumn="1" w:lastColumn="0" w:noHBand="0" w:noVBand="1"/>
      </w:tblPr>
      <w:tblGrid>
        <w:gridCol w:w="1430"/>
        <w:gridCol w:w="441"/>
        <w:gridCol w:w="1265"/>
        <w:gridCol w:w="344"/>
        <w:gridCol w:w="1428"/>
        <w:gridCol w:w="308"/>
        <w:gridCol w:w="3260"/>
      </w:tblGrid>
      <w:tr w:rsidR="00C55B34" w:rsidRPr="004F2E10" w:rsidTr="00B66C52">
        <w:trPr>
          <w:jc w:val="center"/>
        </w:trPr>
        <w:tc>
          <w:tcPr>
            <w:tcW w:w="1430"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lastRenderedPageBreak/>
              <w:t>Doanh thu phí bảo hiểm</w:t>
            </w:r>
          </w:p>
        </w:tc>
        <w:tc>
          <w:tcPr>
            <w:tcW w:w="441"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265"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Phí bảo hiểm gốc</w:t>
            </w:r>
          </w:p>
        </w:tc>
        <w:tc>
          <w:tcPr>
            <w:tcW w:w="344"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428"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Phí nhận tái bảo hiểm</w:t>
            </w:r>
          </w:p>
        </w:tc>
        <w:tc>
          <w:tcPr>
            <w:tcW w:w="308"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3260"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Tăng (giảm) dự phòng phí bảo hiểm gốc và nhận tái bảo hiểm chưa được hưởng</w:t>
            </w:r>
          </w:p>
        </w:tc>
      </w:tr>
    </w:tbl>
    <w:p w:rsidR="005F6840" w:rsidRDefault="005F6840" w:rsidP="00C55B34">
      <w:pPr>
        <w:spacing w:before="100" w:after="100" w:line="240" w:lineRule="auto"/>
        <w:ind w:firstLine="567"/>
        <w:jc w:val="both"/>
        <w:rPr>
          <w:b/>
          <w:color w:val="auto"/>
          <w:sz w:val="26"/>
          <w:szCs w:val="26"/>
          <w:lang w:val="sv-SE"/>
        </w:rPr>
      </w:pPr>
    </w:p>
    <w:p w:rsidR="00C55B34" w:rsidRPr="004F2E10" w:rsidRDefault="005F6840" w:rsidP="00C55B34">
      <w:pPr>
        <w:spacing w:before="100" w:after="100" w:line="240" w:lineRule="auto"/>
        <w:ind w:firstLine="567"/>
        <w:jc w:val="both"/>
        <w:rPr>
          <w:b/>
          <w:color w:val="auto"/>
          <w:sz w:val="26"/>
          <w:szCs w:val="26"/>
          <w:lang w:val="sv-SE"/>
        </w:rPr>
      </w:pPr>
      <w:r>
        <w:rPr>
          <w:b/>
          <w:color w:val="auto"/>
          <w:sz w:val="26"/>
          <w:szCs w:val="26"/>
          <w:lang w:val="sv-SE"/>
        </w:rPr>
        <w:t>2.</w:t>
      </w:r>
      <w:r w:rsidR="00C55B34" w:rsidRPr="004F2E10">
        <w:rPr>
          <w:b/>
          <w:color w:val="auto"/>
          <w:sz w:val="26"/>
          <w:szCs w:val="26"/>
          <w:lang w:val="sv-SE"/>
        </w:rPr>
        <w:t>Tổng chi trả bảo hiểm</w:t>
      </w:r>
    </w:p>
    <w:p w:rsidR="00C55B34" w:rsidRPr="004F2E10" w:rsidRDefault="005F6840" w:rsidP="00C55B34">
      <w:pPr>
        <w:spacing w:before="100" w:after="100" w:line="240" w:lineRule="auto"/>
        <w:ind w:firstLine="567"/>
        <w:jc w:val="both"/>
        <w:rPr>
          <w:b/>
          <w:color w:val="auto"/>
          <w:sz w:val="26"/>
          <w:szCs w:val="26"/>
          <w:lang w:val="pt-BR"/>
        </w:rPr>
      </w:pPr>
      <w:r>
        <w:rPr>
          <w:b/>
          <w:color w:val="auto"/>
          <w:sz w:val="26"/>
          <w:szCs w:val="26"/>
          <w:lang w:val="pt-BR"/>
        </w:rPr>
        <w:t xml:space="preserve"> </w:t>
      </w:r>
      <w:r w:rsidR="00C55B34" w:rsidRPr="004F2E10">
        <w:rPr>
          <w:b/>
          <w:color w:val="auto"/>
          <w:sz w:val="26"/>
          <w:szCs w:val="26"/>
          <w:lang w:val="pt-BR"/>
        </w:rPr>
        <w:t>Khái niệm, phương pháp tính</w:t>
      </w:r>
    </w:p>
    <w:p w:rsidR="00C55B34" w:rsidRPr="004F2E10" w:rsidRDefault="00C55B34" w:rsidP="00C55B34">
      <w:pPr>
        <w:spacing w:before="120" w:after="120" w:line="240" w:lineRule="auto"/>
        <w:ind w:firstLine="567"/>
        <w:jc w:val="both"/>
        <w:rPr>
          <w:color w:val="auto"/>
          <w:sz w:val="26"/>
          <w:szCs w:val="26"/>
        </w:rPr>
      </w:pPr>
      <w:r w:rsidRPr="004F2E10">
        <w:rPr>
          <w:color w:val="auto"/>
          <w:sz w:val="26"/>
          <w:szCs w:val="26"/>
          <w:lang w:val="pt-BR"/>
        </w:rPr>
        <w:t>Công thức tính:</w:t>
      </w:r>
    </w:p>
    <w:tbl>
      <w:tblPr>
        <w:tblW w:w="0" w:type="auto"/>
        <w:jc w:val="center"/>
        <w:tblCellMar>
          <w:left w:w="28" w:type="dxa"/>
          <w:right w:w="28" w:type="dxa"/>
        </w:tblCellMar>
        <w:tblLook w:val="04A0" w:firstRow="1" w:lastRow="0" w:firstColumn="1" w:lastColumn="0" w:noHBand="0" w:noVBand="1"/>
      </w:tblPr>
      <w:tblGrid>
        <w:gridCol w:w="1588"/>
        <w:gridCol w:w="442"/>
        <w:gridCol w:w="2534"/>
        <w:gridCol w:w="426"/>
        <w:gridCol w:w="3402"/>
      </w:tblGrid>
      <w:tr w:rsidR="00C55B34" w:rsidRPr="004F2E10" w:rsidTr="00B66C52">
        <w:trPr>
          <w:jc w:val="center"/>
        </w:trPr>
        <w:tc>
          <w:tcPr>
            <w:tcW w:w="1588"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 xml:space="preserve">Tổng chi trả </w:t>
            </w:r>
            <w:r w:rsidRPr="004F2E10">
              <w:rPr>
                <w:rFonts w:eastAsia="Calibri"/>
                <w:color w:val="auto"/>
                <w:sz w:val="26"/>
                <w:szCs w:val="26"/>
                <w:lang w:val="nl-NL"/>
              </w:rPr>
              <w:br/>
              <w:t>bảo hiểm</w:t>
            </w:r>
          </w:p>
        </w:tc>
        <w:tc>
          <w:tcPr>
            <w:tcW w:w="442"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2534"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 xml:space="preserve">Chi bồi thường </w:t>
            </w:r>
            <w:r w:rsidRPr="004F2E10">
              <w:rPr>
                <w:rFonts w:eastAsia="Calibri"/>
                <w:color w:val="auto"/>
                <w:sz w:val="26"/>
                <w:szCs w:val="26"/>
                <w:lang w:val="nl-NL"/>
              </w:rPr>
              <w:br/>
              <w:t>bảo hiểm phi nhân thọ</w:t>
            </w:r>
          </w:p>
        </w:tc>
        <w:tc>
          <w:tcPr>
            <w:tcW w:w="426"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3402"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 xml:space="preserve">Tổng chi bồi thường </w:t>
            </w:r>
            <w:r w:rsidRPr="004F2E10">
              <w:rPr>
                <w:rFonts w:eastAsia="Calibri"/>
                <w:color w:val="auto"/>
                <w:sz w:val="26"/>
                <w:szCs w:val="26"/>
                <w:lang w:val="nl-NL"/>
              </w:rPr>
              <w:br/>
              <w:t>và trả tiền bảo hiểm nhân thọ</w:t>
            </w:r>
          </w:p>
        </w:tc>
      </w:tr>
    </w:tbl>
    <w:p w:rsidR="00C55B34" w:rsidRPr="004F2E10" w:rsidRDefault="00C55B34" w:rsidP="00C55B34">
      <w:pPr>
        <w:spacing w:before="100" w:after="100" w:line="240" w:lineRule="auto"/>
        <w:ind w:firstLine="567"/>
        <w:jc w:val="both"/>
        <w:rPr>
          <w:color w:val="auto"/>
          <w:sz w:val="26"/>
          <w:szCs w:val="26"/>
          <w:lang w:val="pt-BR"/>
        </w:rPr>
      </w:pPr>
      <w:r w:rsidRPr="004F2E10">
        <w:rPr>
          <w:color w:val="auto"/>
          <w:sz w:val="26"/>
          <w:szCs w:val="26"/>
          <w:lang w:val="pt-BR"/>
        </w:rPr>
        <w:t>a) Chi bồi thường bảo hiểm phi nhân thọ</w:t>
      </w:r>
    </w:p>
    <w:p w:rsidR="00C55B34" w:rsidRPr="004F2E10" w:rsidRDefault="00C55B34" w:rsidP="00C55B34">
      <w:pPr>
        <w:spacing w:before="100" w:after="100" w:line="240" w:lineRule="auto"/>
        <w:ind w:firstLine="567"/>
        <w:jc w:val="both"/>
        <w:rPr>
          <w:color w:val="auto"/>
          <w:sz w:val="26"/>
          <w:szCs w:val="26"/>
          <w:lang w:val="pt-BR"/>
        </w:rPr>
      </w:pPr>
      <w:r w:rsidRPr="004F2E10">
        <w:rPr>
          <w:color w:val="auto"/>
          <w:sz w:val="26"/>
          <w:szCs w:val="26"/>
          <w:lang w:val="pt-BR"/>
        </w:rPr>
        <w:t>Chỉ tiêu này phản ánh tổng số chi bồi thường bảo hiểm gốc và nhận tái bảo hiểm và các khoản chi liên quan đến hoạt động bồi thường khi xảy ra tai nạn tổn thất sau khi trừ (-) các khoản phải thu ghi giảm chi bồi thường, gồm thu đòi người thứ ba bồi hoàn, thu hàng đã xử lý bồi thường 100% của doanh nghiệp bảo hiểm phi nhân thọ phát sinh trong kỳ báo cáo.</w:t>
      </w:r>
    </w:p>
    <w:p w:rsidR="00C55B34" w:rsidRPr="004F2E10" w:rsidRDefault="00C55B34" w:rsidP="00C55B34">
      <w:pPr>
        <w:spacing w:before="100" w:after="100" w:line="240" w:lineRule="auto"/>
        <w:ind w:firstLine="567"/>
        <w:jc w:val="both"/>
        <w:rPr>
          <w:color w:val="auto"/>
          <w:sz w:val="26"/>
          <w:szCs w:val="26"/>
          <w:lang w:val="pt-BR"/>
        </w:rPr>
      </w:pPr>
      <w:r w:rsidRPr="004F2E10">
        <w:rPr>
          <w:color w:val="auto"/>
          <w:sz w:val="26"/>
          <w:szCs w:val="26"/>
          <w:lang w:val="pt-BR"/>
        </w:rPr>
        <w:t>Công thức tính:</w:t>
      </w:r>
    </w:p>
    <w:tbl>
      <w:tblPr>
        <w:tblW w:w="5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425"/>
        <w:gridCol w:w="1417"/>
        <w:gridCol w:w="426"/>
        <w:gridCol w:w="1417"/>
      </w:tblGrid>
      <w:tr w:rsidR="00C55B34" w:rsidRPr="004F2E10" w:rsidTr="00B66C52">
        <w:trPr>
          <w:jc w:val="center"/>
        </w:trPr>
        <w:tc>
          <w:tcPr>
            <w:tcW w:w="1418" w:type="dxa"/>
            <w:tcBorders>
              <w:top w:val="nil"/>
              <w:left w:val="nil"/>
              <w:bottom w:val="nil"/>
              <w:right w:val="nil"/>
            </w:tcBorders>
            <w:vAlign w:val="center"/>
          </w:tcPr>
          <w:p w:rsidR="00C55B34" w:rsidRPr="004F2E10" w:rsidRDefault="00C55B34" w:rsidP="00B66C52">
            <w:pPr>
              <w:spacing w:after="0" w:line="240" w:lineRule="auto"/>
              <w:jc w:val="center"/>
              <w:rPr>
                <w:rFonts w:eastAsia="Calibri"/>
                <w:color w:val="auto"/>
                <w:sz w:val="26"/>
                <w:szCs w:val="26"/>
                <w:lang w:val="nl-NL"/>
              </w:rPr>
            </w:pPr>
            <w:r w:rsidRPr="004F2E10">
              <w:rPr>
                <w:rFonts w:eastAsia="Calibri"/>
                <w:color w:val="auto"/>
                <w:sz w:val="26"/>
                <w:szCs w:val="26"/>
                <w:lang w:val="nl-NL"/>
              </w:rPr>
              <w:t xml:space="preserve">Chi </w:t>
            </w:r>
            <w:r w:rsidRPr="004F2E10">
              <w:rPr>
                <w:rFonts w:eastAsia="Calibri"/>
                <w:color w:val="auto"/>
                <w:sz w:val="26"/>
                <w:szCs w:val="26"/>
                <w:lang w:val="nl-NL"/>
              </w:rPr>
              <w:br/>
              <w:t>bồi thường</w:t>
            </w:r>
          </w:p>
        </w:tc>
        <w:tc>
          <w:tcPr>
            <w:tcW w:w="425" w:type="dxa"/>
            <w:tcBorders>
              <w:top w:val="nil"/>
              <w:left w:val="nil"/>
              <w:bottom w:val="nil"/>
              <w:right w:val="nil"/>
            </w:tcBorders>
            <w:vAlign w:val="center"/>
          </w:tcPr>
          <w:p w:rsidR="00C55B34" w:rsidRPr="004F2E10" w:rsidRDefault="00C55B34" w:rsidP="00B66C52">
            <w:pPr>
              <w:spacing w:after="0" w:line="240" w:lineRule="auto"/>
              <w:jc w:val="center"/>
              <w:rPr>
                <w:rFonts w:eastAsia="Calibri"/>
                <w:color w:val="auto"/>
                <w:sz w:val="26"/>
                <w:szCs w:val="26"/>
                <w:lang w:val="nl-NL"/>
              </w:rPr>
            </w:pPr>
            <w:r w:rsidRPr="004F2E10">
              <w:rPr>
                <w:rFonts w:eastAsia="Calibri"/>
                <w:color w:val="auto"/>
                <w:sz w:val="26"/>
                <w:szCs w:val="26"/>
                <w:lang w:val="nl-NL"/>
              </w:rPr>
              <w:t>=</w:t>
            </w:r>
          </w:p>
        </w:tc>
        <w:tc>
          <w:tcPr>
            <w:tcW w:w="1417" w:type="dxa"/>
            <w:tcBorders>
              <w:top w:val="nil"/>
              <w:left w:val="nil"/>
              <w:bottom w:val="nil"/>
              <w:right w:val="nil"/>
            </w:tcBorders>
            <w:vAlign w:val="center"/>
          </w:tcPr>
          <w:p w:rsidR="00C55B34" w:rsidRPr="004F2E10" w:rsidRDefault="00C55B34" w:rsidP="00B66C52">
            <w:pPr>
              <w:spacing w:after="0" w:line="240" w:lineRule="auto"/>
              <w:jc w:val="center"/>
              <w:rPr>
                <w:rFonts w:eastAsia="Calibri"/>
                <w:color w:val="auto"/>
                <w:sz w:val="26"/>
                <w:szCs w:val="26"/>
                <w:lang w:val="nl-NL"/>
              </w:rPr>
            </w:pPr>
            <w:r w:rsidRPr="004F2E10">
              <w:rPr>
                <w:rFonts w:eastAsia="Calibri"/>
                <w:color w:val="auto"/>
                <w:sz w:val="26"/>
                <w:szCs w:val="26"/>
                <w:lang w:val="nl-NL"/>
              </w:rPr>
              <w:t xml:space="preserve">Tổng chi </w:t>
            </w:r>
            <w:r w:rsidRPr="004F2E10">
              <w:rPr>
                <w:rFonts w:eastAsia="Calibri"/>
                <w:color w:val="auto"/>
                <w:sz w:val="26"/>
                <w:szCs w:val="26"/>
                <w:lang w:val="nl-NL"/>
              </w:rPr>
              <w:br/>
              <w:t>bồi thường</w:t>
            </w:r>
          </w:p>
        </w:tc>
        <w:tc>
          <w:tcPr>
            <w:tcW w:w="426" w:type="dxa"/>
            <w:tcBorders>
              <w:top w:val="nil"/>
              <w:left w:val="nil"/>
              <w:bottom w:val="nil"/>
              <w:right w:val="nil"/>
            </w:tcBorders>
            <w:vAlign w:val="center"/>
          </w:tcPr>
          <w:p w:rsidR="00C55B34" w:rsidRPr="004F2E10" w:rsidRDefault="00C55B34" w:rsidP="00B66C52">
            <w:pPr>
              <w:spacing w:after="0" w:line="240" w:lineRule="auto"/>
              <w:jc w:val="center"/>
              <w:rPr>
                <w:rFonts w:eastAsia="Calibri"/>
                <w:color w:val="auto"/>
                <w:sz w:val="26"/>
                <w:szCs w:val="26"/>
                <w:lang w:val="nl-NL"/>
              </w:rPr>
            </w:pPr>
            <w:r w:rsidRPr="004F2E10">
              <w:rPr>
                <w:rFonts w:eastAsia="Calibri"/>
                <w:color w:val="auto"/>
                <w:sz w:val="26"/>
                <w:szCs w:val="26"/>
                <w:lang w:val="nl-NL"/>
              </w:rPr>
              <w:t>-</w:t>
            </w:r>
          </w:p>
        </w:tc>
        <w:tc>
          <w:tcPr>
            <w:tcW w:w="1417" w:type="dxa"/>
            <w:tcBorders>
              <w:top w:val="nil"/>
              <w:left w:val="nil"/>
              <w:bottom w:val="nil"/>
              <w:right w:val="nil"/>
            </w:tcBorders>
            <w:vAlign w:val="center"/>
          </w:tcPr>
          <w:p w:rsidR="00C55B34" w:rsidRPr="004F2E10" w:rsidRDefault="00C55B34" w:rsidP="00B66C52">
            <w:pPr>
              <w:spacing w:after="0" w:line="240" w:lineRule="auto"/>
              <w:jc w:val="center"/>
              <w:rPr>
                <w:rFonts w:eastAsia="Calibri"/>
                <w:color w:val="auto"/>
                <w:sz w:val="26"/>
                <w:szCs w:val="26"/>
                <w:lang w:val="nl-NL"/>
              </w:rPr>
            </w:pPr>
            <w:r w:rsidRPr="004F2E10">
              <w:rPr>
                <w:rFonts w:eastAsia="Calibri"/>
                <w:color w:val="auto"/>
                <w:sz w:val="26"/>
                <w:szCs w:val="26"/>
                <w:lang w:val="nl-NL"/>
              </w:rPr>
              <w:t>Các khoản giảm trừ</w:t>
            </w:r>
          </w:p>
        </w:tc>
      </w:tr>
    </w:tbl>
    <w:p w:rsidR="00C55B34" w:rsidRPr="004F2E10" w:rsidRDefault="00C55B34" w:rsidP="00C55B34">
      <w:pPr>
        <w:autoSpaceDE w:val="0"/>
        <w:autoSpaceDN w:val="0"/>
        <w:adjustRightInd w:val="0"/>
        <w:spacing w:before="100" w:after="100" w:line="240" w:lineRule="auto"/>
        <w:ind w:firstLine="567"/>
        <w:jc w:val="both"/>
        <w:rPr>
          <w:bCs/>
          <w:color w:val="auto"/>
          <w:sz w:val="26"/>
          <w:szCs w:val="26"/>
          <w:lang w:val="pt-BR"/>
        </w:rPr>
      </w:pPr>
      <w:r w:rsidRPr="004F2E10">
        <w:rPr>
          <w:bCs/>
          <w:color w:val="auto"/>
          <w:sz w:val="26"/>
          <w:szCs w:val="26"/>
          <w:lang w:val="pt-BR"/>
        </w:rPr>
        <w:t>Trong đó:</w:t>
      </w:r>
    </w:p>
    <w:p w:rsidR="00C55B34" w:rsidRPr="00537FA1" w:rsidRDefault="00C55B34" w:rsidP="00C55B34">
      <w:pPr>
        <w:autoSpaceDE w:val="0"/>
        <w:autoSpaceDN w:val="0"/>
        <w:adjustRightInd w:val="0"/>
        <w:spacing w:before="100" w:after="100" w:line="240" w:lineRule="auto"/>
        <w:ind w:firstLine="567"/>
        <w:jc w:val="both"/>
        <w:rPr>
          <w:color w:val="auto"/>
          <w:spacing w:val="-1"/>
          <w:sz w:val="26"/>
          <w:szCs w:val="26"/>
          <w:lang w:val="pt-BR"/>
        </w:rPr>
      </w:pPr>
      <w:r w:rsidRPr="00537FA1">
        <w:rPr>
          <w:bCs/>
          <w:color w:val="auto"/>
          <w:spacing w:val="-1"/>
          <w:sz w:val="26"/>
          <w:szCs w:val="26"/>
          <w:lang w:val="pt-BR"/>
        </w:rPr>
        <w:t>- Tổng chi bồi thường</w:t>
      </w:r>
      <w:r w:rsidRPr="00537FA1">
        <w:rPr>
          <w:color w:val="auto"/>
          <w:spacing w:val="-1"/>
          <w:sz w:val="26"/>
          <w:szCs w:val="26"/>
          <w:lang w:val="pt-BR"/>
        </w:rPr>
        <w:t xml:space="preserve"> phản ánh tổng số chi bồi thường bảo hiểm gốc và nhận tái bảo hiểm và các khoản chi liên quan đến hoạt động bồi thường khi xảy ra tai nạn tổn thất như chi bồi thường cho người được bảo hiểm, chi giám định tổn thất, chi điều tra, thu thập thông tin liên quan đến sự kiện bảo hiểm, chi xử lý hàng tổn thất đã được giải quyết bồi thường 100% của doanh nghiệp bảo hiểm phi nhân thọ phát sinh trong kỳ báo cáo. </w:t>
      </w:r>
    </w:p>
    <w:p w:rsidR="00C55B34" w:rsidRPr="004F2E10" w:rsidRDefault="00C55B34" w:rsidP="00C55B34">
      <w:pPr>
        <w:autoSpaceDE w:val="0"/>
        <w:autoSpaceDN w:val="0"/>
        <w:adjustRightInd w:val="0"/>
        <w:spacing w:before="100" w:after="100" w:line="240" w:lineRule="auto"/>
        <w:ind w:firstLine="567"/>
        <w:jc w:val="both"/>
        <w:rPr>
          <w:color w:val="auto"/>
          <w:sz w:val="26"/>
          <w:szCs w:val="26"/>
          <w:lang w:val="pt-BR"/>
        </w:rPr>
      </w:pPr>
      <w:r w:rsidRPr="004F2E10">
        <w:rPr>
          <w:color w:val="auto"/>
          <w:sz w:val="26"/>
          <w:szCs w:val="26"/>
          <w:lang w:val="pt-BR"/>
        </w:rPr>
        <w:t xml:space="preserve">- </w:t>
      </w:r>
      <w:r w:rsidRPr="004F2E10">
        <w:rPr>
          <w:bCs/>
          <w:color w:val="auto"/>
          <w:sz w:val="26"/>
          <w:szCs w:val="26"/>
          <w:lang w:val="pt-BR"/>
        </w:rPr>
        <w:t>Các khoản giảm trừ</w:t>
      </w:r>
      <w:r w:rsidRPr="004F2E10">
        <w:rPr>
          <w:color w:val="auto"/>
          <w:sz w:val="26"/>
          <w:szCs w:val="26"/>
          <w:lang w:val="pt-BR"/>
        </w:rPr>
        <w:t xml:space="preserve"> phản ánh tổng số thu giảm chi bồi thường bảo hiểm gốc và nhận tái bảo hiểm gồm thu đòi người thứ ba bồi hoàn, thu hàng đã xử lý bồi thường 100% của doanh nghiệp bảo hiểm phi nhân thọ phát sinh trong kỳ báo cáo.</w:t>
      </w:r>
    </w:p>
    <w:p w:rsidR="00C55B34" w:rsidRPr="004F2E10" w:rsidRDefault="00C55B34" w:rsidP="00C55B34">
      <w:pPr>
        <w:autoSpaceDE w:val="0"/>
        <w:autoSpaceDN w:val="0"/>
        <w:adjustRightInd w:val="0"/>
        <w:spacing w:before="100" w:after="100" w:line="240" w:lineRule="auto"/>
        <w:ind w:firstLine="567"/>
        <w:jc w:val="both"/>
        <w:rPr>
          <w:color w:val="auto"/>
          <w:sz w:val="26"/>
          <w:szCs w:val="26"/>
          <w:lang w:val="pt-BR"/>
        </w:rPr>
      </w:pPr>
      <w:r w:rsidRPr="004F2E10">
        <w:rPr>
          <w:color w:val="auto"/>
          <w:sz w:val="26"/>
          <w:szCs w:val="26"/>
          <w:lang w:val="pt-BR"/>
        </w:rPr>
        <w:t>b) Tổng chi bồi thường và trả tiền bảo hiểm nhân thọ</w:t>
      </w:r>
    </w:p>
    <w:p w:rsidR="00C55B34" w:rsidRPr="004F2E10" w:rsidRDefault="00C55B34" w:rsidP="00C55B34">
      <w:pPr>
        <w:autoSpaceDE w:val="0"/>
        <w:autoSpaceDN w:val="0"/>
        <w:adjustRightInd w:val="0"/>
        <w:spacing w:before="100" w:after="100" w:line="240" w:lineRule="auto"/>
        <w:ind w:firstLine="567"/>
        <w:jc w:val="both"/>
        <w:rPr>
          <w:color w:val="auto"/>
          <w:sz w:val="26"/>
          <w:szCs w:val="26"/>
          <w:lang w:val="pt-BR"/>
        </w:rPr>
      </w:pPr>
      <w:r w:rsidRPr="004F2E10">
        <w:rPr>
          <w:color w:val="auto"/>
          <w:sz w:val="26"/>
          <w:szCs w:val="26"/>
          <w:lang w:val="pt-BR"/>
        </w:rPr>
        <w:lastRenderedPageBreak/>
        <w:t>Chỉ tiêu này là chỉ tiêu tổng hợp phản ánh tổng chi phí bồi thường và trả tiền bảo hiểm của doanh nghiệp bảo hiểm nhân thọ sau khi trừ (-) các khoản thu giảm chi phí bồi thường và trả tiền bảo hiểm (như thu bồi thường nhượng tái bảo hiểm) và sau khi điều chỉnh các khoản tăng giảm dự phòng nghiệp vụ bảo hiểm gốc và nhận tái bảo hiểm phát sinh trong kỳ báo cáo.</w:t>
      </w:r>
    </w:p>
    <w:p w:rsidR="00C55B34" w:rsidRPr="004F2E10" w:rsidRDefault="00C55B34" w:rsidP="00C55B34">
      <w:pPr>
        <w:tabs>
          <w:tab w:val="left" w:pos="3852"/>
        </w:tabs>
        <w:autoSpaceDE w:val="0"/>
        <w:autoSpaceDN w:val="0"/>
        <w:adjustRightInd w:val="0"/>
        <w:spacing w:before="100" w:after="100" w:line="240" w:lineRule="auto"/>
        <w:ind w:firstLine="567"/>
        <w:jc w:val="both"/>
        <w:rPr>
          <w:color w:val="auto"/>
          <w:sz w:val="26"/>
          <w:szCs w:val="26"/>
        </w:rPr>
      </w:pPr>
      <w:r w:rsidRPr="004F2E10">
        <w:rPr>
          <w:color w:val="auto"/>
          <w:sz w:val="26"/>
          <w:szCs w:val="26"/>
          <w:lang w:val="pt-BR"/>
        </w:rPr>
        <w:t>Công thức tính:</w:t>
      </w:r>
      <w:r w:rsidRPr="004F2E10">
        <w:rPr>
          <w:color w:val="auto"/>
          <w:sz w:val="26"/>
          <w:szCs w:val="26"/>
          <w:lang w:val="pt-BR"/>
        </w:rPr>
        <w:tab/>
      </w:r>
    </w:p>
    <w:tbl>
      <w:tblPr>
        <w:tblW w:w="0" w:type="auto"/>
        <w:jc w:val="center"/>
        <w:tblCellMar>
          <w:left w:w="28" w:type="dxa"/>
          <w:right w:w="28" w:type="dxa"/>
        </w:tblCellMar>
        <w:tblLook w:val="04A0" w:firstRow="1" w:lastRow="0" w:firstColumn="1" w:lastColumn="0" w:noHBand="0" w:noVBand="1"/>
      </w:tblPr>
      <w:tblGrid>
        <w:gridCol w:w="1304"/>
        <w:gridCol w:w="473"/>
        <w:gridCol w:w="1116"/>
        <w:gridCol w:w="443"/>
        <w:gridCol w:w="1276"/>
        <w:gridCol w:w="441"/>
        <w:gridCol w:w="1496"/>
        <w:gridCol w:w="444"/>
        <w:gridCol w:w="1682"/>
      </w:tblGrid>
      <w:tr w:rsidR="00C55B34" w:rsidRPr="004F2E10" w:rsidTr="00B66C52">
        <w:trPr>
          <w:jc w:val="center"/>
        </w:trPr>
        <w:tc>
          <w:tcPr>
            <w:tcW w:w="1304"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Tổng chi bồi thường và trả tiền bảo hiểm</w:t>
            </w:r>
          </w:p>
        </w:tc>
        <w:tc>
          <w:tcPr>
            <w:tcW w:w="473"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116"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Chi bồi thường và trả tiền bảo hiểm</w:t>
            </w:r>
          </w:p>
        </w:tc>
        <w:tc>
          <w:tcPr>
            <w:tcW w:w="443"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276"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Thu bồi thường nhượng tái bảo hiểm</w:t>
            </w:r>
          </w:p>
        </w:tc>
        <w:tc>
          <w:tcPr>
            <w:tcW w:w="441"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496"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Tăng (giảm) dự phòng nghiệp vụ bảo hiểm gốc</w:t>
            </w:r>
          </w:p>
        </w:tc>
        <w:tc>
          <w:tcPr>
            <w:tcW w:w="444"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w:t>
            </w:r>
          </w:p>
        </w:tc>
        <w:tc>
          <w:tcPr>
            <w:tcW w:w="1682" w:type="dxa"/>
            <w:vAlign w:val="center"/>
          </w:tcPr>
          <w:p w:rsidR="00C55B34" w:rsidRPr="004F2E10" w:rsidRDefault="00C55B34" w:rsidP="00B66C52">
            <w:pPr>
              <w:spacing w:before="120" w:after="120" w:line="240" w:lineRule="auto"/>
              <w:jc w:val="center"/>
              <w:rPr>
                <w:rFonts w:eastAsia="Calibri"/>
                <w:color w:val="auto"/>
                <w:sz w:val="26"/>
                <w:szCs w:val="26"/>
                <w:lang w:val="nl-NL"/>
              </w:rPr>
            </w:pPr>
            <w:r w:rsidRPr="004F2E10">
              <w:rPr>
                <w:rFonts w:eastAsia="Calibri"/>
                <w:color w:val="auto"/>
                <w:sz w:val="26"/>
                <w:szCs w:val="26"/>
                <w:lang w:val="nl-NL"/>
              </w:rPr>
              <w:t>Tăng (giảm) dự phòng nghiệp vụ nhận tái bảo hiểm</w:t>
            </w:r>
          </w:p>
        </w:tc>
      </w:tr>
    </w:tbl>
    <w:p w:rsidR="00C55B34" w:rsidRPr="004F2E10" w:rsidRDefault="00C55B34" w:rsidP="00C55B34">
      <w:pPr>
        <w:autoSpaceDE w:val="0"/>
        <w:autoSpaceDN w:val="0"/>
        <w:adjustRightInd w:val="0"/>
        <w:spacing w:before="120" w:after="120" w:line="240" w:lineRule="auto"/>
        <w:ind w:firstLine="567"/>
        <w:jc w:val="both"/>
        <w:rPr>
          <w:color w:val="auto"/>
          <w:sz w:val="26"/>
          <w:szCs w:val="26"/>
          <w:lang w:val="pt-BR"/>
        </w:rPr>
      </w:pPr>
      <w:r w:rsidRPr="004F2E10">
        <w:rPr>
          <w:color w:val="auto"/>
          <w:sz w:val="26"/>
          <w:szCs w:val="26"/>
          <w:lang w:val="pt-BR"/>
        </w:rPr>
        <w:t>Trong đó:</w:t>
      </w:r>
    </w:p>
    <w:p w:rsidR="00C55B34" w:rsidRPr="004F2E10" w:rsidRDefault="00C55B34" w:rsidP="00C55B34">
      <w:pPr>
        <w:autoSpaceDE w:val="0"/>
        <w:autoSpaceDN w:val="0"/>
        <w:adjustRightInd w:val="0"/>
        <w:spacing w:before="120" w:after="120" w:line="240" w:lineRule="auto"/>
        <w:ind w:firstLine="567"/>
        <w:jc w:val="both"/>
        <w:rPr>
          <w:color w:val="auto"/>
          <w:sz w:val="26"/>
          <w:szCs w:val="26"/>
          <w:lang w:val="pt-BR"/>
        </w:rPr>
      </w:pPr>
      <w:r w:rsidRPr="004F2E10">
        <w:rPr>
          <w:color w:val="auto"/>
          <w:sz w:val="26"/>
          <w:szCs w:val="26"/>
          <w:lang w:val="pt-BR"/>
        </w:rPr>
        <w:t>- Chi bồi thường và trả tiền bảo hiểm phản ánh tổng số chi bồi thường và trả tiền bảo hiểm của doanh nghiệp bảo hiểm nhân thọ phát sinh trong kỳ báo cáo.</w:t>
      </w:r>
    </w:p>
    <w:p w:rsidR="00C55B34" w:rsidRPr="004F2E10" w:rsidRDefault="00C55B34" w:rsidP="00C55B34">
      <w:pPr>
        <w:autoSpaceDE w:val="0"/>
        <w:autoSpaceDN w:val="0"/>
        <w:adjustRightInd w:val="0"/>
        <w:spacing w:before="120" w:after="120" w:line="240" w:lineRule="auto"/>
        <w:ind w:firstLine="567"/>
        <w:jc w:val="both"/>
        <w:rPr>
          <w:color w:val="auto"/>
          <w:sz w:val="26"/>
          <w:szCs w:val="26"/>
          <w:lang w:val="pt-BR"/>
        </w:rPr>
      </w:pPr>
      <w:r w:rsidRPr="004F2E10">
        <w:rPr>
          <w:color w:val="auto"/>
          <w:sz w:val="26"/>
          <w:szCs w:val="26"/>
          <w:lang w:val="pt-BR"/>
        </w:rPr>
        <w:t>- Thu bồi thường nhượng tái bảo hiểm phản ánh số chi bồi thường và trả tiền bảo hiểm phải thu của doanh nghiệp nhận tái bảo hiểm để giảm chi bồi thường và trả tiền bảo hiểm của doanh nghiệp bảo hiểm nhân thọ trong kỳ báo cáo.</w:t>
      </w:r>
    </w:p>
    <w:p w:rsidR="00C55B34" w:rsidRPr="00537FA1" w:rsidRDefault="00C55B34" w:rsidP="00C55B34">
      <w:pPr>
        <w:autoSpaceDE w:val="0"/>
        <w:autoSpaceDN w:val="0"/>
        <w:adjustRightInd w:val="0"/>
        <w:spacing w:before="120" w:after="120" w:line="240" w:lineRule="auto"/>
        <w:ind w:firstLine="567"/>
        <w:jc w:val="both"/>
        <w:rPr>
          <w:color w:val="auto"/>
          <w:spacing w:val="-4"/>
          <w:sz w:val="26"/>
          <w:szCs w:val="26"/>
          <w:lang w:val="pt-BR"/>
        </w:rPr>
      </w:pPr>
      <w:r w:rsidRPr="00537FA1">
        <w:rPr>
          <w:color w:val="auto"/>
          <w:spacing w:val="-4"/>
          <w:sz w:val="26"/>
          <w:szCs w:val="26"/>
          <w:lang w:val="pt-BR"/>
        </w:rPr>
        <w:t>- Tăng (giảm) dự phòng nghiệp vụ bảo hiểm gốc phản ánh số tăng, giảm dự phòng nghiệp vụ bảo hiểm gốc, là số chênh lệch giữa số dự phòng nghiệp vụ bảo hiểm gốc phải trích trong năm tài chính với số dự phòng nghiệp vụ bảo hiểm gốc năm trước chuyển sang.</w:t>
      </w:r>
    </w:p>
    <w:p w:rsidR="00C55B34" w:rsidRPr="004F2E10" w:rsidRDefault="00C55B34" w:rsidP="00C55B34">
      <w:pPr>
        <w:spacing w:before="120" w:after="120" w:line="240" w:lineRule="auto"/>
        <w:ind w:firstLine="567"/>
        <w:jc w:val="both"/>
        <w:rPr>
          <w:color w:val="auto"/>
          <w:sz w:val="26"/>
          <w:szCs w:val="26"/>
          <w:lang w:val="pt-BR"/>
        </w:rPr>
      </w:pPr>
      <w:r w:rsidRPr="004F2E10">
        <w:rPr>
          <w:color w:val="auto"/>
          <w:sz w:val="26"/>
          <w:szCs w:val="26"/>
          <w:lang w:val="pt-BR"/>
        </w:rPr>
        <w:t xml:space="preserve">- Tăng (giảm) dự phòng nghiệp vụ nhận tái bảo hiểm phản ánh số tăng, giảm dự phòng nghiệp vụ nhận tái bảo hiểm, là số chênh lệch giữa số dự phòng nghiệp vụ nhận tái bảo hiểm </w:t>
      </w:r>
      <w:r w:rsidRPr="004F2E10">
        <w:rPr>
          <w:color w:val="auto"/>
          <w:spacing w:val="4"/>
          <w:sz w:val="26"/>
          <w:szCs w:val="26"/>
          <w:lang w:val="pt-BR"/>
        </w:rPr>
        <w:t>phải trích trong năm tài chính với số dự phòng nghiệp vụ nhận tái bảo hiểm năm trước chuyển</w:t>
      </w:r>
      <w:r w:rsidRPr="004F2E10">
        <w:rPr>
          <w:color w:val="auto"/>
          <w:sz w:val="26"/>
          <w:szCs w:val="26"/>
          <w:lang w:val="pt-BR"/>
        </w:rPr>
        <w:t xml:space="preserve"> sang.</w:t>
      </w:r>
    </w:p>
    <w:p w:rsidR="00EA57AD" w:rsidRPr="00031439" w:rsidRDefault="005F6840" w:rsidP="00EA57AD">
      <w:pPr>
        <w:ind w:firstLine="567"/>
        <w:rPr>
          <w:b/>
          <w:sz w:val="26"/>
          <w:szCs w:val="26"/>
        </w:rPr>
      </w:pPr>
      <w:r w:rsidRPr="00031439">
        <w:rPr>
          <w:b/>
          <w:sz w:val="26"/>
          <w:szCs w:val="26"/>
        </w:rPr>
        <w:t xml:space="preserve">3. </w:t>
      </w:r>
      <w:r w:rsidR="00EA57AD" w:rsidRPr="00031439">
        <w:rPr>
          <w:b/>
          <w:sz w:val="26"/>
          <w:szCs w:val="26"/>
        </w:rPr>
        <w:t>Tăng (giảm) dự phòng dao động lớn</w:t>
      </w:r>
    </w:p>
    <w:p w:rsidR="00EA57AD" w:rsidRPr="00031439" w:rsidRDefault="00EA57AD" w:rsidP="00EA57AD">
      <w:pPr>
        <w:ind w:firstLine="567"/>
        <w:rPr>
          <w:sz w:val="26"/>
          <w:szCs w:val="26"/>
        </w:rPr>
      </w:pPr>
      <w:r w:rsidRPr="00031439">
        <w:rPr>
          <w:sz w:val="26"/>
          <w:szCs w:val="26"/>
        </w:rPr>
        <w:t>Chỉ tiêu này phản ánh số tăng, giảm dự phòng dao động lớn là số chênh lệch giữa số dự phòng dao động lớn phải trích trong năm với số dự phòng dao động lớn đã sử dụng trong năm.</w:t>
      </w:r>
    </w:p>
    <w:p w:rsidR="00EA57AD" w:rsidRPr="00031439" w:rsidRDefault="005F6840" w:rsidP="00EA57AD">
      <w:pPr>
        <w:ind w:firstLine="567"/>
        <w:rPr>
          <w:b/>
          <w:sz w:val="26"/>
          <w:szCs w:val="26"/>
        </w:rPr>
      </w:pPr>
      <w:r w:rsidRPr="00031439">
        <w:rPr>
          <w:b/>
          <w:sz w:val="26"/>
          <w:szCs w:val="26"/>
        </w:rPr>
        <w:t xml:space="preserve">4. </w:t>
      </w:r>
      <w:r w:rsidR="00EA57AD" w:rsidRPr="00031439">
        <w:rPr>
          <w:b/>
          <w:sz w:val="26"/>
          <w:szCs w:val="26"/>
        </w:rPr>
        <w:t>Lợi nhuận từ hoạt động đầu tư bất động sản</w:t>
      </w:r>
    </w:p>
    <w:p w:rsidR="00EA57AD" w:rsidRPr="00031439" w:rsidRDefault="00EA57AD" w:rsidP="00EA57AD">
      <w:pPr>
        <w:ind w:firstLine="567"/>
        <w:rPr>
          <w:sz w:val="26"/>
          <w:szCs w:val="26"/>
        </w:rPr>
      </w:pPr>
      <w:r w:rsidRPr="00031439">
        <w:rPr>
          <w:sz w:val="26"/>
          <w:szCs w:val="26"/>
        </w:rPr>
        <w:t>Chỉ tiêu này phản ánh số chênh lệch giữa doanh thu hoạt động kinh doanh bất động sản đầu tư với giá vốn bất động sản đầu tư phát sinh trong kỳ báo cáo.</w:t>
      </w:r>
    </w:p>
    <w:p w:rsidR="00EA57AD" w:rsidRPr="00031439" w:rsidRDefault="00EA57AD" w:rsidP="00EA57AD">
      <w:pPr>
        <w:ind w:firstLine="567"/>
        <w:rPr>
          <w:b/>
          <w:bCs/>
          <w:sz w:val="26"/>
          <w:szCs w:val="26"/>
        </w:rPr>
      </w:pPr>
      <w:r w:rsidRPr="00031439">
        <w:rPr>
          <w:b/>
          <w:bCs/>
          <w:sz w:val="26"/>
          <w:szCs w:val="26"/>
        </w:rPr>
        <w:t xml:space="preserve"> </w:t>
      </w:r>
      <w:r w:rsidR="005F6840" w:rsidRPr="00031439">
        <w:rPr>
          <w:b/>
          <w:bCs/>
          <w:sz w:val="26"/>
          <w:szCs w:val="26"/>
        </w:rPr>
        <w:t xml:space="preserve">5. </w:t>
      </w:r>
      <w:r w:rsidRPr="00031439">
        <w:rPr>
          <w:b/>
          <w:bCs/>
          <w:sz w:val="26"/>
          <w:szCs w:val="26"/>
        </w:rPr>
        <w:t xml:space="preserve">Lợi nhuận gộp hoạt động tài chính </w:t>
      </w:r>
    </w:p>
    <w:p w:rsidR="00EA57AD" w:rsidRPr="00031439" w:rsidRDefault="00EA57AD" w:rsidP="00EA57AD">
      <w:pPr>
        <w:ind w:firstLine="567"/>
        <w:rPr>
          <w:sz w:val="26"/>
          <w:szCs w:val="26"/>
        </w:rPr>
      </w:pPr>
      <w:r w:rsidRPr="00031439">
        <w:rPr>
          <w:sz w:val="26"/>
          <w:szCs w:val="26"/>
        </w:rPr>
        <w:t>Chỉ tiêu này phản ánh số chênh lệch giữa doanh thu thuần hoạt động tài chính với chi phí hoạt động tài chính phát sinh trong kỳ báo cáo.</w:t>
      </w:r>
    </w:p>
    <w:p w:rsidR="00EA57AD" w:rsidRPr="00031439" w:rsidRDefault="005F6840" w:rsidP="00EA57AD">
      <w:pPr>
        <w:ind w:firstLine="567"/>
        <w:rPr>
          <w:b/>
          <w:sz w:val="26"/>
          <w:szCs w:val="26"/>
        </w:rPr>
      </w:pPr>
      <w:r w:rsidRPr="00031439">
        <w:rPr>
          <w:b/>
          <w:sz w:val="26"/>
          <w:szCs w:val="26"/>
        </w:rPr>
        <w:lastRenderedPageBreak/>
        <w:t xml:space="preserve">6. </w:t>
      </w:r>
      <w:r w:rsidR="00EA57AD" w:rsidRPr="00031439">
        <w:rPr>
          <w:b/>
          <w:sz w:val="26"/>
          <w:szCs w:val="26"/>
        </w:rPr>
        <w:t>Tổng số tiền đầu tư trở lại nền kinh tế</w:t>
      </w:r>
    </w:p>
    <w:p w:rsidR="00545646" w:rsidRPr="00031439" w:rsidRDefault="00545646" w:rsidP="00545646">
      <w:pPr>
        <w:ind w:firstLine="567"/>
        <w:jc w:val="both"/>
        <w:rPr>
          <w:sz w:val="26"/>
          <w:szCs w:val="26"/>
        </w:rPr>
      </w:pPr>
      <w:r w:rsidRPr="00031439">
        <w:rPr>
          <w:sz w:val="26"/>
          <w:szCs w:val="26"/>
        </w:rPr>
        <w:t>Là nguồn vốn trung và dài hạn cho đầu tư phát triển kinh tế - xã hội. Các hoạt động đầu tư của doanh nghiệp bảo hiểm bao gồm: góp vốn thành lập doanh nghiệp khác, cho vay, trái phiếu Chính phủ, cổ phiếu, chứng chỉ quỹ, trái phiếu doanh nghiệp và tiền gửi tại các tổ chức tín dụng</w:t>
      </w:r>
    </w:p>
    <w:p w:rsidR="00EA57AD" w:rsidRPr="00031439" w:rsidRDefault="005F6840" w:rsidP="00EA57AD">
      <w:pPr>
        <w:ind w:firstLine="567"/>
        <w:rPr>
          <w:b/>
          <w:sz w:val="26"/>
          <w:szCs w:val="26"/>
        </w:rPr>
      </w:pPr>
      <w:r w:rsidRPr="00031439">
        <w:rPr>
          <w:b/>
          <w:sz w:val="26"/>
          <w:szCs w:val="26"/>
        </w:rPr>
        <w:t xml:space="preserve">7. </w:t>
      </w:r>
      <w:r w:rsidR="00EA57AD" w:rsidRPr="00031439">
        <w:rPr>
          <w:b/>
          <w:sz w:val="26"/>
          <w:szCs w:val="26"/>
        </w:rPr>
        <w:t xml:space="preserve">Tổng phí bảo hiểm thu xếp qua môi giới: </w:t>
      </w:r>
    </w:p>
    <w:p w:rsidR="00EA57AD" w:rsidRPr="00031439" w:rsidRDefault="00EA57AD" w:rsidP="00B155AC">
      <w:pPr>
        <w:ind w:firstLine="567"/>
        <w:jc w:val="both"/>
        <w:rPr>
          <w:color w:val="auto"/>
          <w:sz w:val="26"/>
          <w:szCs w:val="26"/>
        </w:rPr>
      </w:pPr>
      <w:r w:rsidRPr="00031439">
        <w:rPr>
          <w:color w:val="auto"/>
          <w:sz w:val="26"/>
          <w:szCs w:val="26"/>
        </w:rPr>
        <w:t xml:space="preserve">Là tổng số </w:t>
      </w:r>
      <w:r w:rsidR="006D5278" w:rsidRPr="00031439">
        <w:rPr>
          <w:color w:val="auto"/>
          <w:sz w:val="26"/>
          <w:szCs w:val="26"/>
        </w:rPr>
        <w:t xml:space="preserve">phí bảo hiểm mà doanh nghiệp bảo hiểm </w:t>
      </w:r>
      <w:r w:rsidR="00B155AC" w:rsidRPr="00031439">
        <w:rPr>
          <w:color w:val="auto"/>
          <w:sz w:val="26"/>
          <w:szCs w:val="26"/>
        </w:rPr>
        <w:t xml:space="preserve">phải trả cho doanh nghiệp môi giới bảo hiểm dưới hình thức </w:t>
      </w:r>
      <w:r w:rsidRPr="00031439">
        <w:rPr>
          <w:color w:val="auto"/>
          <w:sz w:val="26"/>
          <w:szCs w:val="26"/>
        </w:rPr>
        <w:t>hoa hồng môi giới bảo hiểm phát sinh trong kỳ báo cáo.</w:t>
      </w:r>
    </w:p>
    <w:p w:rsidR="00EA57AD" w:rsidRPr="00031439" w:rsidRDefault="005F6840" w:rsidP="00EA57AD">
      <w:pPr>
        <w:ind w:firstLine="567"/>
        <w:rPr>
          <w:b/>
          <w:color w:val="auto"/>
          <w:sz w:val="26"/>
          <w:szCs w:val="26"/>
        </w:rPr>
      </w:pPr>
      <w:r w:rsidRPr="00031439">
        <w:rPr>
          <w:b/>
          <w:color w:val="auto"/>
          <w:sz w:val="26"/>
          <w:szCs w:val="26"/>
        </w:rPr>
        <w:t xml:space="preserve">8. </w:t>
      </w:r>
      <w:r w:rsidR="00EA57AD" w:rsidRPr="00031439">
        <w:rPr>
          <w:b/>
          <w:color w:val="auto"/>
          <w:sz w:val="26"/>
          <w:szCs w:val="26"/>
        </w:rPr>
        <w:t>Tổng tài sản</w:t>
      </w:r>
    </w:p>
    <w:p w:rsidR="00EA57AD" w:rsidRPr="00031439" w:rsidRDefault="00EA57AD" w:rsidP="00EA57AD">
      <w:pPr>
        <w:ind w:firstLine="567"/>
        <w:rPr>
          <w:color w:val="auto"/>
          <w:sz w:val="26"/>
          <w:szCs w:val="26"/>
        </w:rPr>
      </w:pPr>
      <w:r w:rsidRPr="00031439">
        <w:rPr>
          <w:color w:val="auto"/>
          <w:sz w:val="26"/>
          <w:szCs w:val="26"/>
        </w:rPr>
        <w:t>Tổng tài sản của doanh nghiệp bảo hiểm là tất cả các nguồn lực có thực, hữu hình hoặc vô hình gồm các vật, tiền, giấy tờ có giá và các quyền tài sản của doanh nghiệp tại một thời điểm nhất định, có khả năng mang lại lợi ích cho doanh nghiệp đó.</w:t>
      </w:r>
    </w:p>
    <w:p w:rsidR="00B90B92" w:rsidRPr="00031439" w:rsidRDefault="005F6840" w:rsidP="00EA57AD">
      <w:pPr>
        <w:ind w:firstLine="567"/>
        <w:rPr>
          <w:b/>
          <w:color w:val="auto"/>
          <w:sz w:val="26"/>
          <w:szCs w:val="26"/>
        </w:rPr>
      </w:pPr>
      <w:r w:rsidRPr="00031439">
        <w:rPr>
          <w:b/>
          <w:color w:val="auto"/>
          <w:sz w:val="26"/>
          <w:szCs w:val="26"/>
        </w:rPr>
        <w:t xml:space="preserve">9. </w:t>
      </w:r>
      <w:r w:rsidR="00B90B92" w:rsidRPr="00031439">
        <w:rPr>
          <w:b/>
          <w:color w:val="auto"/>
          <w:sz w:val="26"/>
          <w:szCs w:val="26"/>
        </w:rPr>
        <w:t>Tổng dự phòng nghiệp vụ bảo hiểm</w:t>
      </w:r>
    </w:p>
    <w:p w:rsidR="00B90B92" w:rsidRPr="00031439" w:rsidRDefault="00B90B92" w:rsidP="00B90B92">
      <w:pPr>
        <w:ind w:firstLine="567"/>
        <w:jc w:val="both"/>
        <w:rPr>
          <w:sz w:val="26"/>
          <w:szCs w:val="26"/>
        </w:rPr>
      </w:pPr>
      <w:r w:rsidRPr="00031439">
        <w:rPr>
          <w:sz w:val="26"/>
          <w:szCs w:val="26"/>
        </w:rPr>
        <w:t>Dự phòng nghiệp vụ bảo hiểm là khoản tiền mà doanh nghiệp phải trích lập nhằm mục đích thanh toán cho những trách nhiệm bảo hiểm đã được xác định trước và phát sinh từ các hợp đồng bảo hiểm đã giao kết.</w:t>
      </w:r>
    </w:p>
    <w:p w:rsidR="00B90B92" w:rsidRPr="00031439" w:rsidRDefault="005F6840" w:rsidP="00B90B92">
      <w:pPr>
        <w:ind w:firstLine="567"/>
        <w:jc w:val="both"/>
        <w:rPr>
          <w:b/>
          <w:sz w:val="26"/>
          <w:szCs w:val="26"/>
        </w:rPr>
      </w:pPr>
      <w:r w:rsidRPr="00031439">
        <w:rPr>
          <w:b/>
          <w:sz w:val="26"/>
          <w:szCs w:val="26"/>
        </w:rPr>
        <w:t xml:space="preserve">10. </w:t>
      </w:r>
      <w:r w:rsidR="00B90B92" w:rsidRPr="00031439">
        <w:rPr>
          <w:b/>
          <w:sz w:val="26"/>
          <w:szCs w:val="26"/>
        </w:rPr>
        <w:t>Tổng nguồn vốn chủ sở hữu của các doanh nghiệp bảo hiểm</w:t>
      </w:r>
    </w:p>
    <w:p w:rsidR="00594D36" w:rsidRDefault="00594D36" w:rsidP="007C54BD">
      <w:pPr>
        <w:spacing w:before="120" w:after="120" w:line="264" w:lineRule="auto"/>
        <w:ind w:firstLine="567"/>
        <w:jc w:val="both"/>
        <w:rPr>
          <w:sz w:val="26"/>
          <w:szCs w:val="26"/>
        </w:rPr>
      </w:pPr>
      <w:r w:rsidRPr="00594D36">
        <w:rPr>
          <w:sz w:val="26"/>
          <w:szCs w:val="26"/>
        </w:rPr>
        <w:t>Vốn chủ sở hữu của doanh nghiệp bao gồm: Vốn góp thực tế của cổ đông được quy định trong điều lệ của công ty; thặng dư vốn cổ phần (đối với công ty cổ phần); cổ phiếu quỹ (đối với công ty cổ phần); lợi nhuận chưa phân phối; các quỹ dự trữ; các khoản mục khác của vốn chủ sở hữu.</w:t>
      </w:r>
    </w:p>
    <w:p w:rsidR="007C54BD" w:rsidRPr="00031439" w:rsidRDefault="007C54BD" w:rsidP="007C54BD">
      <w:pPr>
        <w:spacing w:before="120" w:after="120" w:line="264" w:lineRule="auto"/>
        <w:ind w:firstLine="567"/>
        <w:jc w:val="both"/>
        <w:rPr>
          <w:b/>
          <w:sz w:val="26"/>
          <w:szCs w:val="26"/>
        </w:rPr>
      </w:pPr>
      <w:r w:rsidRPr="00031439">
        <w:rPr>
          <w:b/>
          <w:sz w:val="26"/>
          <w:szCs w:val="26"/>
        </w:rPr>
        <w:t xml:space="preserve"> </w:t>
      </w:r>
      <w:r w:rsidR="005F6840" w:rsidRPr="00031439">
        <w:rPr>
          <w:b/>
          <w:sz w:val="26"/>
          <w:szCs w:val="26"/>
        </w:rPr>
        <w:t xml:space="preserve">11. </w:t>
      </w:r>
      <w:r w:rsidRPr="00031439">
        <w:rPr>
          <w:b/>
          <w:sz w:val="26"/>
          <w:szCs w:val="26"/>
        </w:rPr>
        <w:t>Thời gian cung cấp thông tin</w:t>
      </w:r>
    </w:p>
    <w:p w:rsidR="007C54BD" w:rsidRPr="00031439" w:rsidRDefault="007C54BD" w:rsidP="007C54BD">
      <w:pPr>
        <w:spacing w:before="120" w:after="120" w:line="264" w:lineRule="auto"/>
        <w:ind w:firstLine="567"/>
        <w:jc w:val="both"/>
        <w:rPr>
          <w:sz w:val="26"/>
          <w:szCs w:val="26"/>
        </w:rPr>
      </w:pPr>
      <w:r w:rsidRPr="00031439">
        <w:rPr>
          <w:sz w:val="26"/>
          <w:szCs w:val="26"/>
        </w:rPr>
        <w:t>- Ước tính quý 1: Ngày 20 tháng 3 hằng năm;</w:t>
      </w:r>
    </w:p>
    <w:p w:rsidR="007C54BD" w:rsidRPr="00031439" w:rsidRDefault="007C54BD" w:rsidP="007C54BD">
      <w:pPr>
        <w:spacing w:before="120" w:after="120" w:line="264" w:lineRule="auto"/>
        <w:ind w:firstLine="567"/>
        <w:jc w:val="both"/>
        <w:rPr>
          <w:sz w:val="26"/>
          <w:szCs w:val="26"/>
        </w:rPr>
      </w:pPr>
      <w:r w:rsidRPr="00031439">
        <w:rPr>
          <w:sz w:val="26"/>
          <w:szCs w:val="26"/>
        </w:rPr>
        <w:t>- Chính thức quý 1, ước tính quý 2, 6 tháng: Ngày 20 tháng 5 hằng năm;</w:t>
      </w:r>
    </w:p>
    <w:p w:rsidR="007C54BD" w:rsidRPr="00031439" w:rsidRDefault="007C54BD" w:rsidP="007C54BD">
      <w:pPr>
        <w:spacing w:before="120" w:after="120" w:line="264" w:lineRule="auto"/>
        <w:ind w:firstLine="567"/>
        <w:jc w:val="both"/>
        <w:rPr>
          <w:sz w:val="26"/>
          <w:szCs w:val="26"/>
        </w:rPr>
      </w:pPr>
      <w:r w:rsidRPr="00031439">
        <w:rPr>
          <w:sz w:val="26"/>
          <w:szCs w:val="26"/>
        </w:rPr>
        <w:t>- Chính thức quý 2, 6 tháng; ước tính quý 3 và 9 tháng: Ngày 20 tháng 9 hằng năm;</w:t>
      </w:r>
    </w:p>
    <w:p w:rsidR="007C54BD" w:rsidRPr="00031439" w:rsidRDefault="007C54BD" w:rsidP="007C54BD">
      <w:pPr>
        <w:spacing w:before="120" w:after="120" w:line="264" w:lineRule="auto"/>
        <w:ind w:firstLine="567"/>
        <w:jc w:val="both"/>
        <w:rPr>
          <w:sz w:val="26"/>
          <w:szCs w:val="26"/>
        </w:rPr>
      </w:pPr>
      <w:r w:rsidRPr="00031439">
        <w:rPr>
          <w:sz w:val="26"/>
          <w:szCs w:val="26"/>
        </w:rPr>
        <w:t>- Chính thức quý 3 và 9 tháng, ước tính quý 4 và cả năm: Ngày 10 tháng 11 hằng năm;</w:t>
      </w:r>
    </w:p>
    <w:p w:rsidR="00710E34" w:rsidRPr="008E4A00" w:rsidRDefault="007C54BD" w:rsidP="008E4A00">
      <w:pPr>
        <w:spacing w:before="120" w:after="120" w:line="264" w:lineRule="auto"/>
        <w:ind w:firstLine="567"/>
        <w:jc w:val="both"/>
        <w:rPr>
          <w:sz w:val="26"/>
          <w:szCs w:val="26"/>
        </w:rPr>
      </w:pPr>
      <w:r w:rsidRPr="00031439">
        <w:rPr>
          <w:sz w:val="26"/>
          <w:szCs w:val="26"/>
        </w:rPr>
        <w:t>- Chính thức quý IV và cả năm: Ngày 20 tháng 3 năm kế tiếp.</w:t>
      </w:r>
    </w:p>
    <w:p w:rsidR="00D76979" w:rsidRDefault="00D76979" w:rsidP="00D76979">
      <w:pPr>
        <w:spacing w:after="0" w:line="240" w:lineRule="auto"/>
        <w:jc w:val="center"/>
        <w:rPr>
          <w:b/>
          <w:szCs w:val="26"/>
        </w:rPr>
      </w:pPr>
      <w:r w:rsidRPr="00D76979">
        <w:rPr>
          <w:b/>
          <w:szCs w:val="26"/>
        </w:rPr>
        <w:lastRenderedPageBreak/>
        <w:t xml:space="preserve">Giải thích nội dung Biểu 03/BTC </w:t>
      </w:r>
      <w:r>
        <w:rPr>
          <w:b/>
          <w:szCs w:val="26"/>
        </w:rPr>
        <w:t>–</w:t>
      </w:r>
      <w:r w:rsidRPr="00D76979">
        <w:rPr>
          <w:b/>
          <w:szCs w:val="26"/>
        </w:rPr>
        <w:t xml:space="preserve"> </w:t>
      </w:r>
      <w:r>
        <w:rPr>
          <w:b/>
          <w:szCs w:val="26"/>
        </w:rPr>
        <w:t>Tổng hợp số lượng lao động thị trường bảo hiểm chia theo</w:t>
      </w:r>
    </w:p>
    <w:p w:rsidR="00D76979" w:rsidRDefault="00D76979" w:rsidP="00D76979">
      <w:pPr>
        <w:spacing w:after="0" w:line="240" w:lineRule="auto"/>
        <w:jc w:val="center"/>
        <w:rPr>
          <w:b/>
          <w:szCs w:val="26"/>
        </w:rPr>
      </w:pPr>
      <w:r>
        <w:rPr>
          <w:b/>
          <w:szCs w:val="26"/>
        </w:rPr>
        <w:t xml:space="preserve"> tỉnh thành phố trực thuộc Trung ương</w:t>
      </w:r>
    </w:p>
    <w:p w:rsidR="00D76979" w:rsidRPr="00D76979" w:rsidRDefault="00D76979" w:rsidP="00D76979">
      <w:pPr>
        <w:spacing w:after="0" w:line="240" w:lineRule="auto"/>
        <w:jc w:val="center"/>
        <w:rPr>
          <w:b/>
          <w:i/>
          <w:szCs w:val="26"/>
        </w:rPr>
      </w:pPr>
      <w:r w:rsidRPr="00D76979">
        <w:rPr>
          <w:b/>
          <w:i/>
          <w:szCs w:val="26"/>
        </w:rPr>
        <w:t>(Áp dụng đối với Bộ Tài chính)</w:t>
      </w:r>
    </w:p>
    <w:p w:rsidR="0078092E" w:rsidRDefault="0078092E" w:rsidP="00710E34">
      <w:pPr>
        <w:ind w:firstLine="567"/>
        <w:jc w:val="center"/>
        <w:rPr>
          <w:b/>
          <w:sz w:val="26"/>
          <w:szCs w:val="26"/>
        </w:rPr>
      </w:pPr>
    </w:p>
    <w:p w:rsidR="00D76979" w:rsidRPr="00031439" w:rsidRDefault="00D76979" w:rsidP="00710E34">
      <w:pPr>
        <w:ind w:firstLine="567"/>
        <w:jc w:val="center"/>
        <w:rPr>
          <w:b/>
          <w:color w:val="auto"/>
          <w:sz w:val="26"/>
          <w:szCs w:val="26"/>
        </w:rPr>
      </w:pPr>
    </w:p>
    <w:p w:rsidR="006A72D0" w:rsidRPr="007A3324" w:rsidRDefault="0078092E">
      <w:pPr>
        <w:rPr>
          <w:b/>
          <w:sz w:val="26"/>
          <w:szCs w:val="26"/>
        </w:rPr>
      </w:pPr>
      <w:r>
        <w:rPr>
          <w:b/>
          <w:sz w:val="26"/>
          <w:szCs w:val="26"/>
        </w:rPr>
        <w:tab/>
      </w:r>
      <w:r w:rsidRPr="007A3324">
        <w:rPr>
          <w:b/>
          <w:sz w:val="26"/>
          <w:szCs w:val="26"/>
        </w:rPr>
        <w:t>1. Khái niệm:</w:t>
      </w:r>
    </w:p>
    <w:p w:rsidR="0078092E" w:rsidRDefault="0078092E">
      <w:pPr>
        <w:rPr>
          <w:sz w:val="26"/>
          <w:szCs w:val="26"/>
        </w:rPr>
      </w:pPr>
      <w:r w:rsidRPr="007A3324">
        <w:rPr>
          <w:sz w:val="26"/>
          <w:szCs w:val="26"/>
        </w:rPr>
        <w:tab/>
      </w:r>
      <w:r w:rsidR="007A3324">
        <w:rPr>
          <w:sz w:val="26"/>
          <w:szCs w:val="26"/>
        </w:rPr>
        <w:t xml:space="preserve">Là số lao động bình quân phát sinh trong năm </w:t>
      </w:r>
      <w:r w:rsidRPr="007A3324">
        <w:rPr>
          <w:sz w:val="26"/>
          <w:szCs w:val="26"/>
        </w:rPr>
        <w:t>chia theo từng loại bảo hiểm (nhân thọ, phi nhân thọ) của các quý, 6 tháng, 9 tháng và cả năm theo tỉnh, thành phố.</w:t>
      </w:r>
    </w:p>
    <w:p w:rsidR="007A3324" w:rsidRPr="007A3324" w:rsidRDefault="007A3324">
      <w:pPr>
        <w:rPr>
          <w:b/>
          <w:sz w:val="26"/>
          <w:szCs w:val="26"/>
        </w:rPr>
      </w:pPr>
      <w:r>
        <w:rPr>
          <w:sz w:val="26"/>
          <w:szCs w:val="26"/>
        </w:rPr>
        <w:tab/>
      </w:r>
      <w:r w:rsidRPr="007A3324">
        <w:rPr>
          <w:b/>
          <w:sz w:val="26"/>
          <w:szCs w:val="26"/>
        </w:rPr>
        <w:t>2. Phương pháp tính:</w:t>
      </w:r>
    </w:p>
    <w:p w:rsidR="007A3324" w:rsidRDefault="007A3324">
      <w:pPr>
        <w:rPr>
          <w:sz w:val="26"/>
          <w:szCs w:val="26"/>
        </w:rPr>
      </w:pPr>
      <w:r>
        <w:rPr>
          <w:sz w:val="26"/>
          <w:szCs w:val="26"/>
        </w:rPr>
        <w:tab/>
        <w:t>Lấy trực tiếp từ các chỉ tiêu trong báo cáo của Bộ Tài chính</w:t>
      </w:r>
    </w:p>
    <w:p w:rsidR="00710E34" w:rsidRPr="00031439" w:rsidRDefault="007A3324" w:rsidP="007A3324">
      <w:pPr>
        <w:spacing w:before="120" w:after="120" w:line="264" w:lineRule="auto"/>
        <w:ind w:firstLine="720"/>
        <w:jc w:val="both"/>
        <w:rPr>
          <w:b/>
          <w:sz w:val="26"/>
          <w:szCs w:val="26"/>
        </w:rPr>
      </w:pPr>
      <w:r>
        <w:rPr>
          <w:b/>
          <w:sz w:val="26"/>
          <w:szCs w:val="26"/>
        </w:rPr>
        <w:t>3</w:t>
      </w:r>
      <w:r w:rsidR="00710E34" w:rsidRPr="00031439">
        <w:rPr>
          <w:b/>
          <w:sz w:val="26"/>
          <w:szCs w:val="26"/>
        </w:rPr>
        <w:t>. Thời gian cung cấp thông tin</w:t>
      </w:r>
    </w:p>
    <w:p w:rsidR="00710E34" w:rsidRPr="00031439" w:rsidRDefault="00710E34" w:rsidP="007A3324">
      <w:pPr>
        <w:spacing w:before="120" w:after="120" w:line="264" w:lineRule="auto"/>
        <w:ind w:firstLine="720"/>
        <w:jc w:val="both"/>
        <w:rPr>
          <w:sz w:val="26"/>
          <w:szCs w:val="26"/>
        </w:rPr>
      </w:pPr>
      <w:r w:rsidRPr="00031439">
        <w:rPr>
          <w:sz w:val="26"/>
          <w:szCs w:val="26"/>
        </w:rPr>
        <w:t>- Ước tính quý 1: Ngày 20 tháng 3 hằng năm;</w:t>
      </w:r>
    </w:p>
    <w:p w:rsidR="00710E34" w:rsidRPr="00031439" w:rsidRDefault="00710E34" w:rsidP="007A3324">
      <w:pPr>
        <w:spacing w:before="120" w:after="120" w:line="264" w:lineRule="auto"/>
        <w:ind w:firstLine="720"/>
        <w:jc w:val="both"/>
        <w:rPr>
          <w:sz w:val="26"/>
          <w:szCs w:val="26"/>
        </w:rPr>
      </w:pPr>
      <w:r w:rsidRPr="00031439">
        <w:rPr>
          <w:sz w:val="26"/>
          <w:szCs w:val="26"/>
        </w:rPr>
        <w:t>- Chính thức quý 1, ước tính quý 2, 6 tháng: Ngày 20 tháng 5 hằng năm;</w:t>
      </w:r>
    </w:p>
    <w:p w:rsidR="00710E34" w:rsidRPr="00031439" w:rsidRDefault="00710E34" w:rsidP="007A3324">
      <w:pPr>
        <w:spacing w:before="120" w:after="120" w:line="264" w:lineRule="auto"/>
        <w:ind w:firstLine="720"/>
        <w:jc w:val="both"/>
        <w:rPr>
          <w:sz w:val="26"/>
          <w:szCs w:val="26"/>
        </w:rPr>
      </w:pPr>
      <w:r w:rsidRPr="00031439">
        <w:rPr>
          <w:sz w:val="26"/>
          <w:szCs w:val="26"/>
        </w:rPr>
        <w:t>- Chính thức quý 2, 6 tháng; ước tính quý 3 và 9 tháng: Ngày 20 tháng 9 hằng năm;</w:t>
      </w:r>
    </w:p>
    <w:p w:rsidR="00710E34" w:rsidRPr="00031439" w:rsidRDefault="00710E34" w:rsidP="007A3324">
      <w:pPr>
        <w:spacing w:before="120" w:after="120" w:line="264" w:lineRule="auto"/>
        <w:ind w:firstLine="720"/>
        <w:jc w:val="both"/>
        <w:rPr>
          <w:sz w:val="26"/>
          <w:szCs w:val="26"/>
        </w:rPr>
      </w:pPr>
      <w:r w:rsidRPr="00031439">
        <w:rPr>
          <w:sz w:val="26"/>
          <w:szCs w:val="26"/>
        </w:rPr>
        <w:t>- Chính thức quý 3 và 9 tháng, ước tính quý 4 và cả năm: Ngày 10 tháng 11 hằng năm;</w:t>
      </w:r>
    </w:p>
    <w:p w:rsidR="00710E34" w:rsidRPr="00031439" w:rsidRDefault="00710E34" w:rsidP="007A3324">
      <w:pPr>
        <w:spacing w:before="120" w:after="120" w:line="264" w:lineRule="auto"/>
        <w:ind w:firstLine="720"/>
        <w:jc w:val="both"/>
        <w:rPr>
          <w:sz w:val="26"/>
          <w:szCs w:val="26"/>
        </w:rPr>
      </w:pPr>
      <w:r w:rsidRPr="00031439">
        <w:rPr>
          <w:sz w:val="26"/>
          <w:szCs w:val="26"/>
        </w:rPr>
        <w:t>- Chính thức quý IV và cả năm: Ngày 20 tháng 3 năm kế tiếp.</w:t>
      </w:r>
    </w:p>
    <w:p w:rsidR="00710E34" w:rsidRDefault="00710E34" w:rsidP="00710E34">
      <w:pPr>
        <w:rPr>
          <w:sz w:val="26"/>
          <w:szCs w:val="26"/>
        </w:rPr>
      </w:pPr>
    </w:p>
    <w:p w:rsidR="00FA0C99" w:rsidRDefault="00FA0C99" w:rsidP="00710E34">
      <w:pPr>
        <w:rPr>
          <w:sz w:val="26"/>
          <w:szCs w:val="26"/>
        </w:rPr>
      </w:pPr>
    </w:p>
    <w:p w:rsidR="00FA0C99" w:rsidRDefault="00FA0C99" w:rsidP="00710E34">
      <w:pPr>
        <w:rPr>
          <w:sz w:val="26"/>
          <w:szCs w:val="26"/>
        </w:rPr>
      </w:pPr>
    </w:p>
    <w:p w:rsidR="00FA0C99" w:rsidRDefault="00FA0C99" w:rsidP="00710E34">
      <w:pPr>
        <w:rPr>
          <w:sz w:val="26"/>
          <w:szCs w:val="26"/>
        </w:rPr>
      </w:pPr>
    </w:p>
    <w:p w:rsidR="008E4A00" w:rsidRDefault="008E4A00" w:rsidP="00710E34">
      <w:pPr>
        <w:rPr>
          <w:sz w:val="26"/>
          <w:szCs w:val="26"/>
        </w:rPr>
      </w:pPr>
    </w:p>
    <w:p w:rsidR="008E4A00" w:rsidRDefault="008E4A00" w:rsidP="0069349F">
      <w:pPr>
        <w:spacing w:before="120" w:after="120" w:line="264" w:lineRule="auto"/>
        <w:rPr>
          <w:b/>
          <w:sz w:val="26"/>
          <w:szCs w:val="26"/>
        </w:rPr>
      </w:pPr>
    </w:p>
    <w:p w:rsidR="000829D8" w:rsidRPr="00D76979" w:rsidRDefault="00D76979" w:rsidP="008E4A00">
      <w:pPr>
        <w:spacing w:before="120" w:after="120" w:line="264" w:lineRule="auto"/>
        <w:jc w:val="center"/>
        <w:rPr>
          <w:b/>
        </w:rPr>
      </w:pPr>
      <w:r w:rsidRPr="00D76979">
        <w:rPr>
          <w:b/>
        </w:rPr>
        <w:lastRenderedPageBreak/>
        <w:t>Giải thích nội dung Biểu</w:t>
      </w:r>
      <w:r w:rsidR="00FA0C99" w:rsidRPr="00D76979">
        <w:rPr>
          <w:b/>
        </w:rPr>
        <w:t xml:space="preserve"> </w:t>
      </w:r>
      <w:r w:rsidR="003306D4" w:rsidRPr="00D76979">
        <w:rPr>
          <w:b/>
        </w:rPr>
        <w:t>05/BTC</w:t>
      </w:r>
      <w:r w:rsidRPr="00D76979">
        <w:rPr>
          <w:b/>
        </w:rPr>
        <w:t xml:space="preserve"> -</w:t>
      </w:r>
      <w:r w:rsidR="00FA0C99" w:rsidRPr="00D76979">
        <w:rPr>
          <w:b/>
        </w:rPr>
        <w:t xml:space="preserve"> </w:t>
      </w:r>
      <w:r w:rsidRPr="00D76979">
        <w:rPr>
          <w:b/>
        </w:rPr>
        <w:t>Một số chỉ tiêu về thị trường chứng khoán</w:t>
      </w:r>
    </w:p>
    <w:p w:rsidR="00FA0C99" w:rsidRPr="00D76979" w:rsidRDefault="00D76979" w:rsidP="000829D8">
      <w:pPr>
        <w:spacing w:before="120" w:after="120" w:line="264" w:lineRule="auto"/>
        <w:jc w:val="center"/>
        <w:rPr>
          <w:b/>
          <w:i/>
        </w:rPr>
      </w:pPr>
      <w:r w:rsidRPr="00D76979">
        <w:rPr>
          <w:b/>
          <w:i/>
        </w:rPr>
        <w:t>(Áp dụng đối với Bộ Tài chính)</w:t>
      </w:r>
    </w:p>
    <w:p w:rsidR="00FA0C99" w:rsidRPr="00C85BC8" w:rsidRDefault="00FA0C99" w:rsidP="00FA0C99">
      <w:pPr>
        <w:spacing w:before="120" w:after="120" w:line="312" w:lineRule="auto"/>
        <w:ind w:firstLine="706"/>
        <w:jc w:val="both"/>
        <w:rPr>
          <w:b/>
          <w:sz w:val="26"/>
        </w:rPr>
      </w:pPr>
      <w:r w:rsidRPr="00C85BC8">
        <w:rPr>
          <w:b/>
          <w:sz w:val="26"/>
        </w:rPr>
        <w:t xml:space="preserve">1. </w:t>
      </w:r>
      <w:r w:rsidRPr="00C85BC8">
        <w:rPr>
          <w:b/>
        </w:rPr>
        <w:t>Chỉ số chứng khoán</w:t>
      </w:r>
    </w:p>
    <w:p w:rsidR="00FA0C99" w:rsidRPr="00C85BC8" w:rsidRDefault="00FA0C99" w:rsidP="00FA0C99">
      <w:pPr>
        <w:spacing w:before="120" w:after="120" w:line="312" w:lineRule="auto"/>
        <w:ind w:firstLine="706"/>
        <w:jc w:val="both"/>
        <w:rPr>
          <w:b/>
          <w:sz w:val="26"/>
          <w:szCs w:val="24"/>
        </w:rPr>
      </w:pPr>
      <w:r>
        <w:t>a. Khái niệm</w:t>
      </w:r>
      <w:r w:rsidRPr="00C85BC8">
        <w:t>:</w:t>
      </w:r>
    </w:p>
    <w:p w:rsidR="00FA0C99" w:rsidRPr="00C85BC8" w:rsidRDefault="00FA0C99" w:rsidP="00FA0C99">
      <w:pPr>
        <w:tabs>
          <w:tab w:val="left" w:pos="0"/>
          <w:tab w:val="left" w:pos="360"/>
          <w:tab w:val="left" w:pos="900"/>
        </w:tabs>
        <w:spacing w:before="120" w:after="120" w:line="400" w:lineRule="exact"/>
        <w:ind w:firstLine="706"/>
        <w:jc w:val="both"/>
      </w:pPr>
      <w:r w:rsidRPr="00C85BC8">
        <w:t>Chỉ số chứng khoán là số tương đối biểu hiện (bằng điểm), bằng sự quan hệ so sánh giữa giá cổ phiếu bình quân kỳ nghiên cứu (hiện tại) với giá bình quân kỳ gốc đã chọn</w:t>
      </w:r>
      <w:r>
        <w:t xml:space="preserve"> (thường coi là 100 hoặc 1000).</w:t>
      </w:r>
    </w:p>
    <w:p w:rsidR="00FA0C99" w:rsidRDefault="00FA0C99" w:rsidP="00FA0C99">
      <w:pPr>
        <w:tabs>
          <w:tab w:val="left" w:pos="0"/>
          <w:tab w:val="left" w:pos="360"/>
          <w:tab w:val="left" w:pos="900"/>
        </w:tabs>
        <w:spacing w:before="120" w:after="120" w:line="400" w:lineRule="exact"/>
        <w:ind w:firstLine="706"/>
        <w:jc w:val="both"/>
      </w:pPr>
      <w:r>
        <w:t>b. P</w:t>
      </w:r>
      <w:r w:rsidRPr="00C85BC8">
        <w:t>hương pháp tính:</w:t>
      </w:r>
    </w:p>
    <w:p w:rsidR="00FA0C99" w:rsidRPr="00C85BC8" w:rsidRDefault="00FA0C99" w:rsidP="00FA0C99">
      <w:pPr>
        <w:tabs>
          <w:tab w:val="left" w:pos="0"/>
          <w:tab w:val="left" w:pos="360"/>
          <w:tab w:val="left" w:pos="900"/>
        </w:tabs>
        <w:spacing w:before="120" w:after="120" w:line="400" w:lineRule="exact"/>
        <w:ind w:firstLine="706"/>
        <w:jc w:val="both"/>
      </w:pPr>
      <w:r w:rsidRPr="00C85BC8">
        <w:t>Chỉ số chứng khoán được tính theo phương pháp bình quân gia quyền giá trị với quyền số là số lượng chứng khoán niêm yết tại thời kỳ tính toán. Người ta thường dùng công thức Passcher để tính :</w:t>
      </w:r>
    </w:p>
    <w:p w:rsidR="00FA0C99" w:rsidRPr="00C85BC8" w:rsidRDefault="00FA0C99" w:rsidP="00FA0C99">
      <w:pPr>
        <w:tabs>
          <w:tab w:val="left" w:pos="0"/>
          <w:tab w:val="left" w:pos="360"/>
          <w:tab w:val="left" w:pos="900"/>
        </w:tabs>
        <w:spacing w:before="120" w:after="120" w:line="400" w:lineRule="exact"/>
        <w:ind w:firstLine="706"/>
        <w:jc w:val="both"/>
      </w:pPr>
      <w:r w:rsidRPr="00C85BC8">
        <w:t>Lấy công thức tính VNIndex làm đại diện:</w:t>
      </w:r>
    </w:p>
    <w:p w:rsidR="00FA0C99" w:rsidRDefault="00FA0C99" w:rsidP="00FA0C99">
      <w:pPr>
        <w:tabs>
          <w:tab w:val="left" w:pos="0"/>
          <w:tab w:val="left" w:pos="360"/>
          <w:tab w:val="left" w:pos="900"/>
        </w:tabs>
        <w:spacing w:before="120" w:after="120" w:line="400" w:lineRule="exact"/>
        <w:ind w:firstLine="706"/>
        <w:jc w:val="both"/>
      </w:pPr>
      <w:r w:rsidRPr="00C85BC8">
        <w:tab/>
      </w:r>
      <w:r w:rsidRPr="00C85BC8">
        <w:tab/>
        <w:t xml:space="preserve"> </w:t>
      </w:r>
      <w:r>
        <w:t xml:space="preserve">                                </w:t>
      </w:r>
    </w:p>
    <w:p w:rsidR="00FA0C99" w:rsidRPr="00C85BC8" w:rsidRDefault="00FA0C99" w:rsidP="00FA0C99">
      <w:pPr>
        <w:tabs>
          <w:tab w:val="left" w:pos="0"/>
          <w:tab w:val="left" w:pos="360"/>
          <w:tab w:val="left" w:pos="900"/>
        </w:tabs>
        <w:spacing w:before="120" w:after="120" w:line="400" w:lineRule="exact"/>
        <w:ind w:firstLine="706"/>
        <w:jc w:val="both"/>
      </w:pPr>
      <w:r>
        <w:t xml:space="preserve">                                                   (P1i x Q1i )</w:t>
      </w:r>
    </w:p>
    <w:p w:rsidR="00FA0C99" w:rsidRPr="00C85BC8" w:rsidRDefault="00FA0C99" w:rsidP="00FA0C99">
      <w:pPr>
        <w:tabs>
          <w:tab w:val="left" w:pos="0"/>
          <w:tab w:val="left" w:pos="360"/>
          <w:tab w:val="left" w:pos="900"/>
        </w:tabs>
        <w:spacing w:before="120" w:after="120" w:line="400" w:lineRule="exact"/>
        <w:ind w:firstLine="706"/>
        <w:jc w:val="both"/>
      </w:pPr>
      <w:r w:rsidRPr="00C85BC8">
        <w:t>VNIndex(điểm)</w:t>
      </w:r>
      <w:r w:rsidRPr="00C85BC8">
        <w:tab/>
        <w:t>=</w:t>
      </w:r>
      <w:r w:rsidRPr="00C85BC8">
        <w:tab/>
        <w:t>---------------------------</w:t>
      </w:r>
      <w:r w:rsidRPr="00C85BC8">
        <w:tab/>
        <w:t>× 100</w:t>
      </w:r>
    </w:p>
    <w:p w:rsidR="00FA0C99" w:rsidRPr="00C85BC8" w:rsidRDefault="00FA0C99" w:rsidP="00FA0C99">
      <w:pPr>
        <w:tabs>
          <w:tab w:val="left" w:pos="0"/>
          <w:tab w:val="left" w:pos="360"/>
          <w:tab w:val="left" w:pos="900"/>
        </w:tabs>
        <w:spacing w:before="120" w:after="120" w:line="400" w:lineRule="exact"/>
        <w:ind w:firstLine="706"/>
        <w:jc w:val="both"/>
      </w:pPr>
      <w:r w:rsidRPr="00C85BC8">
        <w:tab/>
      </w:r>
      <w:r w:rsidRPr="00C85BC8">
        <w:tab/>
        <w:t xml:space="preserve"> </w:t>
      </w:r>
      <w:r>
        <w:t xml:space="preserve">                                          (P0i x Q1i )</w:t>
      </w:r>
    </w:p>
    <w:p w:rsidR="00FA0C99" w:rsidRPr="00C85BC8" w:rsidRDefault="00FA0C99" w:rsidP="00FA0C99">
      <w:pPr>
        <w:tabs>
          <w:tab w:val="left" w:pos="0"/>
          <w:tab w:val="left" w:pos="360"/>
          <w:tab w:val="left" w:pos="900"/>
        </w:tabs>
        <w:spacing w:before="120" w:after="120" w:line="400" w:lineRule="exact"/>
        <w:ind w:firstLine="706"/>
        <w:jc w:val="both"/>
      </w:pPr>
      <w:r w:rsidRPr="00C85BC8">
        <w:t>Trong đó:</w:t>
      </w:r>
    </w:p>
    <w:p w:rsidR="00FA0C99" w:rsidRPr="00C85BC8" w:rsidRDefault="00FA0C99" w:rsidP="00FA0C99">
      <w:pPr>
        <w:tabs>
          <w:tab w:val="left" w:pos="0"/>
          <w:tab w:val="left" w:pos="360"/>
          <w:tab w:val="left" w:pos="900"/>
        </w:tabs>
        <w:spacing w:before="120" w:after="120" w:line="400" w:lineRule="exact"/>
        <w:ind w:firstLine="706"/>
        <w:jc w:val="both"/>
      </w:pPr>
      <w:r w:rsidRPr="00C85BC8">
        <w:t>Pli</w:t>
      </w:r>
      <w:r w:rsidRPr="00C85BC8">
        <w:tab/>
        <w:t>: Giá giao dịch của cổ phiếu i tại thời điểm báo cáo</w:t>
      </w:r>
    </w:p>
    <w:p w:rsidR="00FA0C99" w:rsidRPr="00C85BC8" w:rsidRDefault="00FA0C99" w:rsidP="00FA0C99">
      <w:pPr>
        <w:tabs>
          <w:tab w:val="left" w:pos="0"/>
          <w:tab w:val="left" w:pos="360"/>
          <w:tab w:val="left" w:pos="900"/>
        </w:tabs>
        <w:spacing w:before="120" w:after="120" w:line="400" w:lineRule="exact"/>
        <w:ind w:firstLine="706"/>
        <w:jc w:val="both"/>
      </w:pPr>
      <w:r w:rsidRPr="00C85BC8">
        <w:t>P0i</w:t>
      </w:r>
      <w:r w:rsidRPr="00C85BC8">
        <w:tab/>
      </w:r>
      <w:r w:rsidRPr="00C85BC8">
        <w:tab/>
        <w:t>: Giá giao dịch của cổ phiếu i tại thời điểm gốc,</w:t>
      </w:r>
    </w:p>
    <w:p w:rsidR="00FA0C99" w:rsidRPr="00C85BC8" w:rsidRDefault="00FA0C99" w:rsidP="00FA0C99">
      <w:pPr>
        <w:tabs>
          <w:tab w:val="left" w:pos="0"/>
          <w:tab w:val="left" w:pos="360"/>
          <w:tab w:val="left" w:pos="900"/>
        </w:tabs>
        <w:spacing w:before="120" w:after="120" w:line="400" w:lineRule="exact"/>
        <w:ind w:firstLine="706"/>
        <w:jc w:val="both"/>
      </w:pPr>
      <w:r w:rsidRPr="00C85BC8">
        <w:t>Qli</w:t>
      </w:r>
      <w:r w:rsidRPr="00C85BC8">
        <w:tab/>
      </w:r>
      <w:r w:rsidRPr="00C85BC8">
        <w:tab/>
        <w:t>: Số lượng cổ phiếu i tại thời điểm báo cáo,</w:t>
      </w:r>
    </w:p>
    <w:p w:rsidR="00FA0C99" w:rsidRPr="00C85BC8" w:rsidRDefault="00FA0C99" w:rsidP="00FA0C99">
      <w:pPr>
        <w:tabs>
          <w:tab w:val="left" w:pos="0"/>
          <w:tab w:val="left" w:pos="360"/>
          <w:tab w:val="left" w:pos="900"/>
        </w:tabs>
        <w:spacing w:before="120" w:after="120" w:line="400" w:lineRule="exact"/>
        <w:ind w:firstLine="706"/>
        <w:jc w:val="both"/>
      </w:pPr>
      <w:r w:rsidRPr="00C85BC8">
        <w:t>Q0i</w:t>
      </w:r>
      <w:r w:rsidRPr="00C85BC8">
        <w:tab/>
      </w:r>
      <w:r w:rsidRPr="00C85BC8">
        <w:tab/>
        <w:t>: Số lượng cổ phiếu i tại thời điểm gốc,</w:t>
      </w:r>
    </w:p>
    <w:p w:rsidR="00FA0C99" w:rsidRPr="00C85BC8" w:rsidRDefault="00FA0C99" w:rsidP="00FA0C99">
      <w:pPr>
        <w:tabs>
          <w:tab w:val="left" w:pos="0"/>
          <w:tab w:val="left" w:pos="360"/>
          <w:tab w:val="left" w:pos="900"/>
        </w:tabs>
        <w:spacing w:before="120" w:after="120" w:line="400" w:lineRule="exact"/>
        <w:ind w:firstLine="706"/>
        <w:jc w:val="both"/>
      </w:pPr>
      <w:r w:rsidRPr="00C85BC8">
        <w:lastRenderedPageBreak/>
        <w:t xml:space="preserve">N          </w:t>
      </w:r>
      <w:r>
        <w:t xml:space="preserve">        </w:t>
      </w:r>
      <w:r w:rsidRPr="00C85BC8">
        <w:t>: Số lượng cổ phiếu đưa vào tính chỉ số.</w:t>
      </w:r>
    </w:p>
    <w:p w:rsidR="00FA0C99" w:rsidRPr="00C85BC8" w:rsidRDefault="00FA0C99" w:rsidP="00FA0C99">
      <w:pPr>
        <w:tabs>
          <w:tab w:val="left" w:pos="0"/>
          <w:tab w:val="left" w:pos="360"/>
          <w:tab w:val="left" w:pos="900"/>
        </w:tabs>
        <w:spacing w:before="120" w:after="120" w:line="400" w:lineRule="exact"/>
        <w:ind w:firstLine="706"/>
        <w:jc w:val="both"/>
        <w:rPr>
          <w:b/>
        </w:rPr>
      </w:pPr>
      <w:r>
        <w:rPr>
          <w:b/>
        </w:rPr>
        <w:t>2</w:t>
      </w:r>
      <w:r w:rsidRPr="00C85BC8">
        <w:rPr>
          <w:b/>
        </w:rPr>
        <w:t>.Tổng giá trị vốn hoá thị trường chứng khoán</w:t>
      </w:r>
    </w:p>
    <w:p w:rsidR="00FA0C99" w:rsidRPr="00C85BC8" w:rsidRDefault="00FA0C99" w:rsidP="00FA0C99">
      <w:pPr>
        <w:tabs>
          <w:tab w:val="left" w:pos="0"/>
          <w:tab w:val="left" w:pos="360"/>
          <w:tab w:val="left" w:pos="900"/>
        </w:tabs>
        <w:spacing w:before="120" w:after="120" w:line="400" w:lineRule="exact"/>
        <w:ind w:firstLine="706"/>
        <w:jc w:val="both"/>
      </w:pPr>
      <w:r>
        <w:t>a. Khái niệm</w:t>
      </w:r>
      <w:r w:rsidRPr="00C85BC8">
        <w:t>:</w:t>
      </w:r>
    </w:p>
    <w:p w:rsidR="00FA0C99" w:rsidRPr="00C85BC8" w:rsidRDefault="00FA0C99" w:rsidP="00FA0C99">
      <w:pPr>
        <w:tabs>
          <w:tab w:val="left" w:pos="0"/>
          <w:tab w:val="left" w:pos="360"/>
          <w:tab w:val="left" w:pos="900"/>
        </w:tabs>
        <w:spacing w:before="120" w:after="120" w:line="400" w:lineRule="exact"/>
        <w:ind w:firstLine="706"/>
        <w:jc w:val="both"/>
      </w:pPr>
      <w:r w:rsidRPr="00C85BC8">
        <w:t>Là tổng giá trị của cổ phiếu niêm yết/đăng ký giao dịch trên thị trường tính theo giá thị trường tại thời điểm quy định, được tính bằng tổng các tích giữa khối lượng chứng khoán niêm yết/ đăng ký giao dịch với giá chứng khoán giao dịch tại một thời điểm xác định.</w:t>
      </w:r>
    </w:p>
    <w:p w:rsidR="00FA0C99" w:rsidRDefault="00FA0C99" w:rsidP="00FA0C99">
      <w:pPr>
        <w:tabs>
          <w:tab w:val="left" w:pos="0"/>
          <w:tab w:val="left" w:pos="360"/>
          <w:tab w:val="left" w:pos="900"/>
        </w:tabs>
        <w:spacing w:before="120" w:after="120" w:line="400" w:lineRule="exact"/>
        <w:ind w:firstLine="706"/>
        <w:jc w:val="both"/>
      </w:pPr>
      <w:r>
        <w:t>b. P</w:t>
      </w:r>
      <w:r w:rsidRPr="00C85BC8">
        <w:t>hương pháp tính:</w:t>
      </w:r>
    </w:p>
    <w:p w:rsidR="00FA0C99" w:rsidRPr="00C85BC8" w:rsidRDefault="00FA0C99" w:rsidP="00FA0C99">
      <w:pPr>
        <w:tabs>
          <w:tab w:val="left" w:pos="0"/>
          <w:tab w:val="left" w:pos="360"/>
          <w:tab w:val="left" w:pos="900"/>
        </w:tabs>
        <w:spacing w:before="120" w:after="120" w:line="400" w:lineRule="exact"/>
        <w:ind w:firstLine="706"/>
        <w:jc w:val="both"/>
      </w:pPr>
      <w:r>
        <w:t>TEV</w:t>
      </w:r>
      <w:r>
        <w:tab/>
        <w:t>=</w:t>
      </w:r>
      <w:r>
        <w:tab/>
        <w:t>∑ P</w:t>
      </w:r>
      <w:r w:rsidRPr="00C85BC8">
        <w:t>ti</w:t>
      </w:r>
      <w:r w:rsidRPr="00C85BC8">
        <w:tab/>
        <w:t>x</w:t>
      </w:r>
      <w:r w:rsidRPr="00C85BC8">
        <w:tab/>
        <w:t>Qti</w:t>
      </w:r>
    </w:p>
    <w:p w:rsidR="00FA0C99" w:rsidRPr="00C85BC8" w:rsidRDefault="00FA0C99" w:rsidP="00FA0C99">
      <w:pPr>
        <w:tabs>
          <w:tab w:val="left" w:pos="0"/>
          <w:tab w:val="left" w:pos="360"/>
          <w:tab w:val="left" w:pos="900"/>
        </w:tabs>
        <w:spacing w:before="120" w:after="120" w:line="400" w:lineRule="exact"/>
        <w:ind w:firstLine="706"/>
        <w:jc w:val="both"/>
      </w:pPr>
      <w:r w:rsidRPr="00C85BC8">
        <w:t>Trong đó:</w:t>
      </w:r>
    </w:p>
    <w:p w:rsidR="00FA0C99" w:rsidRPr="00C85BC8" w:rsidRDefault="00FA0C99" w:rsidP="00FA0C99">
      <w:pPr>
        <w:tabs>
          <w:tab w:val="left" w:pos="0"/>
          <w:tab w:val="left" w:pos="360"/>
          <w:tab w:val="left" w:pos="900"/>
        </w:tabs>
        <w:spacing w:before="120" w:after="120" w:line="400" w:lineRule="exact"/>
        <w:ind w:firstLine="706"/>
        <w:jc w:val="both"/>
      </w:pPr>
      <w:r w:rsidRPr="00C85BC8">
        <w:t>TEV: là tổng giá trị vốn hoá toàn thị trường</w:t>
      </w:r>
    </w:p>
    <w:p w:rsidR="00FA0C99" w:rsidRPr="00C85BC8" w:rsidRDefault="00FA0C99" w:rsidP="00FA0C99">
      <w:pPr>
        <w:tabs>
          <w:tab w:val="left" w:pos="0"/>
          <w:tab w:val="left" w:pos="360"/>
          <w:tab w:val="left" w:pos="900"/>
        </w:tabs>
        <w:spacing w:before="120" w:after="120" w:line="400" w:lineRule="exact"/>
        <w:ind w:firstLine="706"/>
        <w:jc w:val="both"/>
      </w:pPr>
      <w:r w:rsidRPr="00C85BC8">
        <w:t>Pti: Giá cổ phiếu i được giao dịch (thị giá) tại thời điểm giao dịch t</w:t>
      </w:r>
    </w:p>
    <w:p w:rsidR="00FA0C99" w:rsidRPr="00C85BC8" w:rsidRDefault="00FA0C99" w:rsidP="00FA0C99">
      <w:pPr>
        <w:tabs>
          <w:tab w:val="left" w:pos="0"/>
          <w:tab w:val="left" w:pos="360"/>
          <w:tab w:val="left" w:pos="900"/>
        </w:tabs>
        <w:spacing w:before="120" w:after="120" w:line="400" w:lineRule="exact"/>
        <w:ind w:firstLine="706"/>
        <w:jc w:val="both"/>
      </w:pPr>
      <w:r w:rsidRPr="00C85BC8">
        <w:t>Qti: Khối lượng chứng khoán i niêm yết tại thời điểm giao dịch t</w:t>
      </w:r>
    </w:p>
    <w:p w:rsidR="00FA0C99" w:rsidRPr="00C85BC8" w:rsidRDefault="00FA0C99" w:rsidP="00FA0C99">
      <w:pPr>
        <w:tabs>
          <w:tab w:val="left" w:pos="0"/>
          <w:tab w:val="left" w:pos="360"/>
          <w:tab w:val="left" w:pos="900"/>
        </w:tabs>
        <w:spacing w:before="120" w:after="120" w:line="400" w:lineRule="exact"/>
        <w:ind w:firstLine="706"/>
        <w:jc w:val="both"/>
      </w:pPr>
      <w:r>
        <w:t>PtixQ</w:t>
      </w:r>
      <w:r w:rsidRPr="00C85BC8">
        <w:t>ti: là giá trị vốn hoá thị trường của chứn</w:t>
      </w:r>
      <w:r>
        <w:t>g khoán i (tính theo thời điểm)</w:t>
      </w:r>
    </w:p>
    <w:p w:rsidR="00FA0C99" w:rsidRPr="00C85BC8" w:rsidRDefault="00FA0C99" w:rsidP="00FA0C99">
      <w:pPr>
        <w:tabs>
          <w:tab w:val="left" w:pos="0"/>
          <w:tab w:val="left" w:pos="360"/>
          <w:tab w:val="left" w:pos="900"/>
        </w:tabs>
        <w:spacing w:before="120" w:after="120" w:line="400" w:lineRule="exact"/>
        <w:ind w:firstLine="706"/>
        <w:jc w:val="both"/>
        <w:rPr>
          <w:b/>
        </w:rPr>
      </w:pPr>
      <w:r>
        <w:rPr>
          <w:b/>
        </w:rPr>
        <w:t>3</w:t>
      </w:r>
      <w:r w:rsidRPr="00C85BC8">
        <w:rPr>
          <w:b/>
        </w:rPr>
        <w:t>.</w:t>
      </w:r>
      <w:r>
        <w:t xml:space="preserve"> </w:t>
      </w:r>
      <w:r w:rsidRPr="00C85BC8">
        <w:rPr>
          <w:b/>
        </w:rPr>
        <w:t>Khối lượng và giá trị chứng khoán giao dịch</w:t>
      </w:r>
    </w:p>
    <w:p w:rsidR="00FA0C99" w:rsidRPr="00C85BC8" w:rsidRDefault="00FA0C99" w:rsidP="00FA0C99">
      <w:pPr>
        <w:tabs>
          <w:tab w:val="left" w:pos="0"/>
          <w:tab w:val="left" w:pos="360"/>
          <w:tab w:val="left" w:pos="900"/>
        </w:tabs>
        <w:spacing w:before="120" w:after="120" w:line="400" w:lineRule="exact"/>
        <w:ind w:firstLine="706"/>
        <w:jc w:val="both"/>
      </w:pPr>
      <w:r w:rsidRPr="00C85BC8">
        <w:t xml:space="preserve"> </w:t>
      </w:r>
      <w:r>
        <w:t>a. Khái niệm, p</w:t>
      </w:r>
      <w:r w:rsidRPr="00C85BC8">
        <w:t>hương pháp tính</w:t>
      </w:r>
      <w:r>
        <w:t>:</w:t>
      </w:r>
    </w:p>
    <w:p w:rsidR="00FA0C99" w:rsidRPr="00C85BC8" w:rsidRDefault="00FA0C99" w:rsidP="00FA0C99">
      <w:pPr>
        <w:tabs>
          <w:tab w:val="left" w:pos="0"/>
          <w:tab w:val="left" w:pos="360"/>
          <w:tab w:val="left" w:pos="900"/>
        </w:tabs>
        <w:spacing w:before="120" w:after="120" w:line="400" w:lineRule="exact"/>
        <w:ind w:firstLine="706"/>
        <w:jc w:val="both"/>
      </w:pPr>
      <w:r w:rsidRPr="00C85BC8">
        <w:t xml:space="preserve">Là lượng chứng khoán và giá trị chứng khoán thực tế được khớp lệnh giữa mua và bán </w:t>
      </w:r>
      <w:r>
        <w:t>ở các Sở giao dịch chứng khoán.</w:t>
      </w:r>
    </w:p>
    <w:p w:rsidR="00FA0C99" w:rsidRPr="00C85BC8" w:rsidRDefault="00FA0C99" w:rsidP="00FA0C99">
      <w:pPr>
        <w:tabs>
          <w:tab w:val="left" w:pos="0"/>
          <w:tab w:val="left" w:pos="360"/>
          <w:tab w:val="left" w:pos="900"/>
        </w:tabs>
        <w:spacing w:before="120" w:after="120" w:line="400" w:lineRule="exact"/>
        <w:ind w:firstLine="706"/>
        <w:jc w:val="both"/>
      </w:pPr>
      <w:r w:rsidRPr="00C85BC8">
        <w:t>Giá trị chứng khoán giao dịch bằng tổng các tích giữa khối lượng chứng khoán giao dịch với giá chứng khoán được giao dịch trên thị trường.</w:t>
      </w:r>
    </w:p>
    <w:p w:rsidR="00FA0C99" w:rsidRPr="00C85BC8" w:rsidRDefault="00FA0C99" w:rsidP="00FA0C99">
      <w:pPr>
        <w:tabs>
          <w:tab w:val="left" w:pos="0"/>
          <w:tab w:val="left" w:pos="360"/>
          <w:tab w:val="left" w:pos="900"/>
        </w:tabs>
        <w:spacing w:before="120" w:after="120" w:line="400" w:lineRule="exact"/>
        <w:ind w:firstLine="706"/>
        <w:jc w:val="both"/>
      </w:pPr>
      <w:r>
        <w:t>TTV</w:t>
      </w:r>
      <w:r>
        <w:tab/>
        <w:t>=</w:t>
      </w:r>
      <w:r>
        <w:tab/>
        <w:t>∑ P</w:t>
      </w:r>
      <w:r w:rsidRPr="00C85BC8">
        <w:t>ti</w:t>
      </w:r>
      <w:r w:rsidRPr="00C85BC8">
        <w:tab/>
        <w:t>x</w:t>
      </w:r>
      <w:r w:rsidRPr="00C85BC8">
        <w:tab/>
        <w:t>Qti</w:t>
      </w:r>
    </w:p>
    <w:p w:rsidR="00FA0C99" w:rsidRPr="00C85BC8" w:rsidRDefault="00FA0C99" w:rsidP="00FA0C99">
      <w:pPr>
        <w:tabs>
          <w:tab w:val="left" w:pos="0"/>
          <w:tab w:val="left" w:pos="360"/>
          <w:tab w:val="left" w:pos="900"/>
        </w:tabs>
        <w:spacing w:before="120" w:after="120" w:line="400" w:lineRule="exact"/>
        <w:ind w:firstLine="706"/>
        <w:jc w:val="both"/>
      </w:pPr>
      <w:r w:rsidRPr="00C85BC8">
        <w:t>Trong đó:</w:t>
      </w:r>
    </w:p>
    <w:p w:rsidR="00FA0C99" w:rsidRPr="00C85BC8" w:rsidRDefault="00FA0C99" w:rsidP="00FA0C99">
      <w:pPr>
        <w:tabs>
          <w:tab w:val="left" w:pos="0"/>
          <w:tab w:val="left" w:pos="360"/>
          <w:tab w:val="left" w:pos="900"/>
        </w:tabs>
        <w:spacing w:before="120" w:after="120" w:line="400" w:lineRule="exact"/>
        <w:ind w:firstLine="706"/>
        <w:jc w:val="both"/>
      </w:pPr>
      <w:r w:rsidRPr="00C85BC8">
        <w:lastRenderedPageBreak/>
        <w:t>TTV: là tổng giá trị chứng khoán giao dịch</w:t>
      </w:r>
    </w:p>
    <w:p w:rsidR="00FA0C99" w:rsidRPr="00C85BC8" w:rsidRDefault="00FA0C99" w:rsidP="00FA0C99">
      <w:pPr>
        <w:tabs>
          <w:tab w:val="left" w:pos="0"/>
          <w:tab w:val="left" w:pos="360"/>
          <w:tab w:val="left" w:pos="900"/>
        </w:tabs>
        <w:spacing w:before="120" w:after="120" w:line="400" w:lineRule="exact"/>
        <w:ind w:firstLine="706"/>
        <w:jc w:val="both"/>
      </w:pPr>
      <w:r w:rsidRPr="00C85BC8">
        <w:t>Pti: là giá chứng khoán i tại thời điểm giao dịch t</w:t>
      </w:r>
    </w:p>
    <w:p w:rsidR="00FA0C99" w:rsidRPr="00C85BC8" w:rsidRDefault="00FA0C99" w:rsidP="00FA0C99">
      <w:pPr>
        <w:tabs>
          <w:tab w:val="left" w:pos="0"/>
          <w:tab w:val="left" w:pos="360"/>
          <w:tab w:val="left" w:pos="900"/>
        </w:tabs>
        <w:spacing w:before="120" w:after="120" w:line="400" w:lineRule="exact"/>
        <w:ind w:firstLine="706"/>
        <w:jc w:val="both"/>
      </w:pPr>
      <w:r w:rsidRPr="00C85BC8">
        <w:t>Qti: là khối lượng chứng khoán i giao dịch tại thời điểm t</w:t>
      </w:r>
    </w:p>
    <w:p w:rsidR="00FA0C99" w:rsidRPr="00C85BC8" w:rsidRDefault="00FA0C99" w:rsidP="00FA0C99">
      <w:pPr>
        <w:tabs>
          <w:tab w:val="left" w:pos="0"/>
          <w:tab w:val="left" w:pos="360"/>
          <w:tab w:val="left" w:pos="900"/>
        </w:tabs>
        <w:spacing w:before="120" w:after="120" w:line="400" w:lineRule="exact"/>
        <w:ind w:firstLine="706"/>
        <w:jc w:val="both"/>
      </w:pPr>
      <w:r>
        <w:t>Pti x Q</w:t>
      </w:r>
      <w:r w:rsidRPr="00C85BC8">
        <w:t>ti: là giá trị giao dịch của chứng khoán i</w:t>
      </w:r>
    </w:p>
    <w:p w:rsidR="00FA0C99" w:rsidRPr="00C85BC8" w:rsidRDefault="00FA0C99" w:rsidP="00FA0C99">
      <w:pPr>
        <w:tabs>
          <w:tab w:val="left" w:pos="0"/>
          <w:tab w:val="left" w:pos="360"/>
          <w:tab w:val="left" w:pos="900"/>
        </w:tabs>
        <w:spacing w:before="120" w:after="120" w:line="400" w:lineRule="exact"/>
        <w:ind w:firstLine="706"/>
        <w:jc w:val="both"/>
      </w:pPr>
      <w:r w:rsidRPr="00C85BC8">
        <w:t>t: là số thứ tự phiên giao dịch kể từ phiên giao dịch đầu tiên hoặc ngày giao dịch.</w:t>
      </w:r>
    </w:p>
    <w:p w:rsidR="00FA0C99" w:rsidRPr="00C85BC8" w:rsidRDefault="00FA0C99" w:rsidP="00FA0C99">
      <w:pPr>
        <w:tabs>
          <w:tab w:val="left" w:pos="0"/>
          <w:tab w:val="left" w:pos="360"/>
          <w:tab w:val="left" w:pos="900"/>
        </w:tabs>
        <w:spacing w:before="120" w:after="120" w:line="400" w:lineRule="exact"/>
        <w:ind w:firstLine="706"/>
        <w:jc w:val="both"/>
      </w:pPr>
      <w:r>
        <w:t>b</w:t>
      </w:r>
      <w:r w:rsidRPr="00C85BC8">
        <w:t xml:space="preserve">. Phân tổ chủ yếu: </w:t>
      </w:r>
    </w:p>
    <w:p w:rsidR="00FA0C99" w:rsidRDefault="00FA0C99" w:rsidP="00FA0C99">
      <w:pPr>
        <w:tabs>
          <w:tab w:val="left" w:pos="0"/>
          <w:tab w:val="left" w:pos="360"/>
          <w:tab w:val="left" w:pos="900"/>
        </w:tabs>
        <w:spacing w:before="120" w:after="120" w:line="400" w:lineRule="exact"/>
        <w:ind w:firstLine="706"/>
        <w:jc w:val="both"/>
      </w:pPr>
      <w:r>
        <w:t>- Loại chứng khoán;</w:t>
      </w:r>
    </w:p>
    <w:p w:rsidR="00FA0C99" w:rsidRPr="00C85BC8" w:rsidRDefault="00FA0C99" w:rsidP="00FA0C99">
      <w:pPr>
        <w:tabs>
          <w:tab w:val="left" w:pos="0"/>
          <w:tab w:val="left" w:pos="360"/>
          <w:tab w:val="left" w:pos="900"/>
        </w:tabs>
        <w:spacing w:before="120" w:after="120" w:line="400" w:lineRule="exact"/>
        <w:ind w:firstLine="706"/>
        <w:jc w:val="both"/>
        <w:rPr>
          <w:b/>
        </w:rPr>
      </w:pPr>
      <w:r>
        <w:rPr>
          <w:b/>
        </w:rPr>
        <w:t>4</w:t>
      </w:r>
      <w:r w:rsidRPr="00C85BC8">
        <w:rPr>
          <w:b/>
        </w:rPr>
        <w:t>. Khối lượng và giá trị chứng khoán niêm yết và đăng ký giao dịch</w:t>
      </w:r>
    </w:p>
    <w:p w:rsidR="00FA0C99" w:rsidRPr="00C85BC8" w:rsidRDefault="00FA0C99" w:rsidP="00FA0C99">
      <w:pPr>
        <w:tabs>
          <w:tab w:val="left" w:pos="0"/>
          <w:tab w:val="left" w:pos="360"/>
          <w:tab w:val="left" w:pos="900"/>
        </w:tabs>
        <w:spacing w:before="120" w:after="120" w:line="400" w:lineRule="exact"/>
        <w:ind w:firstLine="706"/>
        <w:jc w:val="both"/>
      </w:pPr>
      <w:r>
        <w:t>a</w:t>
      </w:r>
      <w:r w:rsidRPr="00C85BC8">
        <w:t>. Khái niệm, phương pháp tính:</w:t>
      </w:r>
    </w:p>
    <w:p w:rsidR="00FA0C99" w:rsidRPr="00C85BC8" w:rsidRDefault="00FA0C99" w:rsidP="00FA0C99">
      <w:pPr>
        <w:tabs>
          <w:tab w:val="left" w:pos="0"/>
          <w:tab w:val="left" w:pos="360"/>
          <w:tab w:val="left" w:pos="900"/>
        </w:tabs>
        <w:spacing w:before="120" w:after="120" w:line="400" w:lineRule="exact"/>
        <w:ind w:firstLine="706"/>
        <w:jc w:val="both"/>
      </w:pPr>
      <w:r w:rsidRPr="00C85BC8">
        <w:t>Niêm yết chứng khoán là việc đưa các chứng khoán có đủ điều kiện vào giao dịch tại Sở giao dịch chứng khoán.</w:t>
      </w:r>
    </w:p>
    <w:p w:rsidR="00FA0C99" w:rsidRPr="00C85BC8" w:rsidRDefault="00FA0C99" w:rsidP="00FA0C99">
      <w:pPr>
        <w:tabs>
          <w:tab w:val="left" w:pos="0"/>
          <w:tab w:val="left" w:pos="360"/>
          <w:tab w:val="left" w:pos="900"/>
        </w:tabs>
        <w:spacing w:before="120" w:after="120" w:line="400" w:lineRule="exact"/>
        <w:ind w:firstLine="706"/>
        <w:jc w:val="both"/>
      </w:pPr>
      <w:r>
        <w:t>b</w:t>
      </w:r>
      <w:r w:rsidRPr="00C85BC8">
        <w:t xml:space="preserve">. Phân tổ chủ yếu: </w:t>
      </w:r>
    </w:p>
    <w:p w:rsidR="00FA0C99" w:rsidRPr="00C85BC8" w:rsidRDefault="00FA0C99" w:rsidP="00FA0C99">
      <w:pPr>
        <w:tabs>
          <w:tab w:val="left" w:pos="0"/>
          <w:tab w:val="left" w:pos="360"/>
          <w:tab w:val="left" w:pos="900"/>
        </w:tabs>
        <w:spacing w:before="120" w:after="120" w:line="400" w:lineRule="exact"/>
        <w:ind w:firstLine="706"/>
        <w:jc w:val="both"/>
      </w:pPr>
      <w:r w:rsidRPr="00C85BC8">
        <w:t xml:space="preserve">- Loại chứng khoán; </w:t>
      </w:r>
    </w:p>
    <w:p w:rsidR="00FA0C99" w:rsidRPr="00C85BC8" w:rsidRDefault="00FA0C99" w:rsidP="00FA0C99">
      <w:pPr>
        <w:tabs>
          <w:tab w:val="left" w:pos="0"/>
          <w:tab w:val="left" w:pos="360"/>
          <w:tab w:val="left" w:pos="900"/>
        </w:tabs>
        <w:spacing w:before="120" w:after="120" w:line="400" w:lineRule="exact"/>
        <w:ind w:firstLine="706"/>
        <w:jc w:val="both"/>
        <w:rPr>
          <w:b/>
        </w:rPr>
      </w:pPr>
      <w:r>
        <w:rPr>
          <w:b/>
        </w:rPr>
        <w:t>5</w:t>
      </w:r>
      <w:r w:rsidRPr="00C85BC8">
        <w:rPr>
          <w:b/>
        </w:rPr>
        <w:t>. Số loại chứng khoán niêm yết và đăng ký giao dịch</w:t>
      </w:r>
    </w:p>
    <w:p w:rsidR="00FA0C99" w:rsidRPr="00C85BC8" w:rsidRDefault="00FA0C99" w:rsidP="00FA0C99">
      <w:pPr>
        <w:tabs>
          <w:tab w:val="left" w:pos="0"/>
          <w:tab w:val="left" w:pos="360"/>
          <w:tab w:val="left" w:pos="900"/>
        </w:tabs>
        <w:spacing w:before="120" w:after="120" w:line="400" w:lineRule="exact"/>
        <w:ind w:firstLine="706"/>
        <w:jc w:val="both"/>
      </w:pPr>
      <w:r>
        <w:t>a</w:t>
      </w:r>
      <w:r w:rsidRPr="00C85BC8">
        <w:t>. Khái niệm, phương pháp tính</w:t>
      </w:r>
    </w:p>
    <w:p w:rsidR="00FA0C99" w:rsidRPr="00C85BC8" w:rsidRDefault="00FA0C99" w:rsidP="00FA0C99">
      <w:pPr>
        <w:tabs>
          <w:tab w:val="left" w:pos="0"/>
          <w:tab w:val="left" w:pos="360"/>
          <w:tab w:val="left" w:pos="900"/>
        </w:tabs>
        <w:spacing w:before="120" w:after="120" w:line="400" w:lineRule="exact"/>
        <w:ind w:firstLine="706"/>
        <w:jc w:val="both"/>
      </w:pPr>
      <w:r w:rsidRPr="00C85BC8">
        <w:t>Chỉ tiêu phản ánh số loại chứng khoán niêm yết và đăng ký giao dịch</w:t>
      </w:r>
    </w:p>
    <w:p w:rsidR="00FA0C99" w:rsidRPr="00C85BC8" w:rsidRDefault="00FA0C99" w:rsidP="00FA0C99">
      <w:pPr>
        <w:tabs>
          <w:tab w:val="left" w:pos="0"/>
          <w:tab w:val="left" w:pos="360"/>
          <w:tab w:val="left" w:pos="900"/>
        </w:tabs>
        <w:spacing w:before="120" w:after="120" w:line="400" w:lineRule="exact"/>
        <w:ind w:firstLine="706"/>
        <w:jc w:val="both"/>
      </w:pPr>
      <w:r>
        <w:t>b</w:t>
      </w:r>
      <w:r w:rsidRPr="00C85BC8">
        <w:t xml:space="preserve">. Phân tổ chủ yếu: </w:t>
      </w:r>
    </w:p>
    <w:p w:rsidR="00FA0C99" w:rsidRPr="00C85BC8" w:rsidRDefault="00FA0C99" w:rsidP="00FA0C99">
      <w:pPr>
        <w:tabs>
          <w:tab w:val="left" w:pos="0"/>
          <w:tab w:val="left" w:pos="360"/>
          <w:tab w:val="left" w:pos="900"/>
        </w:tabs>
        <w:spacing w:before="120" w:after="120" w:line="400" w:lineRule="exact"/>
        <w:ind w:firstLine="706"/>
        <w:jc w:val="both"/>
      </w:pPr>
      <w:r w:rsidRPr="00C85BC8">
        <w:t xml:space="preserve">- Loại chứng khoán; </w:t>
      </w:r>
    </w:p>
    <w:p w:rsidR="00FA0C99" w:rsidRPr="00C85BC8" w:rsidRDefault="00FA0C99" w:rsidP="00FA0C99">
      <w:pPr>
        <w:tabs>
          <w:tab w:val="left" w:pos="0"/>
          <w:tab w:val="left" w:pos="360"/>
          <w:tab w:val="left" w:pos="900"/>
        </w:tabs>
        <w:spacing w:before="120" w:after="120" w:line="400" w:lineRule="exact"/>
        <w:ind w:firstLine="706"/>
        <w:jc w:val="both"/>
        <w:rPr>
          <w:b/>
        </w:rPr>
      </w:pPr>
      <w:r>
        <w:rPr>
          <w:b/>
        </w:rPr>
        <w:t>6</w:t>
      </w:r>
      <w:r w:rsidRPr="00C85BC8">
        <w:rPr>
          <w:b/>
        </w:rPr>
        <w:t>. Tình hình mở/đóng tài khoản của nhà đầu tư</w:t>
      </w:r>
    </w:p>
    <w:p w:rsidR="00FA0C99" w:rsidRPr="00C85BC8" w:rsidRDefault="00FA0C99" w:rsidP="00FA0C99">
      <w:pPr>
        <w:tabs>
          <w:tab w:val="left" w:pos="0"/>
          <w:tab w:val="left" w:pos="360"/>
          <w:tab w:val="left" w:pos="900"/>
        </w:tabs>
        <w:spacing w:before="120" w:after="120" w:line="400" w:lineRule="exact"/>
        <w:ind w:firstLine="706"/>
        <w:jc w:val="both"/>
      </w:pPr>
      <w:r w:rsidRPr="00C85BC8">
        <w:lastRenderedPageBreak/>
        <w:t>1. Phân tổ chủ yếu: Loại nhà đầu tư</w:t>
      </w:r>
    </w:p>
    <w:p w:rsidR="00FA0C99" w:rsidRPr="00EC0C69" w:rsidRDefault="00FA0C99" w:rsidP="00FA0C99">
      <w:pPr>
        <w:tabs>
          <w:tab w:val="left" w:pos="0"/>
          <w:tab w:val="left" w:pos="360"/>
          <w:tab w:val="left" w:pos="900"/>
        </w:tabs>
        <w:spacing w:before="120" w:after="120" w:line="400" w:lineRule="exact"/>
        <w:ind w:firstLine="706"/>
        <w:jc w:val="both"/>
        <w:rPr>
          <w:b/>
        </w:rPr>
      </w:pPr>
      <w:r>
        <w:rPr>
          <w:b/>
        </w:rPr>
        <w:t>7</w:t>
      </w:r>
      <w:r w:rsidRPr="00EC0C69">
        <w:rPr>
          <w:b/>
        </w:rPr>
        <w:t>. Khối lượng và giá trị chứng khoán phái sinh giao dịch</w:t>
      </w:r>
    </w:p>
    <w:p w:rsidR="00FA0C99" w:rsidRPr="00EC0C69" w:rsidRDefault="00FA0C99" w:rsidP="00FA0C99">
      <w:pPr>
        <w:tabs>
          <w:tab w:val="left" w:pos="0"/>
          <w:tab w:val="left" w:pos="360"/>
          <w:tab w:val="left" w:pos="900"/>
        </w:tabs>
        <w:spacing w:before="120" w:after="120" w:line="400" w:lineRule="exact"/>
        <w:ind w:firstLine="706"/>
        <w:jc w:val="both"/>
      </w:pPr>
      <w:r w:rsidRPr="00EC0C69">
        <w:t xml:space="preserve"> Khái niệm, phương pháp tính: </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Chứng khoán phái sinh là chứng khoán quy định tại Luật Chứng khoán và Luật sửa đổi, bổ sung một số điều của Luật Chứng khoán, bao gồm:</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(i) Hợp đồng tương lai là chứng khoán phái sinh niêm yết, trong đó xác nhận cam kết giữa các bên để thực hiện một trong các giao dịch sau:</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 Mua hoặc bán một số lượng tài sản cơ sở nhất định theo một mức giá đã được xác định vào một ngày đã được ấn định trước trong tương lai;</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 Thanh toán khoản chênh lệch giữa giá trị tài sản cơ sở đã xác định trước tại thời điểm giao kết hợp đồng và giá trị tài sản cơ sở tại một ngày được ấn định trước trong tương lai.</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(ii) Quyền chọn là chứng khoán phái sinh, trong đó xác nhận quyền của người mua và nghĩa vụ của người bán thực hiện một trong các giao dịch sau:</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 Mua hoặc bán một số lượng tài sản cơ sở nhất định theo mức giá thực hiện đã được xác định, tại thời điểm trước hoặc vào một ngày đã được ấn định trước trong tương lai; hoặc thanh toán khoản chênh lệch giữa giá trị tài sản cơ sở đã xác định trước tại thời điểm giao kết hợp đồng và giá trị tài sản cơ sở tại thời điểm trước hoặc vào một ngày đã được ấn định trước trong tương lai;</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 Mua hoặc bán một số lượng hợp đồng tương lai nhất định theo mức giá thực hiện đã được xác định, tại thời điểm trước hoặc vào một ngày đã được ấn định trước trong tương lai.</w:t>
      </w:r>
    </w:p>
    <w:p w:rsidR="00FA0C99" w:rsidRPr="00EC0C69" w:rsidRDefault="00FA0C99" w:rsidP="00FA0C99">
      <w:pPr>
        <w:tabs>
          <w:tab w:val="left" w:pos="0"/>
          <w:tab w:val="left" w:pos="360"/>
          <w:tab w:val="left" w:pos="900"/>
        </w:tabs>
        <w:spacing w:before="120" w:after="120" w:line="400" w:lineRule="exact"/>
        <w:ind w:firstLine="706"/>
        <w:jc w:val="both"/>
      </w:pPr>
      <w:r w:rsidRPr="00EC0C69">
        <w:tab/>
        <w:t>(iii) Hợp đồng kỳ hạn là chứng khoán phái sinh giao dịch thỏa thuận, xác nhận cam kết mua hoặc bán một số lượng tài sản cơ sở nhất định theo một mức giá đã được xác định vào một ngày đã được ấn định trước trong tương lai.</w:t>
      </w:r>
    </w:p>
    <w:p w:rsidR="00FA0C99" w:rsidRDefault="00FA0C99" w:rsidP="00FA0C99">
      <w:pPr>
        <w:tabs>
          <w:tab w:val="left" w:pos="0"/>
          <w:tab w:val="left" w:pos="360"/>
          <w:tab w:val="left" w:pos="900"/>
        </w:tabs>
        <w:spacing w:before="120" w:after="120" w:line="400" w:lineRule="exact"/>
        <w:ind w:firstLine="706"/>
        <w:jc w:val="both"/>
      </w:pPr>
      <w:r w:rsidRPr="00EC0C69">
        <w:lastRenderedPageBreak/>
        <w:tab/>
        <w:t>(iv) Các chứng khoán phái sinh khác theo hướng dẫn của Bộ Tài chính.</w:t>
      </w:r>
    </w:p>
    <w:p w:rsidR="00FA0C99" w:rsidRDefault="00FA0C99" w:rsidP="00FA0C99">
      <w:pPr>
        <w:tabs>
          <w:tab w:val="left" w:pos="0"/>
          <w:tab w:val="left" w:pos="360"/>
          <w:tab w:val="left" w:pos="900"/>
        </w:tabs>
        <w:spacing w:before="120" w:after="120" w:line="400" w:lineRule="exact"/>
        <w:ind w:firstLine="706"/>
        <w:jc w:val="both"/>
        <w:rPr>
          <w:b/>
        </w:rPr>
      </w:pPr>
      <w:r>
        <w:rPr>
          <w:b/>
        </w:rPr>
        <w:t xml:space="preserve">8. </w:t>
      </w:r>
      <w:r w:rsidRPr="00362812">
        <w:rPr>
          <w:b/>
        </w:rPr>
        <w:t>Giao dịch của nhà đầu tư nước ngoài</w:t>
      </w:r>
      <w:r>
        <w:rPr>
          <w:b/>
        </w:rPr>
        <w:t>:</w:t>
      </w:r>
    </w:p>
    <w:p w:rsidR="00FA0C99" w:rsidRDefault="00FA0C99" w:rsidP="00FA0C99">
      <w:pPr>
        <w:tabs>
          <w:tab w:val="left" w:pos="0"/>
          <w:tab w:val="left" w:pos="360"/>
          <w:tab w:val="left" w:pos="900"/>
        </w:tabs>
        <w:spacing w:before="120" w:after="120" w:line="400" w:lineRule="exact"/>
        <w:ind w:firstLine="706"/>
        <w:jc w:val="both"/>
      </w:pPr>
      <w:r>
        <w:t>Là hoạt động giao dịch của nhà đầu tư nước ngoài phát sinh trong kỳ báo cáo.</w:t>
      </w:r>
    </w:p>
    <w:p w:rsidR="00FA0C99" w:rsidRDefault="00FA0C99" w:rsidP="00FA0C99">
      <w:pPr>
        <w:tabs>
          <w:tab w:val="left" w:pos="0"/>
          <w:tab w:val="left" w:pos="360"/>
          <w:tab w:val="left" w:pos="900"/>
        </w:tabs>
        <w:spacing w:before="120" w:after="120" w:line="400" w:lineRule="exact"/>
        <w:ind w:firstLine="706"/>
        <w:jc w:val="both"/>
      </w:pPr>
      <w:r>
        <w:t>b. Phân tổ:</w:t>
      </w:r>
    </w:p>
    <w:p w:rsidR="00FA0C99" w:rsidRPr="00C85BC8" w:rsidRDefault="00FA0C99" w:rsidP="00FA0C99">
      <w:pPr>
        <w:tabs>
          <w:tab w:val="left" w:pos="0"/>
          <w:tab w:val="left" w:pos="360"/>
          <w:tab w:val="left" w:pos="900"/>
        </w:tabs>
        <w:spacing w:before="120" w:after="120" w:line="400" w:lineRule="exact"/>
        <w:ind w:firstLine="706"/>
        <w:jc w:val="both"/>
      </w:pPr>
      <w:r w:rsidRPr="00C85BC8">
        <w:t xml:space="preserve">- Loại chứng khoán; </w:t>
      </w:r>
    </w:p>
    <w:p w:rsidR="00FA0C99" w:rsidRDefault="00FA0C99" w:rsidP="00FA0C99">
      <w:pPr>
        <w:tabs>
          <w:tab w:val="left" w:pos="0"/>
          <w:tab w:val="left" w:pos="360"/>
          <w:tab w:val="left" w:pos="900"/>
        </w:tabs>
        <w:spacing w:before="120" w:after="120" w:line="400" w:lineRule="exact"/>
        <w:ind w:firstLine="706"/>
        <w:jc w:val="both"/>
        <w:rPr>
          <w:b/>
        </w:rPr>
      </w:pPr>
      <w:r>
        <w:rPr>
          <w:b/>
        </w:rPr>
        <w:t>9</w:t>
      </w:r>
      <w:r w:rsidRPr="00362812">
        <w:rPr>
          <w:b/>
        </w:rPr>
        <w:t>. Hoạt động cổ phần hóa và thoái vốn</w:t>
      </w:r>
      <w:r>
        <w:rPr>
          <w:b/>
        </w:rPr>
        <w:t>:</w:t>
      </w:r>
    </w:p>
    <w:p w:rsidR="00FA0C99" w:rsidRPr="00FA0C99" w:rsidRDefault="00FA0C99" w:rsidP="00FA0C99">
      <w:pPr>
        <w:tabs>
          <w:tab w:val="left" w:pos="0"/>
          <w:tab w:val="left" w:pos="360"/>
          <w:tab w:val="left" w:pos="900"/>
        </w:tabs>
        <w:spacing w:before="120" w:after="120" w:line="400" w:lineRule="exact"/>
        <w:ind w:firstLine="706"/>
        <w:jc w:val="both"/>
      </w:pPr>
      <w:r w:rsidRPr="00FA0C99">
        <w:t xml:space="preserve">Bao gồm số doanh nghiệp </w:t>
      </w:r>
      <w:r>
        <w:t>được cổ phần hóa và khối lượng cổ phiếu được cổ phần hóa</w:t>
      </w:r>
    </w:p>
    <w:p w:rsidR="00FA0C99" w:rsidRDefault="00FA0C99" w:rsidP="00FA0C99">
      <w:pPr>
        <w:tabs>
          <w:tab w:val="left" w:pos="0"/>
          <w:tab w:val="left" w:pos="360"/>
          <w:tab w:val="left" w:pos="900"/>
        </w:tabs>
        <w:spacing w:before="120" w:after="120" w:line="400" w:lineRule="exact"/>
        <w:ind w:firstLine="706"/>
        <w:jc w:val="both"/>
        <w:rPr>
          <w:b/>
        </w:rPr>
      </w:pPr>
      <w:r>
        <w:rPr>
          <w:b/>
        </w:rPr>
        <w:t>10</w:t>
      </w:r>
      <w:r w:rsidRPr="00362812">
        <w:rPr>
          <w:b/>
        </w:rPr>
        <w:t>. Tổng mức huy động vốn trên thị trường chứng khoán</w:t>
      </w:r>
      <w:r>
        <w:rPr>
          <w:b/>
        </w:rPr>
        <w:t xml:space="preserve">: </w:t>
      </w:r>
    </w:p>
    <w:p w:rsidR="005B313F" w:rsidRDefault="00E655CC" w:rsidP="00E655CC">
      <w:pPr>
        <w:tabs>
          <w:tab w:val="left" w:pos="0"/>
          <w:tab w:val="left" w:pos="360"/>
          <w:tab w:val="left" w:pos="900"/>
        </w:tabs>
        <w:spacing w:before="120" w:after="120" w:line="400" w:lineRule="exact"/>
        <w:ind w:firstLine="706"/>
        <w:jc w:val="both"/>
        <w:rPr>
          <w:b/>
        </w:rPr>
      </w:pPr>
      <w:r w:rsidRPr="00E655CC">
        <w:t xml:space="preserve">Là nguồn vốn </w:t>
      </w:r>
      <w:r>
        <w:t>huy động</w:t>
      </w:r>
      <w:r w:rsidRPr="00E655CC">
        <w:t xml:space="preserve"> cho đầu tư phát triển kinh tế - xã hội</w:t>
      </w:r>
      <w:r>
        <w:rPr>
          <w:b/>
        </w:rPr>
        <w:t xml:space="preserve">, </w:t>
      </w:r>
      <w:r w:rsidRPr="00E655CC">
        <w:t>bao gồm</w:t>
      </w:r>
      <w:r>
        <w:t xml:space="preserve">: </w:t>
      </w:r>
      <w:r w:rsidRPr="00E655CC">
        <w:t>huy động vốn qua phát hành cổ phiếu và cổ phần hóa; huy động vốn qua phát hành trái phiếu doanh nghiệp ra công chúng; huy động vốn cho ngân sách nhà nước thông qua đấu thầu trái phiếu chính phủ</w:t>
      </w:r>
      <w:r>
        <w:t>.</w:t>
      </w:r>
    </w:p>
    <w:p w:rsidR="005B313F" w:rsidRPr="005B313F" w:rsidRDefault="005B313F" w:rsidP="005B313F">
      <w:pPr>
        <w:tabs>
          <w:tab w:val="left" w:pos="0"/>
          <w:tab w:val="left" w:pos="360"/>
          <w:tab w:val="left" w:pos="900"/>
        </w:tabs>
        <w:spacing w:before="120" w:after="120" w:line="400" w:lineRule="exact"/>
        <w:ind w:firstLine="706"/>
        <w:jc w:val="both"/>
        <w:rPr>
          <w:b/>
        </w:rPr>
      </w:pPr>
      <w:r>
        <w:rPr>
          <w:b/>
        </w:rPr>
        <w:t>11.</w:t>
      </w:r>
      <w:r w:rsidRPr="005B313F">
        <w:rPr>
          <w:b/>
        </w:rPr>
        <w:t xml:space="preserve"> Thời gian cung cấp thông tin</w:t>
      </w:r>
    </w:p>
    <w:p w:rsidR="005B313F" w:rsidRPr="005B313F" w:rsidRDefault="005B313F" w:rsidP="005B313F">
      <w:pPr>
        <w:tabs>
          <w:tab w:val="left" w:pos="0"/>
          <w:tab w:val="left" w:pos="360"/>
          <w:tab w:val="left" w:pos="900"/>
        </w:tabs>
        <w:spacing w:before="120" w:after="120" w:line="400" w:lineRule="exact"/>
        <w:ind w:firstLine="706"/>
        <w:jc w:val="both"/>
      </w:pPr>
      <w:r w:rsidRPr="005B313F">
        <w:t>- Ước tính quý 1: Ngày 20 tháng 3 hằng năm;</w:t>
      </w:r>
    </w:p>
    <w:p w:rsidR="005B313F" w:rsidRPr="005B313F" w:rsidRDefault="005B313F" w:rsidP="005B313F">
      <w:pPr>
        <w:tabs>
          <w:tab w:val="left" w:pos="0"/>
          <w:tab w:val="left" w:pos="360"/>
          <w:tab w:val="left" w:pos="900"/>
        </w:tabs>
        <w:spacing w:before="120" w:after="120" w:line="400" w:lineRule="exact"/>
        <w:ind w:firstLine="706"/>
        <w:jc w:val="both"/>
      </w:pPr>
      <w:r w:rsidRPr="005B313F">
        <w:t>- Chính thức quý 1, ước tính quý 2, 6 tháng: Ngày 20 tháng 5 hằng năm;</w:t>
      </w:r>
    </w:p>
    <w:p w:rsidR="005B313F" w:rsidRPr="005B313F" w:rsidRDefault="005B313F" w:rsidP="005B313F">
      <w:pPr>
        <w:tabs>
          <w:tab w:val="left" w:pos="0"/>
          <w:tab w:val="left" w:pos="360"/>
          <w:tab w:val="left" w:pos="900"/>
        </w:tabs>
        <w:spacing w:before="120" w:after="120" w:line="400" w:lineRule="exact"/>
        <w:ind w:firstLine="706"/>
        <w:jc w:val="both"/>
      </w:pPr>
      <w:r w:rsidRPr="005B313F">
        <w:t>- Chính thức quý 2, 6 tháng; ước tính quý 3 và 9 tháng: Ngày 20 tháng 9 hằng năm;</w:t>
      </w:r>
    </w:p>
    <w:p w:rsidR="005B313F" w:rsidRPr="005B313F" w:rsidRDefault="005B313F" w:rsidP="005B313F">
      <w:pPr>
        <w:tabs>
          <w:tab w:val="left" w:pos="0"/>
          <w:tab w:val="left" w:pos="360"/>
          <w:tab w:val="left" w:pos="900"/>
        </w:tabs>
        <w:spacing w:before="120" w:after="120" w:line="400" w:lineRule="exact"/>
        <w:ind w:firstLine="706"/>
        <w:jc w:val="both"/>
      </w:pPr>
      <w:r w:rsidRPr="005B313F">
        <w:t>- Chính thức quý 3 và 9 tháng, ước tính quý 4 và cả năm: Ngày 10 tháng 11 hằng năm;</w:t>
      </w:r>
    </w:p>
    <w:p w:rsidR="005B313F" w:rsidRPr="005B313F" w:rsidRDefault="005B313F" w:rsidP="005B313F">
      <w:pPr>
        <w:tabs>
          <w:tab w:val="left" w:pos="0"/>
          <w:tab w:val="left" w:pos="360"/>
          <w:tab w:val="left" w:pos="900"/>
        </w:tabs>
        <w:spacing w:before="120" w:after="120" w:line="400" w:lineRule="exact"/>
        <w:ind w:firstLine="706"/>
        <w:jc w:val="both"/>
      </w:pPr>
      <w:r w:rsidRPr="005B313F">
        <w:t>- Chính thức quý IV và cả năm: Ngày 20 tháng 3 năm kế tiếp.</w:t>
      </w:r>
    </w:p>
    <w:p w:rsidR="005B313F" w:rsidRPr="00362812" w:rsidRDefault="005B313F" w:rsidP="00FA0C99">
      <w:pPr>
        <w:tabs>
          <w:tab w:val="left" w:pos="0"/>
          <w:tab w:val="left" w:pos="360"/>
          <w:tab w:val="left" w:pos="900"/>
        </w:tabs>
        <w:spacing w:before="120" w:after="120" w:line="400" w:lineRule="exact"/>
        <w:ind w:firstLine="706"/>
        <w:jc w:val="both"/>
        <w:rPr>
          <w:b/>
        </w:rPr>
      </w:pPr>
    </w:p>
    <w:p w:rsidR="00FA0C99" w:rsidRPr="00031439" w:rsidRDefault="00FA0C99" w:rsidP="00710E34">
      <w:pPr>
        <w:rPr>
          <w:sz w:val="26"/>
          <w:szCs w:val="26"/>
        </w:rPr>
      </w:pPr>
    </w:p>
    <w:sectPr w:rsidR="00FA0C99" w:rsidRPr="00031439" w:rsidSect="008E4A00">
      <w:pgSz w:w="16840" w:h="11907" w:orient="landscape" w:code="9"/>
      <w:pgMar w:top="113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F925DC"/>
    <w:multiLevelType w:val="multilevel"/>
    <w:tmpl w:val="51A6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B34"/>
    <w:rsid w:val="00031439"/>
    <w:rsid w:val="000829D8"/>
    <w:rsid w:val="00194675"/>
    <w:rsid w:val="003306D4"/>
    <w:rsid w:val="00354B51"/>
    <w:rsid w:val="003D262B"/>
    <w:rsid w:val="004C2D72"/>
    <w:rsid w:val="00545646"/>
    <w:rsid w:val="005902FA"/>
    <w:rsid w:val="00594D36"/>
    <w:rsid w:val="005B313F"/>
    <w:rsid w:val="005F6840"/>
    <w:rsid w:val="0069349F"/>
    <w:rsid w:val="006A72D0"/>
    <w:rsid w:val="006D5278"/>
    <w:rsid w:val="00710E34"/>
    <w:rsid w:val="0078092E"/>
    <w:rsid w:val="007A3324"/>
    <w:rsid w:val="007C54BD"/>
    <w:rsid w:val="008222EA"/>
    <w:rsid w:val="008A48A1"/>
    <w:rsid w:val="008B5201"/>
    <w:rsid w:val="008E4A00"/>
    <w:rsid w:val="0091114D"/>
    <w:rsid w:val="009A22CF"/>
    <w:rsid w:val="009D0E95"/>
    <w:rsid w:val="00B155AC"/>
    <w:rsid w:val="00B90B92"/>
    <w:rsid w:val="00C55B34"/>
    <w:rsid w:val="00D76979"/>
    <w:rsid w:val="00E655CC"/>
    <w:rsid w:val="00EA57AD"/>
    <w:rsid w:val="00F6787F"/>
    <w:rsid w:val="00FA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F731C-402A-4C5A-8AC8-BFB1A809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B34"/>
    <w:rPr>
      <w:rFonts w:ascii="Times New Roman"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840"/>
    <w:pPr>
      <w:ind w:left="720"/>
      <w:contextualSpacing/>
    </w:pPr>
  </w:style>
  <w:style w:type="paragraph" w:styleId="BalloonText">
    <w:name w:val="Balloon Text"/>
    <w:basedOn w:val="Normal"/>
    <w:link w:val="BalloonTextChar"/>
    <w:uiPriority w:val="99"/>
    <w:semiHidden/>
    <w:unhideWhenUsed/>
    <w:rsid w:val="00354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B5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3227">
      <w:bodyDiv w:val="1"/>
      <w:marLeft w:val="0"/>
      <w:marRight w:val="0"/>
      <w:marTop w:val="0"/>
      <w:marBottom w:val="0"/>
      <w:divBdr>
        <w:top w:val="none" w:sz="0" w:space="0" w:color="auto"/>
        <w:left w:val="none" w:sz="0" w:space="0" w:color="auto"/>
        <w:bottom w:val="none" w:sz="0" w:space="0" w:color="auto"/>
        <w:right w:val="none" w:sz="0" w:space="0" w:color="auto"/>
      </w:divBdr>
      <w:divsChild>
        <w:div w:id="189531381">
          <w:marLeft w:val="240"/>
          <w:marRight w:val="240"/>
          <w:marTop w:val="0"/>
          <w:marBottom w:val="105"/>
          <w:divBdr>
            <w:top w:val="none" w:sz="0" w:space="0" w:color="auto"/>
            <w:left w:val="none" w:sz="0" w:space="0" w:color="auto"/>
            <w:bottom w:val="none" w:sz="0" w:space="0" w:color="auto"/>
            <w:right w:val="none" w:sz="0" w:space="0" w:color="auto"/>
          </w:divBdr>
          <w:divsChild>
            <w:div w:id="1449666389">
              <w:marLeft w:val="150"/>
              <w:marRight w:val="0"/>
              <w:marTop w:val="0"/>
              <w:marBottom w:val="0"/>
              <w:divBdr>
                <w:top w:val="none" w:sz="0" w:space="0" w:color="auto"/>
                <w:left w:val="none" w:sz="0" w:space="0" w:color="auto"/>
                <w:bottom w:val="none" w:sz="0" w:space="0" w:color="auto"/>
                <w:right w:val="none" w:sz="0" w:space="0" w:color="auto"/>
              </w:divBdr>
              <w:divsChild>
                <w:div w:id="825440072">
                  <w:marLeft w:val="0"/>
                  <w:marRight w:val="0"/>
                  <w:marTop w:val="0"/>
                  <w:marBottom w:val="0"/>
                  <w:divBdr>
                    <w:top w:val="none" w:sz="0" w:space="0" w:color="auto"/>
                    <w:left w:val="none" w:sz="0" w:space="0" w:color="auto"/>
                    <w:bottom w:val="none" w:sz="0" w:space="0" w:color="auto"/>
                    <w:right w:val="none" w:sz="0" w:space="0" w:color="auto"/>
                  </w:divBdr>
                  <w:divsChild>
                    <w:div w:id="861434242">
                      <w:marLeft w:val="0"/>
                      <w:marRight w:val="0"/>
                      <w:marTop w:val="0"/>
                      <w:marBottom w:val="0"/>
                      <w:divBdr>
                        <w:top w:val="none" w:sz="0" w:space="0" w:color="auto"/>
                        <w:left w:val="none" w:sz="0" w:space="0" w:color="auto"/>
                        <w:bottom w:val="none" w:sz="0" w:space="0" w:color="auto"/>
                        <w:right w:val="none" w:sz="0" w:space="0" w:color="auto"/>
                      </w:divBdr>
                      <w:divsChild>
                        <w:div w:id="1615290476">
                          <w:marLeft w:val="0"/>
                          <w:marRight w:val="0"/>
                          <w:marTop w:val="0"/>
                          <w:marBottom w:val="60"/>
                          <w:divBdr>
                            <w:top w:val="none" w:sz="0" w:space="0" w:color="auto"/>
                            <w:left w:val="none" w:sz="0" w:space="0" w:color="auto"/>
                            <w:bottom w:val="none" w:sz="0" w:space="0" w:color="auto"/>
                            <w:right w:val="none" w:sz="0" w:space="0" w:color="auto"/>
                          </w:divBdr>
                          <w:divsChild>
                            <w:div w:id="900750994">
                              <w:marLeft w:val="0"/>
                              <w:marRight w:val="0"/>
                              <w:marTop w:val="0"/>
                              <w:marBottom w:val="0"/>
                              <w:divBdr>
                                <w:top w:val="none" w:sz="0" w:space="0" w:color="auto"/>
                                <w:left w:val="none" w:sz="0" w:space="0" w:color="auto"/>
                                <w:bottom w:val="none" w:sz="0" w:space="0" w:color="auto"/>
                                <w:right w:val="none" w:sz="0" w:space="0" w:color="auto"/>
                              </w:divBdr>
                            </w:div>
                            <w:div w:id="480535573">
                              <w:marLeft w:val="0"/>
                              <w:marRight w:val="0"/>
                              <w:marTop w:val="150"/>
                              <w:marBottom w:val="0"/>
                              <w:divBdr>
                                <w:top w:val="none" w:sz="0" w:space="0" w:color="auto"/>
                                <w:left w:val="none" w:sz="0" w:space="0" w:color="auto"/>
                                <w:bottom w:val="none" w:sz="0" w:space="0" w:color="auto"/>
                                <w:right w:val="none" w:sz="0" w:space="0" w:color="auto"/>
                              </w:divBdr>
                            </w:div>
                            <w:div w:id="721028622">
                              <w:marLeft w:val="0"/>
                              <w:marRight w:val="0"/>
                              <w:marTop w:val="0"/>
                              <w:marBottom w:val="0"/>
                              <w:divBdr>
                                <w:top w:val="none" w:sz="0" w:space="0" w:color="auto"/>
                                <w:left w:val="none" w:sz="0" w:space="0" w:color="auto"/>
                                <w:bottom w:val="none" w:sz="0" w:space="0" w:color="auto"/>
                                <w:right w:val="none" w:sz="0" w:space="0" w:color="auto"/>
                              </w:divBdr>
                              <w:divsChild>
                                <w:div w:id="928001550">
                                  <w:marLeft w:val="75"/>
                                  <w:marRight w:val="75"/>
                                  <w:marTop w:val="0"/>
                                  <w:marBottom w:val="0"/>
                                  <w:divBdr>
                                    <w:top w:val="none" w:sz="0" w:space="0" w:color="auto"/>
                                    <w:left w:val="none" w:sz="0" w:space="0" w:color="auto"/>
                                    <w:bottom w:val="none" w:sz="0" w:space="0" w:color="auto"/>
                                    <w:right w:val="none" w:sz="0" w:space="0" w:color="auto"/>
                                  </w:divBdr>
                                  <w:divsChild>
                                    <w:div w:id="1389379018">
                                      <w:marLeft w:val="0"/>
                                      <w:marRight w:val="0"/>
                                      <w:marTop w:val="100"/>
                                      <w:marBottom w:val="100"/>
                                      <w:divBdr>
                                        <w:top w:val="none" w:sz="0" w:space="0" w:color="auto"/>
                                        <w:left w:val="none" w:sz="0" w:space="0" w:color="auto"/>
                                        <w:bottom w:val="none" w:sz="0" w:space="0" w:color="auto"/>
                                        <w:right w:val="none" w:sz="0" w:space="0" w:color="auto"/>
                                      </w:divBdr>
                                      <w:divsChild>
                                        <w:div w:id="798034453">
                                          <w:marLeft w:val="30"/>
                                          <w:marRight w:val="30"/>
                                          <w:marTop w:val="0"/>
                                          <w:marBottom w:val="0"/>
                                          <w:divBdr>
                                            <w:top w:val="none" w:sz="0" w:space="0" w:color="auto"/>
                                            <w:left w:val="none" w:sz="0" w:space="0" w:color="auto"/>
                                            <w:bottom w:val="none" w:sz="0" w:space="0" w:color="auto"/>
                                            <w:right w:val="none" w:sz="0" w:space="0" w:color="auto"/>
                                          </w:divBdr>
                                        </w:div>
                                      </w:divsChild>
                                    </w:div>
                                    <w:div w:id="44571464">
                                      <w:marLeft w:val="45"/>
                                      <w:marRight w:val="0"/>
                                      <w:marTop w:val="15"/>
                                      <w:marBottom w:val="30"/>
                                      <w:divBdr>
                                        <w:top w:val="none" w:sz="0" w:space="0" w:color="auto"/>
                                        <w:left w:val="none" w:sz="0" w:space="0" w:color="auto"/>
                                        <w:bottom w:val="none" w:sz="0" w:space="0" w:color="auto"/>
                                        <w:right w:val="none" w:sz="0" w:space="0" w:color="auto"/>
                                      </w:divBdr>
                                    </w:div>
                                  </w:divsChild>
                                </w:div>
                                <w:div w:id="18284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678535">
          <w:marLeft w:val="225"/>
          <w:marRight w:val="225"/>
          <w:marTop w:val="0"/>
          <w:marBottom w:val="16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Việt Thuý</dc:creator>
  <cp:keywords/>
  <dc:description/>
  <cp:lastModifiedBy>Windows User</cp:lastModifiedBy>
  <cp:revision>2</cp:revision>
  <cp:lastPrinted>2022-02-16T09:35:00Z</cp:lastPrinted>
  <dcterms:created xsi:type="dcterms:W3CDTF">2022-02-21T10:09:00Z</dcterms:created>
  <dcterms:modified xsi:type="dcterms:W3CDTF">2022-02-21T10:09:00Z</dcterms:modified>
</cp:coreProperties>
</file>