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
        <w:tblW w:w="10710" w:type="dxa"/>
        <w:tblLayout w:type="fixed"/>
        <w:tblLook w:val="0000" w:firstRow="0" w:lastRow="0" w:firstColumn="0" w:lastColumn="0" w:noHBand="0" w:noVBand="0"/>
      </w:tblPr>
      <w:tblGrid>
        <w:gridCol w:w="5490"/>
        <w:gridCol w:w="5220"/>
      </w:tblGrid>
      <w:tr w:rsidR="005455B3" w:rsidRPr="00974B69" w14:paraId="769B84B2" w14:textId="77777777" w:rsidTr="00C675FB">
        <w:trPr>
          <w:trHeight w:val="1026"/>
        </w:trPr>
        <w:tc>
          <w:tcPr>
            <w:tcW w:w="5490" w:type="dxa"/>
          </w:tcPr>
          <w:p w14:paraId="1C2B65F3" w14:textId="77777777" w:rsidR="005455B3" w:rsidRDefault="005455B3" w:rsidP="00C675FB">
            <w:pPr>
              <w:ind w:left="72" w:right="-115"/>
              <w:jc w:val="center"/>
              <w:rPr>
                <w:spacing w:val="-6"/>
                <w:sz w:val="24"/>
                <w:szCs w:val="24"/>
              </w:rPr>
            </w:pPr>
            <w:bookmarkStart w:id="0" w:name="_Hlk95074999"/>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47F2CA68" w14:textId="6EA16C01" w:rsidR="005455B3" w:rsidRPr="00974B69" w:rsidRDefault="005455B3" w:rsidP="00C675FB">
            <w:pPr>
              <w:ind w:left="72" w:right="-115"/>
              <w:jc w:val="center"/>
              <w:rPr>
                <w:b/>
                <w:bCs/>
                <w:spacing w:val="-6"/>
                <w:sz w:val="24"/>
                <w:szCs w:val="24"/>
              </w:rPr>
            </w:pPr>
            <w:r>
              <w:rPr>
                <w:rFonts w:asciiTheme="minorHAnsi" w:hAnsiTheme="minorHAnsi" w:cstheme="minorBidi"/>
                <w:noProof/>
                <w:sz w:val="22"/>
                <w:szCs w:val="22"/>
              </w:rPr>
              <mc:AlternateContent>
                <mc:Choice Requires="wps">
                  <w:drawing>
                    <wp:anchor distT="4294967291" distB="4294967291" distL="114300" distR="114300" simplePos="0" relativeHeight="251665408" behindDoc="0" locked="0" layoutInCell="1" allowOverlap="1" wp14:anchorId="7837FB6F" wp14:editId="745EA9B5">
                      <wp:simplePos x="0" y="0"/>
                      <wp:positionH relativeFrom="column">
                        <wp:posOffset>1145540</wp:posOffset>
                      </wp:positionH>
                      <wp:positionV relativeFrom="paragraph">
                        <wp:posOffset>203199</wp:posOffset>
                      </wp:positionV>
                      <wp:extent cx="9715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72E5C4" id="Straight Connector 3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484BDB49" w14:textId="77777777" w:rsidR="005455B3" w:rsidRDefault="005455B3" w:rsidP="00C675FB">
            <w:pPr>
              <w:spacing w:before="120"/>
              <w:ind w:left="16" w:right="-18"/>
              <w:jc w:val="center"/>
              <w:rPr>
                <w:sz w:val="26"/>
                <w:szCs w:val="26"/>
              </w:rPr>
            </w:pPr>
          </w:p>
          <w:p w14:paraId="212861C1" w14:textId="77777777" w:rsidR="005455B3" w:rsidRPr="00974B69" w:rsidRDefault="005455B3" w:rsidP="00C675FB">
            <w:pPr>
              <w:spacing w:before="120"/>
              <w:ind w:left="16" w:right="-18"/>
              <w:jc w:val="center"/>
              <w:rPr>
                <w:sz w:val="26"/>
                <w:szCs w:val="26"/>
                <w:lang w:val="vi-VN"/>
              </w:rPr>
            </w:pPr>
            <w:r w:rsidRPr="00974B69">
              <w:rPr>
                <w:sz w:val="26"/>
                <w:szCs w:val="26"/>
              </w:rPr>
              <w:t xml:space="preserve">No: </w:t>
            </w:r>
            <w:r>
              <w:rPr>
                <w:sz w:val="26"/>
                <w:szCs w:val="26"/>
              </w:rPr>
              <w:t>27</w:t>
            </w:r>
            <w:r w:rsidRPr="00974B69">
              <w:rPr>
                <w:sz w:val="26"/>
                <w:szCs w:val="26"/>
              </w:rPr>
              <w:t>/BC-TCT</w:t>
            </w:r>
            <w:r w:rsidRPr="00974B69">
              <w:rPr>
                <w:sz w:val="26"/>
                <w:szCs w:val="26"/>
                <w:lang w:val="vi-VN"/>
              </w:rPr>
              <w:t>K</w:t>
            </w:r>
          </w:p>
        </w:tc>
        <w:tc>
          <w:tcPr>
            <w:tcW w:w="5220" w:type="dxa"/>
          </w:tcPr>
          <w:p w14:paraId="253AE19C" w14:textId="77777777" w:rsidR="005455B3" w:rsidRPr="00974B69" w:rsidRDefault="005455B3" w:rsidP="00C675FB">
            <w:pPr>
              <w:rPr>
                <w:b/>
                <w:bCs/>
                <w:sz w:val="24"/>
                <w:szCs w:val="24"/>
              </w:rPr>
            </w:pPr>
            <w:r w:rsidRPr="00974B69">
              <w:rPr>
                <w:b/>
                <w:bCs/>
                <w:sz w:val="24"/>
                <w:szCs w:val="24"/>
              </w:rPr>
              <w:t>SOCIALIST REPUBLIC OF VIET NAM</w:t>
            </w:r>
          </w:p>
          <w:p w14:paraId="5EEDF5DC" w14:textId="3685691B" w:rsidR="005455B3" w:rsidRPr="00974B69" w:rsidRDefault="005455B3" w:rsidP="00C675FB">
            <w:pPr>
              <w:rPr>
                <w:b/>
                <w:bCs/>
                <w:sz w:val="24"/>
                <w:szCs w:val="24"/>
              </w:rPr>
            </w:pPr>
            <w:r>
              <w:rPr>
                <w:rFonts w:asciiTheme="minorHAnsi" w:hAnsiTheme="minorHAnsi" w:cstheme="minorBidi"/>
                <w:noProof/>
                <w:sz w:val="22"/>
                <w:szCs w:val="22"/>
              </w:rPr>
              <mc:AlternateContent>
                <mc:Choice Requires="wps">
                  <w:drawing>
                    <wp:anchor distT="4294967291" distB="4294967291" distL="114300" distR="114300" simplePos="0" relativeHeight="251666432" behindDoc="0" locked="0" layoutInCell="1" allowOverlap="1" wp14:anchorId="16B5CB4F" wp14:editId="4B0FC1AA">
                      <wp:simplePos x="0" y="0"/>
                      <wp:positionH relativeFrom="column">
                        <wp:posOffset>336550</wp:posOffset>
                      </wp:positionH>
                      <wp:positionV relativeFrom="paragraph">
                        <wp:posOffset>203199</wp:posOffset>
                      </wp:positionV>
                      <wp:extent cx="1884045"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DE395D" id="Straight Connector 27"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69FDF11B" w14:textId="77777777" w:rsidR="005455B3" w:rsidRDefault="005455B3" w:rsidP="00C675FB">
            <w:pPr>
              <w:ind w:left="72"/>
              <w:jc w:val="center"/>
              <w:rPr>
                <w:i/>
                <w:iCs/>
                <w:sz w:val="26"/>
                <w:szCs w:val="26"/>
              </w:rPr>
            </w:pPr>
          </w:p>
          <w:p w14:paraId="4E178022" w14:textId="53AB3A17" w:rsidR="005455B3" w:rsidRPr="00974B69" w:rsidRDefault="005455B3" w:rsidP="00C675FB">
            <w:pPr>
              <w:ind w:left="72" w:right="849"/>
              <w:jc w:val="center"/>
              <w:rPr>
                <w:b/>
                <w:bCs/>
                <w:i/>
                <w:iCs/>
                <w:sz w:val="26"/>
                <w:szCs w:val="26"/>
              </w:rPr>
            </w:pPr>
            <w:r w:rsidRPr="00974B69">
              <w:rPr>
                <w:i/>
                <w:iCs/>
                <w:sz w:val="26"/>
                <w:szCs w:val="26"/>
              </w:rPr>
              <w:t>Ha Noi, 2</w:t>
            </w:r>
            <w:r>
              <w:rPr>
                <w:i/>
                <w:iCs/>
                <w:sz w:val="26"/>
                <w:szCs w:val="26"/>
              </w:rPr>
              <w:t>8</w:t>
            </w:r>
            <w:r w:rsidRPr="00974B69">
              <w:rPr>
                <w:i/>
                <w:iCs/>
                <w:sz w:val="26"/>
                <w:szCs w:val="26"/>
                <w:vertAlign w:val="superscript"/>
              </w:rPr>
              <w:t>th</w:t>
            </w:r>
            <w:r w:rsidRPr="00974B69">
              <w:rPr>
                <w:i/>
                <w:iCs/>
                <w:sz w:val="26"/>
                <w:szCs w:val="26"/>
              </w:rPr>
              <w:t xml:space="preserve"> </w:t>
            </w:r>
            <w:r>
              <w:rPr>
                <w:i/>
                <w:iCs/>
                <w:sz w:val="26"/>
                <w:szCs w:val="26"/>
              </w:rPr>
              <w:t>January</w:t>
            </w:r>
            <w:r w:rsidRPr="00974B69">
              <w:rPr>
                <w:i/>
                <w:iCs/>
                <w:sz w:val="26"/>
                <w:szCs w:val="26"/>
              </w:rPr>
              <w:t xml:space="preserve"> 202</w:t>
            </w:r>
            <w:r>
              <w:rPr>
                <w:i/>
                <w:iCs/>
                <w:sz w:val="26"/>
                <w:szCs w:val="26"/>
              </w:rPr>
              <w:t>2</w:t>
            </w:r>
          </w:p>
        </w:tc>
      </w:tr>
    </w:tbl>
    <w:p w14:paraId="473E9387" w14:textId="77777777" w:rsidR="005455B3" w:rsidRDefault="005455B3" w:rsidP="005455B3">
      <w:pPr>
        <w:spacing w:line="200" w:lineRule="exact"/>
        <w:rPr>
          <w:sz w:val="20"/>
          <w:szCs w:val="20"/>
        </w:rPr>
      </w:pPr>
    </w:p>
    <w:p w14:paraId="46AE8D6A" w14:textId="77777777" w:rsidR="005455B3" w:rsidRDefault="005455B3" w:rsidP="005455B3">
      <w:pPr>
        <w:spacing w:before="5" w:line="260" w:lineRule="exact"/>
        <w:rPr>
          <w:sz w:val="26"/>
          <w:szCs w:val="26"/>
        </w:rPr>
      </w:pPr>
    </w:p>
    <w:p w14:paraId="31740083" w14:textId="77777777" w:rsidR="005455B3" w:rsidRDefault="005455B3" w:rsidP="005455B3">
      <w:pPr>
        <w:spacing w:before="5" w:line="260" w:lineRule="exact"/>
        <w:rPr>
          <w:sz w:val="26"/>
          <w:szCs w:val="26"/>
        </w:rPr>
      </w:pPr>
    </w:p>
    <w:p w14:paraId="4A4475BC" w14:textId="53D13541" w:rsidR="005455B3" w:rsidRPr="002001F7" w:rsidRDefault="005455B3" w:rsidP="005455B3">
      <w:pPr>
        <w:spacing w:line="245" w:lineRule="auto"/>
        <w:jc w:val="center"/>
        <w:rPr>
          <w:b/>
          <w:bCs/>
          <w:sz w:val="32"/>
          <w:szCs w:val="32"/>
          <w:lang w:val="pt-BR"/>
        </w:rPr>
      </w:pPr>
      <w:r>
        <w:rPr>
          <w:rFonts w:asciiTheme="minorHAnsi" w:hAnsiTheme="minorHAnsi" w:cstheme="minorBidi"/>
          <w:noProof/>
          <w:sz w:val="22"/>
          <w:szCs w:val="22"/>
        </w:rPr>
        <mc:AlternateContent>
          <mc:Choice Requires="wpg">
            <w:drawing>
              <wp:anchor distT="0" distB="0" distL="114300" distR="114300" simplePos="0" relativeHeight="251664384" behindDoc="1" locked="0" layoutInCell="1" allowOverlap="1" wp14:anchorId="57456473" wp14:editId="6AEAFBF7">
                <wp:simplePos x="0" y="0"/>
                <wp:positionH relativeFrom="page">
                  <wp:posOffset>3277235</wp:posOffset>
                </wp:positionH>
                <wp:positionV relativeFrom="paragraph">
                  <wp:posOffset>280670</wp:posOffset>
                </wp:positionV>
                <wp:extent cx="1412875" cy="1270"/>
                <wp:effectExtent l="10160" t="13970" r="5715" b="381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1270"/>
                          <a:chOff x="5161" y="442"/>
                          <a:chExt cx="2225" cy="2"/>
                        </a:xfrm>
                      </wpg:grpSpPr>
                      <wps:wsp>
                        <wps:cNvPr id="26" name="Freeform 7"/>
                        <wps:cNvSpPr>
                          <a:spLocks/>
                        </wps:cNvSpPr>
                        <wps:spPr bwMode="auto">
                          <a:xfrm>
                            <a:off x="5161" y="442"/>
                            <a:ext cx="2225" cy="2"/>
                          </a:xfrm>
                          <a:custGeom>
                            <a:avLst/>
                            <a:gdLst>
                              <a:gd name="T0" fmla="+- 0 5161 5161"/>
                              <a:gd name="T1" fmla="*/ T0 w 2225"/>
                              <a:gd name="T2" fmla="+- 0 7386 5161"/>
                              <a:gd name="T3" fmla="*/ T2 w 2225"/>
                            </a:gdLst>
                            <a:ahLst/>
                            <a:cxnLst>
                              <a:cxn ang="0">
                                <a:pos x="T1" y="0"/>
                              </a:cxn>
                              <a:cxn ang="0">
                                <a:pos x="T3" y="0"/>
                              </a:cxn>
                            </a:cxnLst>
                            <a:rect l="0" t="0" r="r" b="b"/>
                            <a:pathLst>
                              <a:path w="2225">
                                <a:moveTo>
                                  <a:pt x="0" y="0"/>
                                </a:moveTo>
                                <a:lnTo>
                                  <a:pt x="22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555CE" id="Group 25" o:spid="_x0000_s1026" style="position:absolute;margin-left:258.05pt;margin-top:22.1pt;width:111.25pt;height:.1pt;z-index:-251652096;mso-position-horizontal-relative:page" coordorigin="5161,442" coordsize="2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">
                <v:shape id="Freeform 7" o:spid="_x0000_s1027" style="position:absolute;left:5161;top:442;width:2225;height:2;visibility:visible;mso-wrap-style:square;v-text-anchor:top" coordsize="2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" path="m,l2225,e" filled="f">
                  <v:path arrowok="t" o:connecttype="custom" o:connectlocs="0,0;2225,0" o:connectangles="0,0"/>
                </v:shape>
                <w10:wrap anchorx="page"/>
              </v:group>
            </w:pict>
          </mc:Fallback>
        </mc:AlternateContent>
      </w:r>
      <w:r w:rsidRPr="00FD04F3">
        <w:rPr>
          <w:b/>
          <w:bCs/>
          <w:sz w:val="32"/>
          <w:szCs w:val="32"/>
          <w:lang w:val="pt-BR"/>
        </w:rPr>
        <w:t xml:space="preserve"> </w:t>
      </w:r>
      <w:r w:rsidRPr="006D7720">
        <w:rPr>
          <w:b/>
          <w:bCs/>
          <w:sz w:val="32"/>
          <w:szCs w:val="32"/>
          <w:lang w:val="pt-BR"/>
        </w:rPr>
        <w:t xml:space="preserve">Socio-economic situation report in </w:t>
      </w:r>
      <w:r>
        <w:rPr>
          <w:b/>
          <w:bCs/>
          <w:sz w:val="32"/>
          <w:szCs w:val="32"/>
          <w:lang w:val="pt-BR"/>
        </w:rPr>
        <w:t>January 2022</w:t>
      </w:r>
    </w:p>
    <w:p w14:paraId="3F658676" w14:textId="77777777" w:rsidR="005455B3" w:rsidRDefault="005455B3" w:rsidP="005455B3">
      <w:pPr>
        <w:spacing w:before="7"/>
        <w:ind w:right="172"/>
        <w:jc w:val="center"/>
        <w:rPr>
          <w:b/>
          <w:bCs/>
          <w:sz w:val="34"/>
          <w:szCs w:val="34"/>
        </w:rPr>
      </w:pPr>
    </w:p>
    <w:p w14:paraId="34E43C8D" w14:textId="77777777" w:rsidR="005455B3" w:rsidRDefault="005455B3" w:rsidP="005455B3">
      <w:pPr>
        <w:spacing w:before="7"/>
        <w:ind w:right="172"/>
        <w:jc w:val="center"/>
        <w:rPr>
          <w:sz w:val="34"/>
          <w:szCs w:val="34"/>
        </w:rPr>
      </w:pPr>
    </w:p>
    <w:bookmarkEnd w:id="0"/>
    <w:p w14:paraId="4E747289" w14:textId="77777777" w:rsidR="006A5EAC" w:rsidRPr="00052095" w:rsidRDefault="006A5EAC" w:rsidP="006A5EAC">
      <w:pPr>
        <w:spacing w:before="40" w:after="40" w:line="288" w:lineRule="auto"/>
        <w:ind w:firstLine="567"/>
        <w:jc w:val="both"/>
        <w:rPr>
          <w:b/>
          <w:bCs/>
          <w:sz w:val="10"/>
        </w:rPr>
      </w:pPr>
    </w:p>
    <w:p w14:paraId="645ABE6B" w14:textId="30EDF3FB" w:rsidR="003A35EA" w:rsidRPr="00052095" w:rsidRDefault="00092A06" w:rsidP="004F28D8">
      <w:pPr>
        <w:spacing w:before="40" w:after="40" w:line="288" w:lineRule="auto"/>
        <w:ind w:firstLine="567"/>
        <w:jc w:val="both"/>
        <w:rPr>
          <w:b/>
          <w:bCs/>
        </w:rPr>
      </w:pPr>
      <w:r w:rsidRPr="00052095">
        <w:rPr>
          <w:b/>
          <w:bCs/>
        </w:rPr>
        <w:t xml:space="preserve">1. </w:t>
      </w:r>
      <w:r w:rsidR="00EE6A7D" w:rsidRPr="00EE6A7D">
        <w:rPr>
          <w:b/>
          <w:bCs/>
        </w:rPr>
        <w:t>Agriculture, forestry and fishery</w:t>
      </w:r>
    </w:p>
    <w:p w14:paraId="75427CB4" w14:textId="1D43B62B" w:rsidR="001C24DB" w:rsidRDefault="001C24DB" w:rsidP="004F28D8">
      <w:pPr>
        <w:pStyle w:val="ListParagraph"/>
        <w:tabs>
          <w:tab w:val="left" w:pos="1080"/>
          <w:tab w:val="left" w:pos="1134"/>
        </w:tabs>
        <w:spacing w:before="40" w:after="40" w:line="288" w:lineRule="auto"/>
        <w:ind w:left="0" w:firstLine="567"/>
        <w:contextualSpacing w:val="0"/>
        <w:jc w:val="both"/>
        <w:rPr>
          <w:rStyle w:val="Emphasis"/>
          <w:color w:val="0E101A"/>
        </w:rPr>
      </w:pPr>
      <w:r>
        <w:rPr>
          <w:rStyle w:val="Emphasis"/>
          <w:color w:val="0E101A"/>
        </w:rPr>
        <w:t xml:space="preserve">Agricultural </w:t>
      </w:r>
      <w:r w:rsidR="008B5372">
        <w:rPr>
          <w:rStyle w:val="Emphasis"/>
          <w:color w:val="0E101A"/>
        </w:rPr>
        <w:t>p</w:t>
      </w:r>
      <w:r>
        <w:rPr>
          <w:rStyle w:val="Emphasis"/>
          <w:color w:val="0E101A"/>
        </w:rPr>
        <w:t>roduction in the month focused mainly on cultivating and tending winter-spring rice, planting crops across the country, and harvesting winter crops in the North. Pig husbandry continued to recover; poultry developed well. Forestry production focused on activities to respond to the movement "Tet planting trees forever grateful to Uncle Ho" on the occasion of the Lunar New Year, as well as strengthening the protection and prevention of forest fires in the dry season 2022. Fishermen actively cling to the sea to serve the consumption demand of the Lunar New Year. Aquaculture farmers in the coastal provinces of the Mekong River Delta have just finished harvesting the rice-shrimp crop, focusing on improving ponds to start the new crop year.</w:t>
      </w:r>
    </w:p>
    <w:p w14:paraId="4E6BC99A" w14:textId="2E40567B" w:rsidR="00BF3645" w:rsidRPr="00CF4507" w:rsidRDefault="00BF3645" w:rsidP="004F28D8">
      <w:pPr>
        <w:pStyle w:val="ListParagraph"/>
        <w:tabs>
          <w:tab w:val="left" w:pos="1080"/>
          <w:tab w:val="left" w:pos="1134"/>
        </w:tabs>
        <w:spacing w:before="40" w:after="40" w:line="288" w:lineRule="auto"/>
        <w:ind w:left="0" w:firstLine="567"/>
        <w:contextualSpacing w:val="0"/>
        <w:jc w:val="both"/>
        <w:rPr>
          <w:b/>
          <w:bCs/>
          <w:i/>
          <w:iCs/>
        </w:rPr>
      </w:pPr>
      <w:r w:rsidRPr="00CF4507">
        <w:rPr>
          <w:b/>
          <w:bCs/>
          <w:i/>
          <w:iCs/>
        </w:rPr>
        <w:t>a)</w:t>
      </w:r>
      <w:r w:rsidR="005936AE">
        <w:rPr>
          <w:b/>
          <w:bCs/>
          <w:i/>
          <w:iCs/>
        </w:rPr>
        <w:t xml:space="preserve"> </w:t>
      </w:r>
      <w:r w:rsidR="005936AE" w:rsidRPr="005936AE">
        <w:rPr>
          <w:b/>
          <w:bCs/>
          <w:i/>
          <w:iCs/>
        </w:rPr>
        <w:t>Agriculture</w:t>
      </w:r>
    </w:p>
    <w:p w14:paraId="0CB8183F" w14:textId="77777777" w:rsidR="00EC0980" w:rsidRDefault="00EC0980" w:rsidP="00CD2165">
      <w:pPr>
        <w:spacing w:before="40" w:after="40" w:line="276" w:lineRule="auto"/>
        <w:ind w:firstLine="567"/>
        <w:jc w:val="both"/>
        <w:rPr>
          <w:lang w:val="pl-PL"/>
        </w:rPr>
      </w:pPr>
      <w:r w:rsidRPr="00EC0980">
        <w:rPr>
          <w:lang w:val="pl-PL"/>
        </w:rPr>
        <w:t>As of January 15, 2022, the country cultivated 1,909.8 thousand hectares of spring paddy, an equal to 104.9% compared with the same period last year, of which Northern provinces reached 132.1 thousand hectares, an equaling 201.5 % due to favorable weather, rainy, humidity and moderate cold, the progress of rice cultivation has been accelerated Southern provinces reached 1,777.7 thousand hectares, an equal to 101.3%. In particular, the Mekong River Delta reached 1,436.6 thousand hectares, equaling 100.6%.</w:t>
      </w:r>
    </w:p>
    <w:p w14:paraId="2333613B" w14:textId="7E1A021F" w:rsidR="00820B23" w:rsidRDefault="004A74F9" w:rsidP="00CD2165">
      <w:pPr>
        <w:spacing w:before="40" w:after="40" w:line="276" w:lineRule="auto"/>
        <w:ind w:firstLine="720"/>
        <w:jc w:val="both"/>
      </w:pPr>
      <w:r>
        <w:t>To</w:t>
      </w:r>
      <w:r w:rsidR="00820B23" w:rsidRPr="00584D2F">
        <w:t xml:space="preserve"> increase production efficiency, farmers need to adhere to the seasonal schedule, implement intensive technical measures, prevent pests and diseases, and closely monitor weather changes to ensure the</w:t>
      </w:r>
      <w:r w:rsidR="00820B23">
        <w:t xml:space="preserve"> growth and development of rice</w:t>
      </w:r>
      <w:r w:rsidR="00820B23" w:rsidRPr="00584D2F">
        <w:t xml:space="preserve">. In the North, localities need to use water-saving irrigation measures, and at the same time follow the schedule of water discharge from reservoirs to take advantage of enough water storage for production </w:t>
      </w:r>
      <w:r>
        <w:t>to</w:t>
      </w:r>
      <w:r w:rsidR="00820B23" w:rsidRPr="00584D2F">
        <w:t xml:space="preserve"> ensure the planting progress of the remaining spring rice. In the southern localities, farmers are recommended </w:t>
      </w:r>
      <w:r w:rsidR="00820B23" w:rsidRPr="00584D2F">
        <w:lastRenderedPageBreak/>
        <w:t>to promote the application of the "one must - five reduction"</w:t>
      </w:r>
      <w:r w:rsidR="00820B23" w:rsidRPr="00B670FE">
        <w:rPr>
          <w:rStyle w:val="FootnoteReference"/>
          <w:color w:val="000000" w:themeColor="text1"/>
        </w:rPr>
        <w:footnoteReference w:id="1"/>
      </w:r>
      <w:r w:rsidR="00820B23" w:rsidRPr="00584D2F">
        <w:t xml:space="preserve"> technical package to help reduce the cost of irrigation, fertilizers, plant protection drugs and increase the yield and quality of rice.</w:t>
      </w:r>
      <w:r w:rsidR="00820B23">
        <w:t xml:space="preserve"> </w:t>
      </w:r>
    </w:p>
    <w:p w14:paraId="4384D5B5" w14:textId="6006B67C" w:rsidR="00E5730F" w:rsidRDefault="00E5730F" w:rsidP="00CD2165">
      <w:pPr>
        <w:spacing w:before="40" w:after="40" w:line="276" w:lineRule="auto"/>
        <w:ind w:firstLine="567"/>
        <w:jc w:val="both"/>
      </w:pPr>
      <w:r w:rsidRPr="00E5730F">
        <w:t>The area of some spring crops decreased compared to the same period last year, in which sweet potatoes and soybeans decreased sharply mainly due to low economic efficiency and difficulties in product consumption.</w:t>
      </w:r>
    </w:p>
    <w:p w14:paraId="7C939B58" w14:textId="77777777" w:rsidR="00156079" w:rsidRPr="00AD5241" w:rsidRDefault="00156079" w:rsidP="00CD2165">
      <w:pPr>
        <w:spacing w:before="40" w:after="40" w:line="276" w:lineRule="auto"/>
        <w:ind w:firstLine="567"/>
        <w:jc w:val="both"/>
      </w:pPr>
    </w:p>
    <w:p w14:paraId="26B0D3B3" w14:textId="77777777" w:rsidR="00B82E1D" w:rsidRPr="008907B5" w:rsidRDefault="00B82E1D" w:rsidP="00B82E1D">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1: Cultivation of main annual crops</w:t>
      </w:r>
    </w:p>
    <w:p w14:paraId="7CF63D5C" w14:textId="77777777" w:rsidR="00B82E1D" w:rsidRPr="008907B5" w:rsidRDefault="00B82E1D" w:rsidP="00B82E1D">
      <w:pPr>
        <w:spacing w:before="40" w:after="40" w:line="271" w:lineRule="auto"/>
        <w:jc w:val="center"/>
        <w:rPr>
          <w:rFonts w:ascii="Arial" w:hAnsi="Arial" w:cs="Arial"/>
          <w:sz w:val="24"/>
          <w:szCs w:val="24"/>
          <w:lang w:val="de-DE"/>
        </w:rPr>
      </w:pPr>
      <w:r w:rsidRPr="008907B5">
        <w:rPr>
          <w:rFonts w:ascii="Arial" w:hAnsi="Arial" w:cs="Arial"/>
          <w:sz w:val="24"/>
          <w:szCs w:val="24"/>
          <w:lang w:val="de-DE"/>
        </w:rPr>
        <w:t>(As of 15/01/2022)</w:t>
      </w:r>
    </w:p>
    <w:p w14:paraId="144E751E" w14:textId="69E96851" w:rsidR="00BF3645" w:rsidRPr="00EB69EB" w:rsidRDefault="00696C65" w:rsidP="002720E0">
      <w:pPr>
        <w:pStyle w:val="NormalWeb"/>
        <w:spacing w:before="0" w:after="120" w:line="360" w:lineRule="atLeast"/>
        <w:jc w:val="center"/>
        <w:rPr>
          <w:sz w:val="26"/>
          <w:szCs w:val="26"/>
        </w:rPr>
      </w:pPr>
      <w:r w:rsidRPr="00556FA4">
        <w:rPr>
          <w:noProof/>
        </w:rPr>
        <w:drawing>
          <wp:inline distT="0" distB="0" distL="0" distR="0" wp14:anchorId="3A53D440" wp14:editId="42D2AAC7">
            <wp:extent cx="5699760" cy="22451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2245194"/>
                    </a:xfrm>
                    <a:prstGeom prst="rect">
                      <a:avLst/>
                    </a:prstGeom>
                    <a:noFill/>
                    <a:ln>
                      <a:noFill/>
                    </a:ln>
                  </pic:spPr>
                </pic:pic>
              </a:graphicData>
            </a:graphic>
          </wp:inline>
        </w:drawing>
      </w:r>
    </w:p>
    <w:p w14:paraId="7BA34DF5" w14:textId="77777777" w:rsidR="00CD2165" w:rsidRDefault="0020757D" w:rsidP="00CD2165">
      <w:pPr>
        <w:spacing w:before="40" w:after="40" w:line="276" w:lineRule="auto"/>
        <w:ind w:firstLine="567"/>
        <w:jc w:val="both"/>
        <w:rPr>
          <w:lang w:val="pt-BR"/>
        </w:rPr>
      </w:pPr>
      <w:r w:rsidRPr="0020757D">
        <w:rPr>
          <w:lang w:val="pt-BR"/>
        </w:rPr>
        <w:t>Cattle husbandry was in the month of stable development. Pig husbandry has been gradually prospering due to an increase in live-hog prices this month compared to the previous month. Poultry farming was well developed. Livestock establishments kept their scale stable, ensuring supply for the Lunar New Year. However, the weather forecast in the coming time is that there will be severe cold spells, especially in the North, so farmers need to prepare measures actively to combat colds for their livestock.</w:t>
      </w:r>
    </w:p>
    <w:p w14:paraId="717408F4" w14:textId="23E74DE0" w:rsidR="008667C0" w:rsidRDefault="008667C0" w:rsidP="00CD2165">
      <w:pPr>
        <w:spacing w:before="40" w:after="40" w:line="276" w:lineRule="auto"/>
        <w:ind w:firstLine="567"/>
        <w:jc w:val="center"/>
        <w:rPr>
          <w:rFonts w:ascii="Arial" w:hAnsi="Arial" w:cs="Arial"/>
          <w:b/>
          <w:sz w:val="24"/>
          <w:szCs w:val="24"/>
        </w:rPr>
      </w:pPr>
      <w:r>
        <w:rPr>
          <w:rFonts w:ascii="Arial" w:hAnsi="Arial" w:cs="Arial"/>
          <w:b/>
          <w:sz w:val="24"/>
          <w:szCs w:val="24"/>
        </w:rPr>
        <w:t>Figure 2</w:t>
      </w:r>
      <w:r w:rsidRPr="007B7F4A">
        <w:rPr>
          <w:rFonts w:ascii="Arial" w:hAnsi="Arial" w:cs="Arial"/>
          <w:b/>
          <w:sz w:val="24"/>
          <w:szCs w:val="24"/>
        </w:rPr>
        <w:t>. Livestock population</w:t>
      </w:r>
    </w:p>
    <w:p w14:paraId="030FEDE1" w14:textId="18F3F3DE" w:rsidR="000C66D1" w:rsidRDefault="000C66D1" w:rsidP="008667C0">
      <w:pPr>
        <w:spacing w:before="240" w:after="40"/>
        <w:jc w:val="center"/>
      </w:pPr>
      <w:r>
        <w:rPr>
          <w:noProof/>
        </w:rPr>
        <w:drawing>
          <wp:inline distT="0" distB="0" distL="0" distR="0" wp14:anchorId="2FC1347B" wp14:editId="2358E21E">
            <wp:extent cx="5189220" cy="168402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9220" cy="1684020"/>
                    </a:xfrm>
                    <a:prstGeom prst="rect">
                      <a:avLst/>
                    </a:prstGeom>
                    <a:noFill/>
                    <a:ln>
                      <a:noFill/>
                    </a:ln>
                  </pic:spPr>
                </pic:pic>
              </a:graphicData>
            </a:graphic>
          </wp:inline>
        </w:drawing>
      </w:r>
    </w:p>
    <w:p w14:paraId="73212D0E" w14:textId="77777777" w:rsidR="004F28D8" w:rsidRPr="002720E0" w:rsidRDefault="004F28D8" w:rsidP="00BF3645">
      <w:pPr>
        <w:spacing w:before="240" w:after="40"/>
        <w:jc w:val="center"/>
        <w:rPr>
          <w:rFonts w:ascii="Arial" w:hAnsi="Arial" w:cs="Arial"/>
          <w:b/>
          <w:sz w:val="2"/>
          <w:szCs w:val="24"/>
          <w:lang w:val="pt-BR"/>
        </w:rPr>
      </w:pPr>
    </w:p>
    <w:p w14:paraId="2327D74A" w14:textId="77777777" w:rsidR="002720E0" w:rsidRPr="002720E0" w:rsidRDefault="002720E0" w:rsidP="00931B8F">
      <w:pPr>
        <w:spacing w:before="40" w:after="40" w:line="271" w:lineRule="auto"/>
        <w:ind w:firstLine="567"/>
        <w:jc w:val="both"/>
        <w:rPr>
          <w:sz w:val="8"/>
        </w:rPr>
      </w:pPr>
    </w:p>
    <w:p w14:paraId="40EE7D16" w14:textId="77777777" w:rsidR="00D57B09" w:rsidRDefault="00D57B09" w:rsidP="00723708">
      <w:pPr>
        <w:spacing w:before="40" w:after="40" w:line="276" w:lineRule="auto"/>
        <w:ind w:firstLine="567"/>
        <w:contextualSpacing/>
        <w:jc w:val="both"/>
        <w:rPr>
          <w:lang w:val="pt-BR"/>
        </w:rPr>
      </w:pPr>
      <w:r w:rsidRPr="00F07D8B">
        <w:t xml:space="preserve">As of </w:t>
      </w:r>
      <w:r>
        <w:t>January</w:t>
      </w:r>
      <w:r w:rsidRPr="00F07D8B">
        <w:t xml:space="preserve"> 2</w:t>
      </w:r>
      <w:r>
        <w:t>3</w:t>
      </w:r>
      <w:r w:rsidRPr="00F07D8B">
        <w:t>, 202</w:t>
      </w:r>
      <w:r>
        <w:t>2</w:t>
      </w:r>
      <w:r w:rsidRPr="00F07D8B">
        <w:t xml:space="preserve">, </w:t>
      </w:r>
      <w:r w:rsidRPr="00F07D8B">
        <w:rPr>
          <w:lang w:val="pt-BR"/>
        </w:rPr>
        <w:t xml:space="preserve">the whole country has no longer blue-ear disease and </w:t>
      </w:r>
      <w:r>
        <w:rPr>
          <w:lang w:val="pt-BR"/>
        </w:rPr>
        <w:t xml:space="preserve">avian flu; foot-and-mouth disease </w:t>
      </w:r>
      <w:r w:rsidRPr="00F07D8B">
        <w:rPr>
          <w:lang w:val="pt-BR"/>
        </w:rPr>
        <w:t xml:space="preserve">was still </w:t>
      </w:r>
      <w:r>
        <w:rPr>
          <w:lang w:val="pt-BR"/>
        </w:rPr>
        <w:t xml:space="preserve">only </w:t>
      </w:r>
      <w:r w:rsidRPr="00F07D8B">
        <w:rPr>
          <w:lang w:val="pt-BR"/>
        </w:rPr>
        <w:t xml:space="preserve">in </w:t>
      </w:r>
      <w:r>
        <w:rPr>
          <w:lang w:val="pt-BR"/>
        </w:rPr>
        <w:t>Ha Tinh;</w:t>
      </w:r>
      <w:r w:rsidRPr="00F07D8B">
        <w:rPr>
          <w:lang w:val="pt-BR"/>
        </w:rPr>
        <w:t xml:space="preserve"> African swine fever was reported in </w:t>
      </w:r>
      <w:r>
        <w:rPr>
          <w:lang w:val="pt-BR"/>
        </w:rPr>
        <w:t>35</w:t>
      </w:r>
      <w:r w:rsidRPr="00F07D8B">
        <w:rPr>
          <w:lang w:val="pt-BR"/>
        </w:rPr>
        <w:t xml:space="preserve"> localities</w:t>
      </w:r>
      <w:r w:rsidRPr="00B670FE">
        <w:rPr>
          <w:rStyle w:val="FootnoteReference"/>
          <w:color w:val="000000" w:themeColor="text1"/>
        </w:rPr>
        <w:footnoteReference w:id="2"/>
      </w:r>
      <w:r w:rsidRPr="00F07D8B">
        <w:rPr>
          <w:lang w:val="pt-BR"/>
        </w:rPr>
        <w:t xml:space="preserve"> and LSD was still in </w:t>
      </w:r>
      <w:r>
        <w:rPr>
          <w:lang w:val="pt-BR"/>
        </w:rPr>
        <w:t>Ben Tre</w:t>
      </w:r>
      <w:r w:rsidRPr="00F07D8B">
        <w:rPr>
          <w:lang w:val="pt-BR"/>
        </w:rPr>
        <w:t xml:space="preserve"> for less than 21 days</w:t>
      </w:r>
      <w:r>
        <w:rPr>
          <w:lang w:val="pt-BR"/>
        </w:rPr>
        <w:t>.</w:t>
      </w:r>
    </w:p>
    <w:p w14:paraId="67F469A2" w14:textId="5324AC30" w:rsidR="00C32A3F" w:rsidRPr="00052095" w:rsidRDefault="00C32A3F" w:rsidP="00723708">
      <w:pPr>
        <w:spacing w:before="40" w:after="40" w:line="276" w:lineRule="auto"/>
        <w:ind w:firstLine="567"/>
        <w:contextualSpacing/>
        <w:jc w:val="both"/>
        <w:rPr>
          <w:b/>
          <w:bCs/>
          <w:i/>
          <w:iCs/>
          <w:lang w:val="pl-PL"/>
        </w:rPr>
      </w:pPr>
      <w:r w:rsidRPr="00052095">
        <w:rPr>
          <w:b/>
          <w:bCs/>
          <w:i/>
          <w:iCs/>
          <w:lang w:val="pl-PL"/>
        </w:rPr>
        <w:t xml:space="preserve">b) </w:t>
      </w:r>
      <w:r w:rsidR="00376271" w:rsidRPr="00376271">
        <w:rPr>
          <w:b/>
          <w:bCs/>
          <w:i/>
          <w:iCs/>
          <w:lang w:val="pl-PL"/>
        </w:rPr>
        <w:t>Forestry</w:t>
      </w:r>
    </w:p>
    <w:p w14:paraId="4C2C9C9B" w14:textId="1A698D0A" w:rsidR="00671BAE" w:rsidRPr="0011628B" w:rsidRDefault="00671BAE" w:rsidP="00723708">
      <w:pPr>
        <w:tabs>
          <w:tab w:val="left" w:pos="1134"/>
        </w:tabs>
        <w:spacing w:before="40" w:after="40" w:line="276" w:lineRule="auto"/>
        <w:ind w:firstLine="567"/>
        <w:contextualSpacing/>
        <w:jc w:val="both"/>
      </w:pPr>
      <w:r w:rsidRPr="00864FF1">
        <w:t xml:space="preserve">In January 2022, the newly concentrated planted forest area </w:t>
      </w:r>
      <w:r w:rsidRPr="00E26331">
        <w:rPr>
          <w:shd w:val="clear" w:color="auto" w:fill="FFFFFF"/>
          <w:lang w:val="vi-VN"/>
        </w:rPr>
        <w:t>nationwide</w:t>
      </w:r>
      <w:r w:rsidRPr="00864FF1">
        <w:t xml:space="preserve"> was estimated at 7.3 thousand hectares, up 5.6% over the same period last year; the number of scattered forest trees reached 3.8 million trees, an increase of 1%. The area of ​​</w:t>
      </w:r>
      <w:r w:rsidR="004A74F9">
        <w:t xml:space="preserve">the </w:t>
      </w:r>
      <w:r w:rsidRPr="00864FF1">
        <w:t>newly concentrated planted forest increased mainly in Phu Tho, Quang Ninh</w:t>
      </w:r>
      <w:r w:rsidRPr="0011628B">
        <w:rPr>
          <w:rStyle w:val="FootnoteReference"/>
        </w:rPr>
        <w:footnoteReference w:id="3"/>
      </w:r>
      <w:r w:rsidR="004A74F9">
        <w:t>,</w:t>
      </w:r>
      <w:r w:rsidRPr="0011628B">
        <w:t xml:space="preserve"> </w:t>
      </w:r>
      <w:r w:rsidRPr="00864FF1">
        <w:t xml:space="preserve">and the </w:t>
      </w:r>
      <w:r>
        <w:t>C</w:t>
      </w:r>
      <w:r w:rsidRPr="00864FF1">
        <w:t>entral provinces</w:t>
      </w:r>
      <w:r w:rsidRPr="0011628B">
        <w:rPr>
          <w:rStyle w:val="FootnoteReference"/>
        </w:rPr>
        <w:footnoteReference w:id="4"/>
      </w:r>
      <w:r w:rsidRPr="00864FF1">
        <w:t>. Timber production in January was estimated at 940.5 thousand m</w:t>
      </w:r>
      <w:r w:rsidRPr="00DA13F2">
        <w:rPr>
          <w:vertAlign w:val="superscript"/>
        </w:rPr>
        <w:t>3</w:t>
      </w:r>
      <w:r w:rsidRPr="00864FF1">
        <w:t xml:space="preserve">, up 4.5% over the same period last year; firewood production </w:t>
      </w:r>
      <w:r>
        <w:t>was</w:t>
      </w:r>
      <w:r w:rsidRPr="00864FF1">
        <w:t xml:space="preserve"> 1.5 million ste, down 0.4 %. Provinces with high timber production such as Quang Ngai 113.4 m</w:t>
      </w:r>
      <w:r w:rsidRPr="00DA13F2">
        <w:rPr>
          <w:vertAlign w:val="superscript"/>
        </w:rPr>
        <w:t>3</w:t>
      </w:r>
      <w:r w:rsidRPr="00864FF1">
        <w:t>, an increase of 7.1%; Quang Tri 72.5 m</w:t>
      </w:r>
      <w:r w:rsidRPr="00DA13F2">
        <w:rPr>
          <w:vertAlign w:val="superscript"/>
        </w:rPr>
        <w:t>3</w:t>
      </w:r>
      <w:r w:rsidRPr="00864FF1">
        <w:t>, up 6.8%; Nghe An 39.9 m</w:t>
      </w:r>
      <w:r w:rsidRPr="00DA13F2">
        <w:rPr>
          <w:vertAlign w:val="superscript"/>
        </w:rPr>
        <w:t>3</w:t>
      </w:r>
      <w:r w:rsidRPr="00864FF1">
        <w:t>, up 12.3%.</w:t>
      </w:r>
    </w:p>
    <w:p w14:paraId="6680D161" w14:textId="2BB98A8D" w:rsidR="00671BAE" w:rsidRDefault="00671BAE" w:rsidP="00723708">
      <w:pPr>
        <w:shd w:val="clear" w:color="auto" w:fill="FFFFFF"/>
        <w:spacing w:before="40" w:after="40" w:line="276" w:lineRule="auto"/>
        <w:ind w:firstLine="567"/>
        <w:contextualSpacing/>
        <w:jc w:val="both"/>
      </w:pPr>
      <w:r w:rsidRPr="006D7720">
        <w:rPr>
          <w:spacing w:val="-4"/>
        </w:rPr>
        <w:t>Damaged forest area</w:t>
      </w:r>
      <w:r w:rsidR="004A74F9">
        <w:rPr>
          <w:rStyle w:val="FootnoteReference"/>
          <w:spacing w:val="-4"/>
        </w:rPr>
        <w:t xml:space="preserve"> </w:t>
      </w:r>
      <w:r>
        <w:rPr>
          <w:spacing w:val="-4"/>
        </w:rPr>
        <w:t xml:space="preserve">in </w:t>
      </w:r>
      <w:r w:rsidRPr="00864FF1">
        <w:t>January 2022</w:t>
      </w:r>
      <w:r>
        <w:t xml:space="preserve"> </w:t>
      </w:r>
      <w:r w:rsidRPr="001957F5">
        <w:rPr>
          <w:lang w:val="vi-VN"/>
        </w:rPr>
        <w:t>was</w:t>
      </w:r>
      <w:r>
        <w:rPr>
          <w:lang w:val="en-GB"/>
        </w:rPr>
        <w:t xml:space="preserve"> 55.7 ha</w:t>
      </w:r>
      <w:r w:rsidRPr="00DA13F2">
        <w:rPr>
          <w:rStyle w:val="FootnoteReference"/>
        </w:rPr>
        <w:footnoteReference w:id="5"/>
      </w:r>
      <w:r w:rsidRPr="00DA13F2">
        <w:t xml:space="preserve">, </w:t>
      </w:r>
      <w:r w:rsidRPr="002D560B">
        <w:t xml:space="preserve">decreased by 51.4% over the same period last year (in the same period in 2021, the damaged forest area was 114.8 ha) mainly due to a reduction </w:t>
      </w:r>
      <w:r w:rsidR="001265FC">
        <w:t xml:space="preserve">in the burnt forest </w:t>
      </w:r>
      <w:r w:rsidRPr="001957F5">
        <w:rPr>
          <w:lang w:val="vi-VN"/>
        </w:rPr>
        <w:t>area</w:t>
      </w:r>
      <w:r>
        <w:t xml:space="preserve"> which was </w:t>
      </w:r>
      <w:r w:rsidRPr="002D560B">
        <w:t xml:space="preserve">estimated </w:t>
      </w:r>
      <w:r>
        <w:t>at</w:t>
      </w:r>
      <w:r w:rsidRPr="002D560B">
        <w:t xml:space="preserve"> 1.8 ha, a decrease 97.1%; the </w:t>
      </w:r>
      <w:r w:rsidRPr="006D7720">
        <w:t>deforested forest area</w:t>
      </w:r>
      <w:r w:rsidRPr="006D7720">
        <w:rPr>
          <w:lang w:val="pt-BR"/>
        </w:rPr>
        <w:t xml:space="preserve"> </w:t>
      </w:r>
      <w:r w:rsidRPr="002D560B">
        <w:t>was 53.9 ha, an increase of 3%.</w:t>
      </w:r>
    </w:p>
    <w:p w14:paraId="58618ED1" w14:textId="39E708C4" w:rsidR="00505829" w:rsidRPr="00E61992" w:rsidRDefault="00505829" w:rsidP="00723708">
      <w:pPr>
        <w:spacing w:before="40" w:after="40" w:line="276" w:lineRule="auto"/>
        <w:ind w:firstLine="567"/>
        <w:jc w:val="both"/>
        <w:rPr>
          <w:b/>
          <w:i/>
          <w:lang w:val="pl-PL"/>
        </w:rPr>
      </w:pPr>
      <w:r w:rsidRPr="00E61992">
        <w:rPr>
          <w:b/>
          <w:i/>
          <w:lang w:val="pl-PL"/>
        </w:rPr>
        <w:t xml:space="preserve">c) </w:t>
      </w:r>
      <w:r w:rsidR="00376271" w:rsidRPr="00376271">
        <w:rPr>
          <w:b/>
          <w:i/>
          <w:lang w:val="pl-PL"/>
        </w:rPr>
        <w:t>Fishery</w:t>
      </w:r>
    </w:p>
    <w:p w14:paraId="67739EFB" w14:textId="77777777" w:rsidR="001F2B98" w:rsidRPr="00E61992" w:rsidRDefault="001F2B98" w:rsidP="00723708">
      <w:pPr>
        <w:spacing w:before="40" w:after="40" w:line="276" w:lineRule="auto"/>
        <w:ind w:firstLine="567"/>
        <w:jc w:val="both"/>
        <w:rPr>
          <w:lang w:val="pl-PL"/>
        </w:rPr>
      </w:pPr>
      <w:r w:rsidRPr="00EE71B2">
        <w:rPr>
          <w:i/>
          <w:iCs/>
          <w:lang w:val="de-DE"/>
        </w:rPr>
        <w:t>Fishery output</w:t>
      </w:r>
      <w:r w:rsidRPr="00146446">
        <w:rPr>
          <w:lang w:val="de-DE"/>
        </w:rPr>
        <w:t xml:space="preserve"> in </w:t>
      </w:r>
      <w:r>
        <w:rPr>
          <w:lang w:val="pl-PL"/>
        </w:rPr>
        <w:t xml:space="preserve">January </w:t>
      </w:r>
      <w:r w:rsidRPr="00E61992">
        <w:rPr>
          <w:lang w:val="pl-PL"/>
        </w:rPr>
        <w:t xml:space="preserve">2022 </w:t>
      </w:r>
      <w:r w:rsidRPr="00146446">
        <w:rPr>
          <w:lang w:val="de-DE"/>
        </w:rPr>
        <w:t xml:space="preserve">was estimated at </w:t>
      </w:r>
      <w:r w:rsidRPr="00E61992">
        <w:rPr>
          <w:lang w:val="pl-PL"/>
        </w:rPr>
        <w:t>589</w:t>
      </w:r>
      <w:r>
        <w:rPr>
          <w:lang w:val="pl-PL"/>
        </w:rPr>
        <w:t>.</w:t>
      </w:r>
      <w:r w:rsidRPr="00E61992">
        <w:rPr>
          <w:lang w:val="pl-PL"/>
        </w:rPr>
        <w:t xml:space="preserve">9 </w:t>
      </w:r>
      <w:r>
        <w:rPr>
          <w:lang w:val="pl-PL"/>
        </w:rPr>
        <w:t>thousand tons</w:t>
      </w:r>
      <w:r w:rsidRPr="00E61992">
        <w:rPr>
          <w:lang w:val="pl-PL"/>
        </w:rPr>
        <w:t xml:space="preserve">, </w:t>
      </w:r>
      <w:r>
        <w:rPr>
          <w:lang w:val="pl-PL"/>
        </w:rPr>
        <w:t xml:space="preserve">up </w:t>
      </w:r>
      <w:r w:rsidRPr="00E61992">
        <w:rPr>
          <w:lang w:val="pl-PL"/>
        </w:rPr>
        <w:t>1</w:t>
      </w:r>
      <w:r>
        <w:rPr>
          <w:lang w:val="pl-PL"/>
        </w:rPr>
        <w:t>.</w:t>
      </w:r>
      <w:r w:rsidRPr="00E61992">
        <w:rPr>
          <w:lang w:val="pl-PL"/>
        </w:rPr>
        <w:t xml:space="preserve">6% </w:t>
      </w:r>
      <w:r w:rsidRPr="001957F5">
        <w:rPr>
          <w:lang w:val="vi-VN"/>
        </w:rPr>
        <w:t>over the same period last year</w:t>
      </w:r>
      <w:r w:rsidRPr="00E61992">
        <w:rPr>
          <w:lang w:val="pl-PL"/>
        </w:rPr>
        <w:t xml:space="preserve">, </w:t>
      </w:r>
      <w:r>
        <w:rPr>
          <w:lang w:val="pl-PL"/>
        </w:rPr>
        <w:t>including</w:t>
      </w:r>
      <w:r w:rsidRPr="00E61992">
        <w:rPr>
          <w:lang w:val="pl-PL"/>
        </w:rPr>
        <w:t xml:space="preserve"> </w:t>
      </w:r>
      <w:r>
        <w:rPr>
          <w:lang w:val="pl-PL"/>
        </w:rPr>
        <w:t>Fish</w:t>
      </w:r>
      <w:r w:rsidRPr="00E61992">
        <w:rPr>
          <w:lang w:val="pl-PL"/>
        </w:rPr>
        <w:t xml:space="preserve"> đạt 433,1 </w:t>
      </w:r>
      <w:r>
        <w:rPr>
          <w:lang w:val="pl-PL"/>
        </w:rPr>
        <w:t>thousand tons</w:t>
      </w:r>
      <w:r w:rsidRPr="00E61992">
        <w:rPr>
          <w:lang w:val="pl-PL"/>
        </w:rPr>
        <w:t xml:space="preserve">, </w:t>
      </w:r>
      <w:r>
        <w:rPr>
          <w:lang w:val="pl-PL"/>
        </w:rPr>
        <w:t>up</w:t>
      </w:r>
      <w:r w:rsidRPr="00E61992">
        <w:rPr>
          <w:lang w:val="pl-PL"/>
        </w:rPr>
        <w:t xml:space="preserve"> 1,2%; </w:t>
      </w:r>
      <w:r>
        <w:rPr>
          <w:lang w:val="pl-PL"/>
        </w:rPr>
        <w:t>shrimp</w:t>
      </w:r>
      <w:r w:rsidRPr="00E61992">
        <w:rPr>
          <w:lang w:val="pl-PL"/>
        </w:rPr>
        <w:t xml:space="preserve"> đạt 57,5 </w:t>
      </w:r>
      <w:r>
        <w:rPr>
          <w:lang w:val="pl-PL"/>
        </w:rPr>
        <w:t>thousand tons</w:t>
      </w:r>
      <w:r w:rsidRPr="00E61992">
        <w:rPr>
          <w:lang w:val="pl-PL"/>
        </w:rPr>
        <w:t xml:space="preserve">, </w:t>
      </w:r>
      <w:r>
        <w:rPr>
          <w:lang w:val="pl-PL"/>
        </w:rPr>
        <w:t>up</w:t>
      </w:r>
      <w:r w:rsidRPr="00E61992">
        <w:rPr>
          <w:lang w:val="pl-PL"/>
        </w:rPr>
        <w:t xml:space="preserve"> 2,3%; </w:t>
      </w:r>
      <w:r>
        <w:rPr>
          <w:lang w:val="pl-PL"/>
        </w:rPr>
        <w:t>other aquatic products</w:t>
      </w:r>
      <w:r w:rsidRPr="00E61992">
        <w:rPr>
          <w:lang w:val="pl-PL"/>
        </w:rPr>
        <w:t xml:space="preserve"> đạt 99,3 </w:t>
      </w:r>
      <w:r>
        <w:rPr>
          <w:lang w:val="pl-PL"/>
        </w:rPr>
        <w:t>thousand tons</w:t>
      </w:r>
      <w:r w:rsidRPr="00E61992">
        <w:rPr>
          <w:lang w:val="pl-PL"/>
        </w:rPr>
        <w:t xml:space="preserve">, </w:t>
      </w:r>
      <w:r>
        <w:rPr>
          <w:lang w:val="pl-PL"/>
        </w:rPr>
        <w:t>up</w:t>
      </w:r>
      <w:r w:rsidRPr="00E61992">
        <w:rPr>
          <w:lang w:val="pl-PL"/>
        </w:rPr>
        <w:t xml:space="preserve"> 3,1%. </w:t>
      </w:r>
    </w:p>
    <w:p w14:paraId="59A6F0BA" w14:textId="77777777" w:rsidR="001F2B98" w:rsidRPr="00E61992" w:rsidRDefault="001F2B98" w:rsidP="00723708">
      <w:pPr>
        <w:spacing w:before="40" w:after="40" w:line="276" w:lineRule="auto"/>
        <w:ind w:firstLine="567"/>
        <w:jc w:val="both"/>
        <w:rPr>
          <w:shd w:val="clear" w:color="auto" w:fill="FFFFFF"/>
        </w:rPr>
      </w:pPr>
      <w:r w:rsidRPr="00AC3FFE">
        <w:rPr>
          <w:lang w:val="pl-PL"/>
        </w:rPr>
        <w:t>Aquaculture production in the month was estimated at 321.3 thousand tons, up 2.5% over the same period last year, of which: Fish reached 233 thousand tons, up 2%; shrimp reached 47.3 thousand tons, up 2.6%.</w:t>
      </w:r>
    </w:p>
    <w:p w14:paraId="2D827731" w14:textId="77777777" w:rsidR="00F43ADC" w:rsidRPr="00E61992" w:rsidRDefault="00F43ADC" w:rsidP="00723708">
      <w:pPr>
        <w:spacing w:before="40" w:after="40" w:line="276" w:lineRule="auto"/>
        <w:ind w:firstLine="567"/>
        <w:jc w:val="both"/>
        <w:rPr>
          <w:shd w:val="clear" w:color="auto" w:fill="FFFFFF"/>
        </w:rPr>
      </w:pPr>
      <w:r w:rsidRPr="00AC0518">
        <w:t xml:space="preserve">Pangasius prices have shown signs of recovery after more than two consecutive years at a low level. Raw pangasius of 0.8 - 1.1 kg/fish in the Mekong Delta ranges from 23,000-24,000 VND/kg, up 4,000 - 5,000 VND/kg over the same period last year. Pangasius processing enterprises have gradually adapted </w:t>
      </w:r>
      <w:r w:rsidRPr="00AC0518">
        <w:lastRenderedPageBreak/>
        <w:t>to production in the Covid-19 epidemic prevention situation. Pangasius production in January 2022 was estimated at 107 thousand tons, down 0.3% over the same period last year</w:t>
      </w:r>
      <w:r>
        <w:rPr>
          <w:rStyle w:val="FootnoteReference"/>
        </w:rPr>
        <w:footnoteReference w:id="6"/>
      </w:r>
      <w:r w:rsidRPr="00E61992">
        <w:t>.</w:t>
      </w:r>
      <w:r w:rsidRPr="00E61992">
        <w:rPr>
          <w:shd w:val="clear" w:color="auto" w:fill="FFFFFF"/>
        </w:rPr>
        <w:t xml:space="preserve"> </w:t>
      </w:r>
    </w:p>
    <w:p w14:paraId="01235E1C" w14:textId="77777777" w:rsidR="00F43ADC" w:rsidRPr="000E1A46" w:rsidRDefault="00F43ADC" w:rsidP="00723708">
      <w:pPr>
        <w:spacing w:before="40" w:after="40" w:line="276" w:lineRule="auto"/>
        <w:ind w:firstLine="567"/>
        <w:jc w:val="both"/>
        <w:rPr>
          <w:spacing w:val="-6"/>
        </w:rPr>
      </w:pPr>
      <w:r w:rsidRPr="00761F82">
        <w:rPr>
          <w:spacing w:val="-4"/>
        </w:rPr>
        <w:t>As of the middle of January 2022, the price of vannamei shrimp decreased slightly by 2,000 - 3,000 VND compared to the previous month, 100 shrimp/kg fluctuated at 90,000 - 100,000 VND/kg; size 80 fish/kg fluctuate</w:t>
      </w:r>
      <w:r>
        <w:rPr>
          <w:spacing w:val="-4"/>
        </w:rPr>
        <w:t>d</w:t>
      </w:r>
      <w:r w:rsidRPr="00761F82">
        <w:rPr>
          <w:spacing w:val="-4"/>
        </w:rPr>
        <w:t xml:space="preserve"> at 110,000 - 120,000 VND/kg</w:t>
      </w:r>
      <w:r w:rsidRPr="004F28D8">
        <w:rPr>
          <w:rStyle w:val="FootnoteReference"/>
          <w:spacing w:val="-4"/>
          <w:sz w:val="26"/>
          <w:szCs w:val="26"/>
        </w:rPr>
        <w:footnoteReference w:id="7"/>
      </w:r>
      <w:r w:rsidRPr="004F28D8">
        <w:rPr>
          <w:spacing w:val="-4"/>
          <w:sz w:val="26"/>
          <w:szCs w:val="26"/>
        </w:rPr>
        <w:t xml:space="preserve">; </w:t>
      </w:r>
      <w:r w:rsidRPr="009047F4">
        <w:rPr>
          <w:spacing w:val="-4"/>
        </w:rPr>
        <w:t>The price of black tiger shrimp was similar to last month, 20 shrimp/kg ranged from 240,000-260,000 VND/kg. Localities have developed intensive shrimp farming and super-intensive farming applying high technology, improved extensive farming, ecological shrimp farming, shrimp - rice farming; step by step to develop coastal culture and areas with environmental conditions for shrimp farming. Production of vannamei shrimp in January 2022 was estimated at 27.4 thousand tons, up 4.2% over the same period last year; tiger shrimp reached 15.7 thousand tons, down 0.6%.</w:t>
      </w:r>
      <w:r w:rsidRPr="009047F4" w:rsidDel="009047F4">
        <w:rPr>
          <w:spacing w:val="-4"/>
        </w:rPr>
        <w:t xml:space="preserve"> </w:t>
      </w:r>
    </w:p>
    <w:p w14:paraId="6C314CAF" w14:textId="148D25CA" w:rsidR="004F28D8" w:rsidRPr="00937DDC" w:rsidRDefault="00E4394E" w:rsidP="00505829">
      <w:pPr>
        <w:spacing w:before="120" w:line="276" w:lineRule="auto"/>
        <w:jc w:val="center"/>
        <w:rPr>
          <w:rFonts w:ascii="Arial" w:hAnsi="Arial" w:cs="Arial"/>
          <w:b/>
          <w:bCs/>
          <w:sz w:val="2"/>
          <w:szCs w:val="24"/>
          <w:lang w:val="de-DE"/>
        </w:rPr>
      </w:pPr>
      <w:r>
        <w:rPr>
          <w:rFonts w:ascii="Arial" w:hAnsi="Arial" w:cs="Arial"/>
          <w:b/>
          <w:bCs/>
          <w:sz w:val="24"/>
          <w:szCs w:val="24"/>
          <w:lang w:val="de-DE"/>
        </w:rPr>
        <w:t>Figure</w:t>
      </w:r>
      <w:r w:rsidRPr="00E61992">
        <w:rPr>
          <w:rFonts w:ascii="Arial" w:hAnsi="Arial" w:cs="Arial"/>
          <w:b/>
          <w:bCs/>
          <w:sz w:val="24"/>
          <w:szCs w:val="24"/>
          <w:lang w:val="de-DE"/>
        </w:rPr>
        <w:t xml:space="preserve"> </w:t>
      </w:r>
      <w:r>
        <w:rPr>
          <w:rFonts w:ascii="Arial" w:hAnsi="Arial" w:cs="Arial"/>
          <w:b/>
          <w:bCs/>
          <w:sz w:val="24"/>
          <w:szCs w:val="24"/>
          <w:lang w:val="de-DE"/>
        </w:rPr>
        <w:t>3.</w:t>
      </w:r>
      <w:r w:rsidRPr="00E61992">
        <w:rPr>
          <w:rFonts w:ascii="Arial" w:hAnsi="Arial" w:cs="Arial"/>
          <w:b/>
          <w:bCs/>
          <w:sz w:val="24"/>
          <w:szCs w:val="24"/>
          <w:lang w:val="de-DE"/>
        </w:rPr>
        <w:t xml:space="preserve"> </w:t>
      </w:r>
      <w:r w:rsidRPr="00D62069">
        <w:rPr>
          <w:rFonts w:ascii="Arial" w:hAnsi="Arial" w:cs="Arial"/>
          <w:b/>
          <w:bCs/>
          <w:sz w:val="24"/>
          <w:szCs w:val="24"/>
          <w:lang w:val="de-DE"/>
        </w:rPr>
        <w:t>Aquaculture and catch fishery production</w:t>
      </w:r>
      <w:r w:rsidRPr="00E61992" w:rsidDel="00B502DC">
        <w:rPr>
          <w:rFonts w:ascii="Arial" w:hAnsi="Arial" w:cs="Arial"/>
          <w:b/>
          <w:bCs/>
          <w:sz w:val="24"/>
          <w:szCs w:val="24"/>
          <w:lang w:val="de-DE"/>
        </w:rPr>
        <w:t xml:space="preserve"> </w:t>
      </w:r>
      <w:r w:rsidRPr="007D463D">
        <w:t xml:space="preserve"> </w:t>
      </w:r>
    </w:p>
    <w:p w14:paraId="3A57D6AD" w14:textId="33813E6A" w:rsidR="00505829" w:rsidRPr="00E61992" w:rsidRDefault="00E4394E" w:rsidP="00505829">
      <w:pPr>
        <w:spacing w:before="40" w:after="40" w:line="276" w:lineRule="auto"/>
        <w:jc w:val="center"/>
        <w:rPr>
          <w:lang w:val="pl-PL"/>
        </w:rPr>
      </w:pPr>
      <w:r>
        <w:rPr>
          <w:noProof/>
        </w:rPr>
        <w:drawing>
          <wp:inline distT="0" distB="0" distL="0" distR="0" wp14:anchorId="4F9DAB53" wp14:editId="38FB8904">
            <wp:extent cx="5699760" cy="219202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9760" cy="2192020"/>
                    </a:xfrm>
                    <a:prstGeom prst="rect">
                      <a:avLst/>
                    </a:prstGeom>
                    <a:noFill/>
                    <a:ln>
                      <a:noFill/>
                    </a:ln>
                  </pic:spPr>
                </pic:pic>
              </a:graphicData>
            </a:graphic>
          </wp:inline>
        </w:drawing>
      </w:r>
    </w:p>
    <w:p w14:paraId="56D3837D" w14:textId="77777777" w:rsidR="00BD45C6" w:rsidRPr="00937DDC" w:rsidRDefault="00BD45C6" w:rsidP="001C3C67">
      <w:pPr>
        <w:pStyle w:val="ListParagraph"/>
        <w:tabs>
          <w:tab w:val="left" w:pos="1080"/>
          <w:tab w:val="left" w:pos="1134"/>
        </w:tabs>
        <w:spacing w:before="40" w:after="40" w:line="271" w:lineRule="auto"/>
        <w:ind w:left="0" w:firstLine="567"/>
        <w:contextualSpacing w:val="0"/>
        <w:jc w:val="both"/>
        <w:rPr>
          <w:rFonts w:eastAsia="Times New Roman"/>
          <w:sz w:val="4"/>
          <w:lang w:val="pl-PL"/>
        </w:rPr>
      </w:pPr>
    </w:p>
    <w:p w14:paraId="5ABD2D3B" w14:textId="77777777" w:rsidR="003B4159" w:rsidRDefault="003B4159" w:rsidP="00723708">
      <w:pPr>
        <w:spacing w:before="40" w:after="40" w:line="276" w:lineRule="auto"/>
        <w:ind w:firstLine="567"/>
        <w:jc w:val="both"/>
        <w:rPr>
          <w:lang w:val="pl-PL"/>
        </w:rPr>
      </w:pPr>
      <w:r w:rsidRPr="003B4159">
        <w:rPr>
          <w:lang w:val="pl-PL"/>
        </w:rPr>
        <w:t>Catch Fishery production in January 2022 was estimated at 268.6 thousand tons, up 0.6% over the same period last year, including fish reached 200.1 thousand tons, up 0.3%; shrimp reached 10.2 thousand tons, up 1%; other aquatic products reached 58.3 thousand tons, up 1.6%. The weather in the fishing grounds in January was generally favorable. This is the month near Lunar New Year 2022, so fishermen actively clinging to the sea. The output of marine fishing was estimated at 255.1 thousand tons, up 0.6%, of which: Fish 191.2 thousand tons, up 0.3%; shrimp reached 9.3 thousand tons, up 1.1%.</w:t>
      </w:r>
    </w:p>
    <w:p w14:paraId="74532BD5" w14:textId="13706AC8" w:rsidR="002D1B0A" w:rsidRDefault="00505829" w:rsidP="00723708">
      <w:pPr>
        <w:spacing w:before="40" w:after="40" w:line="276" w:lineRule="auto"/>
        <w:ind w:firstLine="567"/>
        <w:jc w:val="both"/>
        <w:rPr>
          <w:b/>
          <w:lang w:val="sv-SE"/>
        </w:rPr>
      </w:pPr>
      <w:r w:rsidRPr="001C2D73">
        <w:rPr>
          <w:b/>
          <w:lang w:val="sv-SE"/>
        </w:rPr>
        <w:t xml:space="preserve">2. </w:t>
      </w:r>
      <w:r w:rsidR="002D1B0A" w:rsidRPr="002D1B0A">
        <w:rPr>
          <w:b/>
          <w:lang w:val="sv-SE"/>
        </w:rPr>
        <w:t>Industrial production</w:t>
      </w:r>
    </w:p>
    <w:p w14:paraId="090F2D76" w14:textId="77777777" w:rsidR="00980201" w:rsidRDefault="00980201" w:rsidP="00723708">
      <w:pPr>
        <w:shd w:val="clear" w:color="auto" w:fill="FFFFFF"/>
        <w:tabs>
          <w:tab w:val="left" w:pos="8931"/>
        </w:tabs>
        <w:spacing w:before="40" w:after="40" w:line="276" w:lineRule="auto"/>
        <w:ind w:firstLine="567"/>
        <w:jc w:val="both"/>
        <w:rPr>
          <w:i/>
          <w:lang w:val="de-DE"/>
        </w:rPr>
      </w:pPr>
      <w:r w:rsidRPr="00980201">
        <w:rPr>
          <w:i/>
          <w:lang w:val="de-DE"/>
        </w:rPr>
        <w:t xml:space="preserve">January is the time to promote the consumption of industrial products, so the index of industrial production in January 2022 was estimated to decrease by </w:t>
      </w:r>
      <w:r w:rsidRPr="00980201">
        <w:rPr>
          <w:i/>
          <w:lang w:val="de-DE"/>
        </w:rPr>
        <w:lastRenderedPageBreak/>
        <w:t>3.1% compared to the previous month and increased by 2.4% over the same period last year, of which the manufacturing industry increased by 2.8%.</w:t>
      </w:r>
    </w:p>
    <w:p w14:paraId="7CD1CF7A" w14:textId="77777777" w:rsidR="00F315FA" w:rsidRPr="00240CC1" w:rsidRDefault="00F315FA" w:rsidP="00723708">
      <w:pPr>
        <w:shd w:val="clear" w:color="auto" w:fill="FFFFFF"/>
        <w:spacing w:before="40" w:after="40" w:line="276" w:lineRule="auto"/>
        <w:ind w:firstLine="567"/>
        <w:jc w:val="both"/>
        <w:rPr>
          <w:i/>
        </w:rPr>
      </w:pPr>
      <w:r w:rsidRPr="00AD3153">
        <w:rPr>
          <w:spacing w:val="-2"/>
        </w:rPr>
        <w:t>The index of industrial production (IIP) of 01/2022 was estimated to decrease by 3.1% over the previous last month</w:t>
      </w:r>
      <w:r>
        <w:rPr>
          <w:rStyle w:val="FootnoteReference"/>
        </w:rPr>
        <w:footnoteReference w:id="8"/>
      </w:r>
      <w:r>
        <w:t xml:space="preserve"> </w:t>
      </w:r>
      <w:r w:rsidRPr="00AD3153">
        <w:t>and increased by 2.4% over the same period last year. Of which, the manufacturing rose by 2.8%, contributing 2.6 percentage points to the general growth; electricity production and distribution went up by 5.1%, contributing 0.5 percentage points; water supply, waste and wastewater management, and treatment peaked up 1.2%, contributing 0.02 percentage points; the mining industry alone shrank by 4.6%, making the general growth down 0.7 percentage points.</w:t>
      </w:r>
    </w:p>
    <w:p w14:paraId="1B89DBE3" w14:textId="3EE82A24" w:rsidR="00647610" w:rsidRDefault="00424019" w:rsidP="00424019">
      <w:pPr>
        <w:shd w:val="clear" w:color="auto" w:fill="FFFFFF"/>
        <w:spacing w:before="40" w:after="40" w:line="276" w:lineRule="auto"/>
        <w:ind w:firstLine="567"/>
        <w:jc w:val="both"/>
        <w:rPr>
          <w:spacing w:val="-4"/>
        </w:rPr>
      </w:pPr>
      <w:r w:rsidRPr="00240CC1">
        <w:rPr>
          <w:i/>
          <w:spacing w:val="-4"/>
        </w:rPr>
        <w:t xml:space="preserve">The index of production in </w:t>
      </w:r>
      <w:r>
        <w:rPr>
          <w:i/>
          <w:spacing w:val="-4"/>
        </w:rPr>
        <w:t xml:space="preserve">01/2022 belonging to </w:t>
      </w:r>
      <w:r w:rsidRPr="00240CC1">
        <w:rPr>
          <w:i/>
          <w:spacing w:val="-4"/>
        </w:rPr>
        <w:t xml:space="preserve">2-digit </w:t>
      </w:r>
      <w:r>
        <w:rPr>
          <w:i/>
          <w:spacing w:val="-4"/>
        </w:rPr>
        <w:t xml:space="preserve">key </w:t>
      </w:r>
      <w:r w:rsidRPr="00240CC1">
        <w:rPr>
          <w:i/>
          <w:spacing w:val="-4"/>
        </w:rPr>
        <w:t xml:space="preserve">industrial activities </w:t>
      </w:r>
      <w:r w:rsidRPr="00240CC1">
        <w:rPr>
          <w:spacing w:val="-4"/>
        </w:rPr>
        <w:t xml:space="preserve">significantly increased compared to the same period last year: </w:t>
      </w:r>
      <w:r w:rsidRPr="00E4793C">
        <w:rPr>
          <w:spacing w:val="-4"/>
        </w:rPr>
        <w:t>Mining of metal ores</w:t>
      </w:r>
      <w:r>
        <w:rPr>
          <w:spacing w:val="-4"/>
        </w:rPr>
        <w:t xml:space="preserve"> (21.9%)</w:t>
      </w:r>
      <w:r w:rsidRPr="00240CC1">
        <w:rPr>
          <w:spacing w:val="-4"/>
        </w:rPr>
        <w:t xml:space="preserve">; </w:t>
      </w:r>
      <w:r w:rsidRPr="00E4793C">
        <w:rPr>
          <w:spacing w:val="-4"/>
        </w:rPr>
        <w:t>Manufacture of fabricated metal products, except machinery and equipment</w:t>
      </w:r>
      <w:r>
        <w:rPr>
          <w:spacing w:val="-4"/>
        </w:rPr>
        <w:t xml:space="preserve"> (16.8%)</w:t>
      </w:r>
      <w:r w:rsidRPr="00240CC1">
        <w:rPr>
          <w:spacing w:val="-4"/>
        </w:rPr>
        <w:t xml:space="preserve">; </w:t>
      </w:r>
      <w:r w:rsidRPr="00EC63EC">
        <w:rPr>
          <w:spacing w:val="-4"/>
        </w:rPr>
        <w:t>Manufacture of leather and related products</w:t>
      </w:r>
      <w:r>
        <w:rPr>
          <w:spacing w:val="-4"/>
        </w:rPr>
        <w:t xml:space="preserve"> (12.3%); </w:t>
      </w:r>
      <w:r w:rsidRPr="00FF4F32">
        <w:rPr>
          <w:spacing w:val="-4"/>
        </w:rPr>
        <w:t>Manufacture of electrical equipment</w:t>
      </w:r>
      <w:r>
        <w:rPr>
          <w:spacing w:val="-4"/>
        </w:rPr>
        <w:t xml:space="preserve"> (11.5%); </w:t>
      </w:r>
      <w:r w:rsidRPr="00FF4F32">
        <w:rPr>
          <w:spacing w:val="-4"/>
        </w:rPr>
        <w:t>Manufacture of wearing apparel</w:t>
      </w:r>
      <w:r>
        <w:rPr>
          <w:spacing w:val="-4"/>
        </w:rPr>
        <w:t xml:space="preserve"> (11.4%); </w:t>
      </w:r>
      <w:r w:rsidRPr="00FF4F32">
        <w:rPr>
          <w:spacing w:val="-4"/>
        </w:rPr>
        <w:t>Manufacture of textiles</w:t>
      </w:r>
      <w:r>
        <w:rPr>
          <w:spacing w:val="-4"/>
        </w:rPr>
        <w:t xml:space="preserve"> (8.8%); </w:t>
      </w:r>
      <w:r w:rsidRPr="00FF4F32">
        <w:rPr>
          <w:spacing w:val="-4"/>
        </w:rPr>
        <w:t>Printing and reproduction of recorded media</w:t>
      </w:r>
      <w:r>
        <w:rPr>
          <w:spacing w:val="-4"/>
        </w:rPr>
        <w:t xml:space="preserve"> (8.4%). </w:t>
      </w:r>
      <w:r w:rsidRPr="00240CC1">
        <w:rPr>
          <w:spacing w:val="-4"/>
        </w:rPr>
        <w:t xml:space="preserve">In the opposite direction, the IIP index of </w:t>
      </w:r>
      <w:r>
        <w:rPr>
          <w:spacing w:val="-4"/>
          <w:lang w:val="en-GB"/>
        </w:rPr>
        <w:t>the</w:t>
      </w:r>
      <w:r w:rsidRPr="00240CC1">
        <w:rPr>
          <w:spacing w:val="-4"/>
        </w:rPr>
        <w:t xml:space="preserve"> number of industries decreased: </w:t>
      </w:r>
      <w:r w:rsidRPr="00D41436">
        <w:rPr>
          <w:spacing w:val="-4"/>
        </w:rPr>
        <w:t>Manufacture of beverages</w:t>
      </w:r>
      <w:r>
        <w:rPr>
          <w:spacing w:val="-4"/>
        </w:rPr>
        <w:t xml:space="preserve"> (-2.7%); </w:t>
      </w:r>
      <w:r w:rsidRPr="00240CC1">
        <w:rPr>
          <w:spacing w:val="-4"/>
        </w:rPr>
        <w:t xml:space="preserve">Manufacture of pharmaceuticals, medicinal chemical and botanical products </w:t>
      </w:r>
      <w:r>
        <w:rPr>
          <w:spacing w:val="-4"/>
        </w:rPr>
        <w:t>(-3.6</w:t>
      </w:r>
      <w:r w:rsidRPr="00240CC1">
        <w:rPr>
          <w:spacing w:val="-4"/>
        </w:rPr>
        <w:t>%)</w:t>
      </w:r>
      <w:r>
        <w:rPr>
          <w:spacing w:val="-4"/>
        </w:rPr>
        <w:t xml:space="preserve">; </w:t>
      </w:r>
      <w:r w:rsidRPr="008675A8">
        <w:rPr>
          <w:spacing w:val="-4"/>
        </w:rPr>
        <w:t>Manufacture of computer, electronic and optical products</w:t>
      </w:r>
      <w:r>
        <w:rPr>
          <w:spacing w:val="-4"/>
        </w:rPr>
        <w:t xml:space="preserve"> (-5%); </w:t>
      </w:r>
      <w:r w:rsidRPr="008675A8">
        <w:rPr>
          <w:spacing w:val="-4"/>
        </w:rPr>
        <w:t>Manufacture of wood and products of wood and cork</w:t>
      </w:r>
      <w:r>
        <w:rPr>
          <w:spacing w:val="-4"/>
        </w:rPr>
        <w:t xml:space="preserve"> (-5.1%); </w:t>
      </w:r>
      <w:r w:rsidRPr="008675A8">
        <w:rPr>
          <w:spacing w:val="-4"/>
        </w:rPr>
        <w:t>Extraction of crude petroleum and natural gas</w:t>
      </w:r>
      <w:r>
        <w:rPr>
          <w:spacing w:val="-4"/>
        </w:rPr>
        <w:t xml:space="preserve"> (-9.7%).</w:t>
      </w:r>
    </w:p>
    <w:p w14:paraId="6BA571DB" w14:textId="77777777" w:rsidR="00723708" w:rsidRPr="00240CC1" w:rsidRDefault="00723708" w:rsidP="00424019">
      <w:pPr>
        <w:shd w:val="clear" w:color="auto" w:fill="FFFFFF"/>
        <w:spacing w:before="40" w:after="40" w:line="276" w:lineRule="auto"/>
        <w:ind w:firstLine="567"/>
        <w:jc w:val="both"/>
        <w:rPr>
          <w:spacing w:val="-4"/>
        </w:rPr>
      </w:pPr>
    </w:p>
    <w:p w14:paraId="37591FC0" w14:textId="59B46553" w:rsidR="003B643E" w:rsidRPr="003B643E" w:rsidRDefault="00B95AEA" w:rsidP="003B643E">
      <w:pPr>
        <w:jc w:val="center"/>
        <w:rPr>
          <w:color w:val="0E101A"/>
        </w:rPr>
      </w:pPr>
      <w:r>
        <w:rPr>
          <w:b/>
          <w:bCs/>
          <w:color w:val="0E101A"/>
        </w:rPr>
        <w:t>Table</w:t>
      </w:r>
      <w:r w:rsidR="003B643E" w:rsidRPr="003B643E">
        <w:rPr>
          <w:b/>
          <w:bCs/>
          <w:color w:val="0E101A"/>
        </w:rPr>
        <w:t xml:space="preserve"> 1. The increase/decrease growth rate of every January IIP</w:t>
      </w:r>
    </w:p>
    <w:p w14:paraId="7123E74F" w14:textId="4506771D" w:rsidR="003B643E" w:rsidRPr="003B643E" w:rsidRDefault="003B643E" w:rsidP="00723708">
      <w:pPr>
        <w:jc w:val="center"/>
        <w:rPr>
          <w:color w:val="0E101A"/>
        </w:rPr>
      </w:pPr>
      <w:r w:rsidRPr="003B643E">
        <w:rPr>
          <w:b/>
          <w:bCs/>
          <w:color w:val="0E101A"/>
        </w:rPr>
        <w:t>in 2018-2022 some key industries</w:t>
      </w:r>
    </w:p>
    <w:p w14:paraId="16419127" w14:textId="6734F154" w:rsidR="00505829" w:rsidRDefault="00505829" w:rsidP="00723708">
      <w:pPr>
        <w:shd w:val="clear" w:color="auto" w:fill="FFFFFF"/>
        <w:tabs>
          <w:tab w:val="left" w:pos="8931"/>
        </w:tabs>
        <w:spacing w:before="60"/>
        <w:jc w:val="right"/>
        <w:rPr>
          <w:rFonts w:ascii="Arial" w:hAnsi="Arial" w:cs="Arial"/>
          <w:spacing w:val="-2"/>
          <w:sz w:val="20"/>
          <w:szCs w:val="20"/>
          <w:lang w:val="pl-PL"/>
        </w:rPr>
      </w:pPr>
      <w:r w:rsidRPr="001C3C67">
        <w:rPr>
          <w:rFonts w:ascii="Arial" w:hAnsi="Arial" w:cs="Arial"/>
          <w:spacing w:val="-2"/>
          <w:sz w:val="20"/>
          <w:szCs w:val="20"/>
          <w:lang w:val="pl-PL"/>
        </w:rPr>
        <w:t>%</w:t>
      </w:r>
    </w:p>
    <w:p w14:paraId="751B1C39" w14:textId="2C16A873" w:rsidR="000B44D8" w:rsidRDefault="000B44D8" w:rsidP="003B643E">
      <w:pPr>
        <w:shd w:val="clear" w:color="auto" w:fill="FFFFFF"/>
        <w:tabs>
          <w:tab w:val="left" w:pos="8931"/>
        </w:tabs>
        <w:spacing w:before="60"/>
        <w:jc w:val="right"/>
        <w:rPr>
          <w:rFonts w:ascii="Arial" w:hAnsi="Arial" w:cs="Arial"/>
          <w:spacing w:val="-2"/>
          <w:sz w:val="20"/>
          <w:szCs w:val="20"/>
          <w:lang w:val="pl-PL"/>
        </w:rPr>
      </w:pPr>
    </w:p>
    <w:tbl>
      <w:tblPr>
        <w:tblW w:w="9438" w:type="dxa"/>
        <w:tblLook w:val="04A0" w:firstRow="1" w:lastRow="0" w:firstColumn="1" w:lastColumn="0" w:noHBand="0" w:noVBand="1"/>
      </w:tblPr>
      <w:tblGrid>
        <w:gridCol w:w="3768"/>
        <w:gridCol w:w="1198"/>
        <w:gridCol w:w="1198"/>
        <w:gridCol w:w="1198"/>
        <w:gridCol w:w="1198"/>
        <w:gridCol w:w="878"/>
      </w:tblGrid>
      <w:tr w:rsidR="000B44D8" w:rsidRPr="00E62F30" w14:paraId="6F0684FA" w14:textId="77777777" w:rsidTr="00C34B9C">
        <w:trPr>
          <w:trHeight w:val="313"/>
        </w:trPr>
        <w:tc>
          <w:tcPr>
            <w:tcW w:w="3768" w:type="dxa"/>
            <w:tcBorders>
              <w:top w:val="single" w:sz="8" w:space="0" w:color="auto"/>
              <w:left w:val="nil"/>
              <w:bottom w:val="nil"/>
              <w:right w:val="nil"/>
            </w:tcBorders>
            <w:shd w:val="clear" w:color="auto" w:fill="auto"/>
            <w:noWrap/>
            <w:vAlign w:val="bottom"/>
            <w:hideMark/>
          </w:tcPr>
          <w:p w14:paraId="737363D9" w14:textId="77777777" w:rsidR="000B44D8" w:rsidRPr="00E62F30" w:rsidRDefault="000B44D8" w:rsidP="00C34B9C">
            <w:pPr>
              <w:rPr>
                <w:rFonts w:ascii="Calibri" w:hAnsi="Calibri" w:cs="Calibri"/>
                <w:sz w:val="18"/>
                <w:szCs w:val="18"/>
              </w:rPr>
            </w:pPr>
            <w:r w:rsidRPr="00E62F30">
              <w:rPr>
                <w:rFonts w:ascii="Calibri" w:hAnsi="Calibri" w:cs="Calibri"/>
                <w:sz w:val="18"/>
                <w:szCs w:val="18"/>
              </w:rPr>
              <w:t> </w:t>
            </w:r>
          </w:p>
        </w:tc>
        <w:tc>
          <w:tcPr>
            <w:tcW w:w="1198" w:type="dxa"/>
            <w:tcBorders>
              <w:top w:val="single" w:sz="8" w:space="0" w:color="auto"/>
              <w:left w:val="nil"/>
              <w:bottom w:val="single" w:sz="8" w:space="0" w:color="auto"/>
              <w:right w:val="nil"/>
            </w:tcBorders>
            <w:shd w:val="clear" w:color="auto" w:fill="auto"/>
            <w:noWrap/>
            <w:vAlign w:val="center"/>
            <w:hideMark/>
          </w:tcPr>
          <w:p w14:paraId="2CCA7870"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2018</w:t>
            </w:r>
          </w:p>
        </w:tc>
        <w:tc>
          <w:tcPr>
            <w:tcW w:w="1198" w:type="dxa"/>
            <w:tcBorders>
              <w:top w:val="single" w:sz="8" w:space="0" w:color="auto"/>
              <w:left w:val="nil"/>
              <w:bottom w:val="single" w:sz="8" w:space="0" w:color="auto"/>
              <w:right w:val="nil"/>
            </w:tcBorders>
            <w:shd w:val="clear" w:color="auto" w:fill="auto"/>
            <w:noWrap/>
            <w:vAlign w:val="center"/>
            <w:hideMark/>
          </w:tcPr>
          <w:p w14:paraId="6E7B3D3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2019</w:t>
            </w:r>
          </w:p>
        </w:tc>
        <w:tc>
          <w:tcPr>
            <w:tcW w:w="1198" w:type="dxa"/>
            <w:tcBorders>
              <w:top w:val="single" w:sz="8" w:space="0" w:color="auto"/>
              <w:left w:val="nil"/>
              <w:bottom w:val="single" w:sz="8" w:space="0" w:color="auto"/>
              <w:right w:val="nil"/>
            </w:tcBorders>
            <w:shd w:val="clear" w:color="auto" w:fill="auto"/>
            <w:noWrap/>
            <w:vAlign w:val="center"/>
            <w:hideMark/>
          </w:tcPr>
          <w:p w14:paraId="08E89A10"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2020</w:t>
            </w:r>
          </w:p>
        </w:tc>
        <w:tc>
          <w:tcPr>
            <w:tcW w:w="1198" w:type="dxa"/>
            <w:tcBorders>
              <w:top w:val="single" w:sz="8" w:space="0" w:color="auto"/>
              <w:left w:val="nil"/>
              <w:bottom w:val="single" w:sz="8" w:space="0" w:color="auto"/>
              <w:right w:val="nil"/>
            </w:tcBorders>
            <w:shd w:val="clear" w:color="auto" w:fill="auto"/>
            <w:noWrap/>
            <w:vAlign w:val="center"/>
            <w:hideMark/>
          </w:tcPr>
          <w:p w14:paraId="5E6B1015"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2021</w:t>
            </w:r>
          </w:p>
        </w:tc>
        <w:tc>
          <w:tcPr>
            <w:tcW w:w="878" w:type="dxa"/>
            <w:tcBorders>
              <w:top w:val="single" w:sz="8" w:space="0" w:color="auto"/>
              <w:left w:val="nil"/>
              <w:bottom w:val="single" w:sz="8" w:space="0" w:color="auto"/>
              <w:right w:val="nil"/>
            </w:tcBorders>
            <w:shd w:val="clear" w:color="auto" w:fill="auto"/>
            <w:noWrap/>
            <w:vAlign w:val="center"/>
            <w:hideMark/>
          </w:tcPr>
          <w:p w14:paraId="4C54DF4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2022</w:t>
            </w:r>
          </w:p>
        </w:tc>
      </w:tr>
      <w:tr w:rsidR="000B44D8" w:rsidRPr="00E62F30" w14:paraId="3099D067" w14:textId="77777777" w:rsidTr="00C34B9C">
        <w:trPr>
          <w:trHeight w:val="313"/>
        </w:trPr>
        <w:tc>
          <w:tcPr>
            <w:tcW w:w="3768" w:type="dxa"/>
            <w:tcBorders>
              <w:top w:val="nil"/>
              <w:left w:val="nil"/>
              <w:bottom w:val="nil"/>
              <w:right w:val="nil"/>
            </w:tcBorders>
            <w:shd w:val="clear" w:color="auto" w:fill="auto"/>
            <w:noWrap/>
            <w:vAlign w:val="bottom"/>
            <w:hideMark/>
          </w:tcPr>
          <w:p w14:paraId="68285105" w14:textId="77777777" w:rsidR="000B44D8" w:rsidRPr="00E62F30" w:rsidRDefault="000B44D8" w:rsidP="00C34B9C">
            <w:pPr>
              <w:jc w:val="right"/>
              <w:rPr>
                <w:rFonts w:ascii="Arial" w:hAnsi="Arial" w:cs="Arial"/>
                <w:color w:val="000000"/>
                <w:sz w:val="18"/>
                <w:szCs w:val="18"/>
              </w:rPr>
            </w:pPr>
          </w:p>
        </w:tc>
        <w:tc>
          <w:tcPr>
            <w:tcW w:w="1198" w:type="dxa"/>
            <w:tcBorders>
              <w:top w:val="nil"/>
              <w:left w:val="nil"/>
              <w:bottom w:val="nil"/>
              <w:right w:val="nil"/>
            </w:tcBorders>
            <w:shd w:val="clear" w:color="auto" w:fill="auto"/>
            <w:noWrap/>
            <w:vAlign w:val="bottom"/>
            <w:hideMark/>
          </w:tcPr>
          <w:p w14:paraId="6DB923BA" w14:textId="77777777" w:rsidR="000B44D8" w:rsidRPr="00E62F30" w:rsidRDefault="000B44D8" w:rsidP="00C34B9C">
            <w:pPr>
              <w:rPr>
                <w:sz w:val="20"/>
                <w:szCs w:val="20"/>
              </w:rPr>
            </w:pPr>
          </w:p>
        </w:tc>
        <w:tc>
          <w:tcPr>
            <w:tcW w:w="1198" w:type="dxa"/>
            <w:tcBorders>
              <w:top w:val="nil"/>
              <w:left w:val="nil"/>
              <w:bottom w:val="nil"/>
              <w:right w:val="nil"/>
            </w:tcBorders>
            <w:shd w:val="clear" w:color="auto" w:fill="auto"/>
            <w:noWrap/>
            <w:vAlign w:val="bottom"/>
            <w:hideMark/>
          </w:tcPr>
          <w:p w14:paraId="729C7A86" w14:textId="77777777" w:rsidR="000B44D8" w:rsidRPr="00E62F30" w:rsidRDefault="000B44D8" w:rsidP="00C34B9C">
            <w:pPr>
              <w:rPr>
                <w:sz w:val="20"/>
                <w:szCs w:val="20"/>
              </w:rPr>
            </w:pPr>
          </w:p>
        </w:tc>
        <w:tc>
          <w:tcPr>
            <w:tcW w:w="1198" w:type="dxa"/>
            <w:tcBorders>
              <w:top w:val="nil"/>
              <w:left w:val="nil"/>
              <w:bottom w:val="nil"/>
              <w:right w:val="nil"/>
            </w:tcBorders>
            <w:shd w:val="clear" w:color="auto" w:fill="auto"/>
            <w:noWrap/>
            <w:vAlign w:val="bottom"/>
            <w:hideMark/>
          </w:tcPr>
          <w:p w14:paraId="78154C81" w14:textId="77777777" w:rsidR="000B44D8" w:rsidRPr="00E62F30" w:rsidRDefault="000B44D8" w:rsidP="00C34B9C">
            <w:pPr>
              <w:rPr>
                <w:sz w:val="20"/>
                <w:szCs w:val="20"/>
              </w:rPr>
            </w:pPr>
          </w:p>
        </w:tc>
        <w:tc>
          <w:tcPr>
            <w:tcW w:w="1198" w:type="dxa"/>
            <w:tcBorders>
              <w:top w:val="nil"/>
              <w:left w:val="nil"/>
              <w:bottom w:val="nil"/>
              <w:right w:val="nil"/>
            </w:tcBorders>
            <w:shd w:val="clear" w:color="auto" w:fill="auto"/>
            <w:noWrap/>
            <w:vAlign w:val="bottom"/>
            <w:hideMark/>
          </w:tcPr>
          <w:p w14:paraId="6424EB5F" w14:textId="77777777" w:rsidR="000B44D8" w:rsidRPr="00E62F30" w:rsidRDefault="000B44D8" w:rsidP="00C34B9C">
            <w:pPr>
              <w:rPr>
                <w:sz w:val="20"/>
                <w:szCs w:val="20"/>
              </w:rPr>
            </w:pPr>
          </w:p>
        </w:tc>
        <w:tc>
          <w:tcPr>
            <w:tcW w:w="878" w:type="dxa"/>
            <w:tcBorders>
              <w:top w:val="nil"/>
              <w:left w:val="nil"/>
              <w:bottom w:val="nil"/>
              <w:right w:val="nil"/>
            </w:tcBorders>
            <w:shd w:val="clear" w:color="auto" w:fill="auto"/>
            <w:noWrap/>
            <w:vAlign w:val="bottom"/>
            <w:hideMark/>
          </w:tcPr>
          <w:p w14:paraId="776674C0" w14:textId="77777777" w:rsidR="000B44D8" w:rsidRPr="00E62F30" w:rsidRDefault="000B44D8" w:rsidP="00C34B9C">
            <w:pPr>
              <w:rPr>
                <w:sz w:val="20"/>
                <w:szCs w:val="20"/>
              </w:rPr>
            </w:pPr>
          </w:p>
        </w:tc>
      </w:tr>
      <w:tr w:rsidR="000B44D8" w:rsidRPr="00E62F30" w14:paraId="5E0AD41A" w14:textId="77777777" w:rsidTr="00C34B9C">
        <w:trPr>
          <w:trHeight w:val="313"/>
        </w:trPr>
        <w:tc>
          <w:tcPr>
            <w:tcW w:w="3768" w:type="dxa"/>
            <w:tcBorders>
              <w:top w:val="nil"/>
              <w:left w:val="nil"/>
              <w:bottom w:val="nil"/>
              <w:right w:val="nil"/>
            </w:tcBorders>
            <w:shd w:val="clear" w:color="000000" w:fill="FFFFFF"/>
            <w:noWrap/>
            <w:vAlign w:val="center"/>
            <w:hideMark/>
          </w:tcPr>
          <w:p w14:paraId="17DCD391"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Mining of metal ores</w:t>
            </w:r>
          </w:p>
        </w:tc>
        <w:tc>
          <w:tcPr>
            <w:tcW w:w="1198" w:type="dxa"/>
            <w:tcBorders>
              <w:top w:val="nil"/>
              <w:left w:val="nil"/>
              <w:bottom w:val="nil"/>
              <w:right w:val="nil"/>
            </w:tcBorders>
            <w:shd w:val="clear" w:color="000000" w:fill="FFFFFF"/>
            <w:vAlign w:val="center"/>
            <w:hideMark/>
          </w:tcPr>
          <w:p w14:paraId="0DAD147B"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48.5</w:t>
            </w:r>
          </w:p>
        </w:tc>
        <w:tc>
          <w:tcPr>
            <w:tcW w:w="1198" w:type="dxa"/>
            <w:tcBorders>
              <w:top w:val="nil"/>
              <w:left w:val="nil"/>
              <w:bottom w:val="nil"/>
              <w:right w:val="nil"/>
            </w:tcBorders>
            <w:shd w:val="clear" w:color="000000" w:fill="FFFFFF"/>
            <w:vAlign w:val="center"/>
            <w:hideMark/>
          </w:tcPr>
          <w:p w14:paraId="43F76C01"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-13.0</w:t>
            </w:r>
          </w:p>
        </w:tc>
        <w:tc>
          <w:tcPr>
            <w:tcW w:w="1198" w:type="dxa"/>
            <w:tcBorders>
              <w:top w:val="nil"/>
              <w:left w:val="nil"/>
              <w:bottom w:val="nil"/>
              <w:right w:val="nil"/>
            </w:tcBorders>
            <w:shd w:val="clear" w:color="000000" w:fill="FFFFFF"/>
            <w:vAlign w:val="center"/>
            <w:hideMark/>
          </w:tcPr>
          <w:p w14:paraId="05F73A7C"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26.8</w:t>
            </w:r>
          </w:p>
        </w:tc>
        <w:tc>
          <w:tcPr>
            <w:tcW w:w="1198" w:type="dxa"/>
            <w:tcBorders>
              <w:top w:val="nil"/>
              <w:left w:val="nil"/>
              <w:bottom w:val="nil"/>
              <w:right w:val="nil"/>
            </w:tcBorders>
            <w:shd w:val="clear" w:color="000000" w:fill="FFFFFF"/>
            <w:vAlign w:val="center"/>
            <w:hideMark/>
          </w:tcPr>
          <w:p w14:paraId="788B4B8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23.3</w:t>
            </w:r>
          </w:p>
        </w:tc>
        <w:tc>
          <w:tcPr>
            <w:tcW w:w="878" w:type="dxa"/>
            <w:tcBorders>
              <w:top w:val="nil"/>
              <w:left w:val="nil"/>
              <w:bottom w:val="nil"/>
              <w:right w:val="nil"/>
            </w:tcBorders>
            <w:shd w:val="clear" w:color="000000" w:fill="FFFFFF"/>
            <w:vAlign w:val="center"/>
            <w:hideMark/>
          </w:tcPr>
          <w:p w14:paraId="12DDB23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lang w:val="pl-PL"/>
              </w:rPr>
              <w:t>21.9</w:t>
            </w:r>
          </w:p>
        </w:tc>
      </w:tr>
      <w:tr w:rsidR="000B44D8" w:rsidRPr="00E62F30" w14:paraId="7892B2DE" w14:textId="77777777" w:rsidTr="00C34B9C">
        <w:trPr>
          <w:trHeight w:val="476"/>
        </w:trPr>
        <w:tc>
          <w:tcPr>
            <w:tcW w:w="3768" w:type="dxa"/>
            <w:tcBorders>
              <w:top w:val="nil"/>
              <w:left w:val="nil"/>
              <w:bottom w:val="nil"/>
              <w:right w:val="nil"/>
            </w:tcBorders>
            <w:shd w:val="clear" w:color="000000" w:fill="FFFFFF"/>
            <w:vAlign w:val="center"/>
            <w:hideMark/>
          </w:tcPr>
          <w:p w14:paraId="6077C767"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 xml:space="preserve">Manufacture of fabricated metal products </w:t>
            </w:r>
            <w:r w:rsidRPr="00E62F30">
              <w:rPr>
                <w:rFonts w:ascii="Arial" w:hAnsi="Arial" w:cs="Arial"/>
                <w:color w:val="000000"/>
                <w:sz w:val="18"/>
                <w:szCs w:val="18"/>
              </w:rPr>
              <w:br/>
              <w:t>(except machinery and equipment)</w:t>
            </w:r>
          </w:p>
        </w:tc>
        <w:tc>
          <w:tcPr>
            <w:tcW w:w="1198" w:type="dxa"/>
            <w:vMerge w:val="restart"/>
            <w:tcBorders>
              <w:top w:val="nil"/>
              <w:left w:val="nil"/>
              <w:bottom w:val="nil"/>
              <w:right w:val="nil"/>
            </w:tcBorders>
            <w:shd w:val="clear" w:color="000000" w:fill="FFFFFF"/>
            <w:vAlign w:val="center"/>
            <w:hideMark/>
          </w:tcPr>
          <w:p w14:paraId="6E29B213"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29.5</w:t>
            </w:r>
          </w:p>
        </w:tc>
        <w:tc>
          <w:tcPr>
            <w:tcW w:w="1198" w:type="dxa"/>
            <w:vMerge w:val="restart"/>
            <w:tcBorders>
              <w:top w:val="nil"/>
              <w:left w:val="nil"/>
              <w:bottom w:val="nil"/>
              <w:right w:val="nil"/>
            </w:tcBorders>
            <w:shd w:val="clear" w:color="000000" w:fill="FFFFFF"/>
            <w:vAlign w:val="center"/>
            <w:hideMark/>
          </w:tcPr>
          <w:p w14:paraId="50A1862D"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-0.2</w:t>
            </w:r>
          </w:p>
        </w:tc>
        <w:tc>
          <w:tcPr>
            <w:tcW w:w="1198" w:type="dxa"/>
            <w:vMerge w:val="restart"/>
            <w:tcBorders>
              <w:top w:val="nil"/>
              <w:left w:val="nil"/>
              <w:bottom w:val="nil"/>
              <w:right w:val="nil"/>
            </w:tcBorders>
            <w:shd w:val="clear" w:color="000000" w:fill="FFFFFF"/>
            <w:vAlign w:val="center"/>
            <w:hideMark/>
          </w:tcPr>
          <w:p w14:paraId="5FA54F2D"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-4.2</w:t>
            </w:r>
          </w:p>
        </w:tc>
        <w:tc>
          <w:tcPr>
            <w:tcW w:w="1198" w:type="dxa"/>
            <w:vMerge w:val="restart"/>
            <w:tcBorders>
              <w:top w:val="nil"/>
              <w:left w:val="nil"/>
              <w:bottom w:val="nil"/>
              <w:right w:val="nil"/>
            </w:tcBorders>
            <w:shd w:val="clear" w:color="000000" w:fill="FFFFFF"/>
            <w:vAlign w:val="center"/>
            <w:hideMark/>
          </w:tcPr>
          <w:p w14:paraId="63DB619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24.5</w:t>
            </w:r>
          </w:p>
        </w:tc>
        <w:tc>
          <w:tcPr>
            <w:tcW w:w="878" w:type="dxa"/>
            <w:vMerge w:val="restart"/>
            <w:tcBorders>
              <w:top w:val="nil"/>
              <w:left w:val="nil"/>
              <w:bottom w:val="nil"/>
              <w:right w:val="nil"/>
            </w:tcBorders>
            <w:shd w:val="clear" w:color="000000" w:fill="FFFFFF"/>
            <w:vAlign w:val="center"/>
            <w:hideMark/>
          </w:tcPr>
          <w:p w14:paraId="723BBB70"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16.8</w:t>
            </w:r>
          </w:p>
        </w:tc>
      </w:tr>
      <w:tr w:rsidR="000B44D8" w:rsidRPr="00E62F30" w14:paraId="1E04A02B" w14:textId="77777777" w:rsidTr="00C34B9C">
        <w:trPr>
          <w:trHeight w:val="313"/>
        </w:trPr>
        <w:tc>
          <w:tcPr>
            <w:tcW w:w="3768" w:type="dxa"/>
            <w:tcBorders>
              <w:top w:val="nil"/>
              <w:left w:val="nil"/>
              <w:bottom w:val="nil"/>
              <w:right w:val="nil"/>
            </w:tcBorders>
            <w:shd w:val="clear" w:color="000000" w:fill="FFFFFF"/>
            <w:vAlign w:val="center"/>
            <w:hideMark/>
          </w:tcPr>
          <w:p w14:paraId="2EE4E02B" w14:textId="77777777" w:rsidR="000B44D8" w:rsidRPr="00E62F30" w:rsidRDefault="000B44D8" w:rsidP="00C34B9C">
            <w:pPr>
              <w:rPr>
                <w:rFonts w:ascii="Arial" w:hAnsi="Arial" w:cs="Arial"/>
                <w:color w:val="000000"/>
                <w:sz w:val="18"/>
                <w:szCs w:val="18"/>
              </w:rPr>
            </w:pPr>
          </w:p>
        </w:tc>
        <w:tc>
          <w:tcPr>
            <w:tcW w:w="1198" w:type="dxa"/>
            <w:vMerge/>
            <w:tcBorders>
              <w:top w:val="nil"/>
              <w:left w:val="nil"/>
              <w:bottom w:val="nil"/>
              <w:right w:val="nil"/>
            </w:tcBorders>
            <w:vAlign w:val="center"/>
            <w:hideMark/>
          </w:tcPr>
          <w:p w14:paraId="1D788C4B" w14:textId="77777777" w:rsidR="000B44D8" w:rsidRPr="00E62F30" w:rsidRDefault="000B44D8" w:rsidP="00C34B9C">
            <w:pPr>
              <w:rPr>
                <w:rFonts w:ascii="Arial" w:hAnsi="Arial" w:cs="Arial"/>
                <w:color w:val="000000"/>
                <w:sz w:val="18"/>
                <w:szCs w:val="18"/>
              </w:rPr>
            </w:pPr>
          </w:p>
        </w:tc>
        <w:tc>
          <w:tcPr>
            <w:tcW w:w="1198" w:type="dxa"/>
            <w:vMerge/>
            <w:tcBorders>
              <w:top w:val="nil"/>
              <w:left w:val="nil"/>
              <w:bottom w:val="nil"/>
              <w:right w:val="nil"/>
            </w:tcBorders>
            <w:vAlign w:val="center"/>
            <w:hideMark/>
          </w:tcPr>
          <w:p w14:paraId="34AAD557" w14:textId="77777777" w:rsidR="000B44D8" w:rsidRPr="00E62F30" w:rsidRDefault="000B44D8" w:rsidP="00C34B9C">
            <w:pPr>
              <w:rPr>
                <w:rFonts w:ascii="Arial" w:hAnsi="Arial" w:cs="Arial"/>
                <w:color w:val="000000"/>
                <w:sz w:val="18"/>
                <w:szCs w:val="18"/>
              </w:rPr>
            </w:pPr>
          </w:p>
        </w:tc>
        <w:tc>
          <w:tcPr>
            <w:tcW w:w="1198" w:type="dxa"/>
            <w:vMerge/>
            <w:tcBorders>
              <w:top w:val="nil"/>
              <w:left w:val="nil"/>
              <w:bottom w:val="nil"/>
              <w:right w:val="nil"/>
            </w:tcBorders>
            <w:vAlign w:val="center"/>
            <w:hideMark/>
          </w:tcPr>
          <w:p w14:paraId="18C73802" w14:textId="77777777" w:rsidR="000B44D8" w:rsidRPr="00E62F30" w:rsidRDefault="000B44D8" w:rsidP="00C34B9C">
            <w:pPr>
              <w:rPr>
                <w:rFonts w:ascii="Arial" w:hAnsi="Arial" w:cs="Arial"/>
                <w:color w:val="000000"/>
                <w:sz w:val="18"/>
                <w:szCs w:val="18"/>
              </w:rPr>
            </w:pPr>
          </w:p>
        </w:tc>
        <w:tc>
          <w:tcPr>
            <w:tcW w:w="1198" w:type="dxa"/>
            <w:vMerge/>
            <w:tcBorders>
              <w:top w:val="nil"/>
              <w:left w:val="nil"/>
              <w:bottom w:val="nil"/>
              <w:right w:val="nil"/>
            </w:tcBorders>
            <w:vAlign w:val="center"/>
            <w:hideMark/>
          </w:tcPr>
          <w:p w14:paraId="2DBC708E" w14:textId="77777777" w:rsidR="000B44D8" w:rsidRPr="00E62F30" w:rsidRDefault="000B44D8" w:rsidP="00C34B9C">
            <w:pPr>
              <w:rPr>
                <w:rFonts w:ascii="Arial" w:hAnsi="Arial" w:cs="Arial"/>
                <w:color w:val="000000"/>
                <w:sz w:val="18"/>
                <w:szCs w:val="18"/>
              </w:rPr>
            </w:pPr>
          </w:p>
        </w:tc>
        <w:tc>
          <w:tcPr>
            <w:tcW w:w="878" w:type="dxa"/>
            <w:vMerge/>
            <w:tcBorders>
              <w:top w:val="nil"/>
              <w:left w:val="nil"/>
              <w:bottom w:val="nil"/>
              <w:right w:val="nil"/>
            </w:tcBorders>
            <w:vAlign w:val="center"/>
            <w:hideMark/>
          </w:tcPr>
          <w:p w14:paraId="3136CA88" w14:textId="77777777" w:rsidR="000B44D8" w:rsidRPr="00E62F30" w:rsidRDefault="000B44D8" w:rsidP="00C34B9C">
            <w:pPr>
              <w:rPr>
                <w:rFonts w:ascii="Arial" w:hAnsi="Arial" w:cs="Arial"/>
                <w:color w:val="000000"/>
                <w:sz w:val="18"/>
                <w:szCs w:val="18"/>
              </w:rPr>
            </w:pPr>
          </w:p>
        </w:tc>
      </w:tr>
      <w:tr w:rsidR="000B44D8" w:rsidRPr="00E62F30" w14:paraId="62BADC93" w14:textId="77777777" w:rsidTr="00C34B9C">
        <w:trPr>
          <w:trHeight w:val="313"/>
        </w:trPr>
        <w:tc>
          <w:tcPr>
            <w:tcW w:w="3768" w:type="dxa"/>
            <w:tcBorders>
              <w:top w:val="nil"/>
              <w:left w:val="nil"/>
              <w:bottom w:val="nil"/>
              <w:right w:val="nil"/>
            </w:tcBorders>
            <w:shd w:val="clear" w:color="000000" w:fill="FFFFFF"/>
            <w:noWrap/>
            <w:vAlign w:val="center"/>
            <w:hideMark/>
          </w:tcPr>
          <w:p w14:paraId="32816684"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leather and related products</w:t>
            </w:r>
          </w:p>
        </w:tc>
        <w:tc>
          <w:tcPr>
            <w:tcW w:w="1198" w:type="dxa"/>
            <w:tcBorders>
              <w:top w:val="nil"/>
              <w:left w:val="nil"/>
              <w:bottom w:val="nil"/>
              <w:right w:val="nil"/>
            </w:tcBorders>
            <w:shd w:val="clear" w:color="000000" w:fill="FFFFFF"/>
            <w:vAlign w:val="center"/>
            <w:hideMark/>
          </w:tcPr>
          <w:p w14:paraId="2946A81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20.9</w:t>
            </w:r>
          </w:p>
        </w:tc>
        <w:tc>
          <w:tcPr>
            <w:tcW w:w="1198" w:type="dxa"/>
            <w:tcBorders>
              <w:top w:val="nil"/>
              <w:left w:val="nil"/>
              <w:bottom w:val="nil"/>
              <w:right w:val="nil"/>
            </w:tcBorders>
            <w:shd w:val="clear" w:color="000000" w:fill="FFFFFF"/>
            <w:vAlign w:val="center"/>
            <w:hideMark/>
          </w:tcPr>
          <w:p w14:paraId="16AABDB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10.1</w:t>
            </w:r>
          </w:p>
        </w:tc>
        <w:tc>
          <w:tcPr>
            <w:tcW w:w="1198" w:type="dxa"/>
            <w:tcBorders>
              <w:top w:val="nil"/>
              <w:left w:val="nil"/>
              <w:bottom w:val="nil"/>
              <w:right w:val="nil"/>
            </w:tcBorders>
            <w:shd w:val="clear" w:color="000000" w:fill="FFFFFF"/>
            <w:vAlign w:val="center"/>
            <w:hideMark/>
          </w:tcPr>
          <w:p w14:paraId="2F3DD78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-9.9</w:t>
            </w:r>
          </w:p>
        </w:tc>
        <w:tc>
          <w:tcPr>
            <w:tcW w:w="1198" w:type="dxa"/>
            <w:tcBorders>
              <w:top w:val="nil"/>
              <w:left w:val="nil"/>
              <w:bottom w:val="nil"/>
              <w:right w:val="nil"/>
            </w:tcBorders>
            <w:shd w:val="clear" w:color="000000" w:fill="FFFFFF"/>
            <w:vAlign w:val="center"/>
            <w:hideMark/>
          </w:tcPr>
          <w:p w14:paraId="7281FDAD"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24.1</w:t>
            </w:r>
          </w:p>
        </w:tc>
        <w:tc>
          <w:tcPr>
            <w:tcW w:w="878" w:type="dxa"/>
            <w:tcBorders>
              <w:top w:val="nil"/>
              <w:left w:val="nil"/>
              <w:bottom w:val="nil"/>
              <w:right w:val="nil"/>
            </w:tcBorders>
            <w:shd w:val="clear" w:color="000000" w:fill="FFFFFF"/>
            <w:vAlign w:val="center"/>
            <w:hideMark/>
          </w:tcPr>
          <w:p w14:paraId="7FEDD96B"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12.3</w:t>
            </w:r>
          </w:p>
        </w:tc>
      </w:tr>
      <w:tr w:rsidR="000B44D8" w:rsidRPr="00E62F30" w14:paraId="502A5F87" w14:textId="77777777" w:rsidTr="00C34B9C">
        <w:trPr>
          <w:trHeight w:val="313"/>
        </w:trPr>
        <w:tc>
          <w:tcPr>
            <w:tcW w:w="3768" w:type="dxa"/>
            <w:tcBorders>
              <w:top w:val="nil"/>
              <w:left w:val="nil"/>
              <w:bottom w:val="nil"/>
              <w:right w:val="nil"/>
            </w:tcBorders>
            <w:shd w:val="clear" w:color="000000" w:fill="FFFFFF"/>
            <w:noWrap/>
            <w:vAlign w:val="center"/>
            <w:hideMark/>
          </w:tcPr>
          <w:p w14:paraId="35ACD33D"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electrical equipment</w:t>
            </w:r>
          </w:p>
        </w:tc>
        <w:tc>
          <w:tcPr>
            <w:tcW w:w="1198" w:type="dxa"/>
            <w:tcBorders>
              <w:top w:val="nil"/>
              <w:left w:val="nil"/>
              <w:bottom w:val="nil"/>
              <w:right w:val="nil"/>
            </w:tcBorders>
            <w:shd w:val="clear" w:color="000000" w:fill="FFFFFF"/>
            <w:vAlign w:val="center"/>
            <w:hideMark/>
          </w:tcPr>
          <w:p w14:paraId="42308AD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36.7</w:t>
            </w:r>
          </w:p>
        </w:tc>
        <w:tc>
          <w:tcPr>
            <w:tcW w:w="1198" w:type="dxa"/>
            <w:tcBorders>
              <w:top w:val="nil"/>
              <w:left w:val="nil"/>
              <w:bottom w:val="nil"/>
              <w:right w:val="nil"/>
            </w:tcBorders>
            <w:shd w:val="clear" w:color="000000" w:fill="FFFFFF"/>
            <w:vAlign w:val="center"/>
            <w:hideMark/>
          </w:tcPr>
          <w:p w14:paraId="5B4B8FC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8.0</w:t>
            </w:r>
          </w:p>
        </w:tc>
        <w:tc>
          <w:tcPr>
            <w:tcW w:w="1198" w:type="dxa"/>
            <w:tcBorders>
              <w:top w:val="nil"/>
              <w:left w:val="nil"/>
              <w:bottom w:val="nil"/>
              <w:right w:val="nil"/>
            </w:tcBorders>
            <w:shd w:val="clear" w:color="000000" w:fill="FFFFFF"/>
            <w:vAlign w:val="center"/>
            <w:hideMark/>
          </w:tcPr>
          <w:p w14:paraId="7CD8BE0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-19.4</w:t>
            </w:r>
          </w:p>
        </w:tc>
        <w:tc>
          <w:tcPr>
            <w:tcW w:w="1198" w:type="dxa"/>
            <w:tcBorders>
              <w:top w:val="nil"/>
              <w:left w:val="nil"/>
              <w:bottom w:val="nil"/>
              <w:right w:val="nil"/>
            </w:tcBorders>
            <w:shd w:val="clear" w:color="000000" w:fill="FFFFFF"/>
            <w:vAlign w:val="center"/>
            <w:hideMark/>
          </w:tcPr>
          <w:p w14:paraId="21FF1DD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41.2</w:t>
            </w:r>
          </w:p>
        </w:tc>
        <w:tc>
          <w:tcPr>
            <w:tcW w:w="878" w:type="dxa"/>
            <w:tcBorders>
              <w:top w:val="nil"/>
              <w:left w:val="nil"/>
              <w:bottom w:val="nil"/>
              <w:right w:val="nil"/>
            </w:tcBorders>
            <w:shd w:val="clear" w:color="000000" w:fill="FFFFFF"/>
            <w:vAlign w:val="center"/>
            <w:hideMark/>
          </w:tcPr>
          <w:p w14:paraId="532867F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11.5</w:t>
            </w:r>
          </w:p>
        </w:tc>
      </w:tr>
      <w:tr w:rsidR="000B44D8" w:rsidRPr="00E62F30" w14:paraId="75FC504C" w14:textId="77777777" w:rsidTr="00C34B9C">
        <w:trPr>
          <w:trHeight w:val="313"/>
        </w:trPr>
        <w:tc>
          <w:tcPr>
            <w:tcW w:w="3768" w:type="dxa"/>
            <w:tcBorders>
              <w:top w:val="nil"/>
              <w:left w:val="nil"/>
              <w:bottom w:val="nil"/>
              <w:right w:val="nil"/>
            </w:tcBorders>
            <w:shd w:val="clear" w:color="000000" w:fill="FFFFFF"/>
            <w:noWrap/>
            <w:vAlign w:val="center"/>
            <w:hideMark/>
          </w:tcPr>
          <w:p w14:paraId="049F993C"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wearing apparel</w:t>
            </w:r>
          </w:p>
        </w:tc>
        <w:tc>
          <w:tcPr>
            <w:tcW w:w="1198" w:type="dxa"/>
            <w:tcBorders>
              <w:top w:val="nil"/>
              <w:left w:val="nil"/>
              <w:bottom w:val="nil"/>
              <w:right w:val="nil"/>
            </w:tcBorders>
            <w:shd w:val="clear" w:color="000000" w:fill="FFFFFF"/>
            <w:vAlign w:val="center"/>
            <w:hideMark/>
          </w:tcPr>
          <w:p w14:paraId="79C64871"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15.6</w:t>
            </w:r>
          </w:p>
        </w:tc>
        <w:tc>
          <w:tcPr>
            <w:tcW w:w="1198" w:type="dxa"/>
            <w:tcBorders>
              <w:top w:val="nil"/>
              <w:left w:val="nil"/>
              <w:bottom w:val="nil"/>
              <w:right w:val="nil"/>
            </w:tcBorders>
            <w:shd w:val="clear" w:color="000000" w:fill="FFFFFF"/>
            <w:vAlign w:val="center"/>
            <w:hideMark/>
          </w:tcPr>
          <w:p w14:paraId="46D6195A"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11.1</w:t>
            </w:r>
          </w:p>
        </w:tc>
        <w:tc>
          <w:tcPr>
            <w:tcW w:w="1198" w:type="dxa"/>
            <w:tcBorders>
              <w:top w:val="nil"/>
              <w:left w:val="nil"/>
              <w:bottom w:val="nil"/>
              <w:right w:val="nil"/>
            </w:tcBorders>
            <w:shd w:val="clear" w:color="000000" w:fill="FFFFFF"/>
            <w:vAlign w:val="center"/>
            <w:hideMark/>
          </w:tcPr>
          <w:p w14:paraId="1E9766B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-14.5</w:t>
            </w:r>
          </w:p>
        </w:tc>
        <w:tc>
          <w:tcPr>
            <w:tcW w:w="1198" w:type="dxa"/>
            <w:tcBorders>
              <w:top w:val="nil"/>
              <w:left w:val="nil"/>
              <w:bottom w:val="nil"/>
              <w:right w:val="nil"/>
            </w:tcBorders>
            <w:shd w:val="clear" w:color="000000" w:fill="FFFFFF"/>
            <w:vAlign w:val="center"/>
            <w:hideMark/>
          </w:tcPr>
          <w:p w14:paraId="314D40B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15.8</w:t>
            </w:r>
          </w:p>
        </w:tc>
        <w:tc>
          <w:tcPr>
            <w:tcW w:w="878" w:type="dxa"/>
            <w:tcBorders>
              <w:top w:val="nil"/>
              <w:left w:val="nil"/>
              <w:bottom w:val="nil"/>
              <w:right w:val="nil"/>
            </w:tcBorders>
            <w:shd w:val="clear" w:color="000000" w:fill="FFFFFF"/>
            <w:vAlign w:val="center"/>
            <w:hideMark/>
          </w:tcPr>
          <w:p w14:paraId="7BB8A76F"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11.4</w:t>
            </w:r>
          </w:p>
        </w:tc>
      </w:tr>
      <w:tr w:rsidR="000B44D8" w:rsidRPr="00E62F30" w14:paraId="4AE9FE90" w14:textId="77777777" w:rsidTr="00C34B9C">
        <w:trPr>
          <w:trHeight w:val="313"/>
        </w:trPr>
        <w:tc>
          <w:tcPr>
            <w:tcW w:w="3768" w:type="dxa"/>
            <w:tcBorders>
              <w:top w:val="nil"/>
              <w:left w:val="nil"/>
              <w:bottom w:val="nil"/>
              <w:right w:val="nil"/>
            </w:tcBorders>
            <w:shd w:val="clear" w:color="000000" w:fill="FFFFFF"/>
            <w:noWrap/>
            <w:vAlign w:val="center"/>
            <w:hideMark/>
          </w:tcPr>
          <w:p w14:paraId="6BA160ED"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textiles</w:t>
            </w:r>
          </w:p>
        </w:tc>
        <w:tc>
          <w:tcPr>
            <w:tcW w:w="1198" w:type="dxa"/>
            <w:tcBorders>
              <w:top w:val="nil"/>
              <w:left w:val="nil"/>
              <w:bottom w:val="nil"/>
              <w:right w:val="nil"/>
            </w:tcBorders>
            <w:shd w:val="clear" w:color="000000" w:fill="FFFFFF"/>
            <w:vAlign w:val="center"/>
            <w:hideMark/>
          </w:tcPr>
          <w:p w14:paraId="291064E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21.4</w:t>
            </w:r>
          </w:p>
        </w:tc>
        <w:tc>
          <w:tcPr>
            <w:tcW w:w="1198" w:type="dxa"/>
            <w:tcBorders>
              <w:top w:val="nil"/>
              <w:left w:val="nil"/>
              <w:bottom w:val="nil"/>
              <w:right w:val="nil"/>
            </w:tcBorders>
            <w:shd w:val="clear" w:color="000000" w:fill="FFFFFF"/>
            <w:vAlign w:val="center"/>
            <w:hideMark/>
          </w:tcPr>
          <w:p w14:paraId="74FBAEAF"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13.2</w:t>
            </w:r>
          </w:p>
        </w:tc>
        <w:tc>
          <w:tcPr>
            <w:tcW w:w="1198" w:type="dxa"/>
            <w:tcBorders>
              <w:top w:val="nil"/>
              <w:left w:val="nil"/>
              <w:bottom w:val="nil"/>
              <w:right w:val="nil"/>
            </w:tcBorders>
            <w:shd w:val="clear" w:color="000000" w:fill="FFFFFF"/>
            <w:vAlign w:val="center"/>
            <w:hideMark/>
          </w:tcPr>
          <w:p w14:paraId="76695553"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-8.6</w:t>
            </w:r>
          </w:p>
        </w:tc>
        <w:tc>
          <w:tcPr>
            <w:tcW w:w="1198" w:type="dxa"/>
            <w:tcBorders>
              <w:top w:val="nil"/>
              <w:left w:val="nil"/>
              <w:bottom w:val="nil"/>
              <w:right w:val="nil"/>
            </w:tcBorders>
            <w:shd w:val="clear" w:color="000000" w:fill="FFFFFF"/>
            <w:vAlign w:val="center"/>
            <w:hideMark/>
          </w:tcPr>
          <w:p w14:paraId="41FB44C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19.1</w:t>
            </w:r>
          </w:p>
        </w:tc>
        <w:tc>
          <w:tcPr>
            <w:tcW w:w="878" w:type="dxa"/>
            <w:tcBorders>
              <w:top w:val="nil"/>
              <w:left w:val="nil"/>
              <w:bottom w:val="nil"/>
              <w:right w:val="nil"/>
            </w:tcBorders>
            <w:shd w:val="clear" w:color="000000" w:fill="FFFFFF"/>
            <w:vAlign w:val="center"/>
            <w:hideMark/>
          </w:tcPr>
          <w:p w14:paraId="5F89F78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8.8</w:t>
            </w:r>
          </w:p>
        </w:tc>
      </w:tr>
      <w:tr w:rsidR="000B44D8" w:rsidRPr="00E62F30" w14:paraId="50F79FD2" w14:textId="77777777" w:rsidTr="00C34B9C">
        <w:trPr>
          <w:trHeight w:val="372"/>
        </w:trPr>
        <w:tc>
          <w:tcPr>
            <w:tcW w:w="3768" w:type="dxa"/>
            <w:tcBorders>
              <w:top w:val="nil"/>
              <w:left w:val="nil"/>
              <w:bottom w:val="nil"/>
              <w:right w:val="nil"/>
            </w:tcBorders>
            <w:shd w:val="clear" w:color="000000" w:fill="FFFFFF"/>
            <w:noWrap/>
            <w:vAlign w:val="center"/>
            <w:hideMark/>
          </w:tcPr>
          <w:p w14:paraId="0DD7B235"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Printing and reproduction of recorded media</w:t>
            </w:r>
          </w:p>
        </w:tc>
        <w:tc>
          <w:tcPr>
            <w:tcW w:w="1198" w:type="dxa"/>
            <w:tcBorders>
              <w:top w:val="nil"/>
              <w:left w:val="nil"/>
              <w:bottom w:val="nil"/>
              <w:right w:val="nil"/>
            </w:tcBorders>
            <w:shd w:val="clear" w:color="000000" w:fill="FFFFFF"/>
            <w:vAlign w:val="center"/>
            <w:hideMark/>
          </w:tcPr>
          <w:p w14:paraId="26DC513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18.4</w:t>
            </w:r>
          </w:p>
        </w:tc>
        <w:tc>
          <w:tcPr>
            <w:tcW w:w="1198" w:type="dxa"/>
            <w:tcBorders>
              <w:top w:val="nil"/>
              <w:left w:val="nil"/>
              <w:bottom w:val="nil"/>
              <w:right w:val="nil"/>
            </w:tcBorders>
            <w:shd w:val="clear" w:color="000000" w:fill="FFFFFF"/>
            <w:vAlign w:val="center"/>
            <w:hideMark/>
          </w:tcPr>
          <w:p w14:paraId="6D24095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10.8</w:t>
            </w:r>
          </w:p>
        </w:tc>
        <w:tc>
          <w:tcPr>
            <w:tcW w:w="1198" w:type="dxa"/>
            <w:tcBorders>
              <w:top w:val="nil"/>
              <w:left w:val="nil"/>
              <w:bottom w:val="nil"/>
              <w:right w:val="nil"/>
            </w:tcBorders>
            <w:shd w:val="clear" w:color="000000" w:fill="FFFFFF"/>
            <w:vAlign w:val="center"/>
            <w:hideMark/>
          </w:tcPr>
          <w:p w14:paraId="1A87131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14.8</w:t>
            </w:r>
          </w:p>
        </w:tc>
        <w:tc>
          <w:tcPr>
            <w:tcW w:w="1198" w:type="dxa"/>
            <w:tcBorders>
              <w:top w:val="nil"/>
              <w:left w:val="nil"/>
              <w:bottom w:val="nil"/>
              <w:right w:val="nil"/>
            </w:tcBorders>
            <w:shd w:val="clear" w:color="000000" w:fill="FFFFFF"/>
            <w:vAlign w:val="center"/>
            <w:hideMark/>
          </w:tcPr>
          <w:p w14:paraId="4AF4341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2.0</w:t>
            </w:r>
          </w:p>
        </w:tc>
        <w:tc>
          <w:tcPr>
            <w:tcW w:w="878" w:type="dxa"/>
            <w:tcBorders>
              <w:top w:val="nil"/>
              <w:left w:val="nil"/>
              <w:bottom w:val="nil"/>
              <w:right w:val="nil"/>
            </w:tcBorders>
            <w:shd w:val="clear" w:color="000000" w:fill="FFFFFF"/>
            <w:vAlign w:val="center"/>
            <w:hideMark/>
          </w:tcPr>
          <w:p w14:paraId="157F554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8.4</w:t>
            </w:r>
          </w:p>
        </w:tc>
      </w:tr>
      <w:tr w:rsidR="000B44D8" w:rsidRPr="00E62F30" w14:paraId="1CFB03B0" w14:textId="77777777" w:rsidTr="00C34B9C">
        <w:trPr>
          <w:trHeight w:val="313"/>
        </w:trPr>
        <w:tc>
          <w:tcPr>
            <w:tcW w:w="3768" w:type="dxa"/>
            <w:tcBorders>
              <w:top w:val="nil"/>
              <w:left w:val="nil"/>
              <w:bottom w:val="nil"/>
              <w:right w:val="nil"/>
            </w:tcBorders>
            <w:shd w:val="clear" w:color="000000" w:fill="FFFFFF"/>
            <w:noWrap/>
            <w:vAlign w:val="center"/>
            <w:hideMark/>
          </w:tcPr>
          <w:p w14:paraId="46BB0E03"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lastRenderedPageBreak/>
              <w:t>Manufacture of rubber and plastics products</w:t>
            </w:r>
          </w:p>
        </w:tc>
        <w:tc>
          <w:tcPr>
            <w:tcW w:w="1198" w:type="dxa"/>
            <w:tcBorders>
              <w:top w:val="nil"/>
              <w:left w:val="nil"/>
              <w:bottom w:val="nil"/>
              <w:right w:val="nil"/>
            </w:tcBorders>
            <w:shd w:val="clear" w:color="000000" w:fill="FFFFFF"/>
            <w:vAlign w:val="center"/>
            <w:hideMark/>
          </w:tcPr>
          <w:p w14:paraId="111550F3"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17.1</w:t>
            </w:r>
          </w:p>
        </w:tc>
        <w:tc>
          <w:tcPr>
            <w:tcW w:w="1198" w:type="dxa"/>
            <w:tcBorders>
              <w:top w:val="nil"/>
              <w:left w:val="nil"/>
              <w:bottom w:val="nil"/>
              <w:right w:val="nil"/>
            </w:tcBorders>
            <w:shd w:val="clear" w:color="000000" w:fill="FFFFFF"/>
            <w:vAlign w:val="center"/>
            <w:hideMark/>
          </w:tcPr>
          <w:p w14:paraId="79CF352B"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10.4</w:t>
            </w:r>
          </w:p>
        </w:tc>
        <w:tc>
          <w:tcPr>
            <w:tcW w:w="1198" w:type="dxa"/>
            <w:tcBorders>
              <w:top w:val="nil"/>
              <w:left w:val="nil"/>
              <w:bottom w:val="nil"/>
              <w:right w:val="nil"/>
            </w:tcBorders>
            <w:shd w:val="clear" w:color="000000" w:fill="FFFFFF"/>
            <w:vAlign w:val="center"/>
            <w:hideMark/>
          </w:tcPr>
          <w:p w14:paraId="1D37A9FC"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-8.0</w:t>
            </w:r>
          </w:p>
        </w:tc>
        <w:tc>
          <w:tcPr>
            <w:tcW w:w="1198" w:type="dxa"/>
            <w:tcBorders>
              <w:top w:val="nil"/>
              <w:left w:val="nil"/>
              <w:bottom w:val="nil"/>
              <w:right w:val="nil"/>
            </w:tcBorders>
            <w:shd w:val="clear" w:color="000000" w:fill="FFFFFF"/>
            <w:vAlign w:val="center"/>
            <w:hideMark/>
          </w:tcPr>
          <w:p w14:paraId="7B80E9A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25.0</w:t>
            </w:r>
          </w:p>
        </w:tc>
        <w:tc>
          <w:tcPr>
            <w:tcW w:w="878" w:type="dxa"/>
            <w:tcBorders>
              <w:top w:val="nil"/>
              <w:left w:val="nil"/>
              <w:bottom w:val="nil"/>
              <w:right w:val="nil"/>
            </w:tcBorders>
            <w:shd w:val="clear" w:color="000000" w:fill="FFFFFF"/>
            <w:vAlign w:val="center"/>
            <w:hideMark/>
          </w:tcPr>
          <w:p w14:paraId="1B90CC51"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8.1</w:t>
            </w:r>
          </w:p>
        </w:tc>
      </w:tr>
      <w:tr w:rsidR="000B44D8" w:rsidRPr="00E62F30" w14:paraId="4BB2B221" w14:textId="77777777" w:rsidTr="00C34B9C">
        <w:trPr>
          <w:trHeight w:val="313"/>
        </w:trPr>
        <w:tc>
          <w:tcPr>
            <w:tcW w:w="3768" w:type="dxa"/>
            <w:tcBorders>
              <w:top w:val="nil"/>
              <w:left w:val="nil"/>
              <w:bottom w:val="nil"/>
              <w:right w:val="nil"/>
            </w:tcBorders>
            <w:shd w:val="clear" w:color="000000" w:fill="FFFFFF"/>
            <w:noWrap/>
            <w:vAlign w:val="center"/>
            <w:hideMark/>
          </w:tcPr>
          <w:p w14:paraId="64C93C9E"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beverages</w:t>
            </w:r>
          </w:p>
        </w:tc>
        <w:tc>
          <w:tcPr>
            <w:tcW w:w="1198" w:type="dxa"/>
            <w:tcBorders>
              <w:top w:val="nil"/>
              <w:left w:val="nil"/>
              <w:bottom w:val="nil"/>
              <w:right w:val="nil"/>
            </w:tcBorders>
            <w:shd w:val="clear" w:color="000000" w:fill="FFFFFF"/>
            <w:vAlign w:val="center"/>
            <w:hideMark/>
          </w:tcPr>
          <w:p w14:paraId="172776C2"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11.8</w:t>
            </w:r>
          </w:p>
        </w:tc>
        <w:tc>
          <w:tcPr>
            <w:tcW w:w="1198" w:type="dxa"/>
            <w:tcBorders>
              <w:top w:val="nil"/>
              <w:left w:val="nil"/>
              <w:bottom w:val="nil"/>
              <w:right w:val="nil"/>
            </w:tcBorders>
            <w:shd w:val="clear" w:color="000000" w:fill="FFFFFF"/>
            <w:vAlign w:val="center"/>
            <w:hideMark/>
          </w:tcPr>
          <w:p w14:paraId="60039F8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8.6</w:t>
            </w:r>
          </w:p>
        </w:tc>
        <w:tc>
          <w:tcPr>
            <w:tcW w:w="1198" w:type="dxa"/>
            <w:tcBorders>
              <w:top w:val="nil"/>
              <w:left w:val="nil"/>
              <w:bottom w:val="nil"/>
              <w:right w:val="nil"/>
            </w:tcBorders>
            <w:shd w:val="clear" w:color="000000" w:fill="FFFFFF"/>
            <w:vAlign w:val="center"/>
            <w:hideMark/>
          </w:tcPr>
          <w:p w14:paraId="060C00F2"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-10.2</w:t>
            </w:r>
          </w:p>
        </w:tc>
        <w:tc>
          <w:tcPr>
            <w:tcW w:w="1198" w:type="dxa"/>
            <w:tcBorders>
              <w:top w:val="nil"/>
              <w:left w:val="nil"/>
              <w:bottom w:val="nil"/>
              <w:right w:val="nil"/>
            </w:tcBorders>
            <w:shd w:val="clear" w:color="000000" w:fill="FFFFFF"/>
            <w:vAlign w:val="center"/>
            <w:hideMark/>
          </w:tcPr>
          <w:p w14:paraId="158D03E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19.6</w:t>
            </w:r>
          </w:p>
        </w:tc>
        <w:tc>
          <w:tcPr>
            <w:tcW w:w="878" w:type="dxa"/>
            <w:tcBorders>
              <w:top w:val="nil"/>
              <w:left w:val="nil"/>
              <w:bottom w:val="nil"/>
              <w:right w:val="nil"/>
            </w:tcBorders>
            <w:shd w:val="clear" w:color="000000" w:fill="FFFFFF"/>
            <w:vAlign w:val="center"/>
            <w:hideMark/>
          </w:tcPr>
          <w:p w14:paraId="5DDB936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-2.7</w:t>
            </w:r>
          </w:p>
        </w:tc>
      </w:tr>
      <w:tr w:rsidR="000B44D8" w:rsidRPr="00E62F30" w14:paraId="3B84E3E6" w14:textId="77777777" w:rsidTr="00C34B9C">
        <w:trPr>
          <w:trHeight w:val="556"/>
        </w:trPr>
        <w:tc>
          <w:tcPr>
            <w:tcW w:w="3768" w:type="dxa"/>
            <w:tcBorders>
              <w:top w:val="nil"/>
              <w:left w:val="nil"/>
              <w:bottom w:val="nil"/>
              <w:right w:val="nil"/>
            </w:tcBorders>
            <w:shd w:val="clear" w:color="000000" w:fill="FFFFFF"/>
            <w:vAlign w:val="center"/>
            <w:hideMark/>
          </w:tcPr>
          <w:p w14:paraId="2168826B" w14:textId="43A3E41A"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 xml:space="preserve">Manufacture of pharmaceuticals, medicinal </w:t>
            </w:r>
            <w:r w:rsidR="004A74F9">
              <w:rPr>
                <w:rFonts w:ascii="Arial" w:hAnsi="Arial" w:cs="Arial"/>
                <w:color w:val="000000"/>
                <w:sz w:val="18"/>
                <w:szCs w:val="18"/>
              </w:rPr>
              <w:t>chemicals,</w:t>
            </w:r>
            <w:r w:rsidRPr="00E62F30">
              <w:rPr>
                <w:rFonts w:ascii="Arial" w:hAnsi="Arial" w:cs="Arial"/>
                <w:color w:val="000000"/>
                <w:sz w:val="18"/>
                <w:szCs w:val="18"/>
              </w:rPr>
              <w:t xml:space="preserve"> and botanical products</w:t>
            </w:r>
          </w:p>
        </w:tc>
        <w:tc>
          <w:tcPr>
            <w:tcW w:w="1198" w:type="dxa"/>
            <w:tcBorders>
              <w:top w:val="nil"/>
              <w:left w:val="nil"/>
              <w:bottom w:val="nil"/>
              <w:right w:val="nil"/>
            </w:tcBorders>
            <w:shd w:val="clear" w:color="000000" w:fill="FFFFFF"/>
            <w:vAlign w:val="center"/>
            <w:hideMark/>
          </w:tcPr>
          <w:p w14:paraId="416001F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7.0</w:t>
            </w:r>
          </w:p>
        </w:tc>
        <w:tc>
          <w:tcPr>
            <w:tcW w:w="1198" w:type="dxa"/>
            <w:tcBorders>
              <w:top w:val="nil"/>
              <w:left w:val="nil"/>
              <w:bottom w:val="nil"/>
              <w:right w:val="nil"/>
            </w:tcBorders>
            <w:shd w:val="clear" w:color="000000" w:fill="FFFFFF"/>
            <w:vAlign w:val="center"/>
            <w:hideMark/>
          </w:tcPr>
          <w:p w14:paraId="1B3811F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-9.7</w:t>
            </w:r>
          </w:p>
        </w:tc>
        <w:tc>
          <w:tcPr>
            <w:tcW w:w="1198" w:type="dxa"/>
            <w:tcBorders>
              <w:top w:val="nil"/>
              <w:left w:val="nil"/>
              <w:bottom w:val="nil"/>
              <w:right w:val="nil"/>
            </w:tcBorders>
            <w:shd w:val="clear" w:color="000000" w:fill="FFFFFF"/>
            <w:vAlign w:val="center"/>
            <w:hideMark/>
          </w:tcPr>
          <w:p w14:paraId="5115CAC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8.5</w:t>
            </w:r>
          </w:p>
        </w:tc>
        <w:tc>
          <w:tcPr>
            <w:tcW w:w="1198" w:type="dxa"/>
            <w:tcBorders>
              <w:top w:val="nil"/>
              <w:left w:val="nil"/>
              <w:bottom w:val="nil"/>
              <w:right w:val="nil"/>
            </w:tcBorders>
            <w:shd w:val="clear" w:color="000000" w:fill="FFFFFF"/>
            <w:vAlign w:val="center"/>
            <w:hideMark/>
          </w:tcPr>
          <w:p w14:paraId="4C1222C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22.6</w:t>
            </w:r>
          </w:p>
        </w:tc>
        <w:tc>
          <w:tcPr>
            <w:tcW w:w="878" w:type="dxa"/>
            <w:tcBorders>
              <w:top w:val="nil"/>
              <w:left w:val="nil"/>
              <w:bottom w:val="nil"/>
              <w:right w:val="nil"/>
            </w:tcBorders>
            <w:shd w:val="clear" w:color="000000" w:fill="FFFFFF"/>
            <w:vAlign w:val="center"/>
            <w:hideMark/>
          </w:tcPr>
          <w:p w14:paraId="6ECCA28D"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-3.6</w:t>
            </w:r>
          </w:p>
        </w:tc>
      </w:tr>
      <w:tr w:rsidR="000B44D8" w:rsidRPr="00E62F30" w14:paraId="5ACCF684" w14:textId="77777777" w:rsidTr="00C34B9C">
        <w:trPr>
          <w:trHeight w:val="616"/>
        </w:trPr>
        <w:tc>
          <w:tcPr>
            <w:tcW w:w="3768" w:type="dxa"/>
            <w:tcBorders>
              <w:top w:val="nil"/>
              <w:left w:val="nil"/>
              <w:bottom w:val="nil"/>
              <w:right w:val="nil"/>
            </w:tcBorders>
            <w:shd w:val="clear" w:color="auto" w:fill="auto"/>
            <w:vAlign w:val="center"/>
            <w:hideMark/>
          </w:tcPr>
          <w:p w14:paraId="7427BEF3"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computer, electronic and optical products</w:t>
            </w:r>
          </w:p>
        </w:tc>
        <w:tc>
          <w:tcPr>
            <w:tcW w:w="1198" w:type="dxa"/>
            <w:tcBorders>
              <w:top w:val="nil"/>
              <w:left w:val="nil"/>
              <w:bottom w:val="nil"/>
              <w:right w:val="nil"/>
            </w:tcBorders>
            <w:shd w:val="clear" w:color="000000" w:fill="FFFFFF"/>
            <w:vAlign w:val="center"/>
            <w:hideMark/>
          </w:tcPr>
          <w:p w14:paraId="33D56CA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39.7</w:t>
            </w:r>
          </w:p>
        </w:tc>
        <w:tc>
          <w:tcPr>
            <w:tcW w:w="1198" w:type="dxa"/>
            <w:tcBorders>
              <w:top w:val="nil"/>
              <w:left w:val="nil"/>
              <w:bottom w:val="nil"/>
              <w:right w:val="nil"/>
            </w:tcBorders>
            <w:shd w:val="clear" w:color="000000" w:fill="FFFFFF"/>
            <w:vAlign w:val="center"/>
            <w:hideMark/>
          </w:tcPr>
          <w:p w14:paraId="1DB656F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1.2</w:t>
            </w:r>
          </w:p>
        </w:tc>
        <w:tc>
          <w:tcPr>
            <w:tcW w:w="1198" w:type="dxa"/>
            <w:tcBorders>
              <w:top w:val="nil"/>
              <w:left w:val="nil"/>
              <w:bottom w:val="nil"/>
              <w:right w:val="nil"/>
            </w:tcBorders>
            <w:shd w:val="clear" w:color="000000" w:fill="FFFFFF"/>
            <w:vAlign w:val="center"/>
            <w:hideMark/>
          </w:tcPr>
          <w:p w14:paraId="77329405"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-5.4</w:t>
            </w:r>
          </w:p>
        </w:tc>
        <w:tc>
          <w:tcPr>
            <w:tcW w:w="1198" w:type="dxa"/>
            <w:tcBorders>
              <w:top w:val="nil"/>
              <w:left w:val="nil"/>
              <w:bottom w:val="nil"/>
              <w:right w:val="nil"/>
            </w:tcBorders>
            <w:shd w:val="clear" w:color="000000" w:fill="FFFFFF"/>
            <w:vAlign w:val="center"/>
            <w:hideMark/>
          </w:tcPr>
          <w:p w14:paraId="6A658BA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39.7</w:t>
            </w:r>
          </w:p>
        </w:tc>
        <w:tc>
          <w:tcPr>
            <w:tcW w:w="878" w:type="dxa"/>
            <w:tcBorders>
              <w:top w:val="nil"/>
              <w:left w:val="nil"/>
              <w:bottom w:val="nil"/>
              <w:right w:val="nil"/>
            </w:tcBorders>
            <w:shd w:val="clear" w:color="000000" w:fill="FFFFFF"/>
            <w:vAlign w:val="center"/>
            <w:hideMark/>
          </w:tcPr>
          <w:p w14:paraId="54ABB85F"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-5.0</w:t>
            </w:r>
          </w:p>
        </w:tc>
      </w:tr>
      <w:tr w:rsidR="000B44D8" w:rsidRPr="00E62F30" w14:paraId="1A46719D" w14:textId="77777777" w:rsidTr="00C34B9C">
        <w:trPr>
          <w:trHeight w:val="536"/>
        </w:trPr>
        <w:tc>
          <w:tcPr>
            <w:tcW w:w="3768" w:type="dxa"/>
            <w:tcBorders>
              <w:top w:val="nil"/>
              <w:left w:val="nil"/>
              <w:bottom w:val="nil"/>
              <w:right w:val="nil"/>
            </w:tcBorders>
            <w:shd w:val="clear" w:color="000000" w:fill="FFFFFF"/>
            <w:vAlign w:val="center"/>
            <w:hideMark/>
          </w:tcPr>
          <w:p w14:paraId="041A1646" w14:textId="7F4DEFA8"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Manufacture of wood and products of wood and cork</w:t>
            </w:r>
          </w:p>
        </w:tc>
        <w:tc>
          <w:tcPr>
            <w:tcW w:w="1198" w:type="dxa"/>
            <w:tcBorders>
              <w:top w:val="nil"/>
              <w:left w:val="nil"/>
              <w:bottom w:val="nil"/>
              <w:right w:val="nil"/>
            </w:tcBorders>
            <w:shd w:val="clear" w:color="000000" w:fill="FFFFFF"/>
            <w:vAlign w:val="center"/>
            <w:hideMark/>
          </w:tcPr>
          <w:p w14:paraId="77D5399E"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16.7</w:t>
            </w:r>
          </w:p>
        </w:tc>
        <w:tc>
          <w:tcPr>
            <w:tcW w:w="1198" w:type="dxa"/>
            <w:tcBorders>
              <w:top w:val="nil"/>
              <w:left w:val="nil"/>
              <w:bottom w:val="nil"/>
              <w:right w:val="nil"/>
            </w:tcBorders>
            <w:shd w:val="clear" w:color="000000" w:fill="FFFFFF"/>
            <w:vAlign w:val="center"/>
            <w:hideMark/>
          </w:tcPr>
          <w:p w14:paraId="4A105976"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10.5</w:t>
            </w:r>
          </w:p>
        </w:tc>
        <w:tc>
          <w:tcPr>
            <w:tcW w:w="1198" w:type="dxa"/>
            <w:tcBorders>
              <w:top w:val="nil"/>
              <w:left w:val="nil"/>
              <w:bottom w:val="nil"/>
              <w:right w:val="nil"/>
            </w:tcBorders>
            <w:shd w:val="clear" w:color="000000" w:fill="FFFFFF"/>
            <w:vAlign w:val="center"/>
            <w:hideMark/>
          </w:tcPr>
          <w:p w14:paraId="7044CF78"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-17.8</w:t>
            </w:r>
          </w:p>
        </w:tc>
        <w:tc>
          <w:tcPr>
            <w:tcW w:w="1198" w:type="dxa"/>
            <w:tcBorders>
              <w:top w:val="nil"/>
              <w:left w:val="nil"/>
              <w:bottom w:val="nil"/>
              <w:right w:val="nil"/>
            </w:tcBorders>
            <w:shd w:val="clear" w:color="000000" w:fill="FFFFFF"/>
            <w:vAlign w:val="center"/>
            <w:hideMark/>
          </w:tcPr>
          <w:p w14:paraId="1AD81300"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26.4</w:t>
            </w:r>
          </w:p>
        </w:tc>
        <w:tc>
          <w:tcPr>
            <w:tcW w:w="878" w:type="dxa"/>
            <w:tcBorders>
              <w:top w:val="nil"/>
              <w:left w:val="nil"/>
              <w:bottom w:val="nil"/>
              <w:right w:val="nil"/>
            </w:tcBorders>
            <w:shd w:val="clear" w:color="000000" w:fill="FFFFFF"/>
            <w:vAlign w:val="center"/>
            <w:hideMark/>
          </w:tcPr>
          <w:p w14:paraId="6E5DA9C2"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-5.1</w:t>
            </w:r>
          </w:p>
        </w:tc>
      </w:tr>
      <w:tr w:rsidR="000B44D8" w:rsidRPr="00E62F30" w14:paraId="2BDD5A17" w14:textId="77777777" w:rsidTr="00C34B9C">
        <w:trPr>
          <w:trHeight w:val="655"/>
        </w:trPr>
        <w:tc>
          <w:tcPr>
            <w:tcW w:w="3768" w:type="dxa"/>
            <w:tcBorders>
              <w:top w:val="nil"/>
              <w:left w:val="nil"/>
              <w:bottom w:val="single" w:sz="8" w:space="0" w:color="auto"/>
              <w:right w:val="nil"/>
            </w:tcBorders>
            <w:shd w:val="clear" w:color="000000" w:fill="FFFFFF"/>
            <w:vAlign w:val="center"/>
            <w:hideMark/>
          </w:tcPr>
          <w:p w14:paraId="1B814A83" w14:textId="77777777" w:rsidR="000B44D8" w:rsidRPr="00E62F30" w:rsidRDefault="000B44D8" w:rsidP="00C34B9C">
            <w:pPr>
              <w:rPr>
                <w:rFonts w:ascii="Arial" w:hAnsi="Arial" w:cs="Arial"/>
                <w:color w:val="000000"/>
                <w:sz w:val="18"/>
                <w:szCs w:val="18"/>
              </w:rPr>
            </w:pPr>
            <w:r w:rsidRPr="00E62F30">
              <w:rPr>
                <w:rFonts w:ascii="Arial" w:hAnsi="Arial" w:cs="Arial"/>
                <w:color w:val="000000"/>
                <w:sz w:val="18"/>
                <w:szCs w:val="18"/>
              </w:rPr>
              <w:t>Extraction of crude petroleum and natural gas</w:t>
            </w:r>
          </w:p>
        </w:tc>
        <w:tc>
          <w:tcPr>
            <w:tcW w:w="1198" w:type="dxa"/>
            <w:tcBorders>
              <w:top w:val="nil"/>
              <w:left w:val="nil"/>
              <w:bottom w:val="single" w:sz="8" w:space="0" w:color="auto"/>
              <w:right w:val="nil"/>
            </w:tcBorders>
            <w:shd w:val="clear" w:color="000000" w:fill="FFFFFF"/>
            <w:vAlign w:val="center"/>
            <w:hideMark/>
          </w:tcPr>
          <w:p w14:paraId="4A143917"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8.0</w:t>
            </w:r>
          </w:p>
        </w:tc>
        <w:tc>
          <w:tcPr>
            <w:tcW w:w="1198" w:type="dxa"/>
            <w:tcBorders>
              <w:top w:val="nil"/>
              <w:left w:val="nil"/>
              <w:bottom w:val="single" w:sz="8" w:space="0" w:color="auto"/>
              <w:right w:val="nil"/>
            </w:tcBorders>
            <w:shd w:val="clear" w:color="000000" w:fill="FFFFFF"/>
            <w:vAlign w:val="center"/>
            <w:hideMark/>
          </w:tcPr>
          <w:p w14:paraId="04DEF55C"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-7.1</w:t>
            </w:r>
          </w:p>
        </w:tc>
        <w:tc>
          <w:tcPr>
            <w:tcW w:w="1198" w:type="dxa"/>
            <w:tcBorders>
              <w:top w:val="nil"/>
              <w:left w:val="nil"/>
              <w:bottom w:val="single" w:sz="8" w:space="0" w:color="auto"/>
              <w:right w:val="nil"/>
            </w:tcBorders>
            <w:shd w:val="clear" w:color="000000" w:fill="FFFFFF"/>
            <w:vAlign w:val="center"/>
            <w:hideMark/>
          </w:tcPr>
          <w:p w14:paraId="78778144"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-15.5</w:t>
            </w:r>
          </w:p>
        </w:tc>
        <w:tc>
          <w:tcPr>
            <w:tcW w:w="1198" w:type="dxa"/>
            <w:tcBorders>
              <w:top w:val="nil"/>
              <w:left w:val="nil"/>
              <w:bottom w:val="single" w:sz="8" w:space="0" w:color="auto"/>
              <w:right w:val="nil"/>
            </w:tcBorders>
            <w:shd w:val="clear" w:color="000000" w:fill="FFFFFF"/>
            <w:vAlign w:val="center"/>
            <w:hideMark/>
          </w:tcPr>
          <w:p w14:paraId="1BA70C69"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2.2</w:t>
            </w:r>
          </w:p>
        </w:tc>
        <w:tc>
          <w:tcPr>
            <w:tcW w:w="878" w:type="dxa"/>
            <w:tcBorders>
              <w:top w:val="nil"/>
              <w:left w:val="nil"/>
              <w:bottom w:val="single" w:sz="8" w:space="0" w:color="auto"/>
              <w:right w:val="nil"/>
            </w:tcBorders>
            <w:shd w:val="clear" w:color="000000" w:fill="FFFFFF"/>
            <w:vAlign w:val="center"/>
            <w:hideMark/>
          </w:tcPr>
          <w:p w14:paraId="7293D19D" w14:textId="77777777" w:rsidR="000B44D8" w:rsidRPr="00E62F30" w:rsidRDefault="000B44D8" w:rsidP="00C34B9C">
            <w:pPr>
              <w:jc w:val="right"/>
              <w:rPr>
                <w:rFonts w:ascii="Arial" w:hAnsi="Arial" w:cs="Arial"/>
                <w:color w:val="000000"/>
                <w:sz w:val="18"/>
                <w:szCs w:val="18"/>
              </w:rPr>
            </w:pPr>
            <w:r w:rsidRPr="00E62F30">
              <w:rPr>
                <w:rFonts w:ascii="Arial" w:hAnsi="Arial" w:cs="Arial"/>
                <w:color w:val="000000"/>
                <w:sz w:val="18"/>
                <w:szCs w:val="18"/>
              </w:rPr>
              <w:t>-9.7</w:t>
            </w:r>
          </w:p>
        </w:tc>
      </w:tr>
    </w:tbl>
    <w:p w14:paraId="7C49136C" w14:textId="1A7B19A9" w:rsidR="000B44D8" w:rsidRDefault="000B44D8" w:rsidP="003B643E">
      <w:pPr>
        <w:shd w:val="clear" w:color="auto" w:fill="FFFFFF"/>
        <w:tabs>
          <w:tab w:val="left" w:pos="8931"/>
        </w:tabs>
        <w:spacing w:before="60"/>
        <w:jc w:val="right"/>
        <w:rPr>
          <w:rFonts w:ascii="Arial" w:hAnsi="Arial" w:cs="Arial"/>
          <w:spacing w:val="-2"/>
          <w:sz w:val="20"/>
          <w:szCs w:val="20"/>
          <w:lang w:val="pl-PL"/>
        </w:rPr>
      </w:pPr>
    </w:p>
    <w:p w14:paraId="0F8AAB91" w14:textId="77777777" w:rsidR="00505829" w:rsidRPr="00075DEC" w:rsidRDefault="00505829" w:rsidP="00505829">
      <w:pPr>
        <w:shd w:val="clear" w:color="auto" w:fill="FFFFFF"/>
        <w:tabs>
          <w:tab w:val="left" w:pos="8931"/>
        </w:tabs>
        <w:spacing w:before="60"/>
        <w:jc w:val="right"/>
        <w:rPr>
          <w:rFonts w:ascii="Arial" w:hAnsi="Arial" w:cs="Arial"/>
          <w:spacing w:val="-2"/>
          <w:sz w:val="10"/>
          <w:szCs w:val="10"/>
          <w:lang w:val="pl-PL"/>
        </w:rPr>
      </w:pPr>
    </w:p>
    <w:p w14:paraId="67336F45" w14:textId="77777777" w:rsidR="00C16769" w:rsidRPr="00DB11FC" w:rsidRDefault="00C16769" w:rsidP="00C16769">
      <w:pPr>
        <w:shd w:val="clear" w:color="auto" w:fill="FFFFFF"/>
        <w:spacing w:before="40" w:after="40"/>
        <w:ind w:firstLine="567"/>
        <w:jc w:val="both"/>
        <w:rPr>
          <w:i/>
          <w:lang w:val="pl-PL"/>
        </w:rPr>
      </w:pPr>
      <w:bookmarkStart w:id="1" w:name="_Hlk89331763"/>
      <w:r w:rsidRPr="00DB11FC">
        <w:rPr>
          <w:i/>
          <w:lang w:val="pl-PL"/>
        </w:rPr>
        <w:t xml:space="preserve">The index of industrial production in </w:t>
      </w:r>
      <w:r>
        <w:rPr>
          <w:i/>
          <w:lang w:val="pl-PL"/>
        </w:rPr>
        <w:t>01/2022</w:t>
      </w:r>
      <w:r w:rsidRPr="00DB11FC">
        <w:rPr>
          <w:i/>
          <w:lang w:val="pl-PL"/>
        </w:rPr>
        <w:t xml:space="preserve"> </w:t>
      </w:r>
      <w:r w:rsidRPr="00D517D5">
        <w:rPr>
          <w:iCs/>
          <w:lang w:val="pl-PL"/>
        </w:rPr>
        <w:t>over the same period last year increased in 52 localities and decreased in 11 localities across the country.</w:t>
      </w:r>
      <w:bookmarkEnd w:id="1"/>
    </w:p>
    <w:p w14:paraId="3EF900F5" w14:textId="77777777" w:rsidR="00505829" w:rsidRPr="00383C4E" w:rsidRDefault="00505829" w:rsidP="00505829">
      <w:pPr>
        <w:shd w:val="clear" w:color="auto" w:fill="FFFFFF"/>
        <w:jc w:val="center"/>
        <w:rPr>
          <w:rFonts w:ascii="Arial" w:hAnsi="Arial" w:cs="Arial"/>
          <w:b/>
          <w:bCs/>
          <w:sz w:val="10"/>
          <w:szCs w:val="24"/>
          <w:lang w:val="pl-PL"/>
        </w:rPr>
      </w:pPr>
    </w:p>
    <w:p w14:paraId="1495E842" w14:textId="6BF00361" w:rsidR="00C16769" w:rsidRDefault="00C16769" w:rsidP="00C16769">
      <w:pPr>
        <w:shd w:val="clear" w:color="auto" w:fill="FFFFFF"/>
        <w:spacing w:before="40" w:after="40" w:line="262" w:lineRule="auto"/>
        <w:jc w:val="center"/>
        <w:rPr>
          <w:b/>
          <w:spacing w:val="-4"/>
        </w:rPr>
      </w:pPr>
      <w:r>
        <w:rPr>
          <w:b/>
          <w:spacing w:val="-4"/>
        </w:rPr>
        <w:t xml:space="preserve">Figure 4: The </w:t>
      </w:r>
      <w:r w:rsidRPr="009C573E">
        <w:rPr>
          <w:b/>
          <w:spacing w:val="-4"/>
        </w:rPr>
        <w:t>IIP growth rate of some provinces</w:t>
      </w:r>
      <w:r>
        <w:rPr>
          <w:b/>
          <w:spacing w:val="-4"/>
        </w:rPr>
        <w:t xml:space="preserve"> in January 2022 </w:t>
      </w:r>
    </w:p>
    <w:p w14:paraId="22128E2A" w14:textId="487AC816" w:rsidR="009B6C92" w:rsidRDefault="00C16769" w:rsidP="00C16769">
      <w:pPr>
        <w:shd w:val="clear" w:color="auto" w:fill="FFFFFF"/>
        <w:jc w:val="center"/>
        <w:rPr>
          <w:rFonts w:ascii="Arial" w:hAnsi="Arial" w:cs="Arial"/>
          <w:b/>
          <w:bCs/>
          <w:sz w:val="24"/>
          <w:szCs w:val="24"/>
          <w:lang w:val="pl-PL"/>
        </w:rPr>
      </w:pPr>
      <w:r w:rsidRPr="009C573E">
        <w:rPr>
          <w:b/>
          <w:spacing w:val="-4"/>
        </w:rPr>
        <w:t xml:space="preserve">over the </w:t>
      </w:r>
      <w:r w:rsidR="004A74F9">
        <w:rPr>
          <w:b/>
          <w:spacing w:val="-4"/>
        </w:rPr>
        <w:t>same</w:t>
      </w:r>
      <w:r w:rsidRPr="009C573E">
        <w:rPr>
          <w:b/>
          <w:spacing w:val="-4"/>
        </w:rPr>
        <w:t xml:space="preserve"> period last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547"/>
      </w:tblGrid>
      <w:tr w:rsidR="009B6C92" w14:paraId="44D72397" w14:textId="77777777" w:rsidTr="009B6C92">
        <w:tc>
          <w:tcPr>
            <w:tcW w:w="4483" w:type="dxa"/>
          </w:tcPr>
          <w:p w14:paraId="0B5B95BD" w14:textId="1996CE40" w:rsidR="00FB1824" w:rsidRDefault="00FB1824" w:rsidP="009B6C92">
            <w:pPr>
              <w:rPr>
                <w:rFonts w:ascii="Arial" w:hAnsi="Arial" w:cs="Arial"/>
                <w:b/>
                <w:bCs/>
                <w:sz w:val="24"/>
                <w:szCs w:val="24"/>
                <w:lang w:val="pl-PL"/>
              </w:rPr>
            </w:pPr>
            <w:r>
              <w:rPr>
                <w:noProof/>
              </w:rPr>
              <w:drawing>
                <wp:inline distT="0" distB="0" distL="0" distR="0" wp14:anchorId="2923FB32" wp14:editId="62B7F32D">
                  <wp:extent cx="2734734" cy="250756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9955" cy="2521516"/>
                          </a:xfrm>
                          <a:prstGeom prst="rect">
                            <a:avLst/>
                          </a:prstGeom>
                          <a:noFill/>
                          <a:ln>
                            <a:noFill/>
                          </a:ln>
                        </pic:spPr>
                      </pic:pic>
                    </a:graphicData>
                  </a:graphic>
                </wp:inline>
              </w:drawing>
            </w:r>
          </w:p>
        </w:tc>
        <w:tc>
          <w:tcPr>
            <w:tcW w:w="4483" w:type="dxa"/>
          </w:tcPr>
          <w:p w14:paraId="538C34EC" w14:textId="3C58DA7C" w:rsidR="00FB1824" w:rsidRDefault="009B6C92" w:rsidP="009B6C92">
            <w:pPr>
              <w:rPr>
                <w:rFonts w:ascii="Arial" w:hAnsi="Arial" w:cs="Arial"/>
                <w:b/>
                <w:bCs/>
                <w:sz w:val="24"/>
                <w:szCs w:val="24"/>
                <w:lang w:val="pl-PL"/>
              </w:rPr>
            </w:pPr>
            <w:r>
              <w:rPr>
                <w:noProof/>
              </w:rPr>
              <w:drawing>
                <wp:inline distT="0" distB="0" distL="0" distR="0" wp14:anchorId="33F11498" wp14:editId="5EBEC9FD">
                  <wp:extent cx="2810934" cy="252158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5098" cy="2543261"/>
                          </a:xfrm>
                          <a:prstGeom prst="rect">
                            <a:avLst/>
                          </a:prstGeom>
                          <a:noFill/>
                          <a:ln>
                            <a:noFill/>
                          </a:ln>
                        </pic:spPr>
                      </pic:pic>
                    </a:graphicData>
                  </a:graphic>
                </wp:inline>
              </w:drawing>
            </w:r>
          </w:p>
        </w:tc>
      </w:tr>
    </w:tbl>
    <w:p w14:paraId="5DB2A75D" w14:textId="5857CB38" w:rsidR="00465F1E" w:rsidRDefault="003C6A53" w:rsidP="003C6A53">
      <w:pPr>
        <w:shd w:val="clear" w:color="auto" w:fill="FFFFFF"/>
        <w:spacing w:before="40" w:after="40" w:line="262" w:lineRule="auto"/>
        <w:jc w:val="both"/>
        <w:rPr>
          <w:i/>
          <w:spacing w:val="-2"/>
          <w:lang w:val="pl-PL"/>
        </w:rPr>
      </w:pPr>
      <w:r w:rsidRPr="003C6A53">
        <w:rPr>
          <w:noProof/>
          <w:lang w:val="pl-PL"/>
        </w:rPr>
        <w:t xml:space="preserve">  </w:t>
      </w:r>
    </w:p>
    <w:p w14:paraId="07A78203" w14:textId="77777777" w:rsidR="003C56C8" w:rsidRDefault="003C56C8" w:rsidP="00937DDC">
      <w:pPr>
        <w:spacing w:before="40" w:after="40" w:line="266" w:lineRule="auto"/>
        <w:ind w:firstLine="567"/>
        <w:jc w:val="both"/>
      </w:pPr>
      <w:r>
        <w:rPr>
          <w:rStyle w:val="Emphasis"/>
          <w:color w:val="0E101A"/>
        </w:rPr>
        <w:t>Some major industrial products in 01/2022</w:t>
      </w:r>
      <w:r>
        <w:t> increased sharply over the same period last year: Alumin (35.7%); Steel bars and corners (20.3%); powder milk (16.2%); N.P.K mixed fertilizer (15.6%); Monosodium glutamate (15.4%); Processed fishery products (13.8%); Automobile (11.7%); Textile fabric from natural yarn (8.7%). In the opposite side, a number of products decreased compared to the same period last year: Television (-33.5%); Refined sugar (-29.4%); Natural gas (in the form of air) (-11.7%); Phone accessories (-9.3%); Extracted crude oil (-7.5%); Liquidized gas (LPG) (-6.2%); beer (-3.6%).</w:t>
      </w:r>
    </w:p>
    <w:p w14:paraId="72B81B0A" w14:textId="77777777" w:rsidR="00803772" w:rsidRPr="00240CC1" w:rsidRDefault="00803772" w:rsidP="00803772">
      <w:pPr>
        <w:shd w:val="clear" w:color="auto" w:fill="FFFFFF"/>
        <w:spacing w:before="40" w:after="40" w:line="276" w:lineRule="auto"/>
        <w:ind w:firstLine="567"/>
        <w:jc w:val="both"/>
      </w:pPr>
      <w:bookmarkStart w:id="2" w:name="_Hlk89617785"/>
      <w:r w:rsidRPr="00240CC1">
        <w:rPr>
          <w:i/>
        </w:rPr>
        <w:t>The number of employees working in industrial enterprises</w:t>
      </w:r>
      <w:r w:rsidRPr="00240CC1">
        <w:t xml:space="preserve"> as of </w:t>
      </w:r>
      <w:r>
        <w:t>0</w:t>
      </w:r>
      <w:r w:rsidRPr="00240CC1">
        <w:t>1/</w:t>
      </w:r>
      <w:r>
        <w:t>0</w:t>
      </w:r>
      <w:r w:rsidRPr="00240CC1">
        <w:t>1/202</w:t>
      </w:r>
      <w:r>
        <w:t>2</w:t>
      </w:r>
      <w:r w:rsidRPr="00240CC1">
        <w:t xml:space="preserve"> up </w:t>
      </w:r>
      <w:r>
        <w:t>0.7</w:t>
      </w:r>
      <w:r w:rsidRPr="00240CC1">
        <w:t xml:space="preserve">% over the same period last month and down </w:t>
      </w:r>
      <w:r>
        <w:t>0.3</w:t>
      </w:r>
      <w:r w:rsidRPr="00240CC1">
        <w:t>% over the same period last year, of which the number of working employees in the state-owned enterprise sector went up 0.</w:t>
      </w:r>
      <w:r>
        <w:t>1</w:t>
      </w:r>
      <w:r w:rsidRPr="00240CC1">
        <w:t>% and decreased by 2.</w:t>
      </w:r>
      <w:r>
        <w:t>8</w:t>
      </w:r>
      <w:r w:rsidRPr="00240CC1">
        <w:t xml:space="preserve">%; non-state enterprises rose by </w:t>
      </w:r>
      <w:r>
        <w:t>0.4</w:t>
      </w:r>
      <w:r w:rsidRPr="00240CC1">
        <w:t>% and declined by</w:t>
      </w:r>
      <w:r>
        <w:t xml:space="preserve"> 1</w:t>
      </w:r>
      <w:r w:rsidRPr="00240CC1">
        <w:t>.2%; enterprises of foreign direct investment peaked by</w:t>
      </w:r>
      <w:r>
        <w:t xml:space="preserve"> 0.9</w:t>
      </w:r>
      <w:r w:rsidRPr="00240CC1">
        <w:t xml:space="preserve">% and </w:t>
      </w:r>
      <w:r>
        <w:t>surged</w:t>
      </w:r>
      <w:r w:rsidRPr="00240CC1">
        <w:t xml:space="preserve"> by </w:t>
      </w:r>
      <w:r>
        <w:t>0.6</w:t>
      </w:r>
      <w:r w:rsidRPr="00240CC1">
        <w:t xml:space="preserve">%. By industry, the number of employees working in </w:t>
      </w:r>
      <w:r w:rsidRPr="00240CC1">
        <w:lastRenderedPageBreak/>
        <w:t>mining and quarrying up 0.</w:t>
      </w:r>
      <w:r>
        <w:t>2</w:t>
      </w:r>
      <w:r w:rsidRPr="00240CC1">
        <w:t xml:space="preserve">% over the same period last month and </w:t>
      </w:r>
      <w:r>
        <w:t>went down by 0.9% over</w:t>
      </w:r>
      <w:r w:rsidRPr="00240CC1">
        <w:t xml:space="preserve"> the same period last year; manufacturing up </w:t>
      </w:r>
      <w:r>
        <w:t>0.7</w:t>
      </w:r>
      <w:r w:rsidRPr="00240CC1">
        <w:t xml:space="preserve">% and down </w:t>
      </w:r>
      <w:r>
        <w:t>0.2</w:t>
      </w:r>
      <w:r w:rsidRPr="00240CC1">
        <w:t xml:space="preserve">%; the production and distribution of electricity </w:t>
      </w:r>
      <w:r>
        <w:t>up 0.2%</w:t>
      </w:r>
      <w:r w:rsidRPr="00240CC1">
        <w:t xml:space="preserve"> and </w:t>
      </w:r>
      <w:r>
        <w:t xml:space="preserve">down </w:t>
      </w:r>
      <w:r w:rsidRPr="00240CC1">
        <w:t xml:space="preserve">2%; the water supply, sewerage, waste management, and remediation activities </w:t>
      </w:r>
      <w:r>
        <w:t>down</w:t>
      </w:r>
      <w:r w:rsidRPr="00240CC1">
        <w:t xml:space="preserve"> by 0.</w:t>
      </w:r>
      <w:r>
        <w:t>6</w:t>
      </w:r>
      <w:r w:rsidRPr="00240CC1">
        <w:t xml:space="preserve">% and </w:t>
      </w:r>
      <w:r>
        <w:t>peaked up</w:t>
      </w:r>
      <w:r w:rsidRPr="00240CC1">
        <w:t xml:space="preserve"> by </w:t>
      </w:r>
      <w:r>
        <w:t>0.7</w:t>
      </w:r>
      <w:r w:rsidRPr="00240CC1">
        <w:t>%.</w:t>
      </w:r>
    </w:p>
    <w:bookmarkEnd w:id="2"/>
    <w:p w14:paraId="186264DE" w14:textId="6E634DAF" w:rsidR="005864E8" w:rsidRPr="00937DDC" w:rsidRDefault="005864E8" w:rsidP="006A498A">
      <w:pPr>
        <w:spacing w:before="40" w:after="40" w:line="288" w:lineRule="auto"/>
        <w:ind w:firstLine="567"/>
        <w:jc w:val="both"/>
        <w:rPr>
          <w:lang w:val="it-IT"/>
        </w:rPr>
      </w:pPr>
      <w:r w:rsidRPr="00937DDC">
        <w:rPr>
          <w:b/>
          <w:bCs/>
          <w:lang w:val="it-IT"/>
        </w:rPr>
        <w:t xml:space="preserve">3. </w:t>
      </w:r>
      <w:r w:rsidR="009E12CD" w:rsidRPr="00387E47">
        <w:rPr>
          <w:b/>
          <w:bCs/>
        </w:rPr>
        <w:t>Enterprise registration status</w:t>
      </w:r>
      <w:r w:rsidR="009E12CD" w:rsidRPr="00387E47">
        <w:rPr>
          <w:bCs/>
          <w:vertAlign w:val="superscript"/>
        </w:rPr>
        <w:t xml:space="preserve"> </w:t>
      </w:r>
      <w:r w:rsidRPr="00937DDC">
        <w:rPr>
          <w:bCs/>
          <w:vertAlign w:val="superscript"/>
        </w:rPr>
        <w:footnoteReference w:id="9"/>
      </w:r>
    </w:p>
    <w:p w14:paraId="7ACA8F84" w14:textId="2BAF76D0" w:rsidR="00E53674" w:rsidRDefault="00E53674" w:rsidP="006A498A">
      <w:pPr>
        <w:spacing w:before="40" w:after="40" w:line="288" w:lineRule="auto"/>
        <w:ind w:firstLine="567"/>
        <w:jc w:val="both"/>
        <w:rPr>
          <w:i/>
          <w:spacing w:val="-8"/>
          <w:lang w:val="it-IT"/>
        </w:rPr>
      </w:pPr>
      <w:r w:rsidRPr="00E53674">
        <w:rPr>
          <w:i/>
          <w:spacing w:val="-8"/>
          <w:lang w:val="it-IT"/>
        </w:rPr>
        <w:t xml:space="preserve">The business registration situation in January was much improved when the number of </w:t>
      </w:r>
      <w:r w:rsidR="00987544">
        <w:rPr>
          <w:i/>
          <w:spacing w:val="-8"/>
          <w:lang w:val="it-IT"/>
        </w:rPr>
        <w:t>newly-established</w:t>
      </w:r>
      <w:r w:rsidRPr="00E53674">
        <w:rPr>
          <w:i/>
          <w:spacing w:val="-8"/>
          <w:lang w:val="it-IT"/>
        </w:rPr>
        <w:t xml:space="preserve"> enterprises increased in both quantity and registered capital compared to the same period in 2021. The number of enterprises returning to operation also increased high in all activities. This is a positive signal for business development in 2022.</w:t>
      </w:r>
    </w:p>
    <w:p w14:paraId="28020483" w14:textId="6B372477" w:rsidR="00987544" w:rsidRDefault="00987544" w:rsidP="006A498A">
      <w:pPr>
        <w:spacing w:before="40" w:after="40" w:line="288" w:lineRule="auto"/>
        <w:ind w:firstLine="567"/>
        <w:jc w:val="both"/>
        <w:rPr>
          <w:spacing w:val="-4"/>
          <w:lang w:val="it-IT"/>
        </w:rPr>
      </w:pPr>
      <w:r w:rsidRPr="00987544">
        <w:rPr>
          <w:spacing w:val="-4"/>
          <w:lang w:val="it-IT"/>
        </w:rPr>
        <w:t>In January 2022, the whole country had 13,000 newly established enterprises with a registered capital of more than 192.3 trillion VND and the number of registered employees was nearly 77.1 thousand employees, an increase of 15.9% in the number of enterprises. industry, increased by 22.6% in registered capital and 10.5% in the number of employees over the previous month. Compared to the same period last year, an increase of 28.9% in the number of enterprises, an increase of 24% in the registered capital, and a decrease of 33.5% in the number of employees. The average registered capital of a newly established enterprise in the month reached 14.8 billion VND, up 5.8% over the previous month and down 3.7% compared to the same period in 2021. If including 343.8 trillion VND</w:t>
      </w:r>
      <w:r>
        <w:rPr>
          <w:spacing w:val="-4"/>
          <w:lang w:val="it-IT"/>
        </w:rPr>
        <w:t xml:space="preserve"> </w:t>
      </w:r>
      <w:r w:rsidRPr="00987544">
        <w:rPr>
          <w:spacing w:val="-4"/>
          <w:lang w:val="it-IT"/>
        </w:rPr>
        <w:t>of</w:t>
      </w:r>
      <w:r>
        <w:rPr>
          <w:spacing w:val="-4"/>
          <w:lang w:val="it-IT"/>
        </w:rPr>
        <w:t xml:space="preserve"> the </w:t>
      </w:r>
      <w:r w:rsidRPr="00987544">
        <w:rPr>
          <w:spacing w:val="-4"/>
          <w:lang w:val="it-IT"/>
        </w:rPr>
        <w:t>additionally registered capital of 5.6 thousand enterprises increased capital, the total amount of additionally registered capital into the economy in January was VND 536.1 trillion, up 35.7% over the same period last year. In addition, 19.1 thousand enterprises returned to operation (increased 352.8% compared to December 2021 and increased 194% compared to January 2021), bringing the total number of newly-established enterprises and enterprises returned to operation in January 2022 to 32.1 thousand enterprises, an increase of 93.6% over the same period last year.</w:t>
      </w:r>
    </w:p>
    <w:p w14:paraId="151CC5D1" w14:textId="49EBE0D5" w:rsidR="003A1A77" w:rsidRPr="00937DDC" w:rsidRDefault="003A1A77" w:rsidP="006A498A">
      <w:pPr>
        <w:spacing w:before="40" w:after="40" w:line="288" w:lineRule="auto"/>
        <w:ind w:firstLine="567"/>
        <w:jc w:val="both"/>
        <w:rPr>
          <w:spacing w:val="-4"/>
          <w:lang w:val="it-IT"/>
        </w:rPr>
      </w:pPr>
      <w:r w:rsidRPr="003A1A77">
        <w:rPr>
          <w:spacing w:val="-4"/>
          <w:lang w:val="it-IT"/>
        </w:rPr>
        <w:t xml:space="preserve">In January 2022, the whole country had 13,000 newly established enterprises with a registered capital of more than 192.3 trillion VND and the number of registered employees was nearly 77.1 thousand employees, an increase of 15.9% in the number of enterprises. industry, increased by 22.6% in registered capital and 10.5% in the number of employees over the previous month. Compared to the same period last year, an increase of 28.9% in the number of enterprises, an increase of 24% in the registered capital, and a decrease of 33.5% in the number of employees. </w:t>
      </w:r>
      <w:r w:rsidRPr="003A1A77">
        <w:rPr>
          <w:spacing w:val="-4"/>
          <w:lang w:val="it-IT"/>
        </w:rPr>
        <w:lastRenderedPageBreak/>
        <w:t>The average registered capital of a newly established enterprise in the month reached 14.8 billion VND, up 5.8% over the previous month and down 3.7% compared to the same period in 2021. If including 343.8 trillion VND</w:t>
      </w:r>
      <w:r>
        <w:rPr>
          <w:spacing w:val="-4"/>
          <w:lang w:val="it-IT"/>
        </w:rPr>
        <w:t xml:space="preserve"> </w:t>
      </w:r>
      <w:r w:rsidRPr="003A1A77">
        <w:rPr>
          <w:spacing w:val="-4"/>
          <w:lang w:val="it-IT"/>
        </w:rPr>
        <w:t xml:space="preserve">of </w:t>
      </w:r>
      <w:r>
        <w:rPr>
          <w:spacing w:val="-4"/>
          <w:lang w:val="it-IT"/>
        </w:rPr>
        <w:t xml:space="preserve">the </w:t>
      </w:r>
      <w:r w:rsidRPr="003A1A77">
        <w:rPr>
          <w:spacing w:val="-4"/>
          <w:lang w:val="it-IT"/>
        </w:rPr>
        <w:t>additionally registered capital of 5.6 thousand enterprises increased capital, the total amount of additionally registered capital in the economy in January was 536.1 trillion</w:t>
      </w:r>
      <w:r w:rsidR="0010721A">
        <w:rPr>
          <w:spacing w:val="-4"/>
          <w:lang w:val="it-IT"/>
        </w:rPr>
        <w:t xml:space="preserve"> </w:t>
      </w:r>
      <w:r w:rsidR="0010721A" w:rsidRPr="003A1A77">
        <w:rPr>
          <w:spacing w:val="-4"/>
          <w:lang w:val="it-IT"/>
        </w:rPr>
        <w:t>VND</w:t>
      </w:r>
      <w:r w:rsidRPr="003A1A77">
        <w:rPr>
          <w:spacing w:val="-4"/>
          <w:lang w:val="it-IT"/>
        </w:rPr>
        <w:t xml:space="preserve">, up 35.7% over the same period last year. In addition, </w:t>
      </w:r>
      <w:r w:rsidR="0010721A" w:rsidRPr="0010721A">
        <w:rPr>
          <w:spacing w:val="-4"/>
          <w:lang w:val="it-IT"/>
        </w:rPr>
        <w:t xml:space="preserve">there were </w:t>
      </w:r>
      <w:r w:rsidR="0010721A">
        <w:rPr>
          <w:spacing w:val="-4"/>
          <w:lang w:val="it-IT"/>
        </w:rPr>
        <w:t>19</w:t>
      </w:r>
      <w:r w:rsidR="0010721A" w:rsidRPr="0010721A">
        <w:rPr>
          <w:spacing w:val="-4"/>
          <w:lang w:val="it-IT"/>
        </w:rPr>
        <w:t>.</w:t>
      </w:r>
      <w:r w:rsidR="0010721A">
        <w:rPr>
          <w:spacing w:val="-4"/>
          <w:lang w:val="it-IT"/>
        </w:rPr>
        <w:t>1</w:t>
      </w:r>
      <w:r w:rsidR="0010721A" w:rsidRPr="0010721A">
        <w:rPr>
          <w:spacing w:val="-4"/>
          <w:lang w:val="it-IT"/>
        </w:rPr>
        <w:t xml:space="preserve"> thousand re-operated enterprises</w:t>
      </w:r>
      <w:r w:rsidR="0010721A" w:rsidRPr="0010721A">
        <w:rPr>
          <w:spacing w:val="-4"/>
          <w:lang w:val="it-IT"/>
        </w:rPr>
        <w:t xml:space="preserve"> </w:t>
      </w:r>
      <w:r w:rsidRPr="003A1A77">
        <w:rPr>
          <w:spacing w:val="-4"/>
          <w:lang w:val="it-IT"/>
        </w:rPr>
        <w:t xml:space="preserve">(increased </w:t>
      </w:r>
      <w:r w:rsidR="0010721A">
        <w:rPr>
          <w:spacing w:val="-4"/>
          <w:lang w:val="it-IT"/>
        </w:rPr>
        <w:t xml:space="preserve">by </w:t>
      </w:r>
      <w:r w:rsidRPr="003A1A77">
        <w:rPr>
          <w:spacing w:val="-4"/>
          <w:lang w:val="it-IT"/>
        </w:rPr>
        <w:t xml:space="preserve">352.8% compared to December 2021 and increased </w:t>
      </w:r>
      <w:r w:rsidR="0010721A">
        <w:rPr>
          <w:spacing w:val="-4"/>
          <w:lang w:val="it-IT"/>
        </w:rPr>
        <w:t xml:space="preserve">by </w:t>
      </w:r>
      <w:r w:rsidRPr="003A1A77">
        <w:rPr>
          <w:spacing w:val="-4"/>
          <w:lang w:val="it-IT"/>
        </w:rPr>
        <w:t xml:space="preserve">94% compared to January 2021), bringing the total number of newly-established enterprises and </w:t>
      </w:r>
      <w:r w:rsidR="0010721A" w:rsidRPr="0010721A">
        <w:rPr>
          <w:spacing w:val="-4"/>
          <w:lang w:val="it-IT"/>
        </w:rPr>
        <w:t xml:space="preserve">re-operated enterprises </w:t>
      </w:r>
      <w:r w:rsidRPr="003A1A77">
        <w:rPr>
          <w:spacing w:val="-4"/>
          <w:lang w:val="it-IT"/>
        </w:rPr>
        <w:t>in January 2022 to 32.1 thousand enterprises, an increase of 93.6% over the same period last year.</w:t>
      </w:r>
    </w:p>
    <w:p w14:paraId="299F0108" w14:textId="04527F88" w:rsidR="001D3D53" w:rsidRDefault="003208D1" w:rsidP="006A498A">
      <w:pPr>
        <w:spacing w:before="40" w:after="40" w:line="288" w:lineRule="auto"/>
        <w:ind w:firstLine="567"/>
        <w:jc w:val="both"/>
        <w:rPr>
          <w:lang w:val="it-IT"/>
        </w:rPr>
      </w:pPr>
      <w:r w:rsidRPr="00387E47">
        <w:rPr>
          <w:lang w:val="it-IT"/>
        </w:rPr>
        <w:t>By economic sector</w:t>
      </w:r>
      <w:r w:rsidR="005864E8" w:rsidRPr="00937DDC">
        <w:rPr>
          <w:lang w:val="it-IT"/>
        </w:rPr>
        <w:t xml:space="preserve">, tháng 01/2022 </w:t>
      </w:r>
      <w:r w:rsidRPr="00387E47">
        <w:rPr>
          <w:lang w:val="it-IT"/>
        </w:rPr>
        <w:t>there were</w:t>
      </w:r>
      <w:r w:rsidR="005864E8" w:rsidRPr="00937DDC">
        <w:rPr>
          <w:lang w:val="it-IT"/>
        </w:rPr>
        <w:t xml:space="preserve"> 223 </w:t>
      </w:r>
      <w:r w:rsidR="00F375F3" w:rsidRPr="00387E47">
        <w:rPr>
          <w:lang w:val="it-IT"/>
        </w:rPr>
        <w:t>newly-established enterprises in the agriculture, forestry, and fishery sector</w:t>
      </w:r>
      <w:r w:rsidR="005864E8" w:rsidRPr="00937DDC">
        <w:rPr>
          <w:lang w:val="it-IT"/>
        </w:rPr>
        <w:t xml:space="preserve">, </w:t>
      </w:r>
      <w:r w:rsidR="00F375F3">
        <w:rPr>
          <w:lang w:val="it-IT"/>
        </w:rPr>
        <w:t>up</w:t>
      </w:r>
      <w:r w:rsidR="005864E8" w:rsidRPr="00937DDC">
        <w:rPr>
          <w:lang w:val="it-IT"/>
        </w:rPr>
        <w:t xml:space="preserve"> 28,2% </w:t>
      </w:r>
      <w:r w:rsidR="00AB3700">
        <w:rPr>
          <w:lang w:val="it-IT"/>
        </w:rPr>
        <w:t>over the same period last year</w:t>
      </w:r>
      <w:r w:rsidR="005864E8" w:rsidRPr="00937DDC">
        <w:rPr>
          <w:lang w:val="it-IT"/>
        </w:rPr>
        <w:t xml:space="preserve">; 3.295 </w:t>
      </w:r>
      <w:r w:rsidR="00BC2C52" w:rsidRPr="00387E47">
        <w:rPr>
          <w:lang w:val="it-IT"/>
        </w:rPr>
        <w:t>enterprises in the industry and construction sector</w:t>
      </w:r>
      <w:r w:rsidR="005864E8" w:rsidRPr="00937DDC">
        <w:rPr>
          <w:lang w:val="it-IT"/>
        </w:rPr>
        <w:t xml:space="preserve">, </w:t>
      </w:r>
      <w:r w:rsidR="00BC2C52">
        <w:rPr>
          <w:lang w:val="it-IT"/>
        </w:rPr>
        <w:t>up</w:t>
      </w:r>
      <w:r w:rsidR="005864E8" w:rsidRPr="00937DDC">
        <w:rPr>
          <w:lang w:val="it-IT"/>
        </w:rPr>
        <w:t xml:space="preserve"> 19,9%; 9.486 </w:t>
      </w:r>
      <w:r w:rsidR="00784BD5" w:rsidRPr="00387E47">
        <w:rPr>
          <w:lang w:val="it-IT"/>
        </w:rPr>
        <w:t>enterprises in the service sector</w:t>
      </w:r>
      <w:r w:rsidR="005864E8" w:rsidRPr="00937DDC">
        <w:rPr>
          <w:lang w:val="it-IT"/>
        </w:rPr>
        <w:t xml:space="preserve">, </w:t>
      </w:r>
      <w:r w:rsidR="00784BD5">
        <w:rPr>
          <w:lang w:val="it-IT"/>
        </w:rPr>
        <w:t>up</w:t>
      </w:r>
      <w:r w:rsidR="005864E8" w:rsidRPr="00937DDC">
        <w:rPr>
          <w:lang w:val="it-IT"/>
        </w:rPr>
        <w:t xml:space="preserve"> 32,3%.</w:t>
      </w:r>
    </w:p>
    <w:p w14:paraId="672AC1F5" w14:textId="1D9BB98B" w:rsidR="005864E8" w:rsidRDefault="004B7F51" w:rsidP="005864E8">
      <w:pPr>
        <w:spacing w:before="40" w:after="40" w:line="288" w:lineRule="auto"/>
        <w:jc w:val="center"/>
        <w:rPr>
          <w:rFonts w:ascii="Arial" w:hAnsi="Arial" w:cs="Arial"/>
          <w:b/>
          <w:sz w:val="24"/>
          <w:szCs w:val="24"/>
          <w:lang w:val="it-IT"/>
        </w:rPr>
      </w:pPr>
      <w:r>
        <w:rPr>
          <w:rFonts w:ascii="Arial" w:hAnsi="Arial" w:cs="Arial"/>
          <w:b/>
          <w:sz w:val="24"/>
          <w:szCs w:val="24"/>
          <w:lang w:val="it-IT"/>
        </w:rPr>
        <w:t xml:space="preserve">Figure </w:t>
      </w:r>
      <w:r w:rsidR="005864E8">
        <w:rPr>
          <w:rFonts w:ascii="Arial" w:hAnsi="Arial" w:cs="Arial"/>
          <w:b/>
          <w:sz w:val="24"/>
          <w:szCs w:val="24"/>
          <w:lang w:val="it-IT"/>
        </w:rPr>
        <w:t>5</w:t>
      </w:r>
      <w:r w:rsidR="005864E8" w:rsidRPr="003859C9">
        <w:rPr>
          <w:rFonts w:ascii="Arial" w:hAnsi="Arial" w:cs="Arial"/>
          <w:b/>
          <w:sz w:val="24"/>
          <w:szCs w:val="24"/>
          <w:lang w:val="it-IT"/>
        </w:rPr>
        <w:t xml:space="preserve">. </w:t>
      </w:r>
      <w:r>
        <w:rPr>
          <w:rFonts w:ascii="Arial" w:hAnsi="Arial" w:cs="Arial"/>
          <w:b/>
          <w:sz w:val="24"/>
          <w:szCs w:val="24"/>
          <w:lang w:val="it-IT"/>
        </w:rPr>
        <w:t>Enterprise registration status</w:t>
      </w:r>
    </w:p>
    <w:p w14:paraId="6E5FB688" w14:textId="77777777" w:rsidR="005864E8" w:rsidRPr="00D458BF" w:rsidRDefault="005864E8" w:rsidP="005864E8">
      <w:pPr>
        <w:spacing w:before="40" w:after="40" w:line="278" w:lineRule="auto"/>
        <w:ind w:right="-3"/>
        <w:jc w:val="center"/>
        <w:rPr>
          <w:sz w:val="6"/>
          <w:lang w:val="it-IT"/>
        </w:rPr>
      </w:pPr>
    </w:p>
    <w:p w14:paraId="68EA7A23" w14:textId="06F0B793" w:rsidR="005864E8" w:rsidRDefault="001D3D53" w:rsidP="005864E8">
      <w:pPr>
        <w:spacing w:before="40" w:after="40" w:line="288" w:lineRule="auto"/>
        <w:jc w:val="center"/>
        <w:rPr>
          <w:lang w:val="it-IT"/>
        </w:rPr>
      </w:pPr>
      <w:r>
        <w:rPr>
          <w:noProof/>
        </w:rPr>
        <w:drawing>
          <wp:inline distT="0" distB="0" distL="0" distR="0" wp14:anchorId="7E75D267" wp14:editId="552C7D3A">
            <wp:extent cx="5394960" cy="2849880"/>
            <wp:effectExtent l="0" t="0" r="0" b="762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849880"/>
                    </a:xfrm>
                    <a:prstGeom prst="rect">
                      <a:avLst/>
                    </a:prstGeom>
                    <a:noFill/>
                    <a:ln>
                      <a:noFill/>
                    </a:ln>
                  </pic:spPr>
                </pic:pic>
              </a:graphicData>
            </a:graphic>
          </wp:inline>
        </w:drawing>
      </w:r>
    </w:p>
    <w:p w14:paraId="1E7F9149" w14:textId="77777777" w:rsidR="00B959A5" w:rsidRDefault="00B959A5" w:rsidP="00BA18E3">
      <w:pPr>
        <w:spacing w:before="40" w:after="40" w:line="276" w:lineRule="auto"/>
        <w:ind w:firstLine="567"/>
        <w:jc w:val="both"/>
        <w:rPr>
          <w:spacing w:val="-4"/>
        </w:rPr>
      </w:pPr>
    </w:p>
    <w:p w14:paraId="065C7EF0" w14:textId="1EF567A0" w:rsidR="005864E8" w:rsidRDefault="002F5993" w:rsidP="006A498A">
      <w:pPr>
        <w:spacing w:before="40" w:after="40" w:line="276" w:lineRule="auto"/>
        <w:ind w:firstLine="567"/>
        <w:jc w:val="both"/>
        <w:rPr>
          <w:lang w:val="it-IT"/>
        </w:rPr>
      </w:pPr>
      <w:r w:rsidRPr="00387E47">
        <w:rPr>
          <w:spacing w:val="-4"/>
        </w:rPr>
        <w:t xml:space="preserve">In </w:t>
      </w:r>
      <w:r>
        <w:rPr>
          <w:spacing w:val="-4"/>
        </w:rPr>
        <w:t>January</w:t>
      </w:r>
      <w:r w:rsidRPr="00387E47">
        <w:rPr>
          <w:spacing w:val="-4"/>
        </w:rPr>
        <w:t xml:space="preserve"> 202</w:t>
      </w:r>
      <w:r>
        <w:rPr>
          <w:spacing w:val="-4"/>
          <w:lang w:val="en-GB"/>
        </w:rPr>
        <w:t>2</w:t>
      </w:r>
      <w:r w:rsidRPr="00387E47">
        <w:rPr>
          <w:spacing w:val="-4"/>
        </w:rPr>
        <w:t>,</w:t>
      </w:r>
      <w:r w:rsidR="005864E8" w:rsidRPr="00470F38">
        <w:rPr>
          <w:lang w:val="it-IT"/>
        </w:rPr>
        <w:t xml:space="preserve"> </w:t>
      </w:r>
      <w:r w:rsidR="00CC552A">
        <w:rPr>
          <w:lang w:val="it-IT"/>
        </w:rPr>
        <w:t>nearly</w:t>
      </w:r>
      <w:r w:rsidR="005864E8" w:rsidRPr="00470F38">
        <w:rPr>
          <w:lang w:val="it-IT"/>
        </w:rPr>
        <w:t xml:space="preserve"> 29</w:t>
      </w:r>
      <w:r w:rsidR="00CC552A">
        <w:rPr>
          <w:lang w:val="it-IT"/>
        </w:rPr>
        <w:t>.</w:t>
      </w:r>
      <w:r w:rsidR="005864E8" w:rsidRPr="00470F38">
        <w:rPr>
          <w:lang w:val="it-IT"/>
        </w:rPr>
        <w:t xml:space="preserve">3 </w:t>
      </w:r>
      <w:r w:rsidR="00CC552A">
        <w:rPr>
          <w:lang w:val="it-IT"/>
        </w:rPr>
        <w:t xml:space="preserve">thousand </w:t>
      </w:r>
      <w:r w:rsidR="00CC552A" w:rsidRPr="00387E47">
        <w:rPr>
          <w:spacing w:val="-4"/>
        </w:rPr>
        <w:t>enterprises ceased for a certain time, an increase of</w:t>
      </w:r>
      <w:r w:rsidR="005864E8" w:rsidRPr="00470F38">
        <w:rPr>
          <w:lang w:val="it-IT"/>
        </w:rPr>
        <w:t xml:space="preserve"> 62% </w:t>
      </w:r>
      <w:r w:rsidR="00CC552A" w:rsidRPr="00387E47">
        <w:rPr>
          <w:spacing w:val="-4"/>
        </w:rPr>
        <w:t xml:space="preserve">compared to the same period </w:t>
      </w:r>
      <w:r w:rsidR="005864E8" w:rsidRPr="00470F38">
        <w:rPr>
          <w:lang w:val="it-IT"/>
        </w:rPr>
        <w:t>2021</w:t>
      </w:r>
      <w:r w:rsidR="005864E8">
        <w:rPr>
          <w:lang w:val="it-IT"/>
        </w:rPr>
        <w:t xml:space="preserve">, </w:t>
      </w:r>
      <w:r w:rsidR="00487149" w:rsidRPr="00487149">
        <w:rPr>
          <w:lang w:val="it-IT"/>
        </w:rPr>
        <w:t>due to the short-term shutdown of the business before the Lunar New Year to wait and find the right direction and partners to implement the business plan soon</w:t>
      </w:r>
      <w:r w:rsidR="005864E8" w:rsidRPr="00470F38">
        <w:rPr>
          <w:lang w:val="it-IT"/>
        </w:rPr>
        <w:t>; 7</w:t>
      </w:r>
      <w:r w:rsidR="00F326BB">
        <w:rPr>
          <w:lang w:val="it-IT"/>
        </w:rPr>
        <w:t>,</w:t>
      </w:r>
      <w:r w:rsidR="005864E8" w:rsidRPr="00470F38">
        <w:rPr>
          <w:lang w:val="it-IT"/>
        </w:rPr>
        <w:t xml:space="preserve">084 </w:t>
      </w:r>
      <w:r w:rsidR="00F326BB" w:rsidRPr="00387E47">
        <w:rPr>
          <w:spacing w:val="-4"/>
        </w:rPr>
        <w:t>enterprises temporarily ceased and awaited dissolution procedures</w:t>
      </w:r>
      <w:r w:rsidR="005864E8" w:rsidRPr="00470F38">
        <w:rPr>
          <w:lang w:val="it-IT"/>
        </w:rPr>
        <w:t xml:space="preserve">, </w:t>
      </w:r>
      <w:r w:rsidR="00F326BB">
        <w:rPr>
          <w:lang w:val="it-IT"/>
        </w:rPr>
        <w:t>up</w:t>
      </w:r>
      <w:r w:rsidR="005864E8" w:rsidRPr="00470F38">
        <w:rPr>
          <w:lang w:val="it-IT"/>
        </w:rPr>
        <w:t xml:space="preserve"> 26</w:t>
      </w:r>
      <w:r w:rsidR="00F326BB">
        <w:rPr>
          <w:lang w:val="it-IT"/>
        </w:rPr>
        <w:t>.</w:t>
      </w:r>
      <w:r w:rsidR="005864E8" w:rsidRPr="00470F38">
        <w:rPr>
          <w:lang w:val="it-IT"/>
        </w:rPr>
        <w:t>5%; 2</w:t>
      </w:r>
      <w:r w:rsidR="00F326BB">
        <w:rPr>
          <w:lang w:val="it-IT"/>
        </w:rPr>
        <w:t>,</w:t>
      </w:r>
      <w:r w:rsidR="005864E8" w:rsidRPr="00470F38">
        <w:rPr>
          <w:lang w:val="it-IT"/>
        </w:rPr>
        <w:t xml:space="preserve">025 </w:t>
      </w:r>
      <w:r w:rsidR="009A63F5" w:rsidRPr="00387E47">
        <w:rPr>
          <w:spacing w:val="-4"/>
        </w:rPr>
        <w:t>enterprises completed dissolution procedures</w:t>
      </w:r>
      <w:r w:rsidR="005864E8" w:rsidRPr="00470F38">
        <w:rPr>
          <w:lang w:val="it-IT"/>
        </w:rPr>
        <w:t xml:space="preserve">, </w:t>
      </w:r>
      <w:r w:rsidR="009A63F5">
        <w:rPr>
          <w:lang w:val="it-IT"/>
        </w:rPr>
        <w:t>down</w:t>
      </w:r>
      <w:r w:rsidR="005864E8" w:rsidRPr="00470F38">
        <w:rPr>
          <w:lang w:val="it-IT"/>
        </w:rPr>
        <w:t xml:space="preserve"> 3</w:t>
      </w:r>
      <w:r w:rsidR="00583A93">
        <w:rPr>
          <w:lang w:val="it-IT"/>
        </w:rPr>
        <w:t>.</w:t>
      </w:r>
      <w:r w:rsidR="005864E8" w:rsidRPr="00470F38">
        <w:rPr>
          <w:lang w:val="it-IT"/>
        </w:rPr>
        <w:t>3%</w:t>
      </w:r>
      <w:r w:rsidR="005864E8">
        <w:rPr>
          <w:lang w:val="it-IT"/>
        </w:rPr>
        <w:t xml:space="preserve">, </w:t>
      </w:r>
      <w:r w:rsidR="001D2113">
        <w:rPr>
          <w:lang w:val="it-IT"/>
        </w:rPr>
        <w:t>of which</w:t>
      </w:r>
      <w:r w:rsidR="005864E8" w:rsidRPr="008851E9">
        <w:rPr>
          <w:lang w:val="it-IT"/>
        </w:rPr>
        <w:t xml:space="preserve"> </w:t>
      </w:r>
      <w:r w:rsidR="005864E8">
        <w:rPr>
          <w:lang w:val="it-IT"/>
        </w:rPr>
        <w:t>1</w:t>
      </w:r>
      <w:r w:rsidR="001D2113">
        <w:rPr>
          <w:lang w:val="it-IT"/>
        </w:rPr>
        <w:t>,</w:t>
      </w:r>
      <w:r w:rsidR="005864E8">
        <w:rPr>
          <w:lang w:val="it-IT"/>
        </w:rPr>
        <w:t>735</w:t>
      </w:r>
      <w:r w:rsidR="005864E8" w:rsidRPr="008851E9">
        <w:rPr>
          <w:lang w:val="it-IT"/>
        </w:rPr>
        <w:t xml:space="preserve"> </w:t>
      </w:r>
      <w:r w:rsidR="001D2113" w:rsidRPr="00387E47">
        <w:rPr>
          <w:spacing w:val="-4"/>
        </w:rPr>
        <w:t>enterprises with the capital size of less than 10 billion VND</w:t>
      </w:r>
      <w:r w:rsidR="005864E8" w:rsidRPr="008851E9">
        <w:rPr>
          <w:lang w:val="it-IT"/>
        </w:rPr>
        <w:t xml:space="preserve">, </w:t>
      </w:r>
      <w:r w:rsidR="00DA2135">
        <w:rPr>
          <w:lang w:val="it-IT"/>
        </w:rPr>
        <w:t>down</w:t>
      </w:r>
      <w:r w:rsidR="005864E8" w:rsidRPr="008851E9">
        <w:rPr>
          <w:lang w:val="it-IT"/>
        </w:rPr>
        <w:t xml:space="preserve"> </w:t>
      </w:r>
      <w:r w:rsidR="005864E8">
        <w:rPr>
          <w:lang w:val="it-IT"/>
        </w:rPr>
        <w:t>7</w:t>
      </w:r>
      <w:r w:rsidR="00DA2135">
        <w:rPr>
          <w:lang w:val="it-IT"/>
        </w:rPr>
        <w:t>.</w:t>
      </w:r>
      <w:r w:rsidR="005864E8">
        <w:rPr>
          <w:lang w:val="it-IT"/>
        </w:rPr>
        <w:t>9</w:t>
      </w:r>
      <w:r w:rsidR="005864E8" w:rsidRPr="008851E9">
        <w:rPr>
          <w:lang w:val="it-IT"/>
        </w:rPr>
        <w:t xml:space="preserve">%; </w:t>
      </w:r>
      <w:r w:rsidR="005864E8">
        <w:rPr>
          <w:lang w:val="it-IT"/>
        </w:rPr>
        <w:t>32</w:t>
      </w:r>
      <w:r w:rsidR="005864E8" w:rsidRPr="008851E9">
        <w:rPr>
          <w:lang w:val="it-IT"/>
        </w:rPr>
        <w:t xml:space="preserve"> </w:t>
      </w:r>
      <w:r w:rsidR="00FA30F9" w:rsidRPr="00387E47">
        <w:rPr>
          <w:spacing w:val="-4"/>
        </w:rPr>
        <w:t>enterprises with the capital size over 100 billion VND and more</w:t>
      </w:r>
      <w:r w:rsidR="005864E8">
        <w:rPr>
          <w:lang w:val="it-IT"/>
        </w:rPr>
        <w:t xml:space="preserve">, </w:t>
      </w:r>
      <w:r w:rsidR="00FA30F9">
        <w:rPr>
          <w:lang w:val="it-IT"/>
        </w:rPr>
        <w:t>up</w:t>
      </w:r>
      <w:r w:rsidR="005864E8">
        <w:rPr>
          <w:lang w:val="it-IT"/>
        </w:rPr>
        <w:t xml:space="preserve"> 52</w:t>
      </w:r>
      <w:r w:rsidR="00FA30F9">
        <w:rPr>
          <w:lang w:val="it-IT"/>
        </w:rPr>
        <w:t>.</w:t>
      </w:r>
      <w:r w:rsidR="005864E8">
        <w:rPr>
          <w:lang w:val="it-IT"/>
        </w:rPr>
        <w:t>4</w:t>
      </w:r>
      <w:r w:rsidR="005864E8" w:rsidRPr="008851E9">
        <w:rPr>
          <w:lang w:val="it-IT"/>
        </w:rPr>
        <w:t>%.</w:t>
      </w:r>
    </w:p>
    <w:p w14:paraId="257E7815" w14:textId="77777777" w:rsidR="005864E8" w:rsidRPr="00937DDC" w:rsidRDefault="005864E8" w:rsidP="005864E8">
      <w:pPr>
        <w:tabs>
          <w:tab w:val="left" w:pos="6810"/>
        </w:tabs>
        <w:jc w:val="center"/>
        <w:rPr>
          <w:rFonts w:ascii="Arial" w:hAnsi="Arial" w:cs="Arial"/>
          <w:b/>
          <w:sz w:val="2"/>
          <w:szCs w:val="20"/>
          <w:lang w:val="it-IT"/>
        </w:rPr>
      </w:pPr>
    </w:p>
    <w:p w14:paraId="7FD18E9F" w14:textId="77777777" w:rsidR="00F27120" w:rsidRPr="00F27120" w:rsidRDefault="00F27120" w:rsidP="005864E8">
      <w:pPr>
        <w:tabs>
          <w:tab w:val="left" w:pos="6810"/>
        </w:tabs>
        <w:jc w:val="center"/>
        <w:rPr>
          <w:rFonts w:ascii="Arial" w:hAnsi="Arial" w:cs="Arial"/>
          <w:b/>
          <w:sz w:val="10"/>
          <w:szCs w:val="20"/>
          <w:lang w:val="it-IT"/>
        </w:rPr>
      </w:pPr>
    </w:p>
    <w:p w14:paraId="744B42FE" w14:textId="26EFA991" w:rsidR="005864E8" w:rsidRDefault="00280098" w:rsidP="006A498A">
      <w:pPr>
        <w:tabs>
          <w:tab w:val="left" w:pos="6810"/>
        </w:tabs>
        <w:spacing w:line="360" w:lineRule="auto"/>
        <w:jc w:val="center"/>
        <w:rPr>
          <w:rFonts w:ascii="Arial" w:hAnsi="Arial" w:cs="Arial"/>
          <w:b/>
          <w:sz w:val="24"/>
          <w:szCs w:val="20"/>
          <w:lang w:val="it-IT"/>
        </w:rPr>
      </w:pPr>
      <w:r>
        <w:rPr>
          <w:rFonts w:ascii="Arial" w:hAnsi="Arial" w:cs="Arial"/>
          <w:b/>
          <w:sz w:val="24"/>
          <w:szCs w:val="20"/>
          <w:lang w:val="it-IT"/>
        </w:rPr>
        <w:lastRenderedPageBreak/>
        <w:t>Table</w:t>
      </w:r>
      <w:r w:rsidR="005864E8">
        <w:rPr>
          <w:rFonts w:ascii="Arial" w:hAnsi="Arial" w:cs="Arial"/>
          <w:b/>
          <w:sz w:val="24"/>
          <w:szCs w:val="20"/>
          <w:lang w:val="it-IT"/>
        </w:rPr>
        <w:t xml:space="preserve"> </w:t>
      </w:r>
      <w:r w:rsidR="00AF2A76">
        <w:rPr>
          <w:rFonts w:ascii="Arial" w:hAnsi="Arial" w:cs="Arial"/>
          <w:b/>
          <w:sz w:val="24"/>
          <w:szCs w:val="20"/>
          <w:lang w:val="it-IT"/>
        </w:rPr>
        <w:t>2</w:t>
      </w:r>
      <w:r w:rsidR="005864E8">
        <w:rPr>
          <w:rFonts w:ascii="Arial" w:hAnsi="Arial" w:cs="Arial"/>
          <w:b/>
          <w:sz w:val="24"/>
          <w:szCs w:val="20"/>
          <w:lang w:val="it-IT"/>
        </w:rPr>
        <w:t xml:space="preserve">. </w:t>
      </w:r>
      <w:r w:rsidRPr="00280098">
        <w:rPr>
          <w:rFonts w:ascii="Arial" w:hAnsi="Arial" w:cs="Arial"/>
          <w:b/>
          <w:sz w:val="24"/>
          <w:szCs w:val="20"/>
          <w:lang w:val="it-IT"/>
        </w:rPr>
        <w:t xml:space="preserve">Number of newly registered enterprises and  completed dissolution procedures in </w:t>
      </w:r>
      <w:r>
        <w:rPr>
          <w:rFonts w:ascii="Arial" w:hAnsi="Arial" w:cs="Arial"/>
          <w:b/>
          <w:sz w:val="24"/>
          <w:szCs w:val="20"/>
          <w:lang w:val="it-IT"/>
        </w:rPr>
        <w:t xml:space="preserve">January </w:t>
      </w:r>
      <w:r w:rsidR="005864E8" w:rsidRPr="00936C1D">
        <w:rPr>
          <w:rFonts w:ascii="Arial" w:hAnsi="Arial" w:cs="Arial"/>
          <w:b/>
          <w:sz w:val="24"/>
          <w:szCs w:val="20"/>
          <w:lang w:val="it-IT"/>
        </w:rPr>
        <w:t>202</w:t>
      </w:r>
      <w:r w:rsidR="005864E8">
        <w:rPr>
          <w:rFonts w:ascii="Arial" w:hAnsi="Arial" w:cs="Arial"/>
          <w:b/>
          <w:sz w:val="24"/>
          <w:szCs w:val="20"/>
          <w:lang w:val="it-IT"/>
        </w:rPr>
        <w:t>2</w:t>
      </w:r>
      <w:r>
        <w:rPr>
          <w:rFonts w:ascii="Arial" w:hAnsi="Arial" w:cs="Arial"/>
          <w:b/>
          <w:sz w:val="24"/>
          <w:szCs w:val="20"/>
          <w:lang w:val="it-IT"/>
        </w:rPr>
        <w:t xml:space="preserve"> </w:t>
      </w:r>
      <w:r w:rsidRPr="00387E47">
        <w:rPr>
          <w:b/>
          <w:lang w:val="it-IT"/>
        </w:rPr>
        <w:t>by kinds of some activity</w:t>
      </w:r>
    </w:p>
    <w:p w14:paraId="0655F905" w14:textId="77777777" w:rsidR="005864E8" w:rsidRPr="00F27120" w:rsidRDefault="005864E8" w:rsidP="005864E8">
      <w:pPr>
        <w:tabs>
          <w:tab w:val="left" w:pos="6810"/>
        </w:tabs>
        <w:spacing w:before="40" w:after="40" w:line="278" w:lineRule="auto"/>
        <w:ind w:firstLine="567"/>
        <w:jc w:val="center"/>
        <w:rPr>
          <w:rFonts w:ascii="Arial" w:hAnsi="Arial" w:cs="Arial"/>
          <w:b/>
          <w:sz w:val="16"/>
          <w:szCs w:val="20"/>
          <w:lang w:val="it-IT"/>
        </w:rPr>
      </w:pPr>
    </w:p>
    <w:tbl>
      <w:tblPr>
        <w:tblW w:w="8830" w:type="dxa"/>
        <w:jc w:val="center"/>
        <w:tblLook w:val="04A0" w:firstRow="1" w:lastRow="0" w:firstColumn="1" w:lastColumn="0" w:noHBand="0" w:noVBand="1"/>
      </w:tblPr>
      <w:tblGrid>
        <w:gridCol w:w="3686"/>
        <w:gridCol w:w="1417"/>
        <w:gridCol w:w="1195"/>
        <w:gridCol w:w="1363"/>
        <w:gridCol w:w="1195"/>
      </w:tblGrid>
      <w:tr w:rsidR="005864E8" w:rsidRPr="004B1275" w14:paraId="2BD0097D" w14:textId="77777777" w:rsidTr="006A498A">
        <w:trPr>
          <w:cantSplit/>
          <w:trHeight w:val="1038"/>
          <w:jc w:val="center"/>
        </w:trPr>
        <w:tc>
          <w:tcPr>
            <w:tcW w:w="3686" w:type="dxa"/>
            <w:vMerge w:val="restart"/>
            <w:tcBorders>
              <w:top w:val="single" w:sz="4" w:space="0" w:color="auto"/>
            </w:tcBorders>
            <w:shd w:val="clear" w:color="auto" w:fill="auto"/>
            <w:noWrap/>
            <w:vAlign w:val="bottom"/>
            <w:hideMark/>
          </w:tcPr>
          <w:p w14:paraId="2B3EFA47" w14:textId="77777777" w:rsidR="005864E8" w:rsidRPr="004B1275" w:rsidRDefault="005864E8" w:rsidP="00EC2904">
            <w:pPr>
              <w:jc w:val="center"/>
              <w:rPr>
                <w:rFonts w:ascii="Arial" w:hAnsi="Arial" w:cs="Arial"/>
                <w:color w:val="000000"/>
                <w:sz w:val="20"/>
                <w:szCs w:val="20"/>
                <w:lang w:val="it-IT"/>
              </w:rPr>
            </w:pPr>
            <w:r w:rsidRPr="004B1275">
              <w:rPr>
                <w:rFonts w:ascii="Arial" w:hAnsi="Arial" w:cs="Arial"/>
                <w:color w:val="000000"/>
                <w:sz w:val="20"/>
                <w:szCs w:val="20"/>
                <w:lang w:val="it-IT"/>
              </w:rPr>
              <w:t> </w:t>
            </w:r>
          </w:p>
        </w:tc>
        <w:tc>
          <w:tcPr>
            <w:tcW w:w="2599" w:type="dxa"/>
            <w:gridSpan w:val="2"/>
            <w:tcBorders>
              <w:top w:val="single" w:sz="4" w:space="0" w:color="auto"/>
              <w:bottom w:val="single" w:sz="4" w:space="0" w:color="auto"/>
            </w:tcBorders>
            <w:shd w:val="clear" w:color="auto" w:fill="auto"/>
            <w:vAlign w:val="center"/>
            <w:hideMark/>
          </w:tcPr>
          <w:p w14:paraId="2A1437E2" w14:textId="4019A553" w:rsidR="005864E8" w:rsidRPr="004B1275" w:rsidRDefault="00214EA7" w:rsidP="00EC2904">
            <w:pPr>
              <w:spacing w:before="40" w:after="40"/>
              <w:jc w:val="center"/>
              <w:rPr>
                <w:rFonts w:ascii="Arial" w:hAnsi="Arial" w:cs="Arial"/>
                <w:bCs/>
                <w:color w:val="000000"/>
                <w:sz w:val="20"/>
                <w:szCs w:val="20"/>
                <w:lang w:val="it-IT"/>
              </w:rPr>
            </w:pPr>
            <w:r w:rsidRPr="004B1275">
              <w:rPr>
                <w:rFonts w:ascii="Arial" w:hAnsi="Arial" w:cs="Arial"/>
                <w:bCs/>
                <w:color w:val="000000"/>
                <w:sz w:val="20"/>
                <w:szCs w:val="20"/>
              </w:rPr>
              <w:t>Number of enterprises (Enterprise)</w:t>
            </w:r>
          </w:p>
        </w:tc>
        <w:tc>
          <w:tcPr>
            <w:tcW w:w="2545" w:type="dxa"/>
            <w:gridSpan w:val="2"/>
            <w:tcBorders>
              <w:top w:val="single" w:sz="4" w:space="0" w:color="auto"/>
              <w:bottom w:val="single" w:sz="4" w:space="0" w:color="auto"/>
            </w:tcBorders>
            <w:shd w:val="clear" w:color="auto" w:fill="auto"/>
            <w:vAlign w:val="center"/>
            <w:hideMark/>
          </w:tcPr>
          <w:p w14:paraId="5896B52A" w14:textId="77777777" w:rsidR="00214EA7" w:rsidRPr="004B1275" w:rsidRDefault="00214EA7" w:rsidP="00EC2904">
            <w:pPr>
              <w:spacing w:before="40" w:after="40"/>
              <w:jc w:val="center"/>
              <w:rPr>
                <w:rFonts w:ascii="Arial" w:hAnsi="Arial" w:cs="Arial"/>
                <w:bCs/>
                <w:color w:val="000000"/>
                <w:sz w:val="20"/>
                <w:szCs w:val="20"/>
              </w:rPr>
            </w:pPr>
            <w:r w:rsidRPr="004B1275">
              <w:rPr>
                <w:rFonts w:ascii="Arial" w:hAnsi="Arial" w:cs="Arial"/>
                <w:bCs/>
                <w:color w:val="000000"/>
                <w:sz w:val="20"/>
                <w:szCs w:val="20"/>
                <w:lang w:val="en-GB"/>
              </w:rPr>
              <w:t>Growth</w:t>
            </w:r>
            <w:r w:rsidRPr="004B1275">
              <w:rPr>
                <w:rFonts w:ascii="Arial" w:hAnsi="Arial" w:cs="Arial"/>
                <w:bCs/>
                <w:color w:val="000000"/>
                <w:sz w:val="20"/>
                <w:szCs w:val="20"/>
              </w:rPr>
              <w:t xml:space="preserve"> rate </w:t>
            </w:r>
          </w:p>
          <w:p w14:paraId="653E8DBA" w14:textId="28B0E0B4" w:rsidR="005864E8" w:rsidRPr="004B1275" w:rsidRDefault="00214EA7" w:rsidP="00EC2904">
            <w:pPr>
              <w:spacing w:before="40" w:after="40"/>
              <w:jc w:val="center"/>
              <w:rPr>
                <w:rFonts w:ascii="Arial" w:hAnsi="Arial" w:cs="Arial"/>
                <w:bCs/>
                <w:color w:val="000000"/>
                <w:sz w:val="20"/>
                <w:szCs w:val="20"/>
                <w:lang w:val="it-IT"/>
              </w:rPr>
            </w:pPr>
            <w:r w:rsidRPr="004B1275">
              <w:rPr>
                <w:rFonts w:ascii="Arial" w:hAnsi="Arial" w:cs="Arial"/>
                <w:bCs/>
                <w:color w:val="000000"/>
                <w:sz w:val="20"/>
                <w:szCs w:val="20"/>
              </w:rPr>
              <w:t>over the same period last year (%)</w:t>
            </w:r>
            <w:r w:rsidRPr="004B1275">
              <w:rPr>
                <w:rFonts w:ascii="Arial" w:hAnsi="Arial" w:cs="Arial"/>
                <w:bCs/>
                <w:color w:val="000000"/>
                <w:sz w:val="20"/>
                <w:szCs w:val="20"/>
                <w:lang w:val="it-IT"/>
              </w:rPr>
              <w:t xml:space="preserve"> </w:t>
            </w:r>
          </w:p>
        </w:tc>
      </w:tr>
      <w:tr w:rsidR="00214EA7" w:rsidRPr="004B1275" w14:paraId="199B3413" w14:textId="77777777" w:rsidTr="006A498A">
        <w:trPr>
          <w:cantSplit/>
          <w:trHeight w:val="839"/>
          <w:jc w:val="center"/>
        </w:trPr>
        <w:tc>
          <w:tcPr>
            <w:tcW w:w="3686" w:type="dxa"/>
            <w:vMerge/>
            <w:vAlign w:val="center"/>
            <w:hideMark/>
          </w:tcPr>
          <w:p w14:paraId="6708CFFB" w14:textId="77777777" w:rsidR="00214EA7" w:rsidRPr="004B1275" w:rsidRDefault="00214EA7" w:rsidP="00214EA7">
            <w:pPr>
              <w:rPr>
                <w:rFonts w:ascii="Arial" w:hAnsi="Arial" w:cs="Arial"/>
                <w:color w:val="000000"/>
                <w:sz w:val="20"/>
                <w:szCs w:val="20"/>
                <w:lang w:val="it-IT"/>
              </w:rPr>
            </w:pPr>
          </w:p>
        </w:tc>
        <w:tc>
          <w:tcPr>
            <w:tcW w:w="1417" w:type="dxa"/>
            <w:tcBorders>
              <w:top w:val="single" w:sz="4" w:space="0" w:color="auto"/>
              <w:bottom w:val="single" w:sz="4" w:space="0" w:color="auto"/>
            </w:tcBorders>
            <w:shd w:val="clear" w:color="auto" w:fill="auto"/>
            <w:vAlign w:val="center"/>
            <w:hideMark/>
          </w:tcPr>
          <w:p w14:paraId="581FCCA3" w14:textId="6847A4FF" w:rsidR="00214EA7" w:rsidRPr="004B1275" w:rsidRDefault="00214EA7" w:rsidP="00214EA7">
            <w:pPr>
              <w:spacing w:before="60" w:after="60"/>
              <w:jc w:val="center"/>
              <w:rPr>
                <w:rFonts w:ascii="Arial" w:hAnsi="Arial" w:cs="Arial"/>
                <w:bCs/>
                <w:color w:val="000000"/>
                <w:sz w:val="20"/>
                <w:szCs w:val="20"/>
              </w:rPr>
            </w:pPr>
            <w:r w:rsidRPr="004B1275">
              <w:rPr>
                <w:rFonts w:ascii="Arial" w:hAnsi="Arial" w:cs="Arial"/>
                <w:bCs/>
                <w:color w:val="000000"/>
                <w:sz w:val="20"/>
                <w:szCs w:val="20"/>
              </w:rPr>
              <w:t>Newly registered</w:t>
            </w:r>
          </w:p>
        </w:tc>
        <w:tc>
          <w:tcPr>
            <w:tcW w:w="1182" w:type="dxa"/>
            <w:tcBorders>
              <w:top w:val="single" w:sz="4" w:space="0" w:color="auto"/>
              <w:bottom w:val="single" w:sz="4" w:space="0" w:color="auto"/>
            </w:tcBorders>
            <w:shd w:val="clear" w:color="auto" w:fill="auto"/>
            <w:vAlign w:val="center"/>
            <w:hideMark/>
          </w:tcPr>
          <w:p w14:paraId="56FA7E1A" w14:textId="02253A51" w:rsidR="00214EA7" w:rsidRPr="004B1275" w:rsidRDefault="00214EA7" w:rsidP="00214EA7">
            <w:pPr>
              <w:spacing w:before="60" w:after="60"/>
              <w:jc w:val="center"/>
              <w:rPr>
                <w:rFonts w:ascii="Arial" w:hAnsi="Arial" w:cs="Arial"/>
                <w:bCs/>
                <w:color w:val="000000"/>
                <w:sz w:val="20"/>
                <w:szCs w:val="20"/>
              </w:rPr>
            </w:pPr>
            <w:r w:rsidRPr="004B1275">
              <w:rPr>
                <w:rFonts w:ascii="Arial" w:hAnsi="Arial" w:cs="Arial"/>
                <w:bCs/>
                <w:color w:val="000000"/>
                <w:sz w:val="20"/>
                <w:szCs w:val="20"/>
              </w:rPr>
              <w:t>Dissolution</w:t>
            </w:r>
          </w:p>
        </w:tc>
        <w:tc>
          <w:tcPr>
            <w:tcW w:w="1363" w:type="dxa"/>
            <w:tcBorders>
              <w:top w:val="single" w:sz="4" w:space="0" w:color="auto"/>
              <w:bottom w:val="single" w:sz="4" w:space="0" w:color="auto"/>
            </w:tcBorders>
            <w:shd w:val="clear" w:color="auto" w:fill="auto"/>
            <w:vAlign w:val="center"/>
            <w:hideMark/>
          </w:tcPr>
          <w:p w14:paraId="62C49312" w14:textId="137D6F3A" w:rsidR="00214EA7" w:rsidRPr="004B1275" w:rsidRDefault="00214EA7" w:rsidP="00214EA7">
            <w:pPr>
              <w:spacing w:before="60" w:after="60"/>
              <w:jc w:val="center"/>
              <w:rPr>
                <w:rFonts w:ascii="Arial" w:hAnsi="Arial" w:cs="Arial"/>
                <w:bCs/>
                <w:color w:val="000000"/>
                <w:sz w:val="20"/>
                <w:szCs w:val="20"/>
              </w:rPr>
            </w:pPr>
            <w:r w:rsidRPr="004B1275">
              <w:rPr>
                <w:rFonts w:ascii="Arial" w:hAnsi="Arial" w:cs="Arial"/>
                <w:bCs/>
                <w:color w:val="000000"/>
                <w:sz w:val="20"/>
                <w:szCs w:val="20"/>
              </w:rPr>
              <w:t>Newly registered</w:t>
            </w:r>
          </w:p>
        </w:tc>
        <w:tc>
          <w:tcPr>
            <w:tcW w:w="1182" w:type="dxa"/>
            <w:tcBorders>
              <w:top w:val="single" w:sz="4" w:space="0" w:color="auto"/>
              <w:bottom w:val="single" w:sz="4" w:space="0" w:color="auto"/>
            </w:tcBorders>
            <w:shd w:val="clear" w:color="auto" w:fill="auto"/>
            <w:vAlign w:val="center"/>
            <w:hideMark/>
          </w:tcPr>
          <w:p w14:paraId="2A4AFB66" w14:textId="1469488A" w:rsidR="00214EA7" w:rsidRPr="004B1275" w:rsidRDefault="00214EA7" w:rsidP="00214EA7">
            <w:pPr>
              <w:spacing w:before="60" w:after="60"/>
              <w:jc w:val="center"/>
              <w:rPr>
                <w:rFonts w:ascii="Arial" w:hAnsi="Arial" w:cs="Arial"/>
                <w:bCs/>
                <w:color w:val="000000"/>
                <w:sz w:val="20"/>
                <w:szCs w:val="20"/>
              </w:rPr>
            </w:pPr>
            <w:r w:rsidRPr="004B1275">
              <w:rPr>
                <w:rFonts w:ascii="Arial" w:hAnsi="Arial" w:cs="Arial"/>
                <w:bCs/>
                <w:color w:val="000000"/>
                <w:sz w:val="20"/>
                <w:szCs w:val="20"/>
              </w:rPr>
              <w:t>Dissolution</w:t>
            </w:r>
          </w:p>
        </w:tc>
      </w:tr>
      <w:tr w:rsidR="00214EA7" w:rsidRPr="004B1275" w14:paraId="0F8AAA57" w14:textId="77777777" w:rsidTr="00B959A5">
        <w:trPr>
          <w:cantSplit/>
          <w:trHeight w:val="708"/>
          <w:jc w:val="center"/>
        </w:trPr>
        <w:tc>
          <w:tcPr>
            <w:tcW w:w="3686" w:type="dxa"/>
            <w:shd w:val="clear" w:color="auto" w:fill="auto"/>
            <w:noWrap/>
            <w:vAlign w:val="bottom"/>
            <w:hideMark/>
          </w:tcPr>
          <w:p w14:paraId="72298355" w14:textId="440E1628" w:rsidR="00214EA7" w:rsidRPr="004B1275" w:rsidRDefault="00495219" w:rsidP="00214EA7">
            <w:pPr>
              <w:spacing w:before="240" w:after="40"/>
              <w:rPr>
                <w:rFonts w:ascii="Arial" w:hAnsi="Arial" w:cs="Arial"/>
                <w:color w:val="000000"/>
                <w:sz w:val="20"/>
                <w:szCs w:val="20"/>
              </w:rPr>
            </w:pPr>
            <w:r w:rsidRPr="004B1275">
              <w:rPr>
                <w:rFonts w:ascii="Arial" w:hAnsi="Arial" w:cs="Arial"/>
                <w:color w:val="000000"/>
                <w:sz w:val="20"/>
                <w:szCs w:val="20"/>
              </w:rPr>
              <w:t>Wholesale and retail trade; repair of motor vehicles and motorcycles</w:t>
            </w:r>
          </w:p>
        </w:tc>
        <w:tc>
          <w:tcPr>
            <w:tcW w:w="1417" w:type="dxa"/>
            <w:tcBorders>
              <w:top w:val="single" w:sz="4" w:space="0" w:color="auto"/>
            </w:tcBorders>
            <w:shd w:val="clear" w:color="auto" w:fill="auto"/>
            <w:noWrap/>
            <w:vAlign w:val="bottom"/>
            <w:hideMark/>
          </w:tcPr>
          <w:p w14:paraId="3DA04A31" w14:textId="7702E5CC" w:rsidR="00214EA7" w:rsidRPr="004B1275" w:rsidRDefault="00214EA7" w:rsidP="00214EA7">
            <w:pPr>
              <w:spacing w:before="240" w:after="40"/>
              <w:ind w:right="176"/>
              <w:jc w:val="right"/>
              <w:rPr>
                <w:rFonts w:ascii="Arial" w:hAnsi="Arial" w:cs="Arial"/>
                <w:color w:val="000000"/>
                <w:sz w:val="20"/>
                <w:szCs w:val="20"/>
              </w:rPr>
            </w:pPr>
            <w:r w:rsidRPr="004B1275">
              <w:rPr>
                <w:rFonts w:ascii="Arial" w:hAnsi="Arial" w:cs="Arial"/>
                <w:color w:val="000000"/>
                <w:sz w:val="20"/>
                <w:szCs w:val="20"/>
              </w:rPr>
              <w:t>4</w:t>
            </w:r>
            <w:r w:rsidR="004B1275" w:rsidRPr="004B1275">
              <w:rPr>
                <w:rFonts w:ascii="Arial" w:hAnsi="Arial" w:cs="Arial"/>
                <w:color w:val="000000"/>
                <w:sz w:val="20"/>
                <w:szCs w:val="20"/>
              </w:rPr>
              <w:t>,</w:t>
            </w:r>
            <w:r w:rsidRPr="004B1275">
              <w:rPr>
                <w:rFonts w:ascii="Arial" w:hAnsi="Arial" w:cs="Arial"/>
                <w:color w:val="000000"/>
                <w:sz w:val="20"/>
                <w:szCs w:val="20"/>
              </w:rPr>
              <w:t>652</w:t>
            </w:r>
          </w:p>
        </w:tc>
        <w:tc>
          <w:tcPr>
            <w:tcW w:w="1182" w:type="dxa"/>
            <w:tcBorders>
              <w:top w:val="single" w:sz="4" w:space="0" w:color="auto"/>
            </w:tcBorders>
            <w:shd w:val="clear" w:color="auto" w:fill="auto"/>
            <w:noWrap/>
            <w:vAlign w:val="bottom"/>
            <w:hideMark/>
          </w:tcPr>
          <w:p w14:paraId="494B0C72" w14:textId="77777777" w:rsidR="00214EA7" w:rsidRPr="004B1275" w:rsidRDefault="00214EA7" w:rsidP="00214EA7">
            <w:pPr>
              <w:spacing w:before="240" w:after="40"/>
              <w:ind w:right="176"/>
              <w:jc w:val="right"/>
              <w:rPr>
                <w:rFonts w:ascii="Arial" w:hAnsi="Arial" w:cs="Arial"/>
                <w:color w:val="FF0000"/>
                <w:sz w:val="20"/>
                <w:szCs w:val="20"/>
              </w:rPr>
            </w:pPr>
            <w:r w:rsidRPr="004B1275">
              <w:rPr>
                <w:rFonts w:ascii="Arial" w:hAnsi="Arial" w:cs="Arial"/>
                <w:sz w:val="20"/>
                <w:szCs w:val="20"/>
              </w:rPr>
              <w:t>743</w:t>
            </w:r>
          </w:p>
        </w:tc>
        <w:tc>
          <w:tcPr>
            <w:tcW w:w="1363" w:type="dxa"/>
            <w:tcBorders>
              <w:top w:val="single" w:sz="4" w:space="0" w:color="auto"/>
            </w:tcBorders>
            <w:shd w:val="clear" w:color="auto" w:fill="auto"/>
            <w:noWrap/>
            <w:vAlign w:val="bottom"/>
            <w:hideMark/>
          </w:tcPr>
          <w:p w14:paraId="5F2958AA" w14:textId="5D134041" w:rsidR="00214EA7" w:rsidRPr="004B1275" w:rsidRDefault="00214EA7" w:rsidP="00214EA7">
            <w:pPr>
              <w:spacing w:before="240" w:after="40"/>
              <w:ind w:right="316"/>
              <w:jc w:val="right"/>
              <w:rPr>
                <w:rFonts w:ascii="Arial" w:hAnsi="Arial" w:cs="Arial"/>
                <w:sz w:val="20"/>
                <w:szCs w:val="20"/>
              </w:rPr>
            </w:pPr>
            <w:r w:rsidRPr="004B1275">
              <w:rPr>
                <w:rFonts w:ascii="Arial" w:hAnsi="Arial" w:cs="Arial"/>
                <w:sz w:val="20"/>
                <w:szCs w:val="20"/>
              </w:rPr>
              <w:t>38</w:t>
            </w:r>
            <w:r w:rsidR="004B1275" w:rsidRPr="004B1275">
              <w:rPr>
                <w:rFonts w:ascii="Arial" w:hAnsi="Arial" w:cs="Arial"/>
                <w:sz w:val="20"/>
                <w:szCs w:val="20"/>
              </w:rPr>
              <w:t>.</w:t>
            </w:r>
            <w:r w:rsidRPr="004B1275">
              <w:rPr>
                <w:rFonts w:ascii="Arial" w:hAnsi="Arial" w:cs="Arial"/>
                <w:sz w:val="20"/>
                <w:szCs w:val="20"/>
              </w:rPr>
              <w:t>2</w:t>
            </w:r>
          </w:p>
        </w:tc>
        <w:tc>
          <w:tcPr>
            <w:tcW w:w="1182" w:type="dxa"/>
            <w:tcBorders>
              <w:top w:val="single" w:sz="4" w:space="0" w:color="auto"/>
            </w:tcBorders>
            <w:shd w:val="clear" w:color="auto" w:fill="auto"/>
            <w:noWrap/>
            <w:vAlign w:val="bottom"/>
            <w:hideMark/>
          </w:tcPr>
          <w:p w14:paraId="503B5723" w14:textId="7BC6EEBD" w:rsidR="00214EA7" w:rsidRPr="004B1275" w:rsidRDefault="00214EA7" w:rsidP="00214EA7">
            <w:pPr>
              <w:spacing w:before="240" w:after="40"/>
              <w:ind w:right="176"/>
              <w:jc w:val="right"/>
              <w:rPr>
                <w:rFonts w:ascii="Arial" w:hAnsi="Arial" w:cs="Arial"/>
                <w:color w:val="FF0000"/>
                <w:sz w:val="20"/>
                <w:szCs w:val="20"/>
              </w:rPr>
            </w:pPr>
            <w:r w:rsidRPr="004B1275">
              <w:rPr>
                <w:rFonts w:ascii="Arial" w:hAnsi="Arial" w:cs="Arial"/>
                <w:sz w:val="20"/>
                <w:szCs w:val="20"/>
              </w:rPr>
              <w:t>-6</w:t>
            </w:r>
            <w:r w:rsidR="004B1275" w:rsidRPr="004B1275">
              <w:rPr>
                <w:rFonts w:ascii="Arial" w:hAnsi="Arial" w:cs="Arial"/>
                <w:sz w:val="20"/>
                <w:szCs w:val="20"/>
              </w:rPr>
              <w:t>.</w:t>
            </w:r>
            <w:r w:rsidRPr="004B1275">
              <w:rPr>
                <w:rFonts w:ascii="Arial" w:hAnsi="Arial" w:cs="Arial"/>
                <w:sz w:val="20"/>
                <w:szCs w:val="20"/>
              </w:rPr>
              <w:t>5</w:t>
            </w:r>
          </w:p>
        </w:tc>
      </w:tr>
      <w:tr w:rsidR="00214EA7" w:rsidRPr="004B1275" w14:paraId="300F9E31" w14:textId="77777777" w:rsidTr="006A498A">
        <w:trPr>
          <w:cantSplit/>
          <w:trHeight w:val="376"/>
          <w:jc w:val="center"/>
        </w:trPr>
        <w:tc>
          <w:tcPr>
            <w:tcW w:w="3686" w:type="dxa"/>
            <w:shd w:val="clear" w:color="auto" w:fill="auto"/>
            <w:noWrap/>
            <w:vAlign w:val="bottom"/>
            <w:hideMark/>
          </w:tcPr>
          <w:p w14:paraId="55B5902A" w14:textId="28C28DDA" w:rsidR="00214EA7" w:rsidRPr="004B1275" w:rsidRDefault="00495219" w:rsidP="00214EA7">
            <w:pPr>
              <w:spacing w:before="40" w:after="40"/>
              <w:rPr>
                <w:rFonts w:ascii="Arial" w:hAnsi="Arial" w:cs="Arial"/>
                <w:color w:val="000000"/>
                <w:sz w:val="20"/>
                <w:szCs w:val="20"/>
              </w:rPr>
            </w:pPr>
            <w:r w:rsidRPr="004B1275">
              <w:rPr>
                <w:rFonts w:ascii="Arial" w:hAnsi="Arial" w:cs="Arial"/>
                <w:color w:val="000000"/>
                <w:sz w:val="20"/>
                <w:szCs w:val="20"/>
              </w:rPr>
              <w:t>Manufacturing</w:t>
            </w:r>
            <w:r w:rsidRPr="004B1275">
              <w:rPr>
                <w:rFonts w:ascii="Arial" w:hAnsi="Arial" w:cs="Arial"/>
                <w:color w:val="000000"/>
                <w:sz w:val="20"/>
                <w:szCs w:val="20"/>
              </w:rPr>
              <w:t xml:space="preserve"> </w:t>
            </w:r>
          </w:p>
        </w:tc>
        <w:tc>
          <w:tcPr>
            <w:tcW w:w="1417" w:type="dxa"/>
            <w:shd w:val="clear" w:color="auto" w:fill="auto"/>
            <w:noWrap/>
            <w:vAlign w:val="bottom"/>
            <w:hideMark/>
          </w:tcPr>
          <w:p w14:paraId="31687CD1" w14:textId="61516169" w:rsidR="00214EA7" w:rsidRPr="004B1275" w:rsidRDefault="00214EA7" w:rsidP="00214EA7">
            <w:pPr>
              <w:spacing w:before="40" w:after="40"/>
              <w:ind w:right="176"/>
              <w:jc w:val="right"/>
              <w:rPr>
                <w:rFonts w:ascii="Arial" w:hAnsi="Arial" w:cs="Arial"/>
                <w:color w:val="000000"/>
                <w:sz w:val="20"/>
                <w:szCs w:val="20"/>
              </w:rPr>
            </w:pPr>
            <w:r w:rsidRPr="004B1275">
              <w:rPr>
                <w:rFonts w:ascii="Arial" w:hAnsi="Arial" w:cs="Arial"/>
                <w:color w:val="000000"/>
                <w:sz w:val="20"/>
                <w:szCs w:val="20"/>
              </w:rPr>
              <w:t>1</w:t>
            </w:r>
            <w:r w:rsidR="004B1275" w:rsidRPr="004B1275">
              <w:rPr>
                <w:rFonts w:ascii="Arial" w:hAnsi="Arial" w:cs="Arial"/>
                <w:color w:val="000000"/>
                <w:sz w:val="20"/>
                <w:szCs w:val="20"/>
              </w:rPr>
              <w:t>,</w:t>
            </w:r>
            <w:r w:rsidRPr="004B1275">
              <w:rPr>
                <w:rFonts w:ascii="Arial" w:hAnsi="Arial" w:cs="Arial"/>
                <w:color w:val="000000"/>
                <w:sz w:val="20"/>
                <w:szCs w:val="20"/>
              </w:rPr>
              <w:t>663</w:t>
            </w:r>
          </w:p>
        </w:tc>
        <w:tc>
          <w:tcPr>
            <w:tcW w:w="1182" w:type="dxa"/>
            <w:shd w:val="clear" w:color="auto" w:fill="auto"/>
            <w:noWrap/>
            <w:vAlign w:val="bottom"/>
            <w:hideMark/>
          </w:tcPr>
          <w:p w14:paraId="10892470"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212</w:t>
            </w:r>
          </w:p>
        </w:tc>
        <w:tc>
          <w:tcPr>
            <w:tcW w:w="1363" w:type="dxa"/>
            <w:shd w:val="clear" w:color="auto" w:fill="auto"/>
            <w:noWrap/>
            <w:vAlign w:val="bottom"/>
            <w:hideMark/>
          </w:tcPr>
          <w:p w14:paraId="78478D3D" w14:textId="58DD9A82" w:rsidR="00214EA7" w:rsidRPr="004B1275" w:rsidRDefault="00214EA7" w:rsidP="00214EA7">
            <w:pPr>
              <w:spacing w:before="40" w:after="40"/>
              <w:ind w:right="316"/>
              <w:jc w:val="right"/>
              <w:rPr>
                <w:rFonts w:ascii="Arial" w:hAnsi="Arial" w:cs="Arial"/>
                <w:sz w:val="20"/>
                <w:szCs w:val="20"/>
              </w:rPr>
            </w:pPr>
            <w:r w:rsidRPr="004B1275">
              <w:rPr>
                <w:rFonts w:ascii="Arial" w:hAnsi="Arial" w:cs="Arial"/>
                <w:sz w:val="20"/>
                <w:szCs w:val="20"/>
              </w:rPr>
              <w:t>31</w:t>
            </w:r>
            <w:r w:rsidR="004B1275" w:rsidRPr="004B1275">
              <w:rPr>
                <w:rFonts w:ascii="Arial" w:hAnsi="Arial" w:cs="Arial"/>
                <w:sz w:val="20"/>
                <w:szCs w:val="20"/>
              </w:rPr>
              <w:t>.</w:t>
            </w:r>
            <w:r w:rsidRPr="004B1275">
              <w:rPr>
                <w:rFonts w:ascii="Arial" w:hAnsi="Arial" w:cs="Arial"/>
                <w:sz w:val="20"/>
                <w:szCs w:val="20"/>
              </w:rPr>
              <w:t>5</w:t>
            </w:r>
          </w:p>
        </w:tc>
        <w:tc>
          <w:tcPr>
            <w:tcW w:w="1182" w:type="dxa"/>
            <w:shd w:val="clear" w:color="auto" w:fill="auto"/>
            <w:noWrap/>
            <w:vAlign w:val="bottom"/>
            <w:hideMark/>
          </w:tcPr>
          <w:p w14:paraId="6C0251F9" w14:textId="38D693EC" w:rsidR="00214EA7" w:rsidRPr="004B1275" w:rsidRDefault="00214EA7" w:rsidP="00214EA7">
            <w:pPr>
              <w:spacing w:before="40" w:after="40"/>
              <w:ind w:right="176"/>
              <w:jc w:val="right"/>
              <w:rPr>
                <w:rFonts w:ascii="Arial" w:hAnsi="Arial" w:cs="Arial"/>
                <w:color w:val="FF0000"/>
                <w:sz w:val="20"/>
                <w:szCs w:val="20"/>
              </w:rPr>
            </w:pPr>
            <w:r w:rsidRPr="004B1275">
              <w:rPr>
                <w:rFonts w:ascii="Arial" w:hAnsi="Arial" w:cs="Arial"/>
                <w:sz w:val="20"/>
                <w:szCs w:val="20"/>
              </w:rPr>
              <w:t>-12</w:t>
            </w:r>
            <w:r w:rsidR="004B1275" w:rsidRPr="004B1275">
              <w:rPr>
                <w:rFonts w:ascii="Arial" w:hAnsi="Arial" w:cs="Arial"/>
                <w:sz w:val="20"/>
                <w:szCs w:val="20"/>
              </w:rPr>
              <w:t>.</w:t>
            </w:r>
            <w:r w:rsidRPr="004B1275">
              <w:rPr>
                <w:rFonts w:ascii="Arial" w:hAnsi="Arial" w:cs="Arial"/>
                <w:sz w:val="20"/>
                <w:szCs w:val="20"/>
              </w:rPr>
              <w:t>5</w:t>
            </w:r>
          </w:p>
        </w:tc>
      </w:tr>
      <w:tr w:rsidR="00214EA7" w:rsidRPr="004B1275" w14:paraId="369DDFC9" w14:textId="77777777" w:rsidTr="006A498A">
        <w:trPr>
          <w:cantSplit/>
          <w:trHeight w:val="425"/>
          <w:jc w:val="center"/>
        </w:trPr>
        <w:tc>
          <w:tcPr>
            <w:tcW w:w="3686" w:type="dxa"/>
            <w:shd w:val="clear" w:color="auto" w:fill="auto"/>
            <w:noWrap/>
            <w:vAlign w:val="bottom"/>
            <w:hideMark/>
          </w:tcPr>
          <w:p w14:paraId="62348475" w14:textId="098DBD4B" w:rsidR="00214EA7" w:rsidRPr="004B1275" w:rsidRDefault="004B1275" w:rsidP="00214EA7">
            <w:pPr>
              <w:spacing w:before="40" w:after="40"/>
              <w:rPr>
                <w:rFonts w:ascii="Arial" w:hAnsi="Arial" w:cs="Arial"/>
                <w:color w:val="000000"/>
                <w:sz w:val="20"/>
                <w:szCs w:val="20"/>
              </w:rPr>
            </w:pPr>
            <w:r w:rsidRPr="004B1275">
              <w:rPr>
                <w:rFonts w:ascii="Arial" w:hAnsi="Arial" w:cs="Arial"/>
                <w:color w:val="000000"/>
                <w:sz w:val="20"/>
                <w:szCs w:val="20"/>
              </w:rPr>
              <w:t>Construction</w:t>
            </w:r>
          </w:p>
        </w:tc>
        <w:tc>
          <w:tcPr>
            <w:tcW w:w="1417" w:type="dxa"/>
            <w:shd w:val="clear" w:color="auto" w:fill="auto"/>
            <w:noWrap/>
            <w:vAlign w:val="bottom"/>
            <w:hideMark/>
          </w:tcPr>
          <w:p w14:paraId="13CA615C" w14:textId="122E9CF3" w:rsidR="00214EA7" w:rsidRPr="004B1275" w:rsidRDefault="00214EA7" w:rsidP="00214EA7">
            <w:pPr>
              <w:spacing w:before="40" w:after="40"/>
              <w:ind w:right="176"/>
              <w:jc w:val="right"/>
              <w:rPr>
                <w:rFonts w:ascii="Arial" w:hAnsi="Arial" w:cs="Arial"/>
                <w:color w:val="000000"/>
                <w:sz w:val="20"/>
                <w:szCs w:val="20"/>
              </w:rPr>
            </w:pPr>
            <w:r w:rsidRPr="004B1275">
              <w:rPr>
                <w:rFonts w:ascii="Arial" w:hAnsi="Arial" w:cs="Arial"/>
                <w:color w:val="000000"/>
                <w:sz w:val="20"/>
                <w:szCs w:val="20"/>
              </w:rPr>
              <w:t>1</w:t>
            </w:r>
            <w:r w:rsidR="004B1275" w:rsidRPr="004B1275">
              <w:rPr>
                <w:rFonts w:ascii="Arial" w:hAnsi="Arial" w:cs="Arial"/>
                <w:color w:val="000000"/>
                <w:sz w:val="20"/>
                <w:szCs w:val="20"/>
              </w:rPr>
              <w:t>,</w:t>
            </w:r>
            <w:r w:rsidRPr="004B1275">
              <w:rPr>
                <w:rFonts w:ascii="Arial" w:hAnsi="Arial" w:cs="Arial"/>
                <w:color w:val="000000"/>
                <w:sz w:val="20"/>
                <w:szCs w:val="20"/>
              </w:rPr>
              <w:t>459</w:t>
            </w:r>
          </w:p>
        </w:tc>
        <w:tc>
          <w:tcPr>
            <w:tcW w:w="1182" w:type="dxa"/>
            <w:shd w:val="clear" w:color="auto" w:fill="auto"/>
            <w:noWrap/>
            <w:vAlign w:val="bottom"/>
            <w:hideMark/>
          </w:tcPr>
          <w:p w14:paraId="5605CCA1"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177</w:t>
            </w:r>
          </w:p>
        </w:tc>
        <w:tc>
          <w:tcPr>
            <w:tcW w:w="1363" w:type="dxa"/>
            <w:shd w:val="clear" w:color="auto" w:fill="auto"/>
            <w:noWrap/>
            <w:vAlign w:val="bottom"/>
            <w:hideMark/>
          </w:tcPr>
          <w:p w14:paraId="37881DE5" w14:textId="09D140B4" w:rsidR="00214EA7" w:rsidRPr="004B1275" w:rsidRDefault="00214EA7" w:rsidP="00214EA7">
            <w:pPr>
              <w:spacing w:before="40" w:after="40"/>
              <w:ind w:right="316"/>
              <w:jc w:val="right"/>
              <w:rPr>
                <w:rFonts w:ascii="Arial" w:hAnsi="Arial" w:cs="Arial"/>
                <w:color w:val="FF0000"/>
                <w:sz w:val="20"/>
                <w:szCs w:val="20"/>
              </w:rPr>
            </w:pPr>
            <w:r w:rsidRPr="004B1275">
              <w:rPr>
                <w:rFonts w:ascii="Arial" w:hAnsi="Arial" w:cs="Arial"/>
                <w:sz w:val="20"/>
                <w:szCs w:val="20"/>
              </w:rPr>
              <w:t>19</w:t>
            </w:r>
            <w:r w:rsidR="004B1275" w:rsidRPr="004B1275">
              <w:rPr>
                <w:rFonts w:ascii="Arial" w:hAnsi="Arial" w:cs="Arial"/>
                <w:sz w:val="20"/>
                <w:szCs w:val="20"/>
              </w:rPr>
              <w:t>.</w:t>
            </w:r>
            <w:r w:rsidRPr="004B1275">
              <w:rPr>
                <w:rFonts w:ascii="Arial" w:hAnsi="Arial" w:cs="Arial"/>
                <w:sz w:val="20"/>
                <w:szCs w:val="20"/>
              </w:rPr>
              <w:t>6</w:t>
            </w:r>
          </w:p>
        </w:tc>
        <w:tc>
          <w:tcPr>
            <w:tcW w:w="1182" w:type="dxa"/>
            <w:shd w:val="clear" w:color="auto" w:fill="auto"/>
            <w:noWrap/>
            <w:vAlign w:val="bottom"/>
            <w:hideMark/>
          </w:tcPr>
          <w:p w14:paraId="7BEFB91F" w14:textId="5989B953"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-7</w:t>
            </w:r>
            <w:r w:rsidR="004B1275" w:rsidRPr="004B1275">
              <w:rPr>
                <w:rFonts w:ascii="Arial" w:hAnsi="Arial" w:cs="Arial"/>
                <w:sz w:val="20"/>
                <w:szCs w:val="20"/>
              </w:rPr>
              <w:t>.</w:t>
            </w:r>
            <w:r w:rsidRPr="004B1275">
              <w:rPr>
                <w:rFonts w:ascii="Arial" w:hAnsi="Arial" w:cs="Arial"/>
                <w:sz w:val="20"/>
                <w:szCs w:val="20"/>
              </w:rPr>
              <w:t>8</w:t>
            </w:r>
          </w:p>
        </w:tc>
      </w:tr>
      <w:tr w:rsidR="00214EA7" w:rsidRPr="004B1275" w14:paraId="4A1EDEA5" w14:textId="77777777" w:rsidTr="006A498A">
        <w:trPr>
          <w:cantSplit/>
          <w:trHeight w:val="430"/>
          <w:jc w:val="center"/>
        </w:trPr>
        <w:tc>
          <w:tcPr>
            <w:tcW w:w="3686" w:type="dxa"/>
            <w:shd w:val="clear" w:color="auto" w:fill="auto"/>
            <w:noWrap/>
            <w:vAlign w:val="bottom"/>
            <w:hideMark/>
          </w:tcPr>
          <w:p w14:paraId="619EEFDE" w14:textId="2AF5482A" w:rsidR="00214EA7" w:rsidRPr="004B1275" w:rsidRDefault="004B1275" w:rsidP="00214EA7">
            <w:pPr>
              <w:spacing w:before="40" w:after="40"/>
              <w:rPr>
                <w:rFonts w:ascii="Arial" w:hAnsi="Arial" w:cs="Arial"/>
                <w:color w:val="000000"/>
                <w:sz w:val="20"/>
                <w:szCs w:val="20"/>
              </w:rPr>
            </w:pPr>
            <w:r w:rsidRPr="004B1275">
              <w:rPr>
                <w:rFonts w:ascii="Arial" w:hAnsi="Arial" w:cs="Arial"/>
                <w:color w:val="000000"/>
                <w:sz w:val="20"/>
                <w:szCs w:val="20"/>
              </w:rPr>
              <w:t>Real estate business</w:t>
            </w:r>
          </w:p>
        </w:tc>
        <w:tc>
          <w:tcPr>
            <w:tcW w:w="1417" w:type="dxa"/>
            <w:shd w:val="clear" w:color="auto" w:fill="auto"/>
            <w:noWrap/>
            <w:vAlign w:val="bottom"/>
            <w:hideMark/>
          </w:tcPr>
          <w:p w14:paraId="29650D4A"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967</w:t>
            </w:r>
          </w:p>
        </w:tc>
        <w:tc>
          <w:tcPr>
            <w:tcW w:w="1182" w:type="dxa"/>
            <w:shd w:val="clear" w:color="auto" w:fill="auto"/>
            <w:noWrap/>
            <w:vAlign w:val="bottom"/>
            <w:hideMark/>
          </w:tcPr>
          <w:p w14:paraId="24BB8A1B"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130</w:t>
            </w:r>
          </w:p>
        </w:tc>
        <w:tc>
          <w:tcPr>
            <w:tcW w:w="1363" w:type="dxa"/>
            <w:shd w:val="clear" w:color="auto" w:fill="auto"/>
            <w:noWrap/>
            <w:vAlign w:val="bottom"/>
            <w:hideMark/>
          </w:tcPr>
          <w:p w14:paraId="49ADE674" w14:textId="4EEFA3B5" w:rsidR="00214EA7" w:rsidRPr="004B1275" w:rsidRDefault="00214EA7" w:rsidP="00214EA7">
            <w:pPr>
              <w:spacing w:before="40" w:after="40"/>
              <w:ind w:right="316"/>
              <w:jc w:val="right"/>
              <w:rPr>
                <w:rFonts w:ascii="Arial" w:hAnsi="Arial" w:cs="Arial"/>
                <w:color w:val="000000"/>
                <w:sz w:val="20"/>
                <w:szCs w:val="20"/>
              </w:rPr>
            </w:pPr>
            <w:r w:rsidRPr="004B1275">
              <w:rPr>
                <w:rFonts w:ascii="Arial" w:hAnsi="Arial" w:cs="Arial"/>
                <w:color w:val="000000"/>
                <w:sz w:val="20"/>
                <w:szCs w:val="20"/>
              </w:rPr>
              <w:t>61</w:t>
            </w:r>
            <w:r w:rsidR="004B1275" w:rsidRPr="004B1275">
              <w:rPr>
                <w:rFonts w:ascii="Arial" w:hAnsi="Arial" w:cs="Arial"/>
                <w:color w:val="000000"/>
                <w:sz w:val="20"/>
                <w:szCs w:val="20"/>
              </w:rPr>
              <w:t>.</w:t>
            </w:r>
            <w:r w:rsidRPr="004B1275">
              <w:rPr>
                <w:rFonts w:ascii="Arial" w:hAnsi="Arial" w:cs="Arial"/>
                <w:color w:val="000000"/>
                <w:sz w:val="20"/>
                <w:szCs w:val="20"/>
              </w:rPr>
              <w:t>2</w:t>
            </w:r>
          </w:p>
        </w:tc>
        <w:tc>
          <w:tcPr>
            <w:tcW w:w="1182" w:type="dxa"/>
            <w:shd w:val="clear" w:color="auto" w:fill="auto"/>
            <w:noWrap/>
            <w:vAlign w:val="bottom"/>
            <w:hideMark/>
          </w:tcPr>
          <w:p w14:paraId="2F6ED645" w14:textId="3A81934F"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30</w:t>
            </w:r>
            <w:r w:rsidR="004B1275" w:rsidRPr="004B1275">
              <w:rPr>
                <w:rFonts w:ascii="Arial" w:hAnsi="Arial" w:cs="Arial"/>
                <w:sz w:val="20"/>
                <w:szCs w:val="20"/>
              </w:rPr>
              <w:t>.</w:t>
            </w:r>
            <w:r w:rsidRPr="004B1275">
              <w:rPr>
                <w:rFonts w:ascii="Arial" w:hAnsi="Arial" w:cs="Arial"/>
                <w:sz w:val="20"/>
                <w:szCs w:val="20"/>
              </w:rPr>
              <w:t>0</w:t>
            </w:r>
          </w:p>
        </w:tc>
      </w:tr>
      <w:tr w:rsidR="00214EA7" w:rsidRPr="004B1275" w14:paraId="34EBBB21" w14:textId="77777777" w:rsidTr="006A498A">
        <w:trPr>
          <w:cantSplit/>
          <w:trHeight w:val="406"/>
          <w:jc w:val="center"/>
        </w:trPr>
        <w:tc>
          <w:tcPr>
            <w:tcW w:w="3686" w:type="dxa"/>
            <w:shd w:val="clear" w:color="auto" w:fill="auto"/>
            <w:noWrap/>
            <w:vAlign w:val="bottom"/>
            <w:hideMark/>
          </w:tcPr>
          <w:p w14:paraId="1D504805" w14:textId="6F8AE788" w:rsidR="00214EA7" w:rsidRPr="004B1275" w:rsidRDefault="004B1275" w:rsidP="00214EA7">
            <w:pPr>
              <w:spacing w:before="40" w:after="40"/>
              <w:rPr>
                <w:rFonts w:ascii="Arial" w:hAnsi="Arial" w:cs="Arial"/>
                <w:color w:val="000000"/>
                <w:sz w:val="20"/>
                <w:szCs w:val="20"/>
              </w:rPr>
            </w:pPr>
            <w:r w:rsidRPr="004B1275">
              <w:rPr>
                <w:rFonts w:ascii="Arial" w:hAnsi="Arial" w:cs="Arial"/>
                <w:color w:val="000000"/>
                <w:sz w:val="20"/>
                <w:szCs w:val="20"/>
              </w:rPr>
              <w:t>Transportation and storage</w:t>
            </w:r>
          </w:p>
        </w:tc>
        <w:tc>
          <w:tcPr>
            <w:tcW w:w="1417" w:type="dxa"/>
            <w:shd w:val="clear" w:color="auto" w:fill="auto"/>
            <w:noWrap/>
            <w:vAlign w:val="bottom"/>
            <w:hideMark/>
          </w:tcPr>
          <w:p w14:paraId="2BE7A6C2"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704</w:t>
            </w:r>
          </w:p>
        </w:tc>
        <w:tc>
          <w:tcPr>
            <w:tcW w:w="1182" w:type="dxa"/>
            <w:shd w:val="clear" w:color="auto" w:fill="auto"/>
            <w:noWrap/>
            <w:vAlign w:val="bottom"/>
            <w:hideMark/>
          </w:tcPr>
          <w:p w14:paraId="70F52A21"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94</w:t>
            </w:r>
          </w:p>
        </w:tc>
        <w:tc>
          <w:tcPr>
            <w:tcW w:w="1363" w:type="dxa"/>
            <w:shd w:val="clear" w:color="auto" w:fill="auto"/>
            <w:noWrap/>
            <w:vAlign w:val="bottom"/>
            <w:hideMark/>
          </w:tcPr>
          <w:p w14:paraId="085E2309" w14:textId="693FB2D9" w:rsidR="00214EA7" w:rsidRPr="004B1275" w:rsidRDefault="00214EA7" w:rsidP="00214EA7">
            <w:pPr>
              <w:spacing w:before="40" w:after="40"/>
              <w:ind w:right="316"/>
              <w:jc w:val="right"/>
              <w:rPr>
                <w:rFonts w:ascii="Arial" w:hAnsi="Arial" w:cs="Arial"/>
                <w:color w:val="000000"/>
                <w:sz w:val="20"/>
                <w:szCs w:val="20"/>
              </w:rPr>
            </w:pPr>
            <w:r w:rsidRPr="004B1275">
              <w:rPr>
                <w:rFonts w:ascii="Arial" w:hAnsi="Arial" w:cs="Arial"/>
                <w:color w:val="000000"/>
                <w:sz w:val="20"/>
                <w:szCs w:val="20"/>
              </w:rPr>
              <w:t>53</w:t>
            </w:r>
            <w:r w:rsidR="004B1275" w:rsidRPr="004B1275">
              <w:rPr>
                <w:rFonts w:ascii="Arial" w:hAnsi="Arial" w:cs="Arial"/>
                <w:color w:val="000000"/>
                <w:sz w:val="20"/>
                <w:szCs w:val="20"/>
              </w:rPr>
              <w:t>.</w:t>
            </w:r>
            <w:r w:rsidRPr="004B1275">
              <w:rPr>
                <w:rFonts w:ascii="Arial" w:hAnsi="Arial" w:cs="Arial"/>
                <w:color w:val="000000"/>
                <w:sz w:val="20"/>
                <w:szCs w:val="20"/>
              </w:rPr>
              <w:t>4</w:t>
            </w:r>
          </w:p>
        </w:tc>
        <w:tc>
          <w:tcPr>
            <w:tcW w:w="1182" w:type="dxa"/>
            <w:shd w:val="clear" w:color="auto" w:fill="auto"/>
            <w:noWrap/>
            <w:vAlign w:val="bottom"/>
            <w:hideMark/>
          </w:tcPr>
          <w:p w14:paraId="1E72CB3E" w14:textId="6506A916"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-2</w:t>
            </w:r>
            <w:r w:rsidR="004B1275" w:rsidRPr="004B1275">
              <w:rPr>
                <w:rFonts w:ascii="Arial" w:hAnsi="Arial" w:cs="Arial"/>
                <w:sz w:val="20"/>
                <w:szCs w:val="20"/>
              </w:rPr>
              <w:t>.</w:t>
            </w:r>
            <w:r w:rsidRPr="004B1275">
              <w:rPr>
                <w:rFonts w:ascii="Arial" w:hAnsi="Arial" w:cs="Arial"/>
                <w:sz w:val="20"/>
                <w:szCs w:val="20"/>
              </w:rPr>
              <w:t>1</w:t>
            </w:r>
          </w:p>
        </w:tc>
      </w:tr>
      <w:tr w:rsidR="00214EA7" w:rsidRPr="004B1275" w14:paraId="0C677921" w14:textId="77777777" w:rsidTr="006A498A">
        <w:trPr>
          <w:cantSplit/>
          <w:trHeight w:val="584"/>
          <w:jc w:val="center"/>
        </w:trPr>
        <w:tc>
          <w:tcPr>
            <w:tcW w:w="3686" w:type="dxa"/>
            <w:shd w:val="clear" w:color="auto" w:fill="auto"/>
            <w:noWrap/>
            <w:vAlign w:val="bottom"/>
            <w:hideMark/>
          </w:tcPr>
          <w:p w14:paraId="52769DE7" w14:textId="7204B543" w:rsidR="00214EA7" w:rsidRPr="004B1275" w:rsidRDefault="004B1275" w:rsidP="00214EA7">
            <w:pPr>
              <w:spacing w:before="40" w:after="40"/>
              <w:rPr>
                <w:rFonts w:ascii="Arial" w:hAnsi="Arial" w:cs="Arial"/>
                <w:color w:val="000000"/>
                <w:sz w:val="20"/>
                <w:szCs w:val="20"/>
              </w:rPr>
            </w:pPr>
            <w:r w:rsidRPr="004B1275">
              <w:rPr>
                <w:rFonts w:ascii="Arial" w:hAnsi="Arial" w:cs="Arial"/>
                <w:color w:val="000000"/>
                <w:sz w:val="20"/>
                <w:szCs w:val="20"/>
              </w:rPr>
              <w:t>Accommodation and catering service</w:t>
            </w:r>
          </w:p>
        </w:tc>
        <w:tc>
          <w:tcPr>
            <w:tcW w:w="1417" w:type="dxa"/>
            <w:shd w:val="clear" w:color="auto" w:fill="auto"/>
            <w:noWrap/>
            <w:vAlign w:val="bottom"/>
            <w:hideMark/>
          </w:tcPr>
          <w:p w14:paraId="2B949A9C"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547</w:t>
            </w:r>
          </w:p>
        </w:tc>
        <w:tc>
          <w:tcPr>
            <w:tcW w:w="1182" w:type="dxa"/>
            <w:shd w:val="clear" w:color="auto" w:fill="auto"/>
            <w:noWrap/>
            <w:vAlign w:val="bottom"/>
            <w:hideMark/>
          </w:tcPr>
          <w:p w14:paraId="7EFC1787"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111</w:t>
            </w:r>
          </w:p>
        </w:tc>
        <w:tc>
          <w:tcPr>
            <w:tcW w:w="1363" w:type="dxa"/>
            <w:shd w:val="clear" w:color="auto" w:fill="auto"/>
            <w:noWrap/>
            <w:vAlign w:val="bottom"/>
            <w:hideMark/>
          </w:tcPr>
          <w:p w14:paraId="281F937A" w14:textId="2F80CEF5" w:rsidR="00214EA7" w:rsidRPr="004B1275" w:rsidRDefault="00214EA7" w:rsidP="00214EA7">
            <w:pPr>
              <w:spacing w:before="40" w:after="40"/>
              <w:ind w:right="316"/>
              <w:jc w:val="right"/>
              <w:rPr>
                <w:rFonts w:ascii="Arial" w:hAnsi="Arial" w:cs="Arial"/>
                <w:color w:val="000000"/>
                <w:sz w:val="20"/>
                <w:szCs w:val="20"/>
              </w:rPr>
            </w:pPr>
            <w:r w:rsidRPr="004B1275">
              <w:rPr>
                <w:rFonts w:ascii="Arial" w:hAnsi="Arial" w:cs="Arial"/>
                <w:color w:val="000000"/>
                <w:sz w:val="20"/>
                <w:szCs w:val="20"/>
              </w:rPr>
              <w:t>38</w:t>
            </w:r>
            <w:r w:rsidR="004B1275" w:rsidRPr="004B1275">
              <w:rPr>
                <w:rFonts w:ascii="Arial" w:hAnsi="Arial" w:cs="Arial"/>
                <w:color w:val="000000"/>
                <w:sz w:val="20"/>
                <w:szCs w:val="20"/>
              </w:rPr>
              <w:t>.</w:t>
            </w:r>
            <w:r w:rsidRPr="004B1275">
              <w:rPr>
                <w:rFonts w:ascii="Arial" w:hAnsi="Arial" w:cs="Arial"/>
                <w:color w:val="000000"/>
                <w:sz w:val="20"/>
                <w:szCs w:val="20"/>
              </w:rPr>
              <w:t>1</w:t>
            </w:r>
          </w:p>
        </w:tc>
        <w:tc>
          <w:tcPr>
            <w:tcW w:w="1182" w:type="dxa"/>
            <w:shd w:val="clear" w:color="auto" w:fill="auto"/>
            <w:noWrap/>
            <w:vAlign w:val="bottom"/>
            <w:hideMark/>
          </w:tcPr>
          <w:p w14:paraId="5E69657E" w14:textId="2B176D13"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5</w:t>
            </w:r>
            <w:r w:rsidR="004B1275" w:rsidRPr="004B1275">
              <w:rPr>
                <w:rFonts w:ascii="Arial" w:hAnsi="Arial" w:cs="Arial"/>
                <w:sz w:val="20"/>
                <w:szCs w:val="20"/>
              </w:rPr>
              <w:t>.</w:t>
            </w:r>
            <w:r w:rsidRPr="004B1275">
              <w:rPr>
                <w:rFonts w:ascii="Arial" w:hAnsi="Arial" w:cs="Arial"/>
                <w:sz w:val="20"/>
                <w:szCs w:val="20"/>
              </w:rPr>
              <w:t>7</w:t>
            </w:r>
          </w:p>
        </w:tc>
      </w:tr>
      <w:tr w:rsidR="00214EA7" w:rsidRPr="004B1275" w14:paraId="2C8CF744" w14:textId="77777777" w:rsidTr="006A498A">
        <w:trPr>
          <w:cantSplit/>
          <w:trHeight w:val="810"/>
          <w:jc w:val="center"/>
        </w:trPr>
        <w:tc>
          <w:tcPr>
            <w:tcW w:w="3686" w:type="dxa"/>
            <w:tcBorders>
              <w:bottom w:val="single" w:sz="4" w:space="0" w:color="auto"/>
            </w:tcBorders>
            <w:shd w:val="clear" w:color="auto" w:fill="auto"/>
            <w:noWrap/>
            <w:vAlign w:val="bottom"/>
          </w:tcPr>
          <w:p w14:paraId="789E9F1B" w14:textId="5FE02A46" w:rsidR="00214EA7" w:rsidRPr="004B1275" w:rsidRDefault="004B1275" w:rsidP="00214EA7">
            <w:pPr>
              <w:spacing w:before="40" w:after="40"/>
              <w:rPr>
                <w:rFonts w:ascii="Arial" w:hAnsi="Arial" w:cs="Arial"/>
                <w:color w:val="000000"/>
                <w:sz w:val="20"/>
                <w:szCs w:val="20"/>
              </w:rPr>
            </w:pPr>
            <w:r w:rsidRPr="004B1275">
              <w:rPr>
                <w:rFonts w:ascii="Arial" w:hAnsi="Arial" w:cs="Arial"/>
                <w:color w:val="000000"/>
                <w:sz w:val="20"/>
                <w:szCs w:val="20"/>
              </w:rPr>
              <w:t>Production and distribution of electricity, water, gas</w:t>
            </w:r>
          </w:p>
        </w:tc>
        <w:tc>
          <w:tcPr>
            <w:tcW w:w="1417" w:type="dxa"/>
            <w:tcBorders>
              <w:bottom w:val="single" w:sz="4" w:space="0" w:color="auto"/>
            </w:tcBorders>
            <w:shd w:val="clear" w:color="auto" w:fill="auto"/>
            <w:noWrap/>
            <w:vAlign w:val="bottom"/>
          </w:tcPr>
          <w:p w14:paraId="784AD0E2"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102</w:t>
            </w:r>
          </w:p>
        </w:tc>
        <w:tc>
          <w:tcPr>
            <w:tcW w:w="1182" w:type="dxa"/>
            <w:tcBorders>
              <w:bottom w:val="single" w:sz="4" w:space="0" w:color="auto"/>
            </w:tcBorders>
            <w:shd w:val="clear" w:color="auto" w:fill="auto"/>
            <w:noWrap/>
            <w:vAlign w:val="bottom"/>
          </w:tcPr>
          <w:p w14:paraId="693C5487" w14:textId="77777777" w:rsidR="00214EA7" w:rsidRPr="004B1275" w:rsidRDefault="00214EA7" w:rsidP="00214EA7">
            <w:pPr>
              <w:spacing w:before="40" w:after="40"/>
              <w:ind w:right="176"/>
              <w:jc w:val="right"/>
              <w:rPr>
                <w:rFonts w:ascii="Arial" w:hAnsi="Arial" w:cs="Arial"/>
                <w:sz w:val="20"/>
                <w:szCs w:val="20"/>
              </w:rPr>
            </w:pPr>
            <w:r w:rsidRPr="004B1275">
              <w:rPr>
                <w:rFonts w:ascii="Arial" w:hAnsi="Arial" w:cs="Arial"/>
                <w:sz w:val="20"/>
                <w:szCs w:val="20"/>
              </w:rPr>
              <w:t>53</w:t>
            </w:r>
          </w:p>
        </w:tc>
        <w:tc>
          <w:tcPr>
            <w:tcW w:w="1363" w:type="dxa"/>
            <w:tcBorders>
              <w:bottom w:val="single" w:sz="4" w:space="0" w:color="auto"/>
            </w:tcBorders>
            <w:shd w:val="clear" w:color="auto" w:fill="auto"/>
            <w:noWrap/>
            <w:vAlign w:val="bottom"/>
          </w:tcPr>
          <w:p w14:paraId="4A83A492" w14:textId="6C0E71ED" w:rsidR="00214EA7" w:rsidRPr="004B1275" w:rsidRDefault="00214EA7" w:rsidP="00214EA7">
            <w:pPr>
              <w:spacing w:before="40" w:after="40"/>
              <w:ind w:right="316"/>
              <w:jc w:val="right"/>
              <w:rPr>
                <w:rFonts w:ascii="Arial" w:hAnsi="Arial" w:cs="Arial"/>
                <w:color w:val="000000"/>
                <w:sz w:val="20"/>
                <w:szCs w:val="20"/>
              </w:rPr>
            </w:pPr>
            <w:r w:rsidRPr="004B1275">
              <w:rPr>
                <w:rFonts w:ascii="Arial" w:hAnsi="Arial" w:cs="Arial"/>
                <w:color w:val="000000"/>
                <w:sz w:val="20"/>
                <w:szCs w:val="20"/>
              </w:rPr>
              <w:t>-50</w:t>
            </w:r>
            <w:r w:rsidR="004B1275" w:rsidRPr="004B1275">
              <w:rPr>
                <w:rFonts w:ascii="Arial" w:hAnsi="Arial" w:cs="Arial"/>
                <w:color w:val="000000"/>
                <w:sz w:val="20"/>
                <w:szCs w:val="20"/>
              </w:rPr>
              <w:t>.</w:t>
            </w:r>
            <w:r w:rsidRPr="004B1275">
              <w:rPr>
                <w:rFonts w:ascii="Arial" w:hAnsi="Arial" w:cs="Arial"/>
                <w:color w:val="000000"/>
                <w:sz w:val="20"/>
                <w:szCs w:val="20"/>
              </w:rPr>
              <w:t>0</w:t>
            </w:r>
          </w:p>
        </w:tc>
        <w:tc>
          <w:tcPr>
            <w:tcW w:w="1182" w:type="dxa"/>
            <w:tcBorders>
              <w:bottom w:val="single" w:sz="4" w:space="0" w:color="auto"/>
            </w:tcBorders>
            <w:shd w:val="clear" w:color="auto" w:fill="auto"/>
            <w:noWrap/>
            <w:vAlign w:val="bottom"/>
          </w:tcPr>
          <w:p w14:paraId="374D5399" w14:textId="3879E5F2" w:rsidR="00214EA7" w:rsidRPr="004B1275" w:rsidRDefault="00214EA7" w:rsidP="00214EA7">
            <w:pPr>
              <w:spacing w:before="40" w:after="40"/>
              <w:ind w:right="176"/>
              <w:jc w:val="right"/>
              <w:rPr>
                <w:rFonts w:ascii="Arial" w:hAnsi="Arial" w:cs="Arial"/>
                <w:color w:val="000000"/>
                <w:sz w:val="20"/>
                <w:szCs w:val="20"/>
              </w:rPr>
            </w:pPr>
            <w:r w:rsidRPr="004B1275">
              <w:rPr>
                <w:rFonts w:ascii="Arial" w:hAnsi="Arial" w:cs="Arial"/>
                <w:color w:val="000000"/>
                <w:sz w:val="20"/>
                <w:szCs w:val="20"/>
              </w:rPr>
              <w:t>3</w:t>
            </w:r>
            <w:r w:rsidR="004B1275" w:rsidRPr="004B1275">
              <w:rPr>
                <w:rFonts w:ascii="Arial" w:hAnsi="Arial" w:cs="Arial"/>
                <w:color w:val="000000"/>
                <w:sz w:val="20"/>
                <w:szCs w:val="20"/>
              </w:rPr>
              <w:t>.</w:t>
            </w:r>
            <w:r w:rsidRPr="004B1275">
              <w:rPr>
                <w:rFonts w:ascii="Arial" w:hAnsi="Arial" w:cs="Arial"/>
                <w:color w:val="000000"/>
                <w:sz w:val="20"/>
                <w:szCs w:val="20"/>
              </w:rPr>
              <w:t>9</w:t>
            </w:r>
          </w:p>
        </w:tc>
      </w:tr>
    </w:tbl>
    <w:p w14:paraId="36F6A7A6" w14:textId="77777777" w:rsidR="00937DDC" w:rsidRPr="00937DDC" w:rsidRDefault="00937DDC" w:rsidP="001C3C67">
      <w:pPr>
        <w:spacing w:before="40" w:after="40" w:line="276" w:lineRule="auto"/>
        <w:ind w:firstLine="567"/>
        <w:rPr>
          <w:b/>
          <w:bCs/>
          <w:sz w:val="12"/>
          <w:lang w:val="af-ZA"/>
        </w:rPr>
      </w:pPr>
    </w:p>
    <w:p w14:paraId="2F8A4AC5" w14:textId="4BF4AD06" w:rsidR="00BF3645" w:rsidRDefault="00BF3645" w:rsidP="006A498A">
      <w:pPr>
        <w:spacing w:before="40" w:after="40" w:line="288" w:lineRule="auto"/>
        <w:ind w:firstLine="567"/>
        <w:rPr>
          <w:b/>
          <w:bCs/>
          <w:lang w:val="af-ZA"/>
        </w:rPr>
      </w:pPr>
      <w:r w:rsidRPr="009F5D5F">
        <w:rPr>
          <w:b/>
          <w:bCs/>
          <w:lang w:val="af-ZA"/>
        </w:rPr>
        <w:t xml:space="preserve">4. </w:t>
      </w:r>
      <w:r w:rsidR="00F7100F" w:rsidRPr="00E23FB3">
        <w:rPr>
          <w:b/>
          <w:lang w:val="it-IT"/>
        </w:rPr>
        <w:t>Investment</w:t>
      </w:r>
    </w:p>
    <w:p w14:paraId="0E14AD04" w14:textId="527F6CE1" w:rsidR="00ED08FC" w:rsidRDefault="005F364C" w:rsidP="006A498A">
      <w:pPr>
        <w:spacing w:before="40" w:after="40" w:line="312" w:lineRule="auto"/>
        <w:ind w:firstLine="567"/>
        <w:jc w:val="both"/>
        <w:rPr>
          <w:i/>
          <w:lang w:val="it-IT"/>
        </w:rPr>
      </w:pPr>
      <w:r w:rsidRPr="005F364C">
        <w:rPr>
          <w:i/>
          <w:lang w:val="it-IT"/>
        </w:rPr>
        <w:t>Investment activities in January</w:t>
      </w:r>
      <w:r w:rsidR="00C30D37">
        <w:rPr>
          <w:i/>
          <w:lang w:val="it-IT"/>
        </w:rPr>
        <w:t xml:space="preserve"> 2022</w:t>
      </w:r>
      <w:r w:rsidRPr="005F364C">
        <w:rPr>
          <w:i/>
          <w:lang w:val="it-IT"/>
        </w:rPr>
        <w:t xml:space="preserve"> focus mainly on the allocation of capital plan in 2022, new projects would be allocated capital in 2022 have been preparing to complete investment procedures and file documents, the volume of implementation was mainly at the transition works. The proportion of realized investment capital from the State budget reached 4.8% of the year plan and increased by 8.6% over the same period in 2021. Realized foreign direct investment (FDI) capital in Vietnam in January 2022 was at a good point (1.61 billion USD), up 6.8% over the same period last year.</w:t>
      </w:r>
    </w:p>
    <w:p w14:paraId="1F1AC082" w14:textId="44E2E784" w:rsidR="0056584B" w:rsidRDefault="0056584B" w:rsidP="006A498A">
      <w:pPr>
        <w:spacing w:before="40" w:after="40" w:line="312" w:lineRule="auto"/>
        <w:ind w:firstLine="567"/>
        <w:jc w:val="both"/>
        <w:rPr>
          <w:lang w:val="pt-BR"/>
        </w:rPr>
      </w:pPr>
      <w:r w:rsidRPr="0056584B">
        <w:rPr>
          <w:i/>
          <w:iCs/>
          <w:lang w:val="pt-BR"/>
        </w:rPr>
        <w:t>Investment capital realize</w:t>
      </w:r>
      <w:r w:rsidRPr="0056584B">
        <w:rPr>
          <w:i/>
          <w:iCs/>
        </w:rPr>
        <w:t>d under</w:t>
      </w:r>
      <w:r w:rsidRPr="0056584B">
        <w:rPr>
          <w:i/>
          <w:iCs/>
          <w:lang w:val="pt-BR"/>
        </w:rPr>
        <w:t xml:space="preserve"> the State budget</w:t>
      </w:r>
      <w:r w:rsidRPr="0030542A">
        <w:rPr>
          <w:lang w:val="pt-BR"/>
        </w:rPr>
        <w:t xml:space="preserve"> in </w:t>
      </w:r>
      <w:r>
        <w:rPr>
          <w:lang w:val="pt-BR"/>
        </w:rPr>
        <w:t>January</w:t>
      </w:r>
      <w:r w:rsidR="009A39B5">
        <w:rPr>
          <w:lang w:val="pt-BR"/>
        </w:rPr>
        <w:t xml:space="preserve"> </w:t>
      </w:r>
      <w:r>
        <w:rPr>
          <w:lang w:val="pt-BR"/>
        </w:rPr>
        <w:t>2022</w:t>
      </w:r>
      <w:r w:rsidRPr="0030542A">
        <w:rPr>
          <w:lang w:val="pt-BR"/>
        </w:rPr>
        <w:t xml:space="preserve"> was estimated at </w:t>
      </w:r>
      <w:r>
        <w:rPr>
          <w:lang w:val="pt-BR"/>
        </w:rPr>
        <w:t>25.3</w:t>
      </w:r>
      <w:r w:rsidRPr="0030542A">
        <w:rPr>
          <w:lang w:val="pt-BR"/>
        </w:rPr>
        <w:t xml:space="preserve"> </w:t>
      </w:r>
      <w:r>
        <w:rPr>
          <w:lang w:val="pt-BR"/>
        </w:rPr>
        <w:t xml:space="preserve">trillion </w:t>
      </w:r>
      <w:r w:rsidRPr="0030542A">
        <w:rPr>
          <w:lang w:val="pt-BR"/>
        </w:rPr>
        <w:t xml:space="preserve">VND, equaling </w:t>
      </w:r>
      <w:r>
        <w:rPr>
          <w:lang w:val="pt-BR"/>
        </w:rPr>
        <w:t>4.8% of the year plan and up 8.6</w:t>
      </w:r>
      <w:r w:rsidRPr="0030542A">
        <w:rPr>
          <w:lang w:val="pt-BR"/>
        </w:rPr>
        <w:t>% against the same period last year</w:t>
      </w:r>
      <w:r>
        <w:rPr>
          <w:lang w:val="pt-BR"/>
        </w:rPr>
        <w:t xml:space="preserve"> (the same period last year 2021</w:t>
      </w:r>
      <w:r w:rsidRPr="0030542A">
        <w:rPr>
          <w:lang w:val="pt-BR"/>
        </w:rPr>
        <w:t xml:space="preserve"> equal</w:t>
      </w:r>
      <w:r>
        <w:rPr>
          <w:lang w:val="pt-BR"/>
        </w:rPr>
        <w:t>ed</w:t>
      </w:r>
      <w:r>
        <w:t xml:space="preserve"> to</w:t>
      </w:r>
      <w:r w:rsidRPr="0030542A">
        <w:rPr>
          <w:lang w:val="pt-BR"/>
        </w:rPr>
        <w:t xml:space="preserve"> </w:t>
      </w:r>
      <w:r>
        <w:rPr>
          <w:lang w:val="pt-BR"/>
        </w:rPr>
        <w:t>4.6</w:t>
      </w:r>
      <w:r w:rsidRPr="0030542A">
        <w:rPr>
          <w:lang w:val="pt-BR"/>
        </w:rPr>
        <w:t>% and increase</w:t>
      </w:r>
      <w:r>
        <w:t>d</w:t>
      </w:r>
      <w:r w:rsidRPr="0030542A">
        <w:rPr>
          <w:lang w:val="pt-BR"/>
        </w:rPr>
        <w:t xml:space="preserve"> by </w:t>
      </w:r>
      <w:r>
        <w:rPr>
          <w:lang w:val="pt-BR"/>
        </w:rPr>
        <w:t>24.9</w:t>
      </w:r>
      <w:r w:rsidRPr="0030542A">
        <w:rPr>
          <w:lang w:val="pt-BR"/>
        </w:rPr>
        <w:t xml:space="preserve">%), including: </w:t>
      </w:r>
    </w:p>
    <w:p w14:paraId="6058075A" w14:textId="0A2D2B8A" w:rsidR="0056584B" w:rsidRDefault="0056584B" w:rsidP="006A498A">
      <w:pPr>
        <w:spacing w:before="40" w:after="40" w:line="312" w:lineRule="auto"/>
        <w:ind w:firstLine="567"/>
        <w:jc w:val="both"/>
        <w:rPr>
          <w:lang w:val="pt-BR"/>
        </w:rPr>
      </w:pPr>
      <w:r w:rsidRPr="00F7451C">
        <w:rPr>
          <w:lang w:val="pt-BR"/>
        </w:rPr>
        <w:t xml:space="preserve">- The capital under central management was </w:t>
      </w:r>
      <w:r>
        <w:rPr>
          <w:lang w:val="pt-BR"/>
        </w:rPr>
        <w:t>3.4 tr</w:t>
      </w:r>
      <w:r w:rsidRPr="00F7451C">
        <w:rPr>
          <w:lang w:val="pt-BR"/>
        </w:rPr>
        <w:t>illion VND, equaling</w:t>
      </w:r>
      <w:r>
        <w:t xml:space="preserve"> </w:t>
      </w:r>
      <w:r>
        <w:rPr>
          <w:lang w:val="pt-BR"/>
        </w:rPr>
        <w:t>3.4</w:t>
      </w:r>
      <w:r w:rsidRPr="00F7451C">
        <w:rPr>
          <w:lang w:val="pt-BR"/>
        </w:rPr>
        <w:t xml:space="preserve">% of the yearly plan and increasing </w:t>
      </w:r>
      <w:r>
        <w:rPr>
          <w:lang w:val="pt-BR"/>
        </w:rPr>
        <w:t>9.2</w:t>
      </w:r>
      <w:r w:rsidRPr="00F7451C">
        <w:rPr>
          <w:lang w:val="pt-BR"/>
        </w:rPr>
        <w:t>% against the same period last year</w:t>
      </w:r>
      <w:r>
        <w:rPr>
          <w:lang w:val="pt-BR"/>
        </w:rPr>
        <w:t>.</w:t>
      </w:r>
    </w:p>
    <w:p w14:paraId="01EC1298" w14:textId="5892134E" w:rsidR="006A498A" w:rsidRDefault="006A498A" w:rsidP="006A498A">
      <w:pPr>
        <w:spacing w:before="40" w:after="40" w:line="312" w:lineRule="auto"/>
        <w:ind w:firstLine="567"/>
        <w:jc w:val="both"/>
        <w:rPr>
          <w:lang w:val="pt-BR"/>
        </w:rPr>
      </w:pPr>
    </w:p>
    <w:p w14:paraId="76FB791E" w14:textId="77777777" w:rsidR="006A498A" w:rsidRDefault="006A498A" w:rsidP="006A498A">
      <w:pPr>
        <w:spacing w:before="40" w:after="40" w:line="312" w:lineRule="auto"/>
        <w:ind w:firstLine="567"/>
        <w:jc w:val="both"/>
        <w:rPr>
          <w:lang w:val="pt-BR"/>
        </w:rPr>
      </w:pPr>
    </w:p>
    <w:p w14:paraId="30FAA305" w14:textId="77777777" w:rsidR="00BF3645" w:rsidRPr="00052095" w:rsidRDefault="00BF3645" w:rsidP="00BF3645">
      <w:pPr>
        <w:jc w:val="center"/>
        <w:rPr>
          <w:rFonts w:ascii="Arial" w:hAnsi="Arial" w:cs="Arial"/>
          <w:b/>
          <w:bCs/>
          <w:sz w:val="8"/>
          <w:szCs w:val="24"/>
          <w:lang w:val="af-ZA"/>
        </w:rPr>
      </w:pPr>
    </w:p>
    <w:p w14:paraId="567F7A5D" w14:textId="77777777" w:rsidR="00BB76D7" w:rsidRPr="00387E47" w:rsidRDefault="00BB76D7" w:rsidP="006A498A">
      <w:pPr>
        <w:spacing w:before="40" w:after="40"/>
        <w:ind w:firstLine="567"/>
        <w:jc w:val="center"/>
        <w:rPr>
          <w:b/>
          <w:iCs/>
          <w:spacing w:val="-2"/>
          <w:lang w:val="af-ZA"/>
        </w:rPr>
      </w:pPr>
      <w:r w:rsidRPr="00387E47">
        <w:rPr>
          <w:b/>
          <w:iCs/>
          <w:spacing w:val="-2"/>
          <w:lang w:val="af-ZA"/>
        </w:rPr>
        <w:lastRenderedPageBreak/>
        <w:t>Figure 6. Realized investment capital from the State budget</w:t>
      </w:r>
    </w:p>
    <w:p w14:paraId="73862104" w14:textId="295ABF12" w:rsidR="00BB76D7" w:rsidRPr="00387E47" w:rsidRDefault="00BB76D7" w:rsidP="006A498A">
      <w:pPr>
        <w:spacing w:before="40" w:after="40"/>
        <w:ind w:firstLine="567"/>
        <w:jc w:val="center"/>
        <w:rPr>
          <w:b/>
          <w:iCs/>
          <w:spacing w:val="-2"/>
          <w:lang w:val="af-ZA"/>
        </w:rPr>
      </w:pPr>
      <w:r w:rsidRPr="00387E47">
        <w:rPr>
          <w:b/>
          <w:iCs/>
          <w:spacing w:val="-2"/>
          <w:lang w:val="af-ZA"/>
        </w:rPr>
        <w:t>in</w:t>
      </w:r>
      <w:r w:rsidRPr="00387E47">
        <w:rPr>
          <w:b/>
          <w:iCs/>
          <w:spacing w:val="-2"/>
        </w:rPr>
        <w:t xml:space="preserve"> </w:t>
      </w:r>
      <w:r>
        <w:rPr>
          <w:b/>
          <w:iCs/>
          <w:spacing w:val="-2"/>
          <w:lang w:val="af-ZA"/>
        </w:rPr>
        <w:t>January 2022</w:t>
      </w:r>
      <w:r w:rsidRPr="00387E47">
        <w:rPr>
          <w:b/>
          <w:iCs/>
          <w:spacing w:val="-2"/>
          <w:lang w:val="af-ZA"/>
        </w:rPr>
        <w:t xml:space="preserve"> by </w:t>
      </w:r>
      <w:r>
        <w:rPr>
          <w:b/>
          <w:iCs/>
          <w:spacing w:val="-2"/>
          <w:lang w:val="af-ZA"/>
        </w:rPr>
        <w:t>M</w:t>
      </w:r>
      <w:r w:rsidRPr="00387E47">
        <w:rPr>
          <w:b/>
          <w:iCs/>
          <w:spacing w:val="-2"/>
          <w:lang w:val="af-ZA"/>
        </w:rPr>
        <w:t>inistry and sector</w:t>
      </w:r>
    </w:p>
    <w:p w14:paraId="2DB98967" w14:textId="77777777" w:rsidR="00BF3645" w:rsidRPr="000823F1" w:rsidRDefault="00BF3645" w:rsidP="00BF3645">
      <w:pPr>
        <w:spacing w:before="40" w:after="40" w:line="264" w:lineRule="auto"/>
        <w:jc w:val="center"/>
        <w:rPr>
          <w:bCs/>
          <w:iCs/>
          <w:spacing w:val="-2"/>
          <w:sz w:val="2"/>
          <w:lang w:val="af-Z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BF3645" w14:paraId="3A7E5FC4" w14:textId="77777777" w:rsidTr="00E569BD">
        <w:trPr>
          <w:trHeight w:val="264"/>
          <w:jc w:val="center"/>
        </w:trPr>
        <w:tc>
          <w:tcPr>
            <w:tcW w:w="9204" w:type="dxa"/>
            <w:tcBorders>
              <w:top w:val="nil"/>
              <w:left w:val="nil"/>
              <w:bottom w:val="nil"/>
              <w:right w:val="nil"/>
            </w:tcBorders>
            <w:shd w:val="clear" w:color="auto" w:fill="auto"/>
          </w:tcPr>
          <w:p w14:paraId="5093021A" w14:textId="77777777" w:rsidR="00BF3645" w:rsidRDefault="00E23E85" w:rsidP="00E23E85">
            <w:pPr>
              <w:spacing w:before="40"/>
              <w:ind w:firstLine="176"/>
              <w:jc w:val="right"/>
              <w:rPr>
                <w:rFonts w:ascii="Arial" w:hAnsi="Arial" w:cs="Arial"/>
                <w:bCs/>
                <w:i/>
                <w:iCs/>
                <w:spacing w:val="-2"/>
                <w:sz w:val="18"/>
                <w:szCs w:val="10"/>
                <w:lang w:val="af-ZA"/>
              </w:rPr>
            </w:pPr>
            <w:r>
              <w:rPr>
                <w:rFonts w:ascii="Arial" w:hAnsi="Arial" w:cs="Arial"/>
                <w:bCs/>
                <w:i/>
                <w:iCs/>
                <w:spacing w:val="-2"/>
                <w:sz w:val="18"/>
                <w:szCs w:val="10"/>
                <w:lang w:val="af-ZA"/>
              </w:rPr>
              <w:t>Bill. VND</w:t>
            </w:r>
          </w:p>
          <w:p w14:paraId="41D8F010" w14:textId="4593F0D5" w:rsidR="00E23E85" w:rsidRPr="00247580" w:rsidRDefault="00E23E85" w:rsidP="00E23E85">
            <w:pPr>
              <w:spacing w:before="40"/>
              <w:ind w:firstLine="176"/>
              <w:jc w:val="right"/>
              <w:rPr>
                <w:rFonts w:ascii="Arial" w:hAnsi="Arial" w:cs="Arial"/>
                <w:bCs/>
                <w:i/>
                <w:iCs/>
                <w:spacing w:val="-2"/>
                <w:sz w:val="16"/>
                <w:szCs w:val="10"/>
                <w:lang w:val="af-ZA"/>
              </w:rPr>
            </w:pPr>
          </w:p>
        </w:tc>
      </w:tr>
    </w:tbl>
    <w:p w14:paraId="1D2CC6C2" w14:textId="4D1F5F2C" w:rsidR="001F18F2" w:rsidRDefault="00E23E85" w:rsidP="007C33A9">
      <w:pPr>
        <w:spacing w:before="20" w:after="20" w:line="254" w:lineRule="auto"/>
        <w:jc w:val="center"/>
        <w:rPr>
          <w:bCs/>
          <w:iCs/>
          <w:lang w:val="af-ZA"/>
        </w:rPr>
      </w:pPr>
      <w:r w:rsidRPr="008236E1">
        <w:rPr>
          <w:noProof/>
        </w:rPr>
        <w:drawing>
          <wp:inline distT="0" distB="0" distL="0" distR="0" wp14:anchorId="4792E7DC" wp14:editId="14DB71BC">
            <wp:extent cx="4912340" cy="224028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0906" cy="2248747"/>
                    </a:xfrm>
                    <a:prstGeom prst="rect">
                      <a:avLst/>
                    </a:prstGeom>
                    <a:noFill/>
                    <a:ln>
                      <a:noFill/>
                    </a:ln>
                  </pic:spPr>
                </pic:pic>
              </a:graphicData>
            </a:graphic>
          </wp:inline>
        </w:drawing>
      </w:r>
    </w:p>
    <w:p w14:paraId="77DAEDCA" w14:textId="77777777" w:rsidR="00F214EA" w:rsidRDefault="00F214EA" w:rsidP="00BF3645">
      <w:pPr>
        <w:spacing w:before="20" w:after="20" w:line="254" w:lineRule="auto"/>
        <w:ind w:firstLine="567"/>
        <w:jc w:val="both"/>
        <w:rPr>
          <w:bCs/>
          <w:iCs/>
          <w:lang w:val="af-ZA"/>
        </w:rPr>
      </w:pPr>
    </w:p>
    <w:p w14:paraId="3141D478" w14:textId="77777777" w:rsidR="00F214EA" w:rsidRPr="001A655C" w:rsidRDefault="00F214EA" w:rsidP="00F214EA">
      <w:pPr>
        <w:spacing w:before="40" w:after="40" w:line="276" w:lineRule="auto"/>
        <w:ind w:firstLine="567"/>
        <w:jc w:val="both"/>
        <w:rPr>
          <w:lang w:val="pt-BR"/>
        </w:rPr>
      </w:pPr>
      <w:r w:rsidRPr="001A655C">
        <w:rPr>
          <w:lang w:val="pt-BR"/>
        </w:rPr>
        <w:t xml:space="preserve">- The capital under local management reached 21.9 trillion VND, equaling 5.2% of the yearly plan and climbing up 8.5% over the same period in 2021, of which: </w:t>
      </w:r>
    </w:p>
    <w:p w14:paraId="4580CF8B" w14:textId="77777777" w:rsidR="00F214EA" w:rsidRPr="001A655C" w:rsidRDefault="00F214EA" w:rsidP="00F214EA">
      <w:pPr>
        <w:spacing w:before="40" w:after="40" w:line="276" w:lineRule="auto"/>
        <w:ind w:firstLine="567"/>
        <w:jc w:val="both"/>
        <w:rPr>
          <w:lang w:val="pt-BR"/>
        </w:rPr>
      </w:pPr>
      <w:r w:rsidRPr="001A655C">
        <w:rPr>
          <w:lang w:val="pt-BR"/>
        </w:rPr>
        <w:t xml:space="preserve">The State budget capital under provincial-level reached 14.5 trillion VND, equaling 4.9% and growing up 6.9%; </w:t>
      </w:r>
    </w:p>
    <w:p w14:paraId="79A6DA10" w14:textId="77777777" w:rsidR="00F214EA" w:rsidRPr="001A655C" w:rsidRDefault="00F214EA" w:rsidP="00F214EA">
      <w:pPr>
        <w:spacing w:before="40" w:after="40" w:line="276" w:lineRule="auto"/>
        <w:ind w:firstLine="567"/>
        <w:jc w:val="both"/>
        <w:rPr>
          <w:lang w:val="pt-BR"/>
        </w:rPr>
      </w:pPr>
      <w:r w:rsidRPr="001A655C">
        <w:rPr>
          <w:lang w:val="pt-BR"/>
        </w:rPr>
        <w:t xml:space="preserve">The State budget capital at the district level gained 6.3 trillion VND, equaling 5.7% and increasing by 14.4%; </w:t>
      </w:r>
    </w:p>
    <w:p w14:paraId="11089E76" w14:textId="77777777" w:rsidR="00F214EA" w:rsidRPr="001A655C" w:rsidRDefault="00F214EA" w:rsidP="00F214EA">
      <w:pPr>
        <w:spacing w:before="40" w:after="40" w:line="276" w:lineRule="auto"/>
        <w:ind w:firstLine="567"/>
        <w:jc w:val="both"/>
        <w:rPr>
          <w:lang w:val="pt-BR"/>
        </w:rPr>
      </w:pPr>
      <w:r w:rsidRPr="001A655C">
        <w:rPr>
          <w:lang w:val="pt-BR"/>
        </w:rPr>
        <w:t xml:space="preserve">The State budget capital at the commune level was 1.1 trillion VND, equaling 7.1% and decreasing by 0.8%. </w:t>
      </w:r>
    </w:p>
    <w:p w14:paraId="2CF28550" w14:textId="3A5157E5" w:rsidR="00F214EA" w:rsidRPr="00052095" w:rsidRDefault="00F214EA" w:rsidP="006A498A">
      <w:pPr>
        <w:spacing w:before="40" w:after="40" w:line="276" w:lineRule="auto"/>
        <w:ind w:firstLine="567"/>
        <w:jc w:val="both"/>
        <w:rPr>
          <w:rFonts w:ascii="Arial" w:hAnsi="Arial" w:cs="Arial"/>
          <w:b/>
          <w:bCs/>
          <w:sz w:val="24"/>
          <w:szCs w:val="24"/>
          <w:lang w:val="af-ZA"/>
        </w:rPr>
      </w:pPr>
      <w:r w:rsidRPr="001A655C">
        <w:rPr>
          <w:lang w:val="pt-BR"/>
        </w:rPr>
        <w:t>- The realized investment capital under the State budget in January of some provinces and cities directly under the Central Government was as follows:</w:t>
      </w:r>
    </w:p>
    <w:p w14:paraId="1448AB69" w14:textId="77777777" w:rsidR="001C3C67" w:rsidRPr="00052095" w:rsidRDefault="001C3C67" w:rsidP="00BF3645">
      <w:pPr>
        <w:spacing w:before="40" w:after="40" w:line="264" w:lineRule="auto"/>
        <w:jc w:val="center"/>
        <w:rPr>
          <w:rFonts w:ascii="Arial" w:hAnsi="Arial" w:cs="Arial"/>
          <w:b/>
          <w:bCs/>
          <w:sz w:val="2"/>
          <w:szCs w:val="24"/>
          <w:lang w:val="af-ZA"/>
        </w:rPr>
      </w:pPr>
    </w:p>
    <w:p w14:paraId="4F706930" w14:textId="77777777" w:rsidR="00F214EA" w:rsidRPr="00387E47" w:rsidRDefault="00F214EA" w:rsidP="00F214EA">
      <w:pPr>
        <w:pStyle w:val="ListParagraph"/>
        <w:spacing w:before="20" w:after="20" w:line="254" w:lineRule="auto"/>
        <w:ind w:left="567"/>
        <w:jc w:val="center"/>
        <w:rPr>
          <w:b/>
          <w:bCs/>
          <w:sz w:val="24"/>
          <w:szCs w:val="24"/>
        </w:rPr>
      </w:pPr>
      <w:r w:rsidRPr="00387E47">
        <w:rPr>
          <w:b/>
          <w:iCs/>
          <w:lang w:val="af-ZA"/>
        </w:rPr>
        <w:t>Figure 7. Realized investment capital from the State budget</w:t>
      </w:r>
      <w:r w:rsidRPr="00387E47">
        <w:rPr>
          <w:b/>
          <w:iCs/>
          <w:lang w:val="af-ZA"/>
        </w:rPr>
        <w:br/>
        <w:t>in</w:t>
      </w:r>
      <w:r w:rsidRPr="00387E47">
        <w:rPr>
          <w:b/>
          <w:iCs/>
        </w:rPr>
        <w:t xml:space="preserve"> </w:t>
      </w:r>
      <w:r>
        <w:rPr>
          <w:b/>
          <w:iCs/>
          <w:lang w:val="af-ZA"/>
        </w:rPr>
        <w:t>January 2022</w:t>
      </w:r>
      <w:r w:rsidRPr="00387E47">
        <w:rPr>
          <w:b/>
          <w:iCs/>
          <w:lang w:val="af-ZA"/>
        </w:rPr>
        <w:t xml:space="preserve"> by locality</w:t>
      </w:r>
    </w:p>
    <w:p w14:paraId="141CE609" w14:textId="77777777" w:rsidR="00BF3645" w:rsidRPr="00BC5450" w:rsidRDefault="00BF3645" w:rsidP="00BF3645">
      <w:pPr>
        <w:pStyle w:val="ListParagraph"/>
        <w:numPr>
          <w:ilvl w:val="0"/>
          <w:numId w:val="4"/>
        </w:numPr>
        <w:spacing w:before="40" w:after="40" w:line="264" w:lineRule="auto"/>
        <w:jc w:val="center"/>
        <w:rPr>
          <w:bCs/>
          <w:iCs/>
          <w:spacing w:val="-2"/>
          <w:sz w:val="2"/>
          <w:lang w:val="af-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F3645" w14:paraId="3E904E4F" w14:textId="77777777" w:rsidTr="0081640D">
        <w:trPr>
          <w:jc w:val="center"/>
        </w:trPr>
        <w:tc>
          <w:tcPr>
            <w:tcW w:w="8976" w:type="dxa"/>
            <w:tcBorders>
              <w:top w:val="nil"/>
              <w:left w:val="nil"/>
              <w:bottom w:val="nil"/>
              <w:right w:val="nil"/>
            </w:tcBorders>
            <w:shd w:val="clear" w:color="auto" w:fill="auto"/>
          </w:tcPr>
          <w:p w14:paraId="33B1943A" w14:textId="063F3345" w:rsidR="00BF3645" w:rsidRPr="00247580" w:rsidRDefault="00FE08FA" w:rsidP="00FE08FA">
            <w:pPr>
              <w:spacing w:before="40" w:after="40" w:line="264" w:lineRule="auto"/>
              <w:ind w:right="219" w:firstLine="318"/>
              <w:jc w:val="right"/>
              <w:rPr>
                <w:rFonts w:ascii="Arial" w:hAnsi="Arial" w:cs="Arial"/>
                <w:bCs/>
                <w:i/>
                <w:iCs/>
                <w:spacing w:val="-2"/>
                <w:sz w:val="16"/>
                <w:szCs w:val="10"/>
                <w:lang w:val="af-ZA"/>
              </w:rPr>
            </w:pPr>
            <w:r>
              <w:rPr>
                <w:rFonts w:ascii="Arial" w:hAnsi="Arial" w:cs="Arial"/>
                <w:bCs/>
                <w:i/>
                <w:iCs/>
                <w:spacing w:val="-2"/>
                <w:sz w:val="16"/>
                <w:szCs w:val="10"/>
                <w:lang w:val="af-ZA"/>
              </w:rPr>
              <w:t>Bill. VND</w:t>
            </w:r>
          </w:p>
        </w:tc>
      </w:tr>
      <w:tr w:rsidR="00BF3645" w14:paraId="7A0837B0" w14:textId="77777777" w:rsidTr="0081640D">
        <w:trPr>
          <w:jc w:val="center"/>
        </w:trPr>
        <w:tc>
          <w:tcPr>
            <w:tcW w:w="8976" w:type="dxa"/>
            <w:tcBorders>
              <w:top w:val="nil"/>
              <w:left w:val="nil"/>
              <w:bottom w:val="nil"/>
              <w:right w:val="nil"/>
            </w:tcBorders>
            <w:shd w:val="clear" w:color="auto" w:fill="auto"/>
          </w:tcPr>
          <w:p w14:paraId="4119135A" w14:textId="5F0A5EDB" w:rsidR="00BF3645" w:rsidRPr="00247580" w:rsidRDefault="006D22C2" w:rsidP="00247580">
            <w:pPr>
              <w:spacing w:before="40" w:after="40" w:line="264" w:lineRule="auto"/>
              <w:jc w:val="center"/>
              <w:rPr>
                <w:bCs/>
                <w:iCs/>
                <w:spacing w:val="-2"/>
                <w:lang w:val="af-ZA"/>
              </w:rPr>
            </w:pPr>
            <w:r w:rsidRPr="000B7997">
              <w:rPr>
                <w:noProof/>
              </w:rPr>
              <w:drawing>
                <wp:inline distT="0" distB="0" distL="0" distR="0" wp14:anchorId="2BE5F2AB" wp14:editId="6E04F863">
                  <wp:extent cx="4564380" cy="22098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64380" cy="2209800"/>
                          </a:xfrm>
                          <a:prstGeom prst="rect">
                            <a:avLst/>
                          </a:prstGeom>
                          <a:noFill/>
                          <a:ln>
                            <a:noFill/>
                          </a:ln>
                        </pic:spPr>
                      </pic:pic>
                    </a:graphicData>
                  </a:graphic>
                </wp:inline>
              </w:drawing>
            </w:r>
          </w:p>
        </w:tc>
      </w:tr>
    </w:tbl>
    <w:p w14:paraId="284D4C88" w14:textId="4948109F" w:rsidR="00461ACF" w:rsidRDefault="0081640D" w:rsidP="00461ACF">
      <w:pPr>
        <w:spacing w:before="40" w:after="40" w:line="264" w:lineRule="auto"/>
        <w:ind w:firstLine="720"/>
        <w:jc w:val="both"/>
        <w:rPr>
          <w:iCs/>
          <w:spacing w:val="-8"/>
          <w:lang w:val="de-DE"/>
        </w:rPr>
      </w:pPr>
      <w:r>
        <w:rPr>
          <w:rStyle w:val="Emphasis"/>
          <w:color w:val="0E101A"/>
        </w:rPr>
        <w:lastRenderedPageBreak/>
        <w:t>The foreign direct investment from the beginning of the year to 20/01/2022</w:t>
      </w:r>
      <w:r w:rsidR="00461ACF" w:rsidRPr="00B013B5">
        <w:rPr>
          <w:rStyle w:val="FootnoteReference"/>
          <w:i/>
          <w:iCs/>
          <w:spacing w:val="-6"/>
          <w:lang w:val="de-DE"/>
        </w:rPr>
        <w:footnoteReference w:id="10"/>
      </w:r>
      <w:r w:rsidR="000F6A90">
        <w:rPr>
          <w:i/>
          <w:iCs/>
          <w:spacing w:val="-6"/>
          <w:lang w:val="de-DE"/>
        </w:rPr>
        <w:t xml:space="preserve"> </w:t>
      </w:r>
      <w:r w:rsidRPr="0081640D">
        <w:rPr>
          <w:iCs/>
          <w:spacing w:val="-6"/>
          <w:lang w:val="de-DE"/>
        </w:rPr>
        <w:t>included newly registered capital, adjusted registered capital, and the total value of capital contribution and share purchases of foreign investors reached 2.1 billion USD, increased by 4.2% compared to the same period in 2021.</w:t>
      </w:r>
    </w:p>
    <w:p w14:paraId="387DBEF8" w14:textId="77777777" w:rsidR="00461ACF" w:rsidRPr="00CB1F4E" w:rsidRDefault="00461ACF" w:rsidP="00461ACF">
      <w:pPr>
        <w:jc w:val="center"/>
        <w:rPr>
          <w:rFonts w:ascii="Arial" w:hAnsi="Arial" w:cs="Arial"/>
          <w:b/>
          <w:bCs/>
          <w:sz w:val="2"/>
          <w:lang w:val="de-DE"/>
        </w:rPr>
      </w:pPr>
    </w:p>
    <w:p w14:paraId="4B140776" w14:textId="77777777" w:rsidR="00F573D2" w:rsidRPr="00F573D2" w:rsidRDefault="00F573D2" w:rsidP="00461ACF">
      <w:pPr>
        <w:jc w:val="center"/>
        <w:rPr>
          <w:rFonts w:ascii="Arial" w:hAnsi="Arial" w:cs="Arial"/>
          <w:b/>
          <w:bCs/>
          <w:sz w:val="2"/>
          <w:lang w:val="de-DE"/>
        </w:rPr>
      </w:pPr>
    </w:p>
    <w:p w14:paraId="1B559071" w14:textId="77777777" w:rsidR="00E656DB" w:rsidRPr="00E656DB" w:rsidRDefault="00E656DB" w:rsidP="00E656DB">
      <w:pPr>
        <w:jc w:val="center"/>
        <w:rPr>
          <w:color w:val="0E101A"/>
          <w:sz w:val="24"/>
          <w:szCs w:val="24"/>
        </w:rPr>
      </w:pPr>
      <w:r w:rsidRPr="00E656DB">
        <w:rPr>
          <w:b/>
          <w:bCs/>
          <w:color w:val="0E101A"/>
          <w:sz w:val="24"/>
          <w:szCs w:val="24"/>
        </w:rPr>
        <w:t>Figure 8. The registered capital of foreign investment in Vietnam</w:t>
      </w:r>
    </w:p>
    <w:p w14:paraId="3C93112C" w14:textId="50B69351" w:rsidR="00E656DB" w:rsidRPr="00E656DB" w:rsidRDefault="00E656DB" w:rsidP="00E656DB">
      <w:pPr>
        <w:jc w:val="center"/>
        <w:rPr>
          <w:color w:val="0E101A"/>
          <w:sz w:val="24"/>
          <w:szCs w:val="24"/>
        </w:rPr>
      </w:pPr>
      <w:r w:rsidRPr="00E656DB">
        <w:rPr>
          <w:b/>
          <w:bCs/>
          <w:color w:val="0E101A"/>
          <w:sz w:val="24"/>
          <w:szCs w:val="24"/>
        </w:rPr>
        <w:t>as of January 20, in 2018-2022 (Billion USD)</w:t>
      </w:r>
    </w:p>
    <w:p w14:paraId="6C7ACE93" w14:textId="3EBD8589" w:rsidR="00461ACF" w:rsidRDefault="00771CD1" w:rsidP="00771CD1">
      <w:pPr>
        <w:spacing w:before="40" w:after="40" w:line="264" w:lineRule="auto"/>
        <w:jc w:val="center"/>
        <w:rPr>
          <w:iCs/>
          <w:spacing w:val="-8"/>
          <w:lang w:val="de-DE"/>
        </w:rPr>
      </w:pPr>
      <w:r>
        <w:rPr>
          <w:noProof/>
        </w:rPr>
        <w:drawing>
          <wp:inline distT="0" distB="0" distL="0" distR="0" wp14:anchorId="48114717" wp14:editId="6B10398D">
            <wp:extent cx="5080000" cy="3048226"/>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8088" cy="3053079"/>
                    </a:xfrm>
                    <a:prstGeom prst="rect">
                      <a:avLst/>
                    </a:prstGeom>
                    <a:noFill/>
                    <a:ln>
                      <a:noFill/>
                    </a:ln>
                  </pic:spPr>
                </pic:pic>
              </a:graphicData>
            </a:graphic>
          </wp:inline>
        </w:drawing>
      </w:r>
    </w:p>
    <w:p w14:paraId="3E53D0B8" w14:textId="77777777" w:rsidR="00461ACF" w:rsidRPr="008816F9" w:rsidRDefault="00461ACF" w:rsidP="00461ACF">
      <w:pPr>
        <w:spacing w:before="40" w:after="40" w:line="288" w:lineRule="auto"/>
        <w:ind w:firstLine="567"/>
        <w:jc w:val="both"/>
        <w:rPr>
          <w:iCs/>
          <w:spacing w:val="-2"/>
          <w:sz w:val="4"/>
          <w:lang w:val="de-DE"/>
        </w:rPr>
      </w:pPr>
    </w:p>
    <w:p w14:paraId="39D6F9E4" w14:textId="77777777" w:rsidR="005B3D60" w:rsidRDefault="005B3D60" w:rsidP="00F573D2">
      <w:pPr>
        <w:spacing w:before="40" w:after="40" w:line="288" w:lineRule="auto"/>
        <w:ind w:firstLine="567"/>
        <w:jc w:val="both"/>
        <w:rPr>
          <w:iCs/>
          <w:spacing w:val="-6"/>
          <w:lang w:val="de-DE"/>
        </w:rPr>
      </w:pPr>
      <w:r w:rsidRPr="005B3D60">
        <w:rPr>
          <w:iCs/>
          <w:spacing w:val="-6"/>
          <w:lang w:val="de-DE"/>
        </w:rPr>
        <w:t xml:space="preserve">- Newly registered capital included 103 licensed projects with a registered capital of 388 million USD, an increase of 119.1% in the number of projects, and a decrease of 70.7% of registered capital compared to the same period last year. Of which, processing and manufacturing industry attracted the most foreign direct investor with the registered capital of newly licensed projects reaching 233 million USD, accounting for 60.1% of the total newly registered capital; real estate business reached 111.5 million USD, accounting for 28.7%, the remaining industries reached 43.5 million USD, accounting for 11.2%. </w:t>
      </w:r>
    </w:p>
    <w:p w14:paraId="1D0652BA" w14:textId="77777777" w:rsidR="007E4BEA" w:rsidRDefault="007E4BEA" w:rsidP="007E4BEA">
      <w:pPr>
        <w:spacing w:before="40" w:after="40" w:line="276" w:lineRule="auto"/>
        <w:ind w:firstLine="567"/>
        <w:jc w:val="both"/>
        <w:rPr>
          <w:iCs/>
          <w:lang w:val="de-DE"/>
        </w:rPr>
      </w:pPr>
      <w:r>
        <w:rPr>
          <w:iCs/>
          <w:lang w:val="de-DE"/>
        </w:rPr>
        <w:t xml:space="preserve">Among 23 countries and territories having newly licensed investment projects in 01/2022, Singapore was the largest investor with 198.1 million USD, accounting for 51.1% of total newly registered capital; Hong Kong Special Administrative Region (China) 103.3 million USD, accounting for 26.6%; France 25 million USD, accounting for 6.4%; China 13.7 million USD, accounting for 3.5%; Seychelles 10.3 million USD, accounting for 2.7%. </w:t>
      </w:r>
    </w:p>
    <w:p w14:paraId="63949412" w14:textId="77777777" w:rsidR="00A60B37" w:rsidRDefault="00A60B37" w:rsidP="00A60B37">
      <w:pPr>
        <w:spacing w:before="40" w:after="40" w:line="276" w:lineRule="auto"/>
        <w:ind w:firstLine="567"/>
        <w:jc w:val="both"/>
        <w:rPr>
          <w:iCs/>
          <w:lang w:val="de-DE"/>
        </w:rPr>
      </w:pPr>
      <w:r>
        <w:rPr>
          <w:iCs/>
          <w:lang w:val="de-DE"/>
        </w:rPr>
        <w:t xml:space="preserve">- Adjust registered capital included 71 turns of projects which were licensed in the previous years registered to adjust investment capital with the additional </w:t>
      </w:r>
      <w:r>
        <w:rPr>
          <w:iCs/>
          <w:lang w:val="de-DE"/>
        </w:rPr>
        <w:lastRenderedPageBreak/>
        <w:t>capital of 1.27 billion USD, increased by 169% compared to same previous of last year.</w:t>
      </w:r>
    </w:p>
    <w:p w14:paraId="56016F3F" w14:textId="77777777" w:rsidR="00A60B37" w:rsidRDefault="00A60B37" w:rsidP="00A60B37">
      <w:pPr>
        <w:spacing w:before="40" w:after="40" w:line="276" w:lineRule="auto"/>
        <w:ind w:firstLine="567"/>
        <w:jc w:val="both"/>
        <w:rPr>
          <w:lang w:val="de-DE"/>
        </w:rPr>
      </w:pPr>
      <w:r>
        <w:rPr>
          <w:lang w:val="de-DE"/>
        </w:rPr>
        <w:t xml:space="preserve">If including additionally newly registered capital and </w:t>
      </w:r>
      <w:r>
        <w:rPr>
          <w:iCs/>
          <w:lang w:val="de-DE"/>
        </w:rPr>
        <w:t xml:space="preserve">adjust registered capital </w:t>
      </w:r>
      <w:r>
        <w:rPr>
          <w:lang w:val="de-DE"/>
        </w:rPr>
        <w:t xml:space="preserve">of licensed projects in previous years, FDI capital in the processing and manufacturing industry reached 1.19 billion USD, accounting for 72% of the total newly registered capital and additional capital; </w:t>
      </w:r>
      <w:r>
        <w:rPr>
          <w:iCs/>
          <w:lang w:val="de-DE"/>
        </w:rPr>
        <w:t>real estate business</w:t>
      </w:r>
      <w:r>
        <w:rPr>
          <w:lang w:val="de-DE"/>
        </w:rPr>
        <w:t xml:space="preserve"> reached nearly 124.7 million USD, accounting for 7.5%; the remaining industries reached 339.2 million USD, accounting for 20.5%.</w:t>
      </w:r>
    </w:p>
    <w:p w14:paraId="0E01B5EC" w14:textId="77777777" w:rsidR="002005D4" w:rsidRDefault="002005D4" w:rsidP="00CB1F4E">
      <w:pPr>
        <w:spacing w:line="269" w:lineRule="auto"/>
        <w:ind w:firstLine="567"/>
        <w:jc w:val="both"/>
        <w:rPr>
          <w:iCs/>
          <w:spacing w:val="-4"/>
          <w:lang w:val="de-DE"/>
        </w:rPr>
      </w:pPr>
      <w:r w:rsidRPr="002005D4">
        <w:rPr>
          <w:iCs/>
          <w:spacing w:val="-4"/>
          <w:lang w:val="de-DE"/>
        </w:rPr>
        <w:t>- Capital contribution and share purchases of foreign investors included 206 turns with a total value of the capital contribution of 443.5 million USD, an increase of 100.9% compared to the same period last year. Of which 95 turns of capital contribution, share purchase caused the rise of charter capital of the enterprise with the value of contributed capital of 51.9 million USD, and 111 turns of foreign investors repurchased domestic shares without increasing the charter capital with a value of 391.6 million USD. About the form of capital contribution and share purchase by foreign investors, the investment capital in real estate business reached 347.4 million USD, accounting for 78.3% of the total capital contribution; the processing and manufacturing industry reached 43.8 million USD, accounting for 9.9%; the remaining industries reached 52.3 million USD, accounting for 11.8%.</w:t>
      </w:r>
    </w:p>
    <w:p w14:paraId="4F41510D" w14:textId="77777777" w:rsidR="00DA3171" w:rsidRDefault="00DA3171" w:rsidP="00DA3171">
      <w:pPr>
        <w:spacing w:before="40" w:after="40" w:line="276" w:lineRule="auto"/>
        <w:ind w:firstLine="567"/>
        <w:jc w:val="both"/>
      </w:pPr>
      <w:r>
        <w:rPr>
          <w:rStyle w:val="Emphasis"/>
          <w:color w:val="0E101A"/>
        </w:rPr>
        <w:t>Foreign direct investment capital</w:t>
      </w:r>
      <w:r>
        <w:t> that implemented in 01/2022 reached 1.61 billion USD, a</w:t>
      </w:r>
      <w:r>
        <w:rPr>
          <w:lang w:val="en-GB"/>
        </w:rPr>
        <w:t>n</w:t>
      </w:r>
      <w:r>
        <w:t xml:space="preserve"> increase of 6.8% over the same period last year, of which the </w:t>
      </w:r>
      <w:r>
        <w:rPr>
          <w:lang w:val="de-DE"/>
        </w:rPr>
        <w:t>processing and manufacturing industry</w:t>
      </w:r>
      <w:r>
        <w:t xml:space="preserve"> reached 1.21 billion USD, accounting for 75.4% of total realized foreign direct investment capital; real estate business activities gained 182.8 billion USD, making up 11.3%; electricity, gas, steam, and air conditioning supply recorded 141.3 million USD, comprising of 8.8%.</w:t>
      </w:r>
    </w:p>
    <w:p w14:paraId="5F49491D" w14:textId="77777777" w:rsidR="00670CCD" w:rsidRDefault="00670CCD" w:rsidP="00670CCD">
      <w:pPr>
        <w:spacing w:before="120"/>
        <w:jc w:val="center"/>
      </w:pPr>
      <w:r>
        <w:rPr>
          <w:rFonts w:ascii="Arial" w:hAnsi="Arial" w:cs="Arial"/>
          <w:b/>
          <w:bCs/>
          <w:sz w:val="24"/>
          <w:lang w:val="de-DE"/>
        </w:rPr>
        <w:t>Figure 9. Implemented foreign direct investment</w:t>
      </w:r>
      <w:r>
        <w:rPr>
          <w:rFonts w:ascii="Arial" w:hAnsi="Arial" w:cs="Arial"/>
          <w:b/>
          <w:bCs/>
          <w:sz w:val="24"/>
          <w:lang w:val="de-DE"/>
        </w:rPr>
        <w:br/>
        <w:t>in January of the years 2018-2022 (Billion USD)</w:t>
      </w:r>
    </w:p>
    <w:p w14:paraId="26ED09F9" w14:textId="07B253E6" w:rsidR="00461ACF" w:rsidRDefault="00461ACF" w:rsidP="00461ACF">
      <w:pPr>
        <w:jc w:val="center"/>
        <w:rPr>
          <w:rFonts w:ascii="Arial" w:hAnsi="Arial" w:cs="Arial"/>
          <w:b/>
          <w:bCs/>
          <w:i/>
          <w:lang w:val="de-DE"/>
        </w:rPr>
      </w:pPr>
    </w:p>
    <w:p w14:paraId="6EA4584A" w14:textId="77777777" w:rsidR="00461ACF" w:rsidRDefault="00DA3C29" w:rsidP="00461ACF">
      <w:pPr>
        <w:spacing w:before="40" w:after="40" w:line="266" w:lineRule="auto"/>
        <w:jc w:val="center"/>
        <w:rPr>
          <w:i/>
          <w:iCs/>
          <w:spacing w:val="-2"/>
          <w:lang w:val="de-DE"/>
        </w:rPr>
      </w:pPr>
      <w:r w:rsidRPr="00461ACF">
        <w:rPr>
          <w:i/>
          <w:noProof/>
          <w:spacing w:val="-2"/>
          <w:lang w:val="en-GB" w:eastAsia="en-GB"/>
        </w:rPr>
        <w:drawing>
          <wp:inline distT="0" distB="0" distL="0" distR="0" wp14:anchorId="5DED582A" wp14:editId="755C3EBD">
            <wp:extent cx="5120640" cy="2308860"/>
            <wp:effectExtent l="0" t="0" r="3810" b="15240"/>
            <wp:docPr id="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DC0FFC" w14:textId="77777777" w:rsidR="00461ACF" w:rsidRPr="00CB1F4E" w:rsidRDefault="00461ACF" w:rsidP="00461ACF">
      <w:pPr>
        <w:spacing w:before="40" w:after="40" w:line="266" w:lineRule="auto"/>
        <w:ind w:firstLine="567"/>
        <w:jc w:val="both"/>
        <w:rPr>
          <w:i/>
          <w:iCs/>
          <w:spacing w:val="-2"/>
          <w:sz w:val="10"/>
          <w:lang w:val="de-DE"/>
        </w:rPr>
      </w:pPr>
    </w:p>
    <w:p w14:paraId="45353E10" w14:textId="77777777" w:rsidR="000C76BE" w:rsidRPr="000C76BE" w:rsidRDefault="000C76BE" w:rsidP="000C76BE">
      <w:pPr>
        <w:spacing w:line="276" w:lineRule="auto"/>
        <w:ind w:firstLine="567"/>
        <w:jc w:val="both"/>
        <w:rPr>
          <w:i/>
          <w:iCs/>
          <w:spacing w:val="-2"/>
          <w:lang w:val="de-DE"/>
        </w:rPr>
      </w:pPr>
      <w:r w:rsidRPr="000C76BE">
        <w:rPr>
          <w:i/>
          <w:iCs/>
          <w:spacing w:val="-2"/>
          <w:lang w:val="de-DE"/>
        </w:rPr>
        <w:lastRenderedPageBreak/>
        <w:t xml:space="preserve">Vietnam's investment abroad </w:t>
      </w:r>
      <w:r w:rsidRPr="000C76BE">
        <w:rPr>
          <w:spacing w:val="-2"/>
          <w:lang w:val="de-DE"/>
        </w:rPr>
        <w:t>in 01/2022, there were 15 projects newly granted investment certificates with a total investment capital of 44.2 million USD, 13.97 times higher over the same period last year; 02 turns of projects adjusted capital with adjust capital down 7.2 million USD.</w:t>
      </w:r>
      <w:r w:rsidRPr="000C76BE">
        <w:rPr>
          <w:i/>
          <w:iCs/>
          <w:spacing w:val="-2"/>
          <w:lang w:val="de-DE"/>
        </w:rPr>
        <w:t xml:space="preserve"> </w:t>
      </w:r>
    </w:p>
    <w:p w14:paraId="22577D90" w14:textId="77777777" w:rsidR="001E1778" w:rsidRPr="001E1778" w:rsidRDefault="000C76BE" w:rsidP="001E1778">
      <w:pPr>
        <w:spacing w:line="276" w:lineRule="auto"/>
        <w:ind w:firstLine="567"/>
        <w:jc w:val="both"/>
        <w:rPr>
          <w:iCs/>
          <w:spacing w:val="-2"/>
          <w:lang w:val="de-DE"/>
        </w:rPr>
      </w:pPr>
      <w:r w:rsidRPr="000C76BE">
        <w:rPr>
          <w:i/>
          <w:iCs/>
          <w:spacing w:val="-2"/>
          <w:lang w:val="de-DE"/>
        </w:rPr>
        <w:t xml:space="preserve">Generally, the total investment capital of Vietnam abroad </w:t>
      </w:r>
      <w:r w:rsidRPr="000C76BE">
        <w:rPr>
          <w:spacing w:val="-2"/>
          <w:lang w:val="de-DE"/>
        </w:rPr>
        <w:t>(newly and additionally licensed capital) reached 36.9 million USD, 11.7 times higher over the same period last year</w:t>
      </w:r>
      <w:r w:rsidR="00461ACF">
        <w:rPr>
          <w:rStyle w:val="FootnoteReference"/>
          <w:iCs/>
          <w:spacing w:val="-2"/>
          <w:lang w:val="de-DE"/>
        </w:rPr>
        <w:footnoteReference w:id="11"/>
      </w:r>
      <w:r w:rsidR="00461ACF" w:rsidRPr="004F0097">
        <w:rPr>
          <w:iCs/>
          <w:spacing w:val="-2"/>
          <w:lang w:val="de-DE"/>
        </w:rPr>
        <w:t xml:space="preserve">, </w:t>
      </w:r>
      <w:r w:rsidR="001E1778" w:rsidRPr="001E1778">
        <w:rPr>
          <w:iCs/>
          <w:spacing w:val="-2"/>
          <w:lang w:val="de-DE"/>
        </w:rPr>
        <w:t xml:space="preserve">in which the mining activity reached 33.5 million USD; the financial, banking insurance activities reached 9.2 million USD; the wholesale and retail sector, repair of cars, motorcycles, motorbikes, and other motor vehicles reached 8.5 million USD; the processing and manufacturing industry adjusted capital with adjusted capital down 16.4 million USD. </w:t>
      </w:r>
    </w:p>
    <w:p w14:paraId="054D657E" w14:textId="77777777" w:rsidR="00BB3F40" w:rsidRDefault="001E1778" w:rsidP="001E1778">
      <w:pPr>
        <w:spacing w:line="276" w:lineRule="auto"/>
        <w:ind w:firstLine="567"/>
        <w:jc w:val="both"/>
        <w:rPr>
          <w:iCs/>
          <w:spacing w:val="-2"/>
          <w:lang w:val="de-DE"/>
        </w:rPr>
      </w:pPr>
      <w:r w:rsidRPr="001E1778">
        <w:rPr>
          <w:iCs/>
          <w:spacing w:val="-2"/>
          <w:lang w:val="de-DE"/>
        </w:rPr>
        <w:t xml:space="preserve">In 01/2022, 07 countries and territories received investment from Vietnam, of which Laos was the leading country with 48.2 million USD; United States 2.9 million USD; China 1.3 million USD; South Korea 475 thousand USD; Myanmar adjust capital down 16.4 million USD. </w:t>
      </w:r>
    </w:p>
    <w:p w14:paraId="2FA4E24A" w14:textId="719F53B1" w:rsidR="00BD74AE" w:rsidRPr="00BD74AE" w:rsidRDefault="00BD74AE" w:rsidP="001E1778">
      <w:pPr>
        <w:spacing w:line="276" w:lineRule="auto"/>
        <w:ind w:firstLine="567"/>
        <w:jc w:val="both"/>
        <w:rPr>
          <w:b/>
          <w:bCs/>
        </w:rPr>
      </w:pPr>
      <w:r w:rsidRPr="00BD74AE">
        <w:rPr>
          <w:b/>
          <w:bCs/>
        </w:rPr>
        <w:t xml:space="preserve">5. </w:t>
      </w:r>
      <w:r w:rsidR="004A74F9">
        <w:rPr>
          <w:b/>
          <w:bCs/>
        </w:rPr>
        <w:t>State</w:t>
      </w:r>
      <w:r w:rsidR="000F630A" w:rsidRPr="000F630A">
        <w:rPr>
          <w:b/>
          <w:bCs/>
        </w:rPr>
        <w:t xml:space="preserve"> budget revenue and expenditure </w:t>
      </w:r>
      <w:r w:rsidRPr="00BD74AE">
        <w:rPr>
          <w:rStyle w:val="FootnoteReference"/>
          <w:bCs/>
        </w:rPr>
        <w:footnoteReference w:id="12"/>
      </w:r>
    </w:p>
    <w:p w14:paraId="4859E10E" w14:textId="30890A7D" w:rsidR="00076E9A" w:rsidRPr="00BD74AE" w:rsidRDefault="00076E9A" w:rsidP="00BD74AE">
      <w:pPr>
        <w:spacing w:before="40" w:after="40" w:line="264" w:lineRule="auto"/>
        <w:ind w:firstLine="567"/>
        <w:jc w:val="both"/>
        <w:rPr>
          <w:rFonts w:ascii="Times New Roman Italic" w:hAnsi="Times New Roman Italic"/>
          <w:i/>
          <w:spacing w:val="-2"/>
          <w:sz w:val="8"/>
          <w:szCs w:val="10"/>
          <w:lang w:val="nl-NL"/>
        </w:rPr>
      </w:pPr>
      <w:r>
        <w:rPr>
          <w:rStyle w:val="Emphasis"/>
          <w:color w:val="0E101A"/>
        </w:rPr>
        <w:t>In January 2022, the State budget revenue was estimated to reach 13% of the yearly estimate. State budget expenditures met the needs of socio-economic development, national defense and security, state management, and payment of due debts support people facing difficulties due to the Covid-19 epidemic and restore the production in areas affected by natural disasters and epidemics.</w:t>
      </w:r>
    </w:p>
    <w:p w14:paraId="5635901E" w14:textId="77777777" w:rsidR="00FB5740" w:rsidRPr="008D1B9F" w:rsidRDefault="00FB5740" w:rsidP="00FB5740">
      <w:pPr>
        <w:spacing w:before="40" w:after="40" w:line="264" w:lineRule="auto"/>
        <w:ind w:firstLine="567"/>
        <w:jc w:val="both"/>
        <w:rPr>
          <w:rFonts w:ascii="Times New Roman Italic" w:hAnsi="Times New Roman Italic"/>
          <w:i/>
          <w:spacing w:val="-2"/>
          <w:sz w:val="8"/>
          <w:szCs w:val="10"/>
        </w:rPr>
      </w:pPr>
    </w:p>
    <w:p w14:paraId="5FE6B4E0" w14:textId="71083984" w:rsidR="00FB5740" w:rsidRDefault="00FB5740" w:rsidP="00FB5740">
      <w:pPr>
        <w:spacing w:before="40" w:after="40" w:line="264" w:lineRule="auto"/>
        <w:ind w:firstLine="567"/>
        <w:jc w:val="center"/>
        <w:rPr>
          <w:bCs/>
        </w:rPr>
      </w:pPr>
      <w:r>
        <w:rPr>
          <w:rFonts w:ascii="Arial" w:hAnsi="Arial" w:cs="Arial"/>
          <w:b/>
          <w:sz w:val="24"/>
          <w:szCs w:val="24"/>
          <w:lang w:val="nl-NL"/>
        </w:rPr>
        <w:t>Figure 10.</w:t>
      </w:r>
      <w:r w:rsidRPr="00BD74AE">
        <w:rPr>
          <w:rFonts w:ascii="Arial" w:hAnsi="Arial" w:cs="Arial"/>
          <w:b/>
          <w:sz w:val="24"/>
          <w:szCs w:val="24"/>
          <w:lang w:val="nl-NL"/>
        </w:rPr>
        <w:t xml:space="preserve"> </w:t>
      </w:r>
      <w:r>
        <w:rPr>
          <w:rFonts w:ascii="Arial" w:hAnsi="Arial" w:cs="Arial"/>
          <w:b/>
          <w:sz w:val="24"/>
          <w:szCs w:val="24"/>
          <w:lang w:val="nl-NL"/>
        </w:rPr>
        <w:t>The st</w:t>
      </w:r>
      <w:r>
        <w:rPr>
          <w:rFonts w:ascii="Arial" w:hAnsi="Arial" w:cs="Arial"/>
          <w:b/>
          <w:bCs/>
          <w:sz w:val="24"/>
          <w:szCs w:val="24"/>
          <w:lang w:val="it-IT"/>
        </w:rPr>
        <w:t>ate budget in January 2022</w:t>
      </w:r>
      <w:r w:rsidRPr="00BD74AE">
        <w:rPr>
          <w:rStyle w:val="FootnoteReference"/>
          <w:bCs/>
        </w:rPr>
        <w:t xml:space="preserve"> </w:t>
      </w:r>
    </w:p>
    <w:p w14:paraId="63937031" w14:textId="15E1AAD0" w:rsidR="001A7D02" w:rsidRDefault="001A7D02" w:rsidP="001A7D02">
      <w:pPr>
        <w:spacing w:before="40" w:after="40" w:line="264" w:lineRule="auto"/>
        <w:jc w:val="center"/>
        <w:rPr>
          <w:bCs/>
        </w:rPr>
      </w:pPr>
      <w:r>
        <w:rPr>
          <w:noProof/>
        </w:rPr>
        <w:drawing>
          <wp:inline distT="0" distB="0" distL="0" distR="0" wp14:anchorId="22681A06" wp14:editId="585D6C24">
            <wp:extent cx="5524500" cy="2804160"/>
            <wp:effectExtent l="0" t="0" r="0" b="0"/>
            <wp:docPr id="19" name="Picture 1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video gam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2804160"/>
                    </a:xfrm>
                    <a:prstGeom prst="rect">
                      <a:avLst/>
                    </a:prstGeom>
                    <a:noFill/>
                    <a:ln>
                      <a:noFill/>
                    </a:ln>
                  </pic:spPr>
                </pic:pic>
              </a:graphicData>
            </a:graphic>
          </wp:inline>
        </w:drawing>
      </w:r>
    </w:p>
    <w:p w14:paraId="0EC0225E" w14:textId="77777777" w:rsidR="001A7D02" w:rsidRPr="00BD74AE" w:rsidRDefault="001A7D02" w:rsidP="00FB5740">
      <w:pPr>
        <w:spacing w:before="40" w:after="40" w:line="264" w:lineRule="auto"/>
        <w:ind w:firstLine="567"/>
        <w:jc w:val="center"/>
        <w:rPr>
          <w:b/>
          <w:sz w:val="6"/>
          <w:szCs w:val="10"/>
          <w:lang w:val="nl-NL"/>
        </w:rPr>
      </w:pPr>
    </w:p>
    <w:p w14:paraId="4E3B43C2" w14:textId="77777777" w:rsidR="00BD74AE" w:rsidRPr="00BD74AE" w:rsidRDefault="00BD74AE" w:rsidP="00BD74AE">
      <w:pPr>
        <w:spacing w:before="40" w:after="40" w:line="264" w:lineRule="auto"/>
        <w:ind w:firstLine="567"/>
        <w:jc w:val="center"/>
        <w:rPr>
          <w:b/>
          <w:sz w:val="6"/>
          <w:szCs w:val="10"/>
          <w:lang w:val="nl-NL"/>
        </w:rPr>
      </w:pPr>
    </w:p>
    <w:p w14:paraId="5B8B5568" w14:textId="77777777" w:rsidR="00BD74AE" w:rsidRPr="004814DE" w:rsidRDefault="00BD74AE" w:rsidP="00BD74AE">
      <w:pPr>
        <w:spacing w:before="40" w:after="40" w:line="254" w:lineRule="auto"/>
        <w:jc w:val="center"/>
        <w:rPr>
          <w:i/>
          <w:sz w:val="4"/>
          <w:szCs w:val="10"/>
          <w:lang w:val="it-IT"/>
        </w:rPr>
      </w:pPr>
    </w:p>
    <w:p w14:paraId="3AE8C63A" w14:textId="77777777" w:rsidR="00023E6C" w:rsidRDefault="00023E6C" w:rsidP="00AF6300">
      <w:pPr>
        <w:spacing w:before="40" w:after="40" w:line="288" w:lineRule="auto"/>
        <w:ind w:firstLine="567"/>
        <w:jc w:val="both"/>
        <w:rPr>
          <w:b/>
          <w:i/>
          <w:lang w:val="it-IT"/>
        </w:rPr>
      </w:pPr>
      <w:r w:rsidRPr="00023E6C">
        <w:rPr>
          <w:b/>
          <w:i/>
          <w:lang w:val="it-IT"/>
        </w:rPr>
        <w:lastRenderedPageBreak/>
        <w:t>State budget revenue:</w:t>
      </w:r>
    </w:p>
    <w:p w14:paraId="051B44E6" w14:textId="77777777" w:rsidR="00891DCE" w:rsidRDefault="00891DCE" w:rsidP="00AF6300">
      <w:pPr>
        <w:spacing w:before="40" w:after="40" w:line="288" w:lineRule="auto"/>
        <w:ind w:firstLine="567"/>
        <w:jc w:val="both"/>
        <w:rPr>
          <w:lang w:val="it-IT"/>
        </w:rPr>
      </w:pPr>
      <w:r w:rsidRPr="00891DCE">
        <w:rPr>
          <w:lang w:val="it-IT"/>
        </w:rPr>
        <w:t>Total state budget revenue in January 2022 was estimated at 183.5 trillion VND, equaling 13% of the yearly estimate. Specifically, some of the main revenues were as follows:</w:t>
      </w:r>
    </w:p>
    <w:p w14:paraId="721D4554" w14:textId="77777777" w:rsidR="00891DCE" w:rsidRPr="00891DCE" w:rsidRDefault="00891DCE" w:rsidP="00AF6300">
      <w:pPr>
        <w:spacing w:before="40" w:after="40" w:line="288" w:lineRule="auto"/>
        <w:ind w:firstLine="567"/>
        <w:jc w:val="both"/>
        <w:rPr>
          <w:iCs/>
          <w:lang w:val="nl-NL"/>
        </w:rPr>
      </w:pPr>
      <w:r w:rsidRPr="00891DCE">
        <w:rPr>
          <w:iCs/>
          <w:lang w:val="nl-NL"/>
        </w:rPr>
        <w:t>- Domestic revenue reached 151.3 trillion VND, equaling 12.9% of the yearly estimate, of which: revenue from state-owned enterprises reached 17.2 trillion VND, equaling 11.1%; revenue from foreign-invested enterprises (excluding crude oil) 30.6 trillion VND, equaling 14.9%; revenue from the non-state economic sector 37.7 trillion VND, equaling 14.9%; personal income tax collection was 15 trillion VND, equaling 12.7%; environmental protection tax collection was 4.6 trillion VND, equaling 7.7%; income from house and land is 21.7 trillion VND, equaling 13.3%.</w:t>
      </w:r>
    </w:p>
    <w:p w14:paraId="56EBA0EC" w14:textId="77777777" w:rsidR="00FE598E" w:rsidRPr="00651E41" w:rsidRDefault="00FE598E" w:rsidP="00AF6300">
      <w:pPr>
        <w:spacing w:before="40" w:after="40" w:line="288" w:lineRule="auto"/>
        <w:ind w:firstLine="567"/>
        <w:jc w:val="both"/>
        <w:rPr>
          <w:lang w:val="it-IT"/>
        </w:rPr>
      </w:pPr>
      <w:r w:rsidRPr="00651E41">
        <w:rPr>
          <w:lang w:val="it-IT"/>
        </w:rPr>
        <w:t>- Revenue from crude oil reached 3.9 trillion</w:t>
      </w:r>
      <w:r>
        <w:rPr>
          <w:lang w:val="it-IT"/>
        </w:rPr>
        <w:t xml:space="preserve"> VND</w:t>
      </w:r>
      <w:r w:rsidRPr="00651E41">
        <w:rPr>
          <w:lang w:val="it-IT"/>
        </w:rPr>
        <w:t>, equaling 13.8% of the yearly estimate;</w:t>
      </w:r>
    </w:p>
    <w:p w14:paraId="28895BC5" w14:textId="77777777" w:rsidR="00FE598E" w:rsidRPr="00651E41" w:rsidRDefault="00FE598E" w:rsidP="00AF6300">
      <w:pPr>
        <w:spacing w:before="40" w:after="40" w:line="288" w:lineRule="auto"/>
        <w:ind w:firstLine="567"/>
        <w:jc w:val="both"/>
        <w:rPr>
          <w:lang w:val="it-IT"/>
        </w:rPr>
      </w:pPr>
      <w:r w:rsidRPr="00651E41">
        <w:rPr>
          <w:lang w:val="it-IT"/>
        </w:rPr>
        <w:t>- Balanced budget revenue from import and export activities reached 28.3 trillion</w:t>
      </w:r>
      <w:r>
        <w:rPr>
          <w:lang w:val="it-IT"/>
        </w:rPr>
        <w:t xml:space="preserve"> VND</w:t>
      </w:r>
      <w:r w:rsidRPr="00651E41">
        <w:rPr>
          <w:lang w:val="it-IT"/>
        </w:rPr>
        <w:t>, equaling 14.2% of the yearly estimate.</w:t>
      </w:r>
    </w:p>
    <w:p w14:paraId="6E2923E6" w14:textId="77777777" w:rsidR="00FE598E" w:rsidRDefault="00FE598E" w:rsidP="00AF6300">
      <w:pPr>
        <w:spacing w:before="40" w:after="40" w:line="288" w:lineRule="auto"/>
        <w:ind w:firstLine="567"/>
        <w:jc w:val="both"/>
        <w:rPr>
          <w:b/>
          <w:i/>
          <w:lang w:val="nl-NL"/>
        </w:rPr>
      </w:pPr>
      <w:r w:rsidRPr="00FE598E">
        <w:rPr>
          <w:b/>
          <w:i/>
          <w:lang w:val="nl-NL"/>
        </w:rPr>
        <w:t>State budget expenditure:</w:t>
      </w:r>
    </w:p>
    <w:p w14:paraId="46339C07" w14:textId="7ADA24B7" w:rsidR="00E706A5" w:rsidRPr="00651E41" w:rsidRDefault="00E706A5" w:rsidP="00AF6300">
      <w:pPr>
        <w:spacing w:before="40" w:after="40" w:line="288" w:lineRule="auto"/>
        <w:ind w:firstLine="567"/>
        <w:jc w:val="both"/>
        <w:rPr>
          <w:lang w:val="it-IT"/>
        </w:rPr>
      </w:pPr>
      <w:r w:rsidRPr="00651E41">
        <w:rPr>
          <w:lang w:val="it-IT"/>
        </w:rPr>
        <w:t xml:space="preserve">Total state budget expenditure in January 2022 was estimated at 113.9 trillion </w:t>
      </w:r>
      <w:r w:rsidR="00247553">
        <w:rPr>
          <w:lang w:val="it-IT"/>
        </w:rPr>
        <w:t>VND</w:t>
      </w:r>
      <w:r w:rsidRPr="00651E41">
        <w:rPr>
          <w:lang w:val="it-IT"/>
        </w:rPr>
        <w:t xml:space="preserve">, equaling 6.4% of the yearly estimate, of which: Recurring expenditures reached 85.3 trillion </w:t>
      </w:r>
      <w:r w:rsidR="00D933D4">
        <w:rPr>
          <w:lang w:val="it-IT"/>
        </w:rPr>
        <w:t>VND</w:t>
      </w:r>
      <w:r w:rsidRPr="00651E41">
        <w:rPr>
          <w:lang w:val="it-IT"/>
        </w:rPr>
        <w:t xml:space="preserve">, equaling 7.7%; development investment expenditure 12.9 trillion </w:t>
      </w:r>
      <w:r w:rsidR="00D933D4">
        <w:rPr>
          <w:lang w:val="it-IT"/>
        </w:rPr>
        <w:t>VND</w:t>
      </w:r>
      <w:r w:rsidRPr="00651E41">
        <w:rPr>
          <w:lang w:val="it-IT"/>
        </w:rPr>
        <w:t xml:space="preserve">, equaling 2.5%; debt payment interest 15.6 trillion </w:t>
      </w:r>
      <w:r w:rsidR="00D933D4">
        <w:rPr>
          <w:lang w:val="it-IT"/>
        </w:rPr>
        <w:t>VND</w:t>
      </w:r>
      <w:r w:rsidRPr="00651E41">
        <w:rPr>
          <w:lang w:val="it-IT"/>
        </w:rPr>
        <w:t>, equal to 15%.</w:t>
      </w:r>
    </w:p>
    <w:p w14:paraId="4C37C8FF" w14:textId="085A98E7" w:rsidR="003A35EA" w:rsidRPr="00542116" w:rsidRDefault="000F6092" w:rsidP="00AF6300">
      <w:pPr>
        <w:pStyle w:val="Normal1"/>
        <w:spacing w:before="40" w:beforeAutospacing="0" w:after="40" w:afterAutospacing="0" w:line="288" w:lineRule="auto"/>
        <w:ind w:firstLine="567"/>
        <w:jc w:val="both"/>
        <w:rPr>
          <w:b/>
          <w:bCs/>
          <w:sz w:val="28"/>
          <w:szCs w:val="28"/>
          <w:lang w:val="nl-NL"/>
        </w:rPr>
      </w:pPr>
      <w:r w:rsidRPr="00542116">
        <w:rPr>
          <w:b/>
          <w:bCs/>
          <w:sz w:val="28"/>
          <w:szCs w:val="28"/>
          <w:lang w:val="nl-NL"/>
        </w:rPr>
        <w:t>6</w:t>
      </w:r>
      <w:r w:rsidR="003A35EA" w:rsidRPr="00542116">
        <w:rPr>
          <w:b/>
          <w:bCs/>
          <w:sz w:val="28"/>
          <w:szCs w:val="28"/>
          <w:lang w:val="nl-NL"/>
        </w:rPr>
        <w:t xml:space="preserve">. </w:t>
      </w:r>
      <w:r w:rsidR="00542116" w:rsidRPr="00542116">
        <w:rPr>
          <w:b/>
          <w:bCs/>
          <w:sz w:val="28"/>
          <w:szCs w:val="28"/>
        </w:rPr>
        <w:t>Trade, prices, transport</w:t>
      </w:r>
      <w:r w:rsidR="004A74F9">
        <w:rPr>
          <w:b/>
          <w:bCs/>
          <w:sz w:val="28"/>
          <w:szCs w:val="28"/>
        </w:rPr>
        <w:t>,</w:t>
      </w:r>
      <w:r w:rsidR="00542116" w:rsidRPr="00542116">
        <w:rPr>
          <w:b/>
          <w:bCs/>
          <w:sz w:val="28"/>
          <w:szCs w:val="28"/>
        </w:rPr>
        <w:t xml:space="preserve"> and tourism</w:t>
      </w:r>
    </w:p>
    <w:p w14:paraId="1326C19F" w14:textId="339CBC70" w:rsidR="00376DF7" w:rsidRPr="00052095" w:rsidRDefault="00376DF7" w:rsidP="00AF6300">
      <w:pPr>
        <w:spacing w:before="40" w:after="40" w:line="288" w:lineRule="auto"/>
        <w:ind w:firstLine="567"/>
        <w:jc w:val="both"/>
        <w:rPr>
          <w:b/>
          <w:bCs/>
          <w:i/>
          <w:iCs/>
          <w:lang w:val="nl-NL"/>
        </w:rPr>
      </w:pPr>
      <w:bookmarkStart w:id="3" w:name="_Hlk89176061"/>
      <w:r w:rsidRPr="00052095">
        <w:rPr>
          <w:b/>
          <w:bCs/>
          <w:i/>
          <w:iCs/>
          <w:lang w:val="nl-NL"/>
        </w:rPr>
        <w:t xml:space="preserve">a) </w:t>
      </w:r>
      <w:r w:rsidR="00FB5527" w:rsidRPr="00387E47">
        <w:rPr>
          <w:b/>
          <w:bCs/>
          <w:i/>
          <w:iCs/>
        </w:rPr>
        <w:t>Retail sales of consumer goods and services</w:t>
      </w:r>
    </w:p>
    <w:p w14:paraId="3FD0994A" w14:textId="77777777" w:rsidR="00635C6B" w:rsidRDefault="00635C6B" w:rsidP="00AF6300">
      <w:pPr>
        <w:spacing w:before="40" w:after="40" w:line="288" w:lineRule="auto"/>
        <w:ind w:firstLine="567"/>
        <w:jc w:val="both"/>
        <w:rPr>
          <w:bCs/>
          <w:i/>
          <w:spacing w:val="-2"/>
          <w:lang w:val="it-IT"/>
        </w:rPr>
      </w:pPr>
      <w:r w:rsidRPr="00635C6B">
        <w:rPr>
          <w:bCs/>
          <w:i/>
          <w:spacing w:val="-2"/>
          <w:lang w:val="it-IT"/>
        </w:rPr>
        <w:t>January is the month that is close to the Lunar New Year, so people's demand for consumption and shopping increased high. Enterprises were ready to adapt safely to the Covid-19 pandemic and flexible in operations for production and business.</w:t>
      </w:r>
    </w:p>
    <w:p w14:paraId="4C0E52FD" w14:textId="130A93B9" w:rsidR="0015193C" w:rsidRDefault="00EA1C09" w:rsidP="00AF6300">
      <w:pPr>
        <w:spacing w:before="40" w:after="40" w:line="288" w:lineRule="auto"/>
        <w:ind w:firstLine="567"/>
        <w:jc w:val="both"/>
        <w:rPr>
          <w:lang w:val="it-IT"/>
        </w:rPr>
      </w:pPr>
      <w:r w:rsidRPr="00EA1C09">
        <w:rPr>
          <w:lang w:val="it-IT"/>
        </w:rPr>
        <w:t>Total retail sales of consumer goods and services in January 2022 was estimated at 470.7 trillion VND, an increase of 6.7% compared to the previous month and 1.3% compared to the same period last year. If excluding the price factor, it decreased by 0.3% (in the same period in 2021, it increased by 3.6%).</w:t>
      </w:r>
    </w:p>
    <w:p w14:paraId="17D1D03D" w14:textId="672E7831" w:rsidR="00AF6300" w:rsidRDefault="00AF6300" w:rsidP="00AF6300">
      <w:pPr>
        <w:spacing w:before="40" w:after="40" w:line="288" w:lineRule="auto"/>
        <w:ind w:firstLine="567"/>
        <w:jc w:val="both"/>
        <w:rPr>
          <w:lang w:val="it-IT"/>
        </w:rPr>
      </w:pPr>
    </w:p>
    <w:p w14:paraId="7CC5ED4D" w14:textId="502DACB1" w:rsidR="00AF6300" w:rsidRDefault="00AF6300" w:rsidP="00AF6300">
      <w:pPr>
        <w:spacing w:before="40" w:after="40" w:line="288" w:lineRule="auto"/>
        <w:ind w:firstLine="567"/>
        <w:jc w:val="both"/>
        <w:rPr>
          <w:lang w:val="it-IT"/>
        </w:rPr>
      </w:pPr>
    </w:p>
    <w:p w14:paraId="0346D6C0" w14:textId="4FA92C10" w:rsidR="00AF6300" w:rsidRDefault="00AF6300" w:rsidP="00AF6300">
      <w:pPr>
        <w:spacing w:before="40" w:after="40" w:line="288" w:lineRule="auto"/>
        <w:ind w:firstLine="567"/>
        <w:jc w:val="both"/>
        <w:rPr>
          <w:lang w:val="it-IT"/>
        </w:rPr>
      </w:pPr>
    </w:p>
    <w:p w14:paraId="280C3104" w14:textId="77777777" w:rsidR="00AF6300" w:rsidRDefault="00AF6300" w:rsidP="00AF6300">
      <w:pPr>
        <w:spacing w:before="40" w:after="40" w:line="288" w:lineRule="auto"/>
        <w:ind w:firstLine="567"/>
        <w:jc w:val="both"/>
        <w:rPr>
          <w:lang w:val="it-IT"/>
        </w:rPr>
      </w:pPr>
    </w:p>
    <w:p w14:paraId="46B630FE" w14:textId="77777777" w:rsidR="0015193C" w:rsidRPr="00387E47" w:rsidRDefault="0015193C" w:rsidP="0015193C">
      <w:pPr>
        <w:tabs>
          <w:tab w:val="left" w:pos="2835"/>
        </w:tabs>
        <w:spacing w:line="276" w:lineRule="auto"/>
        <w:ind w:right="140" w:firstLine="567"/>
        <w:jc w:val="center"/>
        <w:rPr>
          <w:b/>
          <w:bCs/>
          <w:i/>
          <w:spacing w:val="-6"/>
          <w:lang w:val="it-IT"/>
        </w:rPr>
      </w:pPr>
      <w:r>
        <w:rPr>
          <w:b/>
          <w:bCs/>
          <w:spacing w:val="-6"/>
          <w:lang w:val="it-IT"/>
        </w:rPr>
        <w:lastRenderedPageBreak/>
        <w:t>Table 3</w:t>
      </w:r>
      <w:r w:rsidRPr="00387E47">
        <w:rPr>
          <w:b/>
          <w:bCs/>
          <w:spacing w:val="-6"/>
          <w:lang w:val="it-IT"/>
        </w:rPr>
        <w:t>. Retail sales of consumer goods and services</w:t>
      </w:r>
    </w:p>
    <w:p w14:paraId="56824BF3" w14:textId="77777777" w:rsidR="0015193C" w:rsidRPr="00F40DA7" w:rsidRDefault="0015193C" w:rsidP="0015193C">
      <w:pPr>
        <w:tabs>
          <w:tab w:val="left" w:pos="2835"/>
        </w:tabs>
        <w:spacing w:line="264" w:lineRule="auto"/>
        <w:ind w:right="140" w:firstLine="567"/>
        <w:jc w:val="right"/>
        <w:rPr>
          <w:rFonts w:ascii="Arial" w:hAnsi="Arial" w:cs="Arial"/>
          <w:b/>
          <w:bCs/>
          <w:i/>
          <w:spacing w:val="-6"/>
          <w:sz w:val="2"/>
          <w:szCs w:val="20"/>
          <w:lang w:val="it-IT"/>
        </w:rPr>
      </w:pPr>
    </w:p>
    <w:p w14:paraId="5FA894A6" w14:textId="77777777" w:rsidR="0015193C" w:rsidRPr="00E07112" w:rsidRDefault="0015193C" w:rsidP="0015193C">
      <w:pPr>
        <w:tabs>
          <w:tab w:val="left" w:pos="2835"/>
        </w:tabs>
        <w:spacing w:line="264" w:lineRule="auto"/>
        <w:ind w:right="402" w:firstLine="567"/>
        <w:jc w:val="right"/>
        <w:rPr>
          <w:rFonts w:ascii="Arial" w:hAnsi="Arial" w:cs="Arial"/>
          <w:b/>
          <w:bCs/>
          <w:i/>
          <w:spacing w:val="-6"/>
          <w:sz w:val="20"/>
          <w:szCs w:val="20"/>
        </w:rPr>
      </w:pPr>
      <w:r>
        <w:rPr>
          <w:rFonts w:ascii="Arial" w:hAnsi="Arial" w:cs="Arial"/>
          <w:b/>
          <w:bCs/>
          <w:i/>
          <w:spacing w:val="-6"/>
          <w:sz w:val="20"/>
          <w:szCs w:val="20"/>
        </w:rPr>
        <w:t>Trill. VND</w:t>
      </w:r>
    </w:p>
    <w:tbl>
      <w:tblPr>
        <w:tblW w:w="9215" w:type="dxa"/>
        <w:jc w:val="center"/>
        <w:tblLook w:val="04A0" w:firstRow="1" w:lastRow="0" w:firstColumn="1" w:lastColumn="0" w:noHBand="0" w:noVBand="1"/>
      </w:tblPr>
      <w:tblGrid>
        <w:gridCol w:w="3686"/>
        <w:gridCol w:w="1247"/>
        <w:gridCol w:w="1130"/>
        <w:gridCol w:w="1592"/>
        <w:gridCol w:w="1560"/>
      </w:tblGrid>
      <w:tr w:rsidR="0015193C" w:rsidRPr="00025EEF" w14:paraId="0730D000" w14:textId="77777777" w:rsidTr="003F1FCF">
        <w:trPr>
          <w:cantSplit/>
          <w:jc w:val="center"/>
        </w:trPr>
        <w:tc>
          <w:tcPr>
            <w:tcW w:w="3686" w:type="dxa"/>
            <w:tcBorders>
              <w:top w:val="single" w:sz="4" w:space="0" w:color="auto"/>
            </w:tcBorders>
            <w:shd w:val="clear" w:color="auto" w:fill="auto"/>
            <w:hideMark/>
          </w:tcPr>
          <w:p w14:paraId="615B894E" w14:textId="77777777" w:rsidR="0015193C" w:rsidRPr="00025EEF" w:rsidRDefault="0015193C" w:rsidP="003F1FCF">
            <w:pPr>
              <w:spacing w:before="40" w:after="40" w:line="288" w:lineRule="auto"/>
              <w:jc w:val="both"/>
              <w:rPr>
                <w:rFonts w:ascii="Arial" w:hAnsi="Arial" w:cs="Arial"/>
                <w:color w:val="000000"/>
                <w:sz w:val="20"/>
                <w:szCs w:val="20"/>
              </w:rPr>
            </w:pPr>
            <w:r w:rsidRPr="00025EEF">
              <w:rPr>
                <w:rFonts w:ascii="Arial" w:hAnsi="Arial" w:cs="Arial"/>
                <w:bCs/>
                <w:color w:val="000000"/>
                <w:sz w:val="20"/>
                <w:szCs w:val="20"/>
              </w:rPr>
              <w:t> </w:t>
            </w:r>
          </w:p>
        </w:tc>
        <w:tc>
          <w:tcPr>
            <w:tcW w:w="1247" w:type="dxa"/>
            <w:vMerge w:val="restart"/>
            <w:tcBorders>
              <w:top w:val="single" w:sz="4" w:space="0" w:color="auto"/>
              <w:bottom w:val="single" w:sz="4" w:space="0" w:color="auto"/>
            </w:tcBorders>
            <w:shd w:val="clear" w:color="auto" w:fill="auto"/>
            <w:hideMark/>
          </w:tcPr>
          <w:p w14:paraId="0FAF6FD9" w14:textId="77777777" w:rsidR="0015193C" w:rsidRDefault="0015193C" w:rsidP="003F1FCF">
            <w:pPr>
              <w:spacing w:before="40" w:after="40" w:line="288" w:lineRule="auto"/>
              <w:jc w:val="center"/>
              <w:rPr>
                <w:rFonts w:ascii="Arial" w:hAnsi="Arial" w:cs="Arial"/>
                <w:color w:val="000000"/>
                <w:sz w:val="18"/>
                <w:szCs w:val="18"/>
              </w:rPr>
            </w:pPr>
            <w:r w:rsidRPr="00041CDB">
              <w:rPr>
                <w:rFonts w:ascii="Arial" w:hAnsi="Arial" w:cs="Arial"/>
                <w:color w:val="000000"/>
                <w:sz w:val="18"/>
                <w:szCs w:val="18"/>
              </w:rPr>
              <w:t>Performance</w:t>
            </w:r>
          </w:p>
          <w:p w14:paraId="58628AA2" w14:textId="77777777" w:rsidR="0015193C" w:rsidRPr="0079240A"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rPr>
              <w:t>December</w:t>
            </w:r>
          </w:p>
          <w:p w14:paraId="576D4889" w14:textId="77777777" w:rsidR="0015193C" w:rsidRPr="00025EEF"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lang w:val="en-GB"/>
              </w:rPr>
              <w:t>in 2021</w:t>
            </w:r>
          </w:p>
        </w:tc>
        <w:tc>
          <w:tcPr>
            <w:tcW w:w="1130" w:type="dxa"/>
            <w:vMerge w:val="restart"/>
            <w:tcBorders>
              <w:top w:val="single" w:sz="4" w:space="0" w:color="auto"/>
              <w:bottom w:val="single" w:sz="4" w:space="0" w:color="auto"/>
            </w:tcBorders>
            <w:shd w:val="clear" w:color="auto" w:fill="auto"/>
            <w:hideMark/>
          </w:tcPr>
          <w:p w14:paraId="168487E3" w14:textId="77777777" w:rsidR="0015193C" w:rsidRDefault="0015193C" w:rsidP="003F1FCF">
            <w:pPr>
              <w:spacing w:before="40" w:after="40" w:line="288" w:lineRule="auto"/>
              <w:jc w:val="center"/>
              <w:rPr>
                <w:rFonts w:ascii="Arial" w:hAnsi="Arial" w:cs="Arial"/>
                <w:color w:val="000000"/>
                <w:sz w:val="18"/>
                <w:szCs w:val="18"/>
              </w:rPr>
            </w:pPr>
            <w:r w:rsidRPr="00041CDB">
              <w:rPr>
                <w:rFonts w:ascii="Arial" w:hAnsi="Arial" w:cs="Arial"/>
                <w:color w:val="000000"/>
                <w:sz w:val="18"/>
                <w:szCs w:val="18"/>
              </w:rPr>
              <w:t>Estimate</w:t>
            </w:r>
          </w:p>
          <w:p w14:paraId="755DDA51" w14:textId="77777777" w:rsidR="0015193C" w:rsidRDefault="0015193C" w:rsidP="003F1FCF">
            <w:pPr>
              <w:spacing w:before="40" w:after="40" w:line="288" w:lineRule="auto"/>
              <w:jc w:val="center"/>
              <w:rPr>
                <w:rFonts w:ascii="Arial" w:hAnsi="Arial" w:cs="Arial"/>
                <w:color w:val="000000"/>
                <w:sz w:val="18"/>
                <w:szCs w:val="18"/>
                <w:lang w:val="en-GB"/>
              </w:rPr>
            </w:pPr>
            <w:r w:rsidRPr="00041CDB">
              <w:rPr>
                <w:rFonts w:ascii="Arial" w:hAnsi="Arial" w:cs="Arial"/>
                <w:color w:val="000000"/>
                <w:sz w:val="18"/>
                <w:szCs w:val="18"/>
                <w:lang w:val="en-GB"/>
              </w:rPr>
              <w:t>January</w:t>
            </w:r>
          </w:p>
          <w:p w14:paraId="2C8D40E0" w14:textId="77777777" w:rsidR="0015193C" w:rsidRPr="00025EEF"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lang w:val="en-GB"/>
              </w:rPr>
              <w:t>in 2022</w:t>
            </w:r>
          </w:p>
        </w:tc>
        <w:tc>
          <w:tcPr>
            <w:tcW w:w="1592" w:type="dxa"/>
            <w:vMerge w:val="restart"/>
            <w:tcBorders>
              <w:top w:val="single" w:sz="4" w:space="0" w:color="auto"/>
              <w:bottom w:val="single" w:sz="4" w:space="0" w:color="auto"/>
            </w:tcBorders>
            <w:shd w:val="clear" w:color="auto" w:fill="auto"/>
            <w:hideMark/>
          </w:tcPr>
          <w:p w14:paraId="41FE9722" w14:textId="77777777" w:rsidR="0015193C"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rPr>
              <w:t xml:space="preserve">Growth </w:t>
            </w:r>
            <w:r w:rsidRPr="00041CDB">
              <w:rPr>
                <w:rFonts w:ascii="Arial" w:hAnsi="Arial" w:cs="Arial"/>
                <w:color w:val="000000"/>
                <w:sz w:val="18"/>
                <w:szCs w:val="18"/>
              </w:rPr>
              <w:t>rate</w:t>
            </w:r>
          </w:p>
          <w:p w14:paraId="5EF8D14F" w14:textId="77777777" w:rsidR="0015193C" w:rsidRPr="00025EEF"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rPr>
              <w:t xml:space="preserve">01/2022 </w:t>
            </w:r>
            <w:r w:rsidRPr="00041CDB">
              <w:rPr>
                <w:rFonts w:ascii="Arial" w:hAnsi="Arial" w:cs="Arial"/>
                <w:color w:val="000000"/>
                <w:sz w:val="18"/>
                <w:szCs w:val="18"/>
              </w:rPr>
              <w:t xml:space="preserve">compared </w:t>
            </w:r>
            <w:r>
              <w:rPr>
                <w:rFonts w:ascii="Arial" w:hAnsi="Arial" w:cs="Arial"/>
                <w:color w:val="000000"/>
                <w:sz w:val="18"/>
                <w:szCs w:val="18"/>
              </w:rPr>
              <w:t>to</w:t>
            </w:r>
            <w:r w:rsidRPr="00041CDB">
              <w:rPr>
                <w:rFonts w:ascii="Arial" w:hAnsi="Arial" w:cs="Arial"/>
                <w:color w:val="000000"/>
                <w:sz w:val="18"/>
                <w:szCs w:val="18"/>
              </w:rPr>
              <w:t xml:space="preserve"> the previous month</w:t>
            </w:r>
            <w:r>
              <w:rPr>
                <w:rFonts w:ascii="Arial" w:hAnsi="Arial" w:cs="Arial"/>
                <w:color w:val="000000"/>
                <w:sz w:val="18"/>
                <w:szCs w:val="18"/>
              </w:rPr>
              <w:t xml:space="preserve"> (%)</w:t>
            </w:r>
          </w:p>
        </w:tc>
        <w:tc>
          <w:tcPr>
            <w:tcW w:w="1560" w:type="dxa"/>
            <w:vMerge w:val="restart"/>
            <w:tcBorders>
              <w:top w:val="single" w:sz="4" w:space="0" w:color="auto"/>
              <w:bottom w:val="single" w:sz="4" w:space="0" w:color="auto"/>
            </w:tcBorders>
            <w:shd w:val="clear" w:color="auto" w:fill="auto"/>
          </w:tcPr>
          <w:p w14:paraId="0A82BB5D" w14:textId="77777777" w:rsidR="0015193C"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rPr>
              <w:t xml:space="preserve">Growth </w:t>
            </w:r>
            <w:r w:rsidRPr="00041CDB">
              <w:rPr>
                <w:rFonts w:ascii="Arial" w:hAnsi="Arial" w:cs="Arial"/>
                <w:color w:val="000000"/>
                <w:sz w:val="18"/>
                <w:szCs w:val="18"/>
              </w:rPr>
              <w:t>rate</w:t>
            </w:r>
          </w:p>
          <w:p w14:paraId="545A9555" w14:textId="77777777" w:rsidR="0015193C" w:rsidRPr="00041CDB" w:rsidRDefault="0015193C" w:rsidP="003F1FCF">
            <w:pPr>
              <w:spacing w:before="40" w:after="40" w:line="288" w:lineRule="auto"/>
              <w:jc w:val="center"/>
              <w:rPr>
                <w:rFonts w:ascii="Arial" w:hAnsi="Arial" w:cs="Arial"/>
                <w:color w:val="000000"/>
                <w:sz w:val="18"/>
                <w:szCs w:val="18"/>
              </w:rPr>
            </w:pPr>
            <w:r>
              <w:rPr>
                <w:rFonts w:ascii="Arial" w:hAnsi="Arial" w:cs="Arial"/>
                <w:color w:val="000000"/>
                <w:sz w:val="18"/>
                <w:szCs w:val="18"/>
              </w:rPr>
              <w:t xml:space="preserve">01/2022 </w:t>
            </w:r>
            <w:r w:rsidRPr="00041CDB">
              <w:rPr>
                <w:rFonts w:ascii="Arial" w:hAnsi="Arial" w:cs="Arial"/>
                <w:color w:val="000000"/>
                <w:sz w:val="18"/>
                <w:szCs w:val="18"/>
              </w:rPr>
              <w:t>compare to</w:t>
            </w:r>
          </w:p>
          <w:p w14:paraId="321FC0B6" w14:textId="77777777" w:rsidR="0015193C" w:rsidRPr="00025EEF" w:rsidRDefault="0015193C" w:rsidP="003F1FCF">
            <w:pPr>
              <w:spacing w:before="40" w:after="40" w:line="288" w:lineRule="auto"/>
              <w:jc w:val="center"/>
              <w:rPr>
                <w:rFonts w:ascii="Arial" w:hAnsi="Arial" w:cs="Arial"/>
                <w:color w:val="000000"/>
                <w:sz w:val="18"/>
                <w:szCs w:val="18"/>
              </w:rPr>
            </w:pPr>
            <w:r w:rsidRPr="00041CDB">
              <w:rPr>
                <w:rFonts w:ascii="Arial" w:hAnsi="Arial" w:cs="Arial"/>
                <w:color w:val="000000"/>
                <w:sz w:val="18"/>
                <w:szCs w:val="18"/>
              </w:rPr>
              <w:t xml:space="preserve">the same period last year </w:t>
            </w:r>
            <w:r>
              <w:rPr>
                <w:rFonts w:ascii="Arial" w:hAnsi="Arial" w:cs="Arial"/>
                <w:color w:val="000000"/>
                <w:sz w:val="18"/>
                <w:szCs w:val="18"/>
              </w:rPr>
              <w:t>(%)</w:t>
            </w:r>
          </w:p>
        </w:tc>
      </w:tr>
      <w:tr w:rsidR="0015193C" w:rsidRPr="00025EEF" w14:paraId="439AD603" w14:textId="77777777" w:rsidTr="003F1FCF">
        <w:trPr>
          <w:cantSplit/>
          <w:jc w:val="center"/>
        </w:trPr>
        <w:tc>
          <w:tcPr>
            <w:tcW w:w="3686" w:type="dxa"/>
            <w:shd w:val="clear" w:color="auto" w:fill="auto"/>
            <w:hideMark/>
          </w:tcPr>
          <w:p w14:paraId="76A84738" w14:textId="77777777" w:rsidR="0015193C" w:rsidRPr="00025EEF" w:rsidRDefault="0015193C" w:rsidP="003F1FCF">
            <w:pPr>
              <w:spacing w:before="40" w:after="40" w:line="288" w:lineRule="auto"/>
              <w:jc w:val="both"/>
              <w:rPr>
                <w:rFonts w:ascii="Arial" w:hAnsi="Arial" w:cs="Arial"/>
                <w:color w:val="000000"/>
                <w:sz w:val="20"/>
                <w:szCs w:val="20"/>
              </w:rPr>
            </w:pPr>
          </w:p>
        </w:tc>
        <w:tc>
          <w:tcPr>
            <w:tcW w:w="1247" w:type="dxa"/>
            <w:vMerge/>
            <w:tcBorders>
              <w:bottom w:val="single" w:sz="4" w:space="0" w:color="auto"/>
            </w:tcBorders>
            <w:shd w:val="clear" w:color="auto" w:fill="auto"/>
            <w:vAlign w:val="center"/>
            <w:hideMark/>
          </w:tcPr>
          <w:p w14:paraId="30C12A87"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130" w:type="dxa"/>
            <w:vMerge/>
            <w:tcBorders>
              <w:bottom w:val="single" w:sz="4" w:space="0" w:color="auto"/>
            </w:tcBorders>
            <w:shd w:val="clear" w:color="auto" w:fill="auto"/>
            <w:vAlign w:val="center"/>
            <w:hideMark/>
          </w:tcPr>
          <w:p w14:paraId="7D894831"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592" w:type="dxa"/>
            <w:vMerge/>
            <w:tcBorders>
              <w:bottom w:val="single" w:sz="4" w:space="0" w:color="auto"/>
            </w:tcBorders>
            <w:shd w:val="clear" w:color="auto" w:fill="auto"/>
            <w:vAlign w:val="center"/>
            <w:hideMark/>
          </w:tcPr>
          <w:p w14:paraId="16A38720"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560" w:type="dxa"/>
            <w:vMerge/>
            <w:tcBorders>
              <w:bottom w:val="single" w:sz="4" w:space="0" w:color="auto"/>
            </w:tcBorders>
            <w:shd w:val="clear" w:color="auto" w:fill="auto"/>
            <w:vAlign w:val="center"/>
          </w:tcPr>
          <w:p w14:paraId="1A838BE7" w14:textId="77777777" w:rsidR="0015193C" w:rsidRPr="00025EEF" w:rsidRDefault="0015193C" w:rsidP="003F1FCF">
            <w:pPr>
              <w:spacing w:before="40" w:after="40" w:line="288" w:lineRule="auto"/>
              <w:jc w:val="center"/>
              <w:rPr>
                <w:rFonts w:ascii="Arial" w:hAnsi="Arial" w:cs="Arial"/>
                <w:color w:val="000000"/>
                <w:sz w:val="18"/>
                <w:szCs w:val="18"/>
              </w:rPr>
            </w:pPr>
          </w:p>
        </w:tc>
      </w:tr>
      <w:tr w:rsidR="0015193C" w:rsidRPr="00025EEF" w14:paraId="4D172795" w14:textId="77777777" w:rsidTr="003F1FCF">
        <w:trPr>
          <w:cantSplit/>
          <w:jc w:val="center"/>
        </w:trPr>
        <w:tc>
          <w:tcPr>
            <w:tcW w:w="3686" w:type="dxa"/>
            <w:shd w:val="clear" w:color="auto" w:fill="auto"/>
            <w:hideMark/>
          </w:tcPr>
          <w:p w14:paraId="26111AAA" w14:textId="77777777" w:rsidR="0015193C" w:rsidRPr="00025EEF" w:rsidRDefault="0015193C" w:rsidP="003F1FCF">
            <w:pPr>
              <w:spacing w:before="40" w:after="40" w:line="288" w:lineRule="auto"/>
              <w:jc w:val="both"/>
              <w:rPr>
                <w:rFonts w:ascii="Arial" w:hAnsi="Arial" w:cs="Arial"/>
                <w:color w:val="000000"/>
                <w:sz w:val="20"/>
                <w:szCs w:val="20"/>
              </w:rPr>
            </w:pPr>
          </w:p>
        </w:tc>
        <w:tc>
          <w:tcPr>
            <w:tcW w:w="1247" w:type="dxa"/>
            <w:vMerge/>
            <w:tcBorders>
              <w:bottom w:val="single" w:sz="4" w:space="0" w:color="auto"/>
            </w:tcBorders>
            <w:shd w:val="clear" w:color="auto" w:fill="auto"/>
            <w:vAlign w:val="center"/>
            <w:hideMark/>
          </w:tcPr>
          <w:p w14:paraId="7938C2F9" w14:textId="77777777" w:rsidR="0015193C" w:rsidRPr="003C240F" w:rsidRDefault="0015193C" w:rsidP="003F1FCF">
            <w:pPr>
              <w:spacing w:before="40" w:after="40" w:line="288" w:lineRule="auto"/>
              <w:jc w:val="center"/>
              <w:rPr>
                <w:rFonts w:ascii="Arial" w:hAnsi="Arial" w:cs="Arial"/>
                <w:color w:val="000000"/>
                <w:sz w:val="18"/>
                <w:szCs w:val="18"/>
                <w:lang w:val="en-GB"/>
              </w:rPr>
            </w:pPr>
          </w:p>
        </w:tc>
        <w:tc>
          <w:tcPr>
            <w:tcW w:w="1130" w:type="dxa"/>
            <w:vMerge/>
            <w:tcBorders>
              <w:bottom w:val="single" w:sz="4" w:space="0" w:color="auto"/>
            </w:tcBorders>
            <w:shd w:val="clear" w:color="auto" w:fill="auto"/>
            <w:vAlign w:val="center"/>
            <w:hideMark/>
          </w:tcPr>
          <w:p w14:paraId="119CB4C9" w14:textId="77777777" w:rsidR="0015193C" w:rsidRPr="003C240F" w:rsidRDefault="0015193C" w:rsidP="003F1FCF">
            <w:pPr>
              <w:spacing w:before="40" w:after="40" w:line="288" w:lineRule="auto"/>
              <w:jc w:val="center"/>
              <w:rPr>
                <w:rFonts w:ascii="Arial" w:hAnsi="Arial" w:cs="Arial"/>
                <w:color w:val="000000"/>
                <w:sz w:val="18"/>
                <w:szCs w:val="18"/>
                <w:lang w:val="en-GB"/>
              </w:rPr>
            </w:pPr>
          </w:p>
        </w:tc>
        <w:tc>
          <w:tcPr>
            <w:tcW w:w="1592" w:type="dxa"/>
            <w:vMerge/>
            <w:tcBorders>
              <w:bottom w:val="single" w:sz="4" w:space="0" w:color="auto"/>
            </w:tcBorders>
            <w:shd w:val="clear" w:color="auto" w:fill="auto"/>
            <w:vAlign w:val="center"/>
            <w:hideMark/>
          </w:tcPr>
          <w:p w14:paraId="43D02CE8"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560" w:type="dxa"/>
            <w:vMerge/>
            <w:tcBorders>
              <w:bottom w:val="single" w:sz="4" w:space="0" w:color="auto"/>
            </w:tcBorders>
            <w:shd w:val="clear" w:color="auto" w:fill="auto"/>
            <w:vAlign w:val="center"/>
          </w:tcPr>
          <w:p w14:paraId="2457885D" w14:textId="77777777" w:rsidR="0015193C" w:rsidRPr="00025EEF" w:rsidRDefault="0015193C" w:rsidP="003F1FCF">
            <w:pPr>
              <w:spacing w:before="40" w:after="40" w:line="288" w:lineRule="auto"/>
              <w:jc w:val="center"/>
              <w:rPr>
                <w:rFonts w:ascii="Arial" w:hAnsi="Arial" w:cs="Arial"/>
                <w:color w:val="000000"/>
                <w:sz w:val="18"/>
                <w:szCs w:val="18"/>
              </w:rPr>
            </w:pPr>
          </w:p>
        </w:tc>
      </w:tr>
      <w:tr w:rsidR="0015193C" w:rsidRPr="00025EEF" w14:paraId="66AC4C2C" w14:textId="77777777" w:rsidTr="003F1FCF">
        <w:trPr>
          <w:cantSplit/>
          <w:jc w:val="center"/>
        </w:trPr>
        <w:tc>
          <w:tcPr>
            <w:tcW w:w="3686" w:type="dxa"/>
            <w:shd w:val="clear" w:color="auto" w:fill="auto"/>
            <w:hideMark/>
          </w:tcPr>
          <w:p w14:paraId="0C566A21" w14:textId="77777777" w:rsidR="0015193C" w:rsidRPr="00025EEF" w:rsidRDefault="0015193C" w:rsidP="003F1FCF">
            <w:pPr>
              <w:spacing w:before="40" w:after="40" w:line="288" w:lineRule="auto"/>
              <w:jc w:val="both"/>
              <w:rPr>
                <w:rFonts w:ascii="Arial" w:hAnsi="Arial" w:cs="Arial"/>
                <w:color w:val="000000"/>
                <w:sz w:val="20"/>
                <w:szCs w:val="20"/>
              </w:rPr>
            </w:pPr>
          </w:p>
        </w:tc>
        <w:tc>
          <w:tcPr>
            <w:tcW w:w="1247" w:type="dxa"/>
            <w:vMerge/>
            <w:tcBorders>
              <w:bottom w:val="single" w:sz="4" w:space="0" w:color="auto"/>
            </w:tcBorders>
            <w:shd w:val="clear" w:color="auto" w:fill="auto"/>
            <w:vAlign w:val="center"/>
          </w:tcPr>
          <w:p w14:paraId="6A323626"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130" w:type="dxa"/>
            <w:vMerge/>
            <w:tcBorders>
              <w:bottom w:val="single" w:sz="4" w:space="0" w:color="auto"/>
            </w:tcBorders>
            <w:shd w:val="clear" w:color="auto" w:fill="auto"/>
            <w:vAlign w:val="center"/>
          </w:tcPr>
          <w:p w14:paraId="2354388E"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592" w:type="dxa"/>
            <w:vMerge/>
            <w:tcBorders>
              <w:bottom w:val="single" w:sz="4" w:space="0" w:color="auto"/>
            </w:tcBorders>
            <w:shd w:val="clear" w:color="auto" w:fill="auto"/>
            <w:vAlign w:val="center"/>
            <w:hideMark/>
          </w:tcPr>
          <w:p w14:paraId="710A76E0" w14:textId="77777777" w:rsidR="0015193C" w:rsidRPr="00025EEF" w:rsidRDefault="0015193C" w:rsidP="003F1FCF">
            <w:pPr>
              <w:spacing w:before="40" w:after="40" w:line="288" w:lineRule="auto"/>
              <w:jc w:val="center"/>
              <w:rPr>
                <w:rFonts w:ascii="Arial" w:hAnsi="Arial" w:cs="Arial"/>
                <w:color w:val="000000"/>
                <w:sz w:val="18"/>
                <w:szCs w:val="18"/>
              </w:rPr>
            </w:pPr>
          </w:p>
        </w:tc>
        <w:tc>
          <w:tcPr>
            <w:tcW w:w="1560" w:type="dxa"/>
            <w:vMerge/>
            <w:tcBorders>
              <w:bottom w:val="single" w:sz="4" w:space="0" w:color="auto"/>
            </w:tcBorders>
            <w:shd w:val="clear" w:color="auto" w:fill="auto"/>
            <w:vAlign w:val="center"/>
          </w:tcPr>
          <w:p w14:paraId="397F60AB" w14:textId="77777777" w:rsidR="0015193C" w:rsidRPr="00025EEF" w:rsidRDefault="0015193C" w:rsidP="003F1FCF">
            <w:pPr>
              <w:spacing w:before="40" w:after="40" w:line="288" w:lineRule="auto"/>
              <w:jc w:val="center"/>
              <w:rPr>
                <w:rFonts w:ascii="Arial" w:hAnsi="Arial" w:cs="Arial"/>
                <w:color w:val="000000"/>
                <w:sz w:val="18"/>
                <w:szCs w:val="18"/>
              </w:rPr>
            </w:pPr>
          </w:p>
        </w:tc>
      </w:tr>
      <w:tr w:rsidR="0015193C" w:rsidRPr="00025EEF" w14:paraId="0CEFE50E" w14:textId="77777777" w:rsidTr="003F1FCF">
        <w:trPr>
          <w:cantSplit/>
          <w:jc w:val="center"/>
        </w:trPr>
        <w:tc>
          <w:tcPr>
            <w:tcW w:w="3686" w:type="dxa"/>
            <w:shd w:val="clear" w:color="auto" w:fill="auto"/>
            <w:vAlign w:val="center"/>
            <w:hideMark/>
          </w:tcPr>
          <w:p w14:paraId="7AF31BD5" w14:textId="77777777" w:rsidR="0015193C" w:rsidRPr="00BB6740" w:rsidRDefault="0015193C" w:rsidP="003F1FCF">
            <w:pPr>
              <w:spacing w:before="40" w:after="40" w:line="288" w:lineRule="auto"/>
              <w:rPr>
                <w:rFonts w:ascii="Arial" w:hAnsi="Arial" w:cs="Arial"/>
                <w:b/>
                <w:bCs/>
                <w:color w:val="000000"/>
                <w:sz w:val="20"/>
                <w:szCs w:val="20"/>
              </w:rPr>
            </w:pPr>
            <w:r w:rsidRPr="00387E47">
              <w:rPr>
                <w:b/>
                <w:bCs/>
                <w:sz w:val="22"/>
                <w:szCs w:val="22"/>
              </w:rPr>
              <w:t>Total</w:t>
            </w:r>
          </w:p>
        </w:tc>
        <w:tc>
          <w:tcPr>
            <w:tcW w:w="1247" w:type="dxa"/>
            <w:tcBorders>
              <w:top w:val="single" w:sz="4" w:space="0" w:color="auto"/>
            </w:tcBorders>
            <w:shd w:val="clear" w:color="auto" w:fill="auto"/>
            <w:vAlign w:val="center"/>
            <w:hideMark/>
          </w:tcPr>
          <w:p w14:paraId="5B7FB124" w14:textId="77777777" w:rsidR="0015193C" w:rsidRPr="00BB6740" w:rsidRDefault="0015193C" w:rsidP="003F1FCF">
            <w:pPr>
              <w:spacing w:before="40" w:after="40" w:line="288" w:lineRule="auto"/>
              <w:ind w:right="34"/>
              <w:jc w:val="right"/>
              <w:rPr>
                <w:rFonts w:ascii="Arial" w:hAnsi="Arial" w:cs="Arial"/>
                <w:b/>
                <w:bCs/>
                <w:color w:val="000000"/>
                <w:sz w:val="20"/>
                <w:szCs w:val="20"/>
              </w:rPr>
            </w:pPr>
            <w:r>
              <w:rPr>
                <w:rFonts w:ascii="Arial" w:hAnsi="Arial" w:cs="Arial"/>
                <w:b/>
                <w:bCs/>
                <w:color w:val="000000"/>
                <w:sz w:val="20"/>
                <w:szCs w:val="20"/>
              </w:rPr>
              <w:t>441.2</w:t>
            </w:r>
          </w:p>
        </w:tc>
        <w:tc>
          <w:tcPr>
            <w:tcW w:w="1130" w:type="dxa"/>
            <w:tcBorders>
              <w:top w:val="single" w:sz="4" w:space="0" w:color="auto"/>
            </w:tcBorders>
            <w:shd w:val="clear" w:color="auto" w:fill="auto"/>
            <w:vAlign w:val="center"/>
            <w:hideMark/>
          </w:tcPr>
          <w:p w14:paraId="4CBB882C" w14:textId="77777777" w:rsidR="0015193C" w:rsidRPr="00BB6740" w:rsidRDefault="0015193C" w:rsidP="003F1FCF">
            <w:pPr>
              <w:spacing w:before="40" w:after="40" w:line="288" w:lineRule="auto"/>
              <w:ind w:right="32"/>
              <w:jc w:val="right"/>
              <w:rPr>
                <w:rFonts w:ascii="Arial" w:hAnsi="Arial" w:cs="Arial"/>
                <w:b/>
                <w:bCs/>
                <w:color w:val="000000"/>
                <w:sz w:val="20"/>
                <w:szCs w:val="20"/>
              </w:rPr>
            </w:pPr>
            <w:r>
              <w:rPr>
                <w:rFonts w:ascii="Arial" w:hAnsi="Arial" w:cs="Arial"/>
                <w:b/>
                <w:bCs/>
                <w:color w:val="000000"/>
                <w:sz w:val="20"/>
                <w:szCs w:val="20"/>
              </w:rPr>
              <w:t>470.7</w:t>
            </w:r>
          </w:p>
        </w:tc>
        <w:tc>
          <w:tcPr>
            <w:tcW w:w="1592" w:type="dxa"/>
            <w:tcBorders>
              <w:top w:val="single" w:sz="4" w:space="0" w:color="auto"/>
            </w:tcBorders>
            <w:shd w:val="clear" w:color="auto" w:fill="auto"/>
            <w:vAlign w:val="center"/>
            <w:hideMark/>
          </w:tcPr>
          <w:p w14:paraId="5163CE82" w14:textId="77777777" w:rsidR="0015193C" w:rsidRPr="00BB6740" w:rsidRDefault="0015193C" w:rsidP="003F1FCF">
            <w:pPr>
              <w:spacing w:before="40" w:after="40" w:line="288" w:lineRule="auto"/>
              <w:ind w:right="461"/>
              <w:jc w:val="right"/>
              <w:rPr>
                <w:rFonts w:ascii="Arial" w:hAnsi="Arial" w:cs="Arial"/>
                <w:b/>
                <w:bCs/>
                <w:color w:val="000000"/>
                <w:sz w:val="20"/>
                <w:szCs w:val="20"/>
              </w:rPr>
            </w:pPr>
            <w:r>
              <w:rPr>
                <w:rFonts w:ascii="Arial" w:hAnsi="Arial" w:cs="Arial"/>
                <w:b/>
                <w:bCs/>
                <w:color w:val="000000"/>
                <w:sz w:val="20"/>
                <w:szCs w:val="20"/>
              </w:rPr>
              <w:t>6.7</w:t>
            </w:r>
          </w:p>
        </w:tc>
        <w:tc>
          <w:tcPr>
            <w:tcW w:w="1560" w:type="dxa"/>
            <w:tcBorders>
              <w:top w:val="single" w:sz="4" w:space="0" w:color="auto"/>
            </w:tcBorders>
            <w:shd w:val="clear" w:color="auto" w:fill="auto"/>
            <w:vAlign w:val="center"/>
            <w:hideMark/>
          </w:tcPr>
          <w:p w14:paraId="7CF638D9" w14:textId="77777777" w:rsidR="0015193C" w:rsidRPr="00BB6740" w:rsidRDefault="0015193C" w:rsidP="003F1FCF">
            <w:pPr>
              <w:spacing w:before="40" w:after="40" w:line="288" w:lineRule="auto"/>
              <w:ind w:right="504"/>
              <w:jc w:val="right"/>
              <w:rPr>
                <w:rFonts w:ascii="Arial" w:hAnsi="Arial" w:cs="Arial"/>
                <w:b/>
                <w:bCs/>
                <w:color w:val="000000"/>
                <w:sz w:val="20"/>
                <w:szCs w:val="20"/>
              </w:rPr>
            </w:pPr>
            <w:r>
              <w:rPr>
                <w:rFonts w:ascii="Arial" w:hAnsi="Arial" w:cs="Arial"/>
                <w:b/>
                <w:bCs/>
                <w:color w:val="000000"/>
                <w:sz w:val="20"/>
                <w:szCs w:val="20"/>
              </w:rPr>
              <w:t>1.3</w:t>
            </w:r>
          </w:p>
        </w:tc>
      </w:tr>
      <w:tr w:rsidR="0015193C" w:rsidRPr="00025EEF" w14:paraId="56FCC48A" w14:textId="77777777" w:rsidTr="003F1FCF">
        <w:trPr>
          <w:cantSplit/>
          <w:jc w:val="center"/>
        </w:trPr>
        <w:tc>
          <w:tcPr>
            <w:tcW w:w="3686" w:type="dxa"/>
            <w:shd w:val="clear" w:color="auto" w:fill="auto"/>
            <w:vAlign w:val="center"/>
            <w:hideMark/>
          </w:tcPr>
          <w:p w14:paraId="6A330640" w14:textId="77777777" w:rsidR="0015193C" w:rsidRPr="00BB6740" w:rsidRDefault="0015193C" w:rsidP="003F1FCF">
            <w:pPr>
              <w:spacing w:before="40" w:after="40" w:line="288" w:lineRule="auto"/>
              <w:ind w:firstLine="176"/>
              <w:rPr>
                <w:rFonts w:ascii="Arial" w:hAnsi="Arial" w:cs="Arial"/>
                <w:color w:val="000000"/>
                <w:sz w:val="20"/>
                <w:szCs w:val="20"/>
              </w:rPr>
            </w:pPr>
            <w:r w:rsidRPr="00387E47">
              <w:rPr>
                <w:bCs/>
                <w:sz w:val="22"/>
                <w:szCs w:val="22"/>
              </w:rPr>
              <w:t>Retail sale</w:t>
            </w:r>
          </w:p>
        </w:tc>
        <w:tc>
          <w:tcPr>
            <w:tcW w:w="1247" w:type="dxa"/>
            <w:shd w:val="clear" w:color="auto" w:fill="auto"/>
            <w:vAlign w:val="center"/>
            <w:hideMark/>
          </w:tcPr>
          <w:p w14:paraId="4283BFFC" w14:textId="77777777" w:rsidR="0015193C" w:rsidRPr="00BB6740" w:rsidRDefault="0015193C" w:rsidP="003F1FCF">
            <w:pPr>
              <w:spacing w:before="40" w:after="40" w:line="288" w:lineRule="auto"/>
              <w:ind w:right="34"/>
              <w:jc w:val="right"/>
              <w:rPr>
                <w:rFonts w:ascii="Arial" w:hAnsi="Arial" w:cs="Arial"/>
                <w:color w:val="000000"/>
                <w:sz w:val="20"/>
                <w:szCs w:val="20"/>
              </w:rPr>
            </w:pPr>
            <w:r>
              <w:rPr>
                <w:rFonts w:ascii="Arial" w:hAnsi="Arial" w:cs="Arial"/>
                <w:color w:val="000000"/>
                <w:sz w:val="20"/>
                <w:szCs w:val="20"/>
              </w:rPr>
              <w:t>358.3</w:t>
            </w:r>
          </w:p>
        </w:tc>
        <w:tc>
          <w:tcPr>
            <w:tcW w:w="1130" w:type="dxa"/>
            <w:shd w:val="clear" w:color="auto" w:fill="auto"/>
            <w:vAlign w:val="center"/>
            <w:hideMark/>
          </w:tcPr>
          <w:p w14:paraId="5368EE41" w14:textId="77777777" w:rsidR="0015193C" w:rsidRPr="00BB6740" w:rsidRDefault="0015193C" w:rsidP="003F1FCF">
            <w:pPr>
              <w:spacing w:before="40" w:after="40" w:line="288" w:lineRule="auto"/>
              <w:ind w:right="32"/>
              <w:jc w:val="right"/>
              <w:rPr>
                <w:rFonts w:ascii="Arial" w:hAnsi="Arial" w:cs="Arial"/>
                <w:color w:val="000000"/>
                <w:sz w:val="20"/>
                <w:szCs w:val="20"/>
              </w:rPr>
            </w:pPr>
            <w:r>
              <w:rPr>
                <w:rFonts w:ascii="Arial" w:hAnsi="Arial" w:cs="Arial"/>
                <w:color w:val="000000"/>
                <w:sz w:val="20"/>
                <w:szCs w:val="20"/>
              </w:rPr>
              <w:t>383.5</w:t>
            </w:r>
          </w:p>
        </w:tc>
        <w:tc>
          <w:tcPr>
            <w:tcW w:w="1592" w:type="dxa"/>
            <w:shd w:val="clear" w:color="auto" w:fill="auto"/>
            <w:vAlign w:val="center"/>
            <w:hideMark/>
          </w:tcPr>
          <w:p w14:paraId="7B8906EE" w14:textId="77777777" w:rsidR="0015193C" w:rsidRPr="00BB6740" w:rsidRDefault="0015193C" w:rsidP="003F1FCF">
            <w:pPr>
              <w:spacing w:before="40" w:after="40" w:line="288" w:lineRule="auto"/>
              <w:ind w:right="461"/>
              <w:jc w:val="right"/>
              <w:rPr>
                <w:rFonts w:ascii="Arial" w:hAnsi="Arial" w:cs="Arial"/>
                <w:color w:val="000000"/>
                <w:sz w:val="20"/>
                <w:szCs w:val="20"/>
              </w:rPr>
            </w:pPr>
            <w:r>
              <w:rPr>
                <w:rFonts w:ascii="Arial" w:hAnsi="Arial" w:cs="Arial"/>
                <w:color w:val="000000"/>
                <w:sz w:val="20"/>
                <w:szCs w:val="20"/>
              </w:rPr>
              <w:t>7.0</w:t>
            </w:r>
          </w:p>
        </w:tc>
        <w:tc>
          <w:tcPr>
            <w:tcW w:w="1560" w:type="dxa"/>
            <w:shd w:val="clear" w:color="auto" w:fill="auto"/>
            <w:vAlign w:val="center"/>
            <w:hideMark/>
          </w:tcPr>
          <w:p w14:paraId="52DBD810" w14:textId="77777777" w:rsidR="0015193C" w:rsidRPr="00BB6740" w:rsidRDefault="0015193C" w:rsidP="003F1FCF">
            <w:pPr>
              <w:spacing w:before="40" w:after="40" w:line="288" w:lineRule="auto"/>
              <w:ind w:right="504"/>
              <w:jc w:val="right"/>
              <w:rPr>
                <w:rFonts w:ascii="Arial" w:hAnsi="Arial" w:cs="Arial"/>
                <w:color w:val="000000"/>
                <w:sz w:val="20"/>
                <w:szCs w:val="20"/>
              </w:rPr>
            </w:pPr>
            <w:r>
              <w:rPr>
                <w:rFonts w:ascii="Arial" w:hAnsi="Arial" w:cs="Arial"/>
                <w:color w:val="000000"/>
                <w:sz w:val="20"/>
                <w:szCs w:val="20"/>
              </w:rPr>
              <w:t>4.</w:t>
            </w:r>
            <w:r w:rsidRPr="00BB6740">
              <w:rPr>
                <w:rFonts w:ascii="Arial" w:hAnsi="Arial" w:cs="Arial"/>
                <w:color w:val="000000"/>
                <w:sz w:val="20"/>
                <w:szCs w:val="20"/>
              </w:rPr>
              <w:t>3</w:t>
            </w:r>
          </w:p>
        </w:tc>
      </w:tr>
      <w:tr w:rsidR="0015193C" w:rsidRPr="00025EEF" w14:paraId="2F6CC21F" w14:textId="77777777" w:rsidTr="003F1FCF">
        <w:trPr>
          <w:cantSplit/>
          <w:jc w:val="center"/>
        </w:trPr>
        <w:tc>
          <w:tcPr>
            <w:tcW w:w="3686" w:type="dxa"/>
            <w:shd w:val="clear" w:color="auto" w:fill="auto"/>
            <w:vAlign w:val="center"/>
            <w:hideMark/>
          </w:tcPr>
          <w:p w14:paraId="3A0CBD19" w14:textId="77777777" w:rsidR="0015193C" w:rsidRPr="00BB6740" w:rsidRDefault="0015193C" w:rsidP="003F1FCF">
            <w:pPr>
              <w:spacing w:before="40" w:after="40" w:line="288" w:lineRule="auto"/>
              <w:ind w:firstLine="176"/>
              <w:rPr>
                <w:rFonts w:ascii="Arial" w:hAnsi="Arial" w:cs="Arial"/>
                <w:color w:val="000000"/>
                <w:sz w:val="20"/>
                <w:szCs w:val="20"/>
              </w:rPr>
            </w:pPr>
            <w:r w:rsidRPr="00387E47">
              <w:rPr>
                <w:bCs/>
                <w:sz w:val="22"/>
                <w:szCs w:val="22"/>
              </w:rPr>
              <w:t>Accommodation and catering service</w:t>
            </w:r>
          </w:p>
        </w:tc>
        <w:tc>
          <w:tcPr>
            <w:tcW w:w="1247" w:type="dxa"/>
            <w:shd w:val="clear" w:color="auto" w:fill="auto"/>
            <w:vAlign w:val="center"/>
            <w:hideMark/>
          </w:tcPr>
          <w:p w14:paraId="15BF2F31" w14:textId="77777777" w:rsidR="0015193C" w:rsidRPr="00BB6740" w:rsidRDefault="0015193C" w:rsidP="003F1FCF">
            <w:pPr>
              <w:spacing w:before="40" w:after="40" w:line="288" w:lineRule="auto"/>
              <w:ind w:right="34"/>
              <w:jc w:val="right"/>
              <w:rPr>
                <w:rFonts w:ascii="Arial" w:hAnsi="Arial" w:cs="Arial"/>
                <w:color w:val="000000"/>
                <w:sz w:val="20"/>
                <w:szCs w:val="20"/>
              </w:rPr>
            </w:pPr>
            <w:r>
              <w:rPr>
                <w:rFonts w:ascii="Arial" w:hAnsi="Arial" w:cs="Arial"/>
                <w:color w:val="000000"/>
                <w:sz w:val="20"/>
                <w:szCs w:val="20"/>
              </w:rPr>
              <w:t>38.</w:t>
            </w:r>
            <w:r w:rsidRPr="00BB6740">
              <w:rPr>
                <w:rFonts w:ascii="Arial" w:hAnsi="Arial" w:cs="Arial"/>
                <w:color w:val="000000"/>
                <w:sz w:val="20"/>
                <w:szCs w:val="20"/>
              </w:rPr>
              <w:t>2</w:t>
            </w:r>
          </w:p>
        </w:tc>
        <w:tc>
          <w:tcPr>
            <w:tcW w:w="1130" w:type="dxa"/>
            <w:shd w:val="clear" w:color="auto" w:fill="auto"/>
            <w:vAlign w:val="center"/>
            <w:hideMark/>
          </w:tcPr>
          <w:p w14:paraId="62822CBC" w14:textId="77777777" w:rsidR="0015193C" w:rsidRPr="00BB6740" w:rsidRDefault="0015193C" w:rsidP="003F1FCF">
            <w:pPr>
              <w:spacing w:before="40" w:after="40" w:line="288" w:lineRule="auto"/>
              <w:ind w:right="32"/>
              <w:jc w:val="right"/>
              <w:rPr>
                <w:rFonts w:ascii="Arial" w:hAnsi="Arial" w:cs="Arial"/>
                <w:color w:val="000000"/>
                <w:sz w:val="20"/>
                <w:szCs w:val="20"/>
              </w:rPr>
            </w:pPr>
            <w:r>
              <w:rPr>
                <w:rFonts w:ascii="Arial" w:hAnsi="Arial" w:cs="Arial"/>
                <w:color w:val="000000"/>
                <w:sz w:val="20"/>
                <w:szCs w:val="20"/>
              </w:rPr>
              <w:t>41.3</w:t>
            </w:r>
          </w:p>
        </w:tc>
        <w:tc>
          <w:tcPr>
            <w:tcW w:w="1592" w:type="dxa"/>
            <w:shd w:val="clear" w:color="auto" w:fill="auto"/>
            <w:vAlign w:val="center"/>
            <w:hideMark/>
          </w:tcPr>
          <w:p w14:paraId="36FB2281" w14:textId="77777777" w:rsidR="0015193C" w:rsidRPr="00BB6740" w:rsidRDefault="0015193C" w:rsidP="003F1FCF">
            <w:pPr>
              <w:spacing w:before="40" w:after="40" w:line="288" w:lineRule="auto"/>
              <w:ind w:right="461"/>
              <w:jc w:val="right"/>
              <w:rPr>
                <w:rFonts w:ascii="Arial" w:hAnsi="Arial" w:cs="Arial"/>
                <w:color w:val="000000"/>
                <w:sz w:val="20"/>
                <w:szCs w:val="20"/>
              </w:rPr>
            </w:pPr>
            <w:r>
              <w:rPr>
                <w:rFonts w:ascii="Arial" w:hAnsi="Arial" w:cs="Arial"/>
                <w:color w:val="000000"/>
                <w:sz w:val="20"/>
                <w:szCs w:val="20"/>
              </w:rPr>
              <w:t>8.0</w:t>
            </w:r>
          </w:p>
        </w:tc>
        <w:tc>
          <w:tcPr>
            <w:tcW w:w="1560" w:type="dxa"/>
            <w:shd w:val="clear" w:color="auto" w:fill="auto"/>
            <w:vAlign w:val="center"/>
            <w:hideMark/>
          </w:tcPr>
          <w:p w14:paraId="5B679284" w14:textId="77777777" w:rsidR="0015193C" w:rsidRPr="00BB6740" w:rsidRDefault="0015193C" w:rsidP="003F1FCF">
            <w:pPr>
              <w:spacing w:before="40" w:after="40" w:line="288" w:lineRule="auto"/>
              <w:ind w:right="504"/>
              <w:jc w:val="right"/>
              <w:rPr>
                <w:rFonts w:ascii="Arial" w:hAnsi="Arial" w:cs="Arial"/>
                <w:color w:val="000000"/>
                <w:sz w:val="20"/>
                <w:szCs w:val="20"/>
              </w:rPr>
            </w:pPr>
            <w:r>
              <w:rPr>
                <w:rFonts w:ascii="Arial" w:hAnsi="Arial" w:cs="Arial"/>
                <w:color w:val="000000"/>
                <w:sz w:val="20"/>
                <w:szCs w:val="20"/>
              </w:rPr>
              <w:t>-11.9</w:t>
            </w:r>
          </w:p>
        </w:tc>
      </w:tr>
      <w:tr w:rsidR="0015193C" w:rsidRPr="00025EEF" w14:paraId="66EFBD4C" w14:textId="77777777" w:rsidTr="003F1FCF">
        <w:trPr>
          <w:cantSplit/>
          <w:jc w:val="center"/>
        </w:trPr>
        <w:tc>
          <w:tcPr>
            <w:tcW w:w="3686" w:type="dxa"/>
            <w:shd w:val="clear" w:color="auto" w:fill="auto"/>
            <w:vAlign w:val="center"/>
            <w:hideMark/>
          </w:tcPr>
          <w:p w14:paraId="7A5FF5E0" w14:textId="77777777" w:rsidR="0015193C" w:rsidRPr="00BB6740" w:rsidRDefault="0015193C" w:rsidP="003F1FCF">
            <w:pPr>
              <w:spacing w:before="40" w:after="40" w:line="288" w:lineRule="auto"/>
              <w:ind w:firstLine="176"/>
              <w:rPr>
                <w:rFonts w:ascii="Arial" w:hAnsi="Arial" w:cs="Arial"/>
                <w:color w:val="000000"/>
                <w:sz w:val="20"/>
                <w:szCs w:val="20"/>
              </w:rPr>
            </w:pPr>
            <w:r w:rsidRPr="00387E47">
              <w:rPr>
                <w:bCs/>
                <w:sz w:val="22"/>
                <w:szCs w:val="22"/>
              </w:rPr>
              <w:t>Traveling service</w:t>
            </w:r>
          </w:p>
        </w:tc>
        <w:tc>
          <w:tcPr>
            <w:tcW w:w="1247" w:type="dxa"/>
            <w:shd w:val="clear" w:color="auto" w:fill="auto"/>
            <w:vAlign w:val="center"/>
            <w:hideMark/>
          </w:tcPr>
          <w:p w14:paraId="4E6891AD" w14:textId="77777777" w:rsidR="0015193C" w:rsidRPr="00BB6740" w:rsidRDefault="0015193C" w:rsidP="003F1FCF">
            <w:pPr>
              <w:spacing w:before="40" w:after="40" w:line="288" w:lineRule="auto"/>
              <w:ind w:right="34"/>
              <w:jc w:val="right"/>
              <w:rPr>
                <w:rFonts w:ascii="Arial" w:hAnsi="Arial" w:cs="Arial"/>
                <w:color w:val="000000"/>
                <w:sz w:val="20"/>
                <w:szCs w:val="20"/>
              </w:rPr>
            </w:pPr>
            <w:r>
              <w:rPr>
                <w:rFonts w:ascii="Arial" w:hAnsi="Arial" w:cs="Arial"/>
                <w:color w:val="000000"/>
                <w:sz w:val="20"/>
                <w:szCs w:val="20"/>
              </w:rPr>
              <w:t>1.0</w:t>
            </w:r>
          </w:p>
        </w:tc>
        <w:tc>
          <w:tcPr>
            <w:tcW w:w="1130" w:type="dxa"/>
            <w:shd w:val="clear" w:color="auto" w:fill="auto"/>
            <w:vAlign w:val="center"/>
            <w:hideMark/>
          </w:tcPr>
          <w:p w14:paraId="1CA98B11" w14:textId="77777777" w:rsidR="0015193C" w:rsidRPr="00BB6740" w:rsidRDefault="0015193C" w:rsidP="003F1FCF">
            <w:pPr>
              <w:spacing w:before="40" w:after="40" w:line="288" w:lineRule="auto"/>
              <w:ind w:right="32"/>
              <w:jc w:val="right"/>
              <w:rPr>
                <w:rFonts w:ascii="Arial" w:hAnsi="Arial" w:cs="Arial"/>
                <w:color w:val="000000"/>
                <w:sz w:val="20"/>
                <w:szCs w:val="20"/>
              </w:rPr>
            </w:pPr>
            <w:r>
              <w:rPr>
                <w:rFonts w:ascii="Arial" w:hAnsi="Arial" w:cs="Arial"/>
                <w:color w:val="000000"/>
                <w:sz w:val="20"/>
                <w:szCs w:val="20"/>
              </w:rPr>
              <w:t>1.0</w:t>
            </w:r>
          </w:p>
        </w:tc>
        <w:tc>
          <w:tcPr>
            <w:tcW w:w="1592" w:type="dxa"/>
            <w:shd w:val="clear" w:color="auto" w:fill="auto"/>
            <w:vAlign w:val="center"/>
            <w:hideMark/>
          </w:tcPr>
          <w:p w14:paraId="2F48D043" w14:textId="77777777" w:rsidR="0015193C" w:rsidRPr="00BB6740" w:rsidRDefault="0015193C" w:rsidP="003F1FCF">
            <w:pPr>
              <w:spacing w:before="40" w:after="40" w:line="288" w:lineRule="auto"/>
              <w:ind w:right="461"/>
              <w:jc w:val="right"/>
              <w:rPr>
                <w:rFonts w:ascii="Arial" w:hAnsi="Arial" w:cs="Arial"/>
                <w:color w:val="000000"/>
                <w:sz w:val="20"/>
                <w:szCs w:val="20"/>
              </w:rPr>
            </w:pPr>
            <w:r>
              <w:rPr>
                <w:rFonts w:ascii="Arial" w:hAnsi="Arial" w:cs="Arial"/>
                <w:color w:val="000000"/>
                <w:sz w:val="20"/>
                <w:szCs w:val="20"/>
              </w:rPr>
              <w:t>2.7</w:t>
            </w:r>
          </w:p>
        </w:tc>
        <w:tc>
          <w:tcPr>
            <w:tcW w:w="1560" w:type="dxa"/>
            <w:shd w:val="clear" w:color="auto" w:fill="auto"/>
            <w:vAlign w:val="center"/>
            <w:hideMark/>
          </w:tcPr>
          <w:p w14:paraId="176A5FF3" w14:textId="77777777" w:rsidR="0015193C" w:rsidRPr="00BB6740" w:rsidRDefault="0015193C" w:rsidP="003F1FCF">
            <w:pPr>
              <w:spacing w:before="40" w:after="40" w:line="288" w:lineRule="auto"/>
              <w:ind w:right="504"/>
              <w:jc w:val="right"/>
              <w:rPr>
                <w:rFonts w:ascii="Arial" w:hAnsi="Arial" w:cs="Arial"/>
                <w:color w:val="000000"/>
                <w:sz w:val="20"/>
                <w:szCs w:val="20"/>
              </w:rPr>
            </w:pPr>
            <w:r>
              <w:rPr>
                <w:rFonts w:ascii="Arial" w:hAnsi="Arial" w:cs="Arial"/>
                <w:color w:val="000000"/>
                <w:sz w:val="20"/>
                <w:szCs w:val="20"/>
              </w:rPr>
              <w:t>-35.6</w:t>
            </w:r>
          </w:p>
        </w:tc>
      </w:tr>
      <w:tr w:rsidR="0015193C" w:rsidRPr="00025EEF" w14:paraId="69FD9CF0" w14:textId="77777777" w:rsidTr="003F1FCF">
        <w:trPr>
          <w:cantSplit/>
          <w:jc w:val="center"/>
        </w:trPr>
        <w:tc>
          <w:tcPr>
            <w:tcW w:w="3686" w:type="dxa"/>
            <w:tcBorders>
              <w:bottom w:val="single" w:sz="4" w:space="0" w:color="auto"/>
            </w:tcBorders>
            <w:shd w:val="clear" w:color="auto" w:fill="auto"/>
            <w:vAlign w:val="center"/>
            <w:hideMark/>
          </w:tcPr>
          <w:p w14:paraId="163E0C84" w14:textId="77777777" w:rsidR="0015193C" w:rsidRPr="00BB6740" w:rsidRDefault="0015193C" w:rsidP="003F1FCF">
            <w:pPr>
              <w:spacing w:before="40" w:after="40" w:line="288" w:lineRule="auto"/>
              <w:ind w:firstLine="176"/>
              <w:rPr>
                <w:rFonts w:ascii="Arial" w:hAnsi="Arial" w:cs="Arial"/>
                <w:color w:val="000000"/>
                <w:sz w:val="20"/>
                <w:szCs w:val="20"/>
              </w:rPr>
            </w:pPr>
            <w:r w:rsidRPr="00387E47">
              <w:rPr>
                <w:bCs/>
                <w:sz w:val="22"/>
                <w:szCs w:val="22"/>
              </w:rPr>
              <w:t>Other services</w:t>
            </w:r>
          </w:p>
        </w:tc>
        <w:tc>
          <w:tcPr>
            <w:tcW w:w="1247" w:type="dxa"/>
            <w:tcBorders>
              <w:bottom w:val="single" w:sz="4" w:space="0" w:color="auto"/>
            </w:tcBorders>
            <w:shd w:val="clear" w:color="auto" w:fill="auto"/>
            <w:vAlign w:val="center"/>
            <w:hideMark/>
          </w:tcPr>
          <w:p w14:paraId="6572D9C0" w14:textId="77777777" w:rsidR="0015193C" w:rsidRPr="00BB6740" w:rsidRDefault="0015193C" w:rsidP="003F1FCF">
            <w:pPr>
              <w:spacing w:before="40" w:after="40" w:line="288" w:lineRule="auto"/>
              <w:ind w:right="34"/>
              <w:jc w:val="right"/>
              <w:rPr>
                <w:rFonts w:ascii="Arial" w:hAnsi="Arial" w:cs="Arial"/>
                <w:color w:val="000000"/>
                <w:sz w:val="20"/>
                <w:szCs w:val="20"/>
              </w:rPr>
            </w:pPr>
            <w:r>
              <w:rPr>
                <w:rFonts w:ascii="Arial" w:hAnsi="Arial" w:cs="Arial"/>
                <w:color w:val="000000"/>
                <w:sz w:val="20"/>
                <w:szCs w:val="20"/>
              </w:rPr>
              <w:t>43.7</w:t>
            </w:r>
          </w:p>
        </w:tc>
        <w:tc>
          <w:tcPr>
            <w:tcW w:w="1130" w:type="dxa"/>
            <w:tcBorders>
              <w:bottom w:val="single" w:sz="4" w:space="0" w:color="auto"/>
            </w:tcBorders>
            <w:shd w:val="clear" w:color="auto" w:fill="auto"/>
            <w:vAlign w:val="center"/>
            <w:hideMark/>
          </w:tcPr>
          <w:p w14:paraId="021884A1" w14:textId="77777777" w:rsidR="0015193C" w:rsidRPr="00BB6740" w:rsidRDefault="0015193C" w:rsidP="003F1FCF">
            <w:pPr>
              <w:spacing w:before="40" w:after="40" w:line="288" w:lineRule="auto"/>
              <w:ind w:right="32"/>
              <w:jc w:val="right"/>
              <w:rPr>
                <w:rFonts w:ascii="Arial" w:hAnsi="Arial" w:cs="Arial"/>
                <w:color w:val="000000"/>
                <w:sz w:val="20"/>
                <w:szCs w:val="20"/>
              </w:rPr>
            </w:pPr>
            <w:r>
              <w:rPr>
                <w:rFonts w:ascii="Arial" w:hAnsi="Arial" w:cs="Arial"/>
                <w:color w:val="000000"/>
                <w:sz w:val="20"/>
                <w:szCs w:val="20"/>
              </w:rPr>
              <w:t>44.9</w:t>
            </w:r>
          </w:p>
        </w:tc>
        <w:tc>
          <w:tcPr>
            <w:tcW w:w="1592" w:type="dxa"/>
            <w:tcBorders>
              <w:bottom w:val="single" w:sz="4" w:space="0" w:color="auto"/>
            </w:tcBorders>
            <w:shd w:val="clear" w:color="auto" w:fill="auto"/>
            <w:vAlign w:val="center"/>
            <w:hideMark/>
          </w:tcPr>
          <w:p w14:paraId="01A4BADB" w14:textId="77777777" w:rsidR="0015193C" w:rsidRPr="00BB6740" w:rsidRDefault="0015193C" w:rsidP="003F1FCF">
            <w:pPr>
              <w:spacing w:before="40" w:after="40" w:line="288" w:lineRule="auto"/>
              <w:ind w:right="461"/>
              <w:jc w:val="right"/>
              <w:rPr>
                <w:rFonts w:ascii="Arial" w:hAnsi="Arial" w:cs="Arial"/>
                <w:color w:val="000000"/>
                <w:sz w:val="20"/>
                <w:szCs w:val="20"/>
              </w:rPr>
            </w:pPr>
            <w:r>
              <w:rPr>
                <w:rFonts w:ascii="Arial" w:hAnsi="Arial" w:cs="Arial"/>
                <w:color w:val="000000"/>
                <w:sz w:val="20"/>
                <w:szCs w:val="20"/>
              </w:rPr>
              <w:t>2.7</w:t>
            </w:r>
          </w:p>
        </w:tc>
        <w:tc>
          <w:tcPr>
            <w:tcW w:w="1560" w:type="dxa"/>
            <w:tcBorders>
              <w:bottom w:val="single" w:sz="4" w:space="0" w:color="auto"/>
            </w:tcBorders>
            <w:shd w:val="clear" w:color="auto" w:fill="auto"/>
            <w:vAlign w:val="center"/>
            <w:hideMark/>
          </w:tcPr>
          <w:p w14:paraId="27A1170A" w14:textId="77777777" w:rsidR="0015193C" w:rsidRPr="00BB6740" w:rsidRDefault="0015193C" w:rsidP="003F1FCF">
            <w:pPr>
              <w:spacing w:before="40" w:after="40" w:line="288" w:lineRule="auto"/>
              <w:ind w:right="504"/>
              <w:jc w:val="right"/>
              <w:rPr>
                <w:rFonts w:ascii="Arial" w:hAnsi="Arial" w:cs="Arial"/>
                <w:color w:val="000000"/>
                <w:sz w:val="20"/>
                <w:szCs w:val="20"/>
              </w:rPr>
            </w:pPr>
            <w:r>
              <w:rPr>
                <w:rFonts w:ascii="Arial" w:hAnsi="Arial" w:cs="Arial"/>
                <w:color w:val="000000"/>
                <w:sz w:val="20"/>
                <w:szCs w:val="20"/>
              </w:rPr>
              <w:t>-8.1</w:t>
            </w:r>
          </w:p>
        </w:tc>
      </w:tr>
    </w:tbl>
    <w:p w14:paraId="417A86BB" w14:textId="77777777" w:rsidR="0015193C" w:rsidRPr="005864E8" w:rsidRDefault="0015193C" w:rsidP="0015193C">
      <w:pPr>
        <w:tabs>
          <w:tab w:val="left" w:pos="2552"/>
          <w:tab w:val="left" w:pos="2835"/>
          <w:tab w:val="left" w:pos="3402"/>
        </w:tabs>
        <w:spacing w:before="40" w:after="40" w:line="288" w:lineRule="auto"/>
        <w:ind w:firstLine="567"/>
        <w:jc w:val="both"/>
        <w:rPr>
          <w:bCs/>
          <w:sz w:val="2"/>
        </w:rPr>
      </w:pPr>
    </w:p>
    <w:p w14:paraId="11368BAE" w14:textId="77777777" w:rsidR="005864E8" w:rsidRPr="005864E8" w:rsidRDefault="005864E8" w:rsidP="00ED0C59">
      <w:pPr>
        <w:tabs>
          <w:tab w:val="left" w:pos="2552"/>
          <w:tab w:val="left" w:pos="2835"/>
          <w:tab w:val="left" w:pos="3402"/>
        </w:tabs>
        <w:spacing w:before="40" w:after="40" w:line="288" w:lineRule="auto"/>
        <w:ind w:firstLine="567"/>
        <w:jc w:val="both"/>
        <w:rPr>
          <w:bCs/>
          <w:sz w:val="2"/>
        </w:rPr>
      </w:pPr>
    </w:p>
    <w:p w14:paraId="1C6BD5F5" w14:textId="77777777" w:rsidR="00F11132" w:rsidRDefault="00F11132" w:rsidP="006F74C3">
      <w:pPr>
        <w:widowControl w:val="0"/>
        <w:tabs>
          <w:tab w:val="left" w:pos="2552"/>
          <w:tab w:val="left" w:pos="2835"/>
          <w:tab w:val="left" w:pos="3402"/>
        </w:tabs>
        <w:spacing w:before="40" w:after="40" w:line="276" w:lineRule="auto"/>
        <w:ind w:firstLine="567"/>
        <w:jc w:val="both"/>
        <w:rPr>
          <w:bCs/>
        </w:rPr>
      </w:pPr>
      <w:r w:rsidRPr="00F11132">
        <w:rPr>
          <w:bCs/>
        </w:rPr>
        <w:t>By economic activities in retail sales of goods in January 2022: Food and foodstuffs up 12.8%; vehicles increased by 4.3%; garments down 14.2%; household appliances, tools, and equipment decreased by 8.4%; cultural and educational products decreased by 7.2%. Retail sales of goods in January compared with the same period last year of some localities: Khanh Hoa increased by 1.4%; Hai Phong increased by 7.8%; Binh Duong increased by 8.6%; Hanoi increased by 10%; Can Tho increased by 10.4%; Ba Ria - Vung Tau increased by 12.6%; Quang Ninh increased by 13.9%; Ho Chi Minh city decreased by 13.8%; Da Nang fell 7.8%.</w:t>
      </w:r>
    </w:p>
    <w:p w14:paraId="575B6131" w14:textId="77777777" w:rsidR="00682EA2" w:rsidRDefault="00682EA2" w:rsidP="006F74C3">
      <w:pPr>
        <w:tabs>
          <w:tab w:val="left" w:pos="2552"/>
          <w:tab w:val="left" w:pos="2835"/>
          <w:tab w:val="left" w:pos="3402"/>
        </w:tabs>
        <w:spacing w:before="40" w:after="40" w:line="276" w:lineRule="auto"/>
        <w:ind w:firstLine="567"/>
        <w:jc w:val="both"/>
      </w:pPr>
      <w:r>
        <w:rPr>
          <w:rStyle w:val="Emphasis"/>
          <w:color w:val="0E101A"/>
        </w:rPr>
        <w:t>Revenue from accommodation and catering services</w:t>
      </w:r>
      <w:r>
        <w:t> in January of this year compared to the same period last year of some localities: Ho Chi Minh city decreased by 66.8%; Quang Ninh down 43.3%; Thua Thien - Hue down 39.3%; Hai Phong down 37.5%; Da Nang down 34.5%; Binh Duong down 19.4%; Hanoi decreased by 1.3%.</w:t>
      </w:r>
    </w:p>
    <w:p w14:paraId="095E2D9E" w14:textId="77777777" w:rsidR="00824887" w:rsidRPr="00824887" w:rsidRDefault="00824887" w:rsidP="00824887">
      <w:pPr>
        <w:tabs>
          <w:tab w:val="left" w:pos="2552"/>
          <w:tab w:val="left" w:pos="2835"/>
          <w:tab w:val="left" w:pos="3402"/>
        </w:tabs>
        <w:spacing w:before="40" w:after="40" w:line="276" w:lineRule="auto"/>
        <w:ind w:firstLine="567"/>
        <w:jc w:val="both"/>
        <w:rPr>
          <w:rStyle w:val="Emphasis"/>
          <w:i w:val="0"/>
          <w:color w:val="0E101A"/>
        </w:rPr>
      </w:pPr>
      <w:r w:rsidRPr="00824887">
        <w:rPr>
          <w:rStyle w:val="Emphasis"/>
          <w:iCs w:val="0"/>
          <w:color w:val="0E101A"/>
        </w:rPr>
        <w:t>Revenue from tourism and travel services</w:t>
      </w:r>
      <w:r w:rsidRPr="00824887">
        <w:rPr>
          <w:rStyle w:val="Emphasis"/>
          <w:i w:val="0"/>
          <w:color w:val="0E101A"/>
        </w:rPr>
        <w:t xml:space="preserve"> in January 2022 of some localities decreased sharply compared to the same period last year: Ba Ria - Vung Tau declined by 95.2%; Binh Dinh down 77.5%; Da Nang down 76%; Ho Chi Minh city decreased by 74.3%; Quang Ninh down 66.7%; Can Tho down 50.7%; Kien Giang down 50.6%; Hanoi fell 7.2%.</w:t>
      </w:r>
    </w:p>
    <w:p w14:paraId="3688CCD6" w14:textId="77777777" w:rsidR="00824887" w:rsidRPr="00824887" w:rsidRDefault="00824887" w:rsidP="00824887">
      <w:pPr>
        <w:tabs>
          <w:tab w:val="left" w:pos="2552"/>
          <w:tab w:val="left" w:pos="2835"/>
          <w:tab w:val="left" w:pos="3402"/>
        </w:tabs>
        <w:spacing w:before="40" w:after="40" w:line="276" w:lineRule="auto"/>
        <w:ind w:firstLine="567"/>
        <w:jc w:val="both"/>
        <w:rPr>
          <w:rStyle w:val="Emphasis"/>
          <w:i w:val="0"/>
          <w:color w:val="0E101A"/>
        </w:rPr>
      </w:pPr>
      <w:r w:rsidRPr="00824887">
        <w:rPr>
          <w:rStyle w:val="Emphasis"/>
          <w:iCs w:val="0"/>
          <w:color w:val="0E101A"/>
        </w:rPr>
        <w:t>Revenue from other services</w:t>
      </w:r>
      <w:r w:rsidRPr="00824887">
        <w:rPr>
          <w:rStyle w:val="Emphasis"/>
          <w:i w:val="0"/>
          <w:color w:val="0E101A"/>
        </w:rPr>
        <w:t xml:space="preserve"> in January 2022 compared to the same period last year of Can Tho increased by 3.9%; Binh Dinh increased by 4.9%; Ho Chi Minh city down 39.2%; Da Nang down 34.5%; Hai Phong down 13.1%; Hanoi decreased by 1.7%; Dong Nai fell 1.2%.</w:t>
      </w:r>
    </w:p>
    <w:p w14:paraId="1412758D" w14:textId="0F2E5970" w:rsidR="0049016A" w:rsidRPr="00CB5730" w:rsidRDefault="00A7291A" w:rsidP="00824887">
      <w:pPr>
        <w:tabs>
          <w:tab w:val="left" w:pos="900"/>
          <w:tab w:val="left" w:pos="9475"/>
        </w:tabs>
        <w:spacing w:before="40" w:after="40" w:line="276" w:lineRule="auto"/>
        <w:ind w:right="119" w:firstLine="567"/>
        <w:jc w:val="both"/>
        <w:rPr>
          <w:rStyle w:val="Strong"/>
          <w:i/>
          <w:iCs/>
          <w:color w:val="000000" w:themeColor="text1"/>
          <w:lang w:val="de-DE"/>
        </w:rPr>
      </w:pPr>
      <w:r>
        <w:rPr>
          <w:rStyle w:val="Strong"/>
          <w:i/>
          <w:iCs/>
          <w:color w:val="000000" w:themeColor="text1"/>
          <w:lang w:val="de-DE"/>
        </w:rPr>
        <w:t xml:space="preserve">b) </w:t>
      </w:r>
      <w:r w:rsidR="007E6D5F" w:rsidRPr="004F4283">
        <w:rPr>
          <w:rStyle w:val="Strong"/>
          <w:i/>
          <w:iCs/>
        </w:rPr>
        <w:t>Export and import of goods</w:t>
      </w:r>
      <w:r w:rsidR="007E6D5F">
        <w:rPr>
          <w:rStyle w:val="FootnoteReference"/>
          <w:b/>
          <w:bCs/>
          <w:i/>
          <w:iCs/>
        </w:rPr>
        <w:footnoteReference w:id="13"/>
      </w:r>
    </w:p>
    <w:p w14:paraId="29CB6592" w14:textId="0E2B9C1D" w:rsidR="0049016A" w:rsidRDefault="007D3F14" w:rsidP="0001673E">
      <w:pPr>
        <w:tabs>
          <w:tab w:val="left" w:pos="900"/>
        </w:tabs>
        <w:spacing w:before="40" w:after="40" w:line="281" w:lineRule="auto"/>
        <w:ind w:firstLine="567"/>
        <w:jc w:val="both"/>
        <w:rPr>
          <w:rFonts w:ascii="Arial" w:hAnsi="Arial" w:cs="Arial"/>
          <w:b/>
          <w:bCs/>
          <w:sz w:val="24"/>
          <w:szCs w:val="24"/>
          <w:lang w:val="es-NI"/>
        </w:rPr>
      </w:pPr>
      <w:bookmarkStart w:id="5" w:name="_Hlk52291195"/>
      <w:r w:rsidRPr="007D3F14">
        <w:rPr>
          <w:rStyle w:val="Strong"/>
          <w:b w:val="0"/>
          <w:bCs w:val="0"/>
          <w:i/>
          <w:iCs/>
        </w:rPr>
        <w:t xml:space="preserve">In January 2022, the total import and export turnover of goods was estimated at 58.5 billion USD, down 11.7% compared to the previous month. </w:t>
      </w:r>
      <w:r w:rsidRPr="007D3F14">
        <w:rPr>
          <w:rStyle w:val="Strong"/>
          <w:b w:val="0"/>
          <w:bCs w:val="0"/>
          <w:i/>
          <w:iCs/>
        </w:rPr>
        <w:lastRenderedPageBreak/>
        <w:t>Compared with the same period last year, total export and import turnover increased by 6.3%, of which exports increased by 1.6%; imports increased by 11.5%</w:t>
      </w:r>
      <w:r w:rsidRPr="007D3F14">
        <w:rPr>
          <w:rStyle w:val="FootnoteReference"/>
          <w:b/>
          <w:bCs/>
          <w:i/>
          <w:iCs/>
        </w:rPr>
        <w:footnoteReference w:id="14"/>
      </w:r>
      <w:r w:rsidRPr="007D3F14">
        <w:rPr>
          <w:rStyle w:val="Strong"/>
          <w:b w:val="0"/>
          <w:bCs w:val="0"/>
          <w:i/>
          <w:iCs/>
        </w:rPr>
        <w:t>.</w:t>
      </w:r>
      <w:bookmarkEnd w:id="5"/>
    </w:p>
    <w:p w14:paraId="7B04674E" w14:textId="37E03BC5" w:rsidR="0049016A" w:rsidRPr="008816F9" w:rsidRDefault="00DB4C92" w:rsidP="0049016A">
      <w:pPr>
        <w:tabs>
          <w:tab w:val="left" w:pos="900"/>
          <w:tab w:val="left" w:pos="9475"/>
        </w:tabs>
        <w:spacing w:before="40" w:after="40" w:line="288" w:lineRule="auto"/>
        <w:ind w:right="119"/>
        <w:jc w:val="center"/>
        <w:rPr>
          <w:i/>
          <w:spacing w:val="2"/>
          <w:sz w:val="4"/>
          <w:szCs w:val="10"/>
          <w:lang w:val="es-NI"/>
        </w:rPr>
      </w:pPr>
      <w:r w:rsidRPr="00C16FE7">
        <w:rPr>
          <w:rFonts w:ascii="Arial" w:hAnsi="Arial" w:cs="Arial"/>
          <w:b/>
          <w:sz w:val="24"/>
          <w:szCs w:val="24"/>
          <w:lang w:val="nl-NL"/>
        </w:rPr>
        <w:t>Figure</w:t>
      </w:r>
      <w:r w:rsidR="0049016A" w:rsidRPr="009F297E">
        <w:rPr>
          <w:rFonts w:ascii="Arial" w:hAnsi="Arial" w:cs="Arial"/>
          <w:b/>
          <w:bCs/>
          <w:sz w:val="24"/>
          <w:szCs w:val="24"/>
          <w:lang w:val="es-NI"/>
        </w:rPr>
        <w:t xml:space="preserve"> 1</w:t>
      </w:r>
      <w:r w:rsidR="008D32CB">
        <w:rPr>
          <w:rFonts w:ascii="Arial" w:hAnsi="Arial" w:cs="Arial"/>
          <w:b/>
          <w:bCs/>
          <w:sz w:val="24"/>
          <w:szCs w:val="24"/>
          <w:lang w:val="es-NI"/>
        </w:rPr>
        <w:t>1</w:t>
      </w:r>
      <w:r w:rsidR="0049016A" w:rsidRPr="009F297E">
        <w:rPr>
          <w:rFonts w:ascii="Arial" w:hAnsi="Arial" w:cs="Arial"/>
          <w:b/>
          <w:bCs/>
          <w:sz w:val="24"/>
          <w:szCs w:val="24"/>
          <w:lang w:val="es-NI"/>
        </w:rPr>
        <w:t xml:space="preserve">. </w:t>
      </w:r>
      <w:r w:rsidR="007D3F14" w:rsidRPr="007D3F14">
        <w:rPr>
          <w:rFonts w:ascii="Arial" w:hAnsi="Arial" w:cs="Arial"/>
          <w:b/>
          <w:bCs/>
          <w:sz w:val="24"/>
          <w:szCs w:val="24"/>
          <w:lang w:val="es-NI"/>
        </w:rPr>
        <w:t>Import and export of goods in January 2022</w:t>
      </w:r>
    </w:p>
    <w:p w14:paraId="72FC104C" w14:textId="77777777" w:rsidR="0049016A" w:rsidRPr="008816F9" w:rsidRDefault="0049016A" w:rsidP="0049016A">
      <w:pPr>
        <w:tabs>
          <w:tab w:val="left" w:pos="900"/>
          <w:tab w:val="left" w:pos="9475"/>
        </w:tabs>
        <w:spacing w:before="40" w:after="40" w:line="288" w:lineRule="auto"/>
        <w:ind w:right="119" w:firstLine="567"/>
        <w:jc w:val="both"/>
        <w:rPr>
          <w:i/>
          <w:spacing w:val="2"/>
          <w:sz w:val="4"/>
          <w:szCs w:val="10"/>
          <w:lang w:val="es-NI"/>
        </w:rPr>
      </w:pPr>
    </w:p>
    <w:p w14:paraId="4B0A2247" w14:textId="22A789BA" w:rsidR="0049016A" w:rsidRDefault="004021CD" w:rsidP="0049016A">
      <w:pPr>
        <w:tabs>
          <w:tab w:val="left" w:pos="900"/>
          <w:tab w:val="left" w:pos="9475"/>
        </w:tabs>
        <w:spacing w:before="40" w:after="40" w:line="288" w:lineRule="auto"/>
        <w:ind w:right="-1"/>
        <w:jc w:val="center"/>
        <w:rPr>
          <w:noProof/>
        </w:rPr>
      </w:pPr>
      <w:r>
        <w:rPr>
          <w:noProof/>
        </w:rPr>
        <w:drawing>
          <wp:inline distT="0" distB="0" distL="0" distR="0" wp14:anchorId="11201CE9" wp14:editId="4F7AFA63">
            <wp:extent cx="5669280" cy="2019300"/>
            <wp:effectExtent l="0" t="0" r="762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9280" cy="2019300"/>
                    </a:xfrm>
                    <a:prstGeom prst="rect">
                      <a:avLst/>
                    </a:prstGeom>
                    <a:noFill/>
                    <a:ln>
                      <a:noFill/>
                    </a:ln>
                  </pic:spPr>
                </pic:pic>
              </a:graphicData>
            </a:graphic>
          </wp:inline>
        </w:drawing>
      </w:r>
    </w:p>
    <w:p w14:paraId="5ED1E292" w14:textId="77777777" w:rsidR="0049016A" w:rsidRPr="008816F9" w:rsidRDefault="0049016A" w:rsidP="0049016A">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2E50190E" w14:textId="77777777" w:rsidR="00DB5D20" w:rsidRPr="00D64BE4" w:rsidRDefault="00DB5D20" w:rsidP="00DB5D20">
      <w:pPr>
        <w:tabs>
          <w:tab w:val="left" w:pos="900"/>
        </w:tabs>
        <w:spacing w:before="240" w:after="40" w:line="288" w:lineRule="auto"/>
        <w:ind w:firstLine="561"/>
        <w:jc w:val="both"/>
        <w:rPr>
          <w:b/>
          <w:bCs/>
          <w:i/>
          <w:iCs/>
        </w:rPr>
      </w:pPr>
      <w:r w:rsidRPr="00D64BE4">
        <w:rPr>
          <w:b/>
          <w:bCs/>
          <w:i/>
          <w:iCs/>
        </w:rPr>
        <w:t>Export of goods</w:t>
      </w:r>
    </w:p>
    <w:p w14:paraId="6C7F91B5" w14:textId="77777777" w:rsidR="00CE564E" w:rsidRPr="004F4283" w:rsidRDefault="00CE564E" w:rsidP="00CE564E">
      <w:pPr>
        <w:tabs>
          <w:tab w:val="num" w:pos="0"/>
        </w:tabs>
        <w:spacing w:before="40" w:after="40" w:line="281" w:lineRule="auto"/>
        <w:ind w:firstLine="567"/>
        <w:jc w:val="both"/>
        <w:rPr>
          <w:bCs/>
        </w:rPr>
      </w:pPr>
      <w:r w:rsidRPr="004F4283">
        <w:rPr>
          <w:bCs/>
        </w:rPr>
        <w:t xml:space="preserve">Export turnover in </w:t>
      </w:r>
      <w:r>
        <w:rPr>
          <w:bCs/>
        </w:rPr>
        <w:t>December</w:t>
      </w:r>
      <w:r w:rsidRPr="004F4283">
        <w:rPr>
          <w:bCs/>
        </w:rPr>
        <w:t xml:space="preserve"> 20</w:t>
      </w:r>
      <w:r>
        <w:rPr>
          <w:bCs/>
        </w:rPr>
        <w:t>21</w:t>
      </w:r>
      <w:r w:rsidRPr="004F4283">
        <w:rPr>
          <w:bCs/>
        </w:rPr>
        <w:t xml:space="preserve"> reached </w:t>
      </w:r>
      <w:r>
        <w:rPr>
          <w:bCs/>
        </w:rPr>
        <w:t>34.59</w:t>
      </w:r>
      <w:r w:rsidRPr="004F4283">
        <w:rPr>
          <w:bCs/>
        </w:rPr>
        <w:t xml:space="preserve"> </w:t>
      </w:r>
      <w:r>
        <w:rPr>
          <w:bCs/>
        </w:rPr>
        <w:t>b</w:t>
      </w:r>
      <w:r w:rsidRPr="004F4283">
        <w:rPr>
          <w:bCs/>
        </w:rPr>
        <w:t xml:space="preserve">illion USD, </w:t>
      </w:r>
      <w:r>
        <w:rPr>
          <w:bCs/>
        </w:rPr>
        <w:t>75</w:t>
      </w:r>
      <w:r w:rsidRPr="004F4283">
        <w:rPr>
          <w:bCs/>
        </w:rPr>
        <w:t xml:space="preserve"> million USD higher than </w:t>
      </w:r>
      <w:r>
        <w:rPr>
          <w:bCs/>
        </w:rPr>
        <w:t xml:space="preserve">the </w:t>
      </w:r>
      <w:r w:rsidRPr="004F4283">
        <w:rPr>
          <w:bCs/>
        </w:rPr>
        <w:t>estimated figure</w:t>
      </w:r>
      <w:r>
        <w:rPr>
          <w:bCs/>
        </w:rPr>
        <w:t>.</w:t>
      </w:r>
    </w:p>
    <w:p w14:paraId="7505AB16" w14:textId="77777777" w:rsidR="00CE564E" w:rsidRPr="004F4283" w:rsidRDefault="00CE564E" w:rsidP="00CE564E">
      <w:pPr>
        <w:tabs>
          <w:tab w:val="num" w:pos="0"/>
        </w:tabs>
        <w:spacing w:before="40" w:after="40" w:line="283" w:lineRule="auto"/>
        <w:ind w:firstLine="567"/>
        <w:jc w:val="both"/>
      </w:pPr>
      <w:r w:rsidRPr="004F4283">
        <w:rPr>
          <w:bCs/>
        </w:rPr>
        <w:t xml:space="preserve">Export turnover in </w:t>
      </w:r>
      <w:r>
        <w:rPr>
          <w:bCs/>
        </w:rPr>
        <w:t>January</w:t>
      </w:r>
      <w:r w:rsidRPr="004F4283">
        <w:rPr>
          <w:bCs/>
        </w:rPr>
        <w:t xml:space="preserve"> 20</w:t>
      </w:r>
      <w:r>
        <w:rPr>
          <w:bCs/>
        </w:rPr>
        <w:t>22</w:t>
      </w:r>
      <w:r w:rsidRPr="004F4283">
        <w:rPr>
          <w:bCs/>
        </w:rPr>
        <w:t xml:space="preserve"> was estimated at 2</w:t>
      </w:r>
      <w:r>
        <w:rPr>
          <w:bCs/>
        </w:rPr>
        <w:t>9</w:t>
      </w:r>
      <w:r w:rsidRPr="004F4283">
        <w:rPr>
          <w:bCs/>
        </w:rPr>
        <w:t xml:space="preserve"> billion USD, </w:t>
      </w:r>
      <w:r>
        <w:rPr>
          <w:bCs/>
        </w:rPr>
        <w:t>decreas</w:t>
      </w:r>
      <w:r w:rsidRPr="004F4283">
        <w:rPr>
          <w:bCs/>
        </w:rPr>
        <w:t xml:space="preserve">ed by </w:t>
      </w:r>
      <w:r>
        <w:rPr>
          <w:bCs/>
        </w:rPr>
        <w:t>16.2</w:t>
      </w:r>
      <w:r w:rsidRPr="004F4283">
        <w:rPr>
          <w:bCs/>
        </w:rPr>
        <w:t xml:space="preserve">% over the previous month, of which the domestic economic sector gained </w:t>
      </w:r>
      <w:r>
        <w:rPr>
          <w:bCs/>
        </w:rPr>
        <w:t>8.2</w:t>
      </w:r>
      <w:r w:rsidRPr="004F4283">
        <w:rPr>
          <w:bCs/>
        </w:rPr>
        <w:t xml:space="preserve"> billion USD, </w:t>
      </w:r>
      <w:r>
        <w:rPr>
          <w:bCs/>
        </w:rPr>
        <w:t>de</w:t>
      </w:r>
      <w:r w:rsidRPr="004F4283">
        <w:rPr>
          <w:bCs/>
        </w:rPr>
        <w:t xml:space="preserve">creased by </w:t>
      </w:r>
      <w:r>
        <w:rPr>
          <w:bCs/>
        </w:rPr>
        <w:t>16</w:t>
      </w:r>
      <w:r w:rsidRPr="004F4283">
        <w:rPr>
          <w:bCs/>
        </w:rPr>
        <w:t>.</w:t>
      </w:r>
      <w:r>
        <w:rPr>
          <w:bCs/>
        </w:rPr>
        <w:t>9</w:t>
      </w:r>
      <w:r w:rsidRPr="004F4283">
        <w:rPr>
          <w:bCs/>
        </w:rPr>
        <w:t xml:space="preserve">%; </w:t>
      </w:r>
      <w:r>
        <w:rPr>
          <w:bCs/>
        </w:rPr>
        <w:t xml:space="preserve">the </w:t>
      </w:r>
      <w:r w:rsidRPr="004F4283">
        <w:rPr>
          <w:bCs/>
        </w:rPr>
        <w:t xml:space="preserve">FDI sector (including crude oil) reached </w:t>
      </w:r>
      <w:r>
        <w:rPr>
          <w:bCs/>
        </w:rPr>
        <w:t>20.8</w:t>
      </w:r>
      <w:r w:rsidRPr="004F4283">
        <w:rPr>
          <w:bCs/>
        </w:rPr>
        <w:t xml:space="preserve"> billion USD, </w:t>
      </w:r>
      <w:r>
        <w:rPr>
          <w:bCs/>
        </w:rPr>
        <w:t>decreased</w:t>
      </w:r>
      <w:r w:rsidRPr="004F4283">
        <w:rPr>
          <w:bCs/>
        </w:rPr>
        <w:t xml:space="preserve"> by </w:t>
      </w:r>
      <w:r>
        <w:rPr>
          <w:bCs/>
        </w:rPr>
        <w:t>15.9</w:t>
      </w:r>
      <w:r w:rsidRPr="004F4283">
        <w:rPr>
          <w:bCs/>
        </w:rPr>
        <w:t xml:space="preserve">%. Compared to the same period last year, export turnover of goods in </w:t>
      </w:r>
      <w:r>
        <w:rPr>
          <w:bCs/>
        </w:rPr>
        <w:t>January</w:t>
      </w:r>
      <w:r w:rsidRPr="004F4283">
        <w:rPr>
          <w:bCs/>
        </w:rPr>
        <w:t xml:space="preserve"> increased by </w:t>
      </w:r>
      <w:r>
        <w:rPr>
          <w:bCs/>
        </w:rPr>
        <w:t>1.6</w:t>
      </w:r>
      <w:r w:rsidRPr="004F4283">
        <w:rPr>
          <w:bCs/>
        </w:rPr>
        <w:t>%, of which the domestic economic sector</w:t>
      </w:r>
      <w:r>
        <w:rPr>
          <w:bCs/>
        </w:rPr>
        <w:t xml:space="preserve"> </w:t>
      </w:r>
      <w:r w:rsidRPr="004F4283">
        <w:rPr>
          <w:bCs/>
        </w:rPr>
        <w:t xml:space="preserve">slightly </w:t>
      </w:r>
      <w:r>
        <w:rPr>
          <w:bCs/>
        </w:rPr>
        <w:t>rose</w:t>
      </w:r>
      <w:r w:rsidRPr="004F4283">
        <w:rPr>
          <w:bCs/>
        </w:rPr>
        <w:t xml:space="preserve"> by </w:t>
      </w:r>
      <w:r>
        <w:rPr>
          <w:bCs/>
        </w:rPr>
        <w:t>20.1</w:t>
      </w:r>
      <w:r w:rsidRPr="004F4283">
        <w:rPr>
          <w:bCs/>
        </w:rPr>
        <w:t xml:space="preserve">%, the FDI sector (including crude oil) </w:t>
      </w:r>
      <w:r>
        <w:rPr>
          <w:bCs/>
        </w:rPr>
        <w:t>de</w:t>
      </w:r>
      <w:r w:rsidRPr="004F4283">
        <w:rPr>
          <w:bCs/>
        </w:rPr>
        <w:t xml:space="preserve">creased by </w:t>
      </w:r>
      <w:r>
        <w:rPr>
          <w:bCs/>
        </w:rPr>
        <w:t>4</w:t>
      </w:r>
      <w:r w:rsidRPr="004F4283">
        <w:rPr>
          <w:bCs/>
        </w:rPr>
        <w:t>.</w:t>
      </w:r>
      <w:r>
        <w:rPr>
          <w:bCs/>
        </w:rPr>
        <w:t>2</w:t>
      </w:r>
      <w:r w:rsidRPr="004F4283">
        <w:rPr>
          <w:bCs/>
        </w:rPr>
        <w:t>%.</w:t>
      </w:r>
    </w:p>
    <w:p w14:paraId="3BCC128F" w14:textId="5DA50906" w:rsidR="00E020D3" w:rsidRDefault="00096A12" w:rsidP="002B6601">
      <w:pPr>
        <w:tabs>
          <w:tab w:val="num" w:pos="0"/>
        </w:tabs>
        <w:spacing w:before="40" w:after="40" w:line="283" w:lineRule="auto"/>
        <w:ind w:firstLine="567"/>
        <w:jc w:val="both"/>
        <w:rPr>
          <w:bCs/>
        </w:rPr>
      </w:pPr>
      <w:r w:rsidRPr="002B6601">
        <w:rPr>
          <w:bCs/>
        </w:rPr>
        <w:t>In January 2022, there were 7 items with an export turnover of over 1 billion USD, contributing 63.3% to the total export turnover.</w:t>
      </w:r>
    </w:p>
    <w:p w14:paraId="1F581E0C" w14:textId="77777777" w:rsidR="0001673E" w:rsidRPr="002B6601" w:rsidRDefault="0001673E" w:rsidP="002B6601">
      <w:pPr>
        <w:tabs>
          <w:tab w:val="num" w:pos="0"/>
        </w:tabs>
        <w:spacing w:before="40" w:after="40" w:line="283" w:lineRule="auto"/>
        <w:ind w:firstLine="567"/>
        <w:jc w:val="both"/>
        <w:rPr>
          <w:bCs/>
        </w:rPr>
      </w:pPr>
    </w:p>
    <w:p w14:paraId="74A27A77" w14:textId="0A483BA1" w:rsidR="00505829" w:rsidRDefault="001C7C6B" w:rsidP="00FA76D6">
      <w:pPr>
        <w:tabs>
          <w:tab w:val="num" w:pos="0"/>
        </w:tabs>
        <w:spacing w:before="40" w:after="40"/>
        <w:ind w:right="6"/>
        <w:jc w:val="center"/>
        <w:rPr>
          <w:rFonts w:ascii="Arial" w:hAnsi="Arial" w:cs="Arial"/>
          <w:b/>
          <w:bCs/>
          <w:sz w:val="24"/>
          <w:szCs w:val="24"/>
          <w:lang w:val="es-NI"/>
        </w:rPr>
      </w:pPr>
      <w:r>
        <w:rPr>
          <w:rFonts w:ascii="Arial" w:hAnsi="Arial" w:cs="Arial"/>
          <w:b/>
          <w:bCs/>
          <w:sz w:val="24"/>
          <w:szCs w:val="24"/>
          <w:lang w:val="es-NI"/>
        </w:rPr>
        <w:t>Table</w:t>
      </w:r>
      <w:r w:rsidR="00505829">
        <w:rPr>
          <w:rFonts w:ascii="Arial" w:hAnsi="Arial" w:cs="Arial"/>
          <w:b/>
          <w:spacing w:val="-2"/>
          <w:sz w:val="24"/>
          <w:szCs w:val="20"/>
          <w:lang w:val="pl-PL"/>
        </w:rPr>
        <w:t xml:space="preserve"> </w:t>
      </w:r>
      <w:r w:rsidR="001F6098">
        <w:rPr>
          <w:rFonts w:ascii="Arial" w:hAnsi="Arial" w:cs="Arial"/>
          <w:b/>
          <w:spacing w:val="-2"/>
          <w:sz w:val="24"/>
          <w:szCs w:val="20"/>
          <w:lang w:val="pl-PL"/>
        </w:rPr>
        <w:t>4</w:t>
      </w:r>
      <w:r w:rsidR="00505829">
        <w:rPr>
          <w:rFonts w:ascii="Arial" w:hAnsi="Arial" w:cs="Arial"/>
          <w:b/>
          <w:spacing w:val="-2"/>
          <w:sz w:val="24"/>
          <w:szCs w:val="20"/>
          <w:lang w:val="pl-PL"/>
        </w:rPr>
        <w:t xml:space="preserve">. </w:t>
      </w:r>
      <w:r w:rsidR="00E020D3" w:rsidRPr="00E020D3">
        <w:rPr>
          <w:rFonts w:ascii="Arial" w:hAnsi="Arial" w:cs="Arial"/>
          <w:b/>
          <w:bCs/>
          <w:sz w:val="24"/>
          <w:szCs w:val="24"/>
          <w:lang w:val="es-NI"/>
        </w:rPr>
        <w:t>Value of some export items in January 2022</w:t>
      </w:r>
    </w:p>
    <w:tbl>
      <w:tblPr>
        <w:tblW w:w="9356" w:type="dxa"/>
        <w:tblLook w:val="04A0" w:firstRow="1" w:lastRow="0" w:firstColumn="1" w:lastColumn="0" w:noHBand="0" w:noVBand="1"/>
      </w:tblPr>
      <w:tblGrid>
        <w:gridCol w:w="280"/>
        <w:gridCol w:w="4256"/>
        <w:gridCol w:w="1842"/>
        <w:gridCol w:w="2978"/>
      </w:tblGrid>
      <w:tr w:rsidR="0096243C" w:rsidRPr="007F6A49" w14:paraId="13BEE207" w14:textId="77777777" w:rsidTr="00A916C3">
        <w:trPr>
          <w:trHeight w:val="360"/>
        </w:trPr>
        <w:tc>
          <w:tcPr>
            <w:tcW w:w="280" w:type="dxa"/>
            <w:tcBorders>
              <w:top w:val="single" w:sz="4" w:space="0" w:color="auto"/>
              <w:left w:val="nil"/>
              <w:bottom w:val="nil"/>
              <w:right w:val="nil"/>
            </w:tcBorders>
            <w:shd w:val="clear" w:color="auto" w:fill="auto"/>
            <w:noWrap/>
            <w:vAlign w:val="bottom"/>
            <w:hideMark/>
          </w:tcPr>
          <w:p w14:paraId="367F21CD" w14:textId="77777777" w:rsidR="0096243C" w:rsidRPr="007F6A49" w:rsidRDefault="0096243C" w:rsidP="00A916C3">
            <w:pPr>
              <w:rPr>
                <w:rFonts w:ascii="Arial" w:hAnsi="Arial" w:cs="Arial"/>
                <w:sz w:val="20"/>
                <w:szCs w:val="20"/>
              </w:rPr>
            </w:pPr>
            <w:bookmarkStart w:id="6" w:name="_Hlk94172019"/>
            <w:r w:rsidRPr="007F6A49">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bottom"/>
            <w:hideMark/>
          </w:tcPr>
          <w:p w14:paraId="46407B4E" w14:textId="77777777" w:rsidR="0096243C" w:rsidRPr="007F6A49" w:rsidRDefault="0096243C" w:rsidP="00A916C3">
            <w:pPr>
              <w:jc w:val="center"/>
              <w:rPr>
                <w:rFonts w:ascii="Arial" w:hAnsi="Arial" w:cs="Arial"/>
                <w:sz w:val="20"/>
                <w:szCs w:val="20"/>
              </w:rPr>
            </w:pPr>
            <w:r w:rsidRPr="007F6A49">
              <w:rPr>
                <w:rFonts w:ascii="Arial" w:hAnsi="Arial" w:cs="Arial"/>
                <w:sz w:val="20"/>
                <w:szCs w:val="20"/>
              </w:rPr>
              <w:t> </w:t>
            </w:r>
          </w:p>
        </w:tc>
        <w:tc>
          <w:tcPr>
            <w:tcW w:w="1842" w:type="dxa"/>
            <w:tcBorders>
              <w:top w:val="single" w:sz="4" w:space="0" w:color="auto"/>
              <w:left w:val="nil"/>
            </w:tcBorders>
            <w:shd w:val="clear" w:color="auto" w:fill="auto"/>
            <w:vAlign w:val="center"/>
            <w:hideMark/>
          </w:tcPr>
          <w:p w14:paraId="32C74444"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sz w:val="20"/>
                <w:szCs w:val="20"/>
              </w:rPr>
              <w:t>Estimate</w:t>
            </w:r>
          </w:p>
        </w:tc>
        <w:tc>
          <w:tcPr>
            <w:tcW w:w="2978" w:type="dxa"/>
            <w:tcBorders>
              <w:top w:val="single" w:sz="4" w:space="0" w:color="auto"/>
            </w:tcBorders>
            <w:shd w:val="clear" w:color="auto" w:fill="auto"/>
            <w:vAlign w:val="center"/>
            <w:hideMark/>
          </w:tcPr>
          <w:p w14:paraId="2192B1E2"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sz w:val="20"/>
                <w:szCs w:val="20"/>
              </w:rPr>
              <w:t xml:space="preserve">Growth rate of </w:t>
            </w:r>
          </w:p>
        </w:tc>
      </w:tr>
      <w:tr w:rsidR="0096243C" w:rsidRPr="007F6A49" w14:paraId="5EED8BCD" w14:textId="77777777" w:rsidTr="00A916C3">
        <w:trPr>
          <w:trHeight w:val="360"/>
        </w:trPr>
        <w:tc>
          <w:tcPr>
            <w:tcW w:w="280" w:type="dxa"/>
            <w:tcBorders>
              <w:top w:val="nil"/>
              <w:left w:val="nil"/>
              <w:bottom w:val="nil"/>
              <w:right w:val="nil"/>
            </w:tcBorders>
            <w:shd w:val="clear" w:color="auto" w:fill="auto"/>
            <w:noWrap/>
            <w:vAlign w:val="bottom"/>
            <w:hideMark/>
          </w:tcPr>
          <w:p w14:paraId="1CF1DF7E" w14:textId="77777777" w:rsidR="0096243C" w:rsidRPr="007F6A49" w:rsidRDefault="0096243C" w:rsidP="00A916C3">
            <w:pPr>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06179A0D" w14:textId="77777777" w:rsidR="0096243C" w:rsidRPr="007F6A49" w:rsidRDefault="0096243C" w:rsidP="00A916C3">
            <w:pPr>
              <w:rPr>
                <w:rFonts w:ascii="Arial" w:hAnsi="Arial" w:cs="Arial"/>
                <w:sz w:val="20"/>
                <w:szCs w:val="20"/>
              </w:rPr>
            </w:pPr>
          </w:p>
        </w:tc>
        <w:tc>
          <w:tcPr>
            <w:tcW w:w="1842" w:type="dxa"/>
            <w:tcBorders>
              <w:top w:val="nil"/>
              <w:left w:val="nil"/>
            </w:tcBorders>
            <w:shd w:val="clear" w:color="auto" w:fill="auto"/>
            <w:vAlign w:val="center"/>
            <w:hideMark/>
          </w:tcPr>
          <w:p w14:paraId="527D9DD1"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sz w:val="20"/>
                <w:szCs w:val="20"/>
              </w:rPr>
              <w:t>January</w:t>
            </w:r>
            <w:r>
              <w:rPr>
                <w:rFonts w:ascii="Arial" w:hAnsi="Arial" w:cs="Arial"/>
                <w:sz w:val="20"/>
                <w:szCs w:val="20"/>
              </w:rPr>
              <w:t xml:space="preserve"> 2022</w:t>
            </w:r>
          </w:p>
        </w:tc>
        <w:tc>
          <w:tcPr>
            <w:tcW w:w="2978" w:type="dxa"/>
            <w:tcBorders>
              <w:top w:val="nil"/>
            </w:tcBorders>
            <w:shd w:val="clear" w:color="auto" w:fill="auto"/>
            <w:vAlign w:val="center"/>
            <w:hideMark/>
          </w:tcPr>
          <w:p w14:paraId="381C4480"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sz w:val="20"/>
                <w:szCs w:val="20"/>
              </w:rPr>
              <w:t>January 2022 compare to</w:t>
            </w:r>
          </w:p>
          <w:p w14:paraId="2F7CB9B8" w14:textId="77777777" w:rsidR="0096243C" w:rsidRPr="007F6A49" w:rsidRDefault="0096243C" w:rsidP="00A916C3">
            <w:pPr>
              <w:spacing w:before="60" w:after="60"/>
              <w:jc w:val="center"/>
              <w:rPr>
                <w:rFonts w:ascii="Arial" w:hAnsi="Arial" w:cs="Arial"/>
                <w:sz w:val="20"/>
                <w:szCs w:val="20"/>
              </w:rPr>
            </w:pPr>
          </w:p>
        </w:tc>
      </w:tr>
      <w:tr w:rsidR="0096243C" w:rsidRPr="007F6A49" w14:paraId="0164D757" w14:textId="77777777" w:rsidTr="00A916C3">
        <w:trPr>
          <w:trHeight w:val="360"/>
        </w:trPr>
        <w:tc>
          <w:tcPr>
            <w:tcW w:w="280" w:type="dxa"/>
            <w:tcBorders>
              <w:top w:val="nil"/>
              <w:left w:val="nil"/>
              <w:bottom w:val="nil"/>
              <w:right w:val="nil"/>
            </w:tcBorders>
            <w:shd w:val="clear" w:color="auto" w:fill="auto"/>
            <w:noWrap/>
            <w:vAlign w:val="bottom"/>
            <w:hideMark/>
          </w:tcPr>
          <w:p w14:paraId="5A192E02" w14:textId="77777777" w:rsidR="0096243C" w:rsidRPr="007F6A49" w:rsidRDefault="0096243C" w:rsidP="00A916C3">
            <w:pPr>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1306EA35" w14:textId="77777777" w:rsidR="0096243C" w:rsidRPr="007F6A49" w:rsidRDefault="0096243C" w:rsidP="00A916C3">
            <w:pPr>
              <w:rPr>
                <w:rFonts w:ascii="Arial" w:hAnsi="Arial" w:cs="Arial"/>
                <w:sz w:val="20"/>
                <w:szCs w:val="20"/>
              </w:rPr>
            </w:pPr>
          </w:p>
        </w:tc>
        <w:tc>
          <w:tcPr>
            <w:tcW w:w="1842" w:type="dxa"/>
            <w:tcBorders>
              <w:top w:val="nil"/>
              <w:left w:val="nil"/>
              <w:bottom w:val="single" w:sz="4" w:space="0" w:color="auto"/>
            </w:tcBorders>
            <w:shd w:val="clear" w:color="auto" w:fill="auto"/>
            <w:vAlign w:val="center"/>
            <w:hideMark/>
          </w:tcPr>
          <w:p w14:paraId="0B53A0D0"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224D0FD3" w14:textId="77777777" w:rsidR="0096243C" w:rsidRPr="007F6A49" w:rsidRDefault="0096243C" w:rsidP="00A916C3">
            <w:pPr>
              <w:spacing w:before="60" w:after="60"/>
              <w:jc w:val="center"/>
              <w:rPr>
                <w:rFonts w:ascii="Arial" w:hAnsi="Arial" w:cs="Arial"/>
                <w:sz w:val="20"/>
                <w:szCs w:val="20"/>
              </w:rPr>
            </w:pPr>
            <w:r w:rsidRPr="007F6A49">
              <w:rPr>
                <w:rFonts w:ascii="Arial" w:hAnsi="Arial" w:cs="Arial"/>
                <w:sz w:val="20"/>
                <w:szCs w:val="20"/>
              </w:rPr>
              <w:t>the same period last year (%)</w:t>
            </w:r>
          </w:p>
        </w:tc>
      </w:tr>
      <w:tr w:rsidR="0096243C" w:rsidRPr="007F6A49" w14:paraId="5E2420F9" w14:textId="77777777" w:rsidTr="00A916C3">
        <w:trPr>
          <w:trHeight w:val="360"/>
        </w:trPr>
        <w:tc>
          <w:tcPr>
            <w:tcW w:w="280" w:type="dxa"/>
            <w:tcBorders>
              <w:top w:val="nil"/>
              <w:left w:val="nil"/>
              <w:bottom w:val="nil"/>
              <w:right w:val="nil"/>
            </w:tcBorders>
            <w:shd w:val="clear" w:color="auto" w:fill="auto"/>
            <w:noWrap/>
            <w:vAlign w:val="bottom"/>
            <w:hideMark/>
          </w:tcPr>
          <w:p w14:paraId="14A5D53D" w14:textId="77777777" w:rsidR="0096243C" w:rsidRPr="007F6A49" w:rsidRDefault="0096243C" w:rsidP="00A916C3">
            <w:pPr>
              <w:jc w:val="center"/>
              <w:rPr>
                <w:rFonts w:ascii="Arial" w:hAnsi="Arial" w:cs="Arial"/>
                <w:sz w:val="20"/>
                <w:szCs w:val="20"/>
              </w:rPr>
            </w:pPr>
          </w:p>
        </w:tc>
        <w:tc>
          <w:tcPr>
            <w:tcW w:w="4256" w:type="dxa"/>
            <w:tcBorders>
              <w:top w:val="nil"/>
              <w:left w:val="nil"/>
              <w:bottom w:val="nil"/>
              <w:right w:val="nil"/>
            </w:tcBorders>
            <w:shd w:val="clear" w:color="auto" w:fill="auto"/>
            <w:vAlign w:val="bottom"/>
            <w:hideMark/>
          </w:tcPr>
          <w:p w14:paraId="38F23438" w14:textId="77777777" w:rsidR="0096243C" w:rsidRPr="007F6A49" w:rsidRDefault="0096243C" w:rsidP="00A916C3">
            <w:pPr>
              <w:rPr>
                <w:rFonts w:ascii="Arial" w:hAnsi="Arial" w:cs="Arial"/>
                <w:sz w:val="20"/>
                <w:szCs w:val="20"/>
              </w:rPr>
            </w:pPr>
          </w:p>
        </w:tc>
        <w:tc>
          <w:tcPr>
            <w:tcW w:w="1842" w:type="dxa"/>
            <w:tcBorders>
              <w:top w:val="single" w:sz="4" w:space="0" w:color="auto"/>
              <w:left w:val="nil"/>
              <w:bottom w:val="nil"/>
              <w:right w:val="nil"/>
            </w:tcBorders>
            <w:shd w:val="clear" w:color="auto" w:fill="auto"/>
            <w:noWrap/>
            <w:vAlign w:val="bottom"/>
            <w:hideMark/>
          </w:tcPr>
          <w:p w14:paraId="3ECA0A05" w14:textId="77777777" w:rsidR="0096243C" w:rsidRPr="007F6A49" w:rsidRDefault="0096243C" w:rsidP="00A916C3">
            <w:pPr>
              <w:rPr>
                <w:rFonts w:ascii="Arial" w:hAnsi="Arial" w:cs="Arial"/>
                <w:sz w:val="20"/>
                <w:szCs w:val="20"/>
              </w:rPr>
            </w:pPr>
          </w:p>
        </w:tc>
        <w:tc>
          <w:tcPr>
            <w:tcW w:w="2978" w:type="dxa"/>
            <w:tcBorders>
              <w:top w:val="single" w:sz="4" w:space="0" w:color="auto"/>
              <w:left w:val="nil"/>
              <w:bottom w:val="nil"/>
              <w:right w:val="nil"/>
            </w:tcBorders>
            <w:shd w:val="clear" w:color="auto" w:fill="auto"/>
            <w:noWrap/>
            <w:vAlign w:val="bottom"/>
            <w:hideMark/>
          </w:tcPr>
          <w:p w14:paraId="67EF307D" w14:textId="77777777" w:rsidR="0096243C" w:rsidRPr="007F6A49" w:rsidRDefault="0096243C" w:rsidP="00A916C3">
            <w:pPr>
              <w:rPr>
                <w:rFonts w:ascii="Arial" w:hAnsi="Arial" w:cs="Arial"/>
                <w:sz w:val="20"/>
                <w:szCs w:val="20"/>
              </w:rPr>
            </w:pPr>
          </w:p>
        </w:tc>
      </w:tr>
      <w:tr w:rsidR="0096243C" w:rsidRPr="007F6A49" w14:paraId="56509E7A" w14:textId="77777777" w:rsidTr="00A916C3">
        <w:trPr>
          <w:trHeight w:val="360"/>
        </w:trPr>
        <w:tc>
          <w:tcPr>
            <w:tcW w:w="4536" w:type="dxa"/>
            <w:gridSpan w:val="2"/>
            <w:tcBorders>
              <w:top w:val="nil"/>
              <w:left w:val="nil"/>
              <w:bottom w:val="nil"/>
              <w:right w:val="nil"/>
            </w:tcBorders>
            <w:shd w:val="clear" w:color="auto" w:fill="auto"/>
            <w:noWrap/>
            <w:vAlign w:val="bottom"/>
            <w:hideMark/>
          </w:tcPr>
          <w:p w14:paraId="2B11CA13" w14:textId="77777777" w:rsidR="0096243C" w:rsidRPr="007F6A49" w:rsidRDefault="0096243C" w:rsidP="00A916C3">
            <w:pPr>
              <w:rPr>
                <w:rFonts w:ascii="Arial" w:hAnsi="Arial" w:cs="Arial"/>
                <w:b/>
                <w:bCs/>
                <w:color w:val="000000"/>
                <w:sz w:val="20"/>
                <w:szCs w:val="20"/>
              </w:rPr>
            </w:pPr>
            <w:r w:rsidRPr="007F6A49">
              <w:rPr>
                <w:rFonts w:ascii="Arial" w:hAnsi="Arial" w:cs="Arial"/>
                <w:b/>
                <w:bCs/>
                <w:sz w:val="20"/>
                <w:szCs w:val="20"/>
              </w:rPr>
              <w:t>Items with a value of over 1 billion USD</w:t>
            </w:r>
          </w:p>
        </w:tc>
        <w:tc>
          <w:tcPr>
            <w:tcW w:w="1842" w:type="dxa"/>
            <w:tcBorders>
              <w:top w:val="nil"/>
              <w:left w:val="nil"/>
              <w:bottom w:val="nil"/>
              <w:right w:val="nil"/>
            </w:tcBorders>
            <w:shd w:val="clear" w:color="auto" w:fill="auto"/>
            <w:noWrap/>
            <w:vAlign w:val="bottom"/>
            <w:hideMark/>
          </w:tcPr>
          <w:p w14:paraId="6481F7AB" w14:textId="77777777" w:rsidR="0096243C" w:rsidRPr="007F6A49" w:rsidRDefault="0096243C" w:rsidP="00A916C3">
            <w:pPr>
              <w:rPr>
                <w:rFonts w:ascii="Arial" w:hAnsi="Arial" w:cs="Arial"/>
                <w:sz w:val="20"/>
                <w:szCs w:val="20"/>
              </w:rPr>
            </w:pPr>
          </w:p>
        </w:tc>
        <w:tc>
          <w:tcPr>
            <w:tcW w:w="2978" w:type="dxa"/>
            <w:tcBorders>
              <w:top w:val="nil"/>
              <w:left w:val="nil"/>
              <w:bottom w:val="nil"/>
              <w:right w:val="nil"/>
            </w:tcBorders>
            <w:shd w:val="clear" w:color="auto" w:fill="auto"/>
            <w:noWrap/>
            <w:vAlign w:val="bottom"/>
            <w:hideMark/>
          </w:tcPr>
          <w:p w14:paraId="690740DF" w14:textId="77777777" w:rsidR="0096243C" w:rsidRPr="007F6A49" w:rsidRDefault="0096243C" w:rsidP="00A916C3">
            <w:pPr>
              <w:rPr>
                <w:rFonts w:ascii="Arial" w:hAnsi="Arial" w:cs="Arial"/>
                <w:sz w:val="20"/>
                <w:szCs w:val="20"/>
              </w:rPr>
            </w:pPr>
          </w:p>
        </w:tc>
      </w:tr>
      <w:tr w:rsidR="0096243C" w:rsidRPr="007F6A49" w14:paraId="3486D6B8" w14:textId="77777777" w:rsidTr="00A916C3">
        <w:trPr>
          <w:trHeight w:val="360"/>
        </w:trPr>
        <w:tc>
          <w:tcPr>
            <w:tcW w:w="280" w:type="dxa"/>
            <w:tcBorders>
              <w:top w:val="nil"/>
              <w:left w:val="nil"/>
              <w:bottom w:val="nil"/>
              <w:right w:val="nil"/>
            </w:tcBorders>
            <w:shd w:val="clear" w:color="auto" w:fill="auto"/>
            <w:noWrap/>
            <w:vAlign w:val="bottom"/>
            <w:hideMark/>
          </w:tcPr>
          <w:p w14:paraId="6DDC84A3" w14:textId="77777777" w:rsidR="0096243C" w:rsidRPr="007F6A49" w:rsidRDefault="0096243C" w:rsidP="00A916C3">
            <w:pPr>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3FD944A5" w14:textId="5803818A" w:rsidR="0096243C" w:rsidRPr="007F6A49" w:rsidRDefault="0096243C" w:rsidP="00A916C3">
            <w:pPr>
              <w:rPr>
                <w:rFonts w:ascii="Arial" w:hAnsi="Arial" w:cs="Arial"/>
                <w:sz w:val="20"/>
                <w:szCs w:val="20"/>
              </w:rPr>
            </w:pPr>
            <w:r w:rsidRPr="007F6A49">
              <w:rPr>
                <w:rFonts w:ascii="Arial" w:hAnsi="Arial" w:cs="Arial"/>
                <w:sz w:val="20"/>
                <w:szCs w:val="20"/>
              </w:rPr>
              <w:t xml:space="preserve">Phones all of </w:t>
            </w:r>
            <w:r w:rsidR="004A74F9">
              <w:rPr>
                <w:rFonts w:ascii="Arial" w:hAnsi="Arial" w:cs="Arial"/>
                <w:sz w:val="20"/>
                <w:szCs w:val="20"/>
              </w:rPr>
              <w:t xml:space="preserve">the </w:t>
            </w:r>
            <w:r w:rsidRPr="007F6A49">
              <w:rPr>
                <w:rFonts w:ascii="Arial" w:hAnsi="Arial" w:cs="Arial"/>
                <w:sz w:val="20"/>
                <w:szCs w:val="20"/>
              </w:rPr>
              <w:t>kinds and their parts</w:t>
            </w:r>
          </w:p>
        </w:tc>
        <w:tc>
          <w:tcPr>
            <w:tcW w:w="1842" w:type="dxa"/>
            <w:tcBorders>
              <w:top w:val="nil"/>
              <w:left w:val="nil"/>
              <w:bottom w:val="nil"/>
              <w:right w:val="nil"/>
            </w:tcBorders>
            <w:shd w:val="clear" w:color="auto" w:fill="auto"/>
            <w:noWrap/>
            <w:vAlign w:val="bottom"/>
            <w:hideMark/>
          </w:tcPr>
          <w:p w14:paraId="0D2B4948"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4</w:t>
            </w:r>
            <w:r>
              <w:rPr>
                <w:rFonts w:ascii="Arial" w:hAnsi="Arial" w:cs="Arial"/>
                <w:sz w:val="20"/>
                <w:szCs w:val="20"/>
              </w:rPr>
              <w:t>,</w:t>
            </w:r>
            <w:r w:rsidRPr="007F6A49">
              <w:rPr>
                <w:rFonts w:ascii="Arial" w:hAnsi="Arial" w:cs="Arial"/>
                <w:sz w:val="20"/>
                <w:szCs w:val="20"/>
              </w:rPr>
              <w:t>000</w:t>
            </w:r>
          </w:p>
        </w:tc>
        <w:tc>
          <w:tcPr>
            <w:tcW w:w="2978" w:type="dxa"/>
            <w:tcBorders>
              <w:top w:val="nil"/>
              <w:left w:val="nil"/>
              <w:bottom w:val="nil"/>
              <w:right w:val="nil"/>
            </w:tcBorders>
            <w:shd w:val="clear" w:color="auto" w:fill="auto"/>
            <w:noWrap/>
            <w:vAlign w:val="bottom"/>
            <w:hideMark/>
          </w:tcPr>
          <w:p w14:paraId="50A712BE" w14:textId="77777777" w:rsidR="0096243C" w:rsidRPr="007F6A49" w:rsidRDefault="0096243C" w:rsidP="00A916C3">
            <w:pPr>
              <w:ind w:right="887"/>
              <w:jc w:val="right"/>
              <w:rPr>
                <w:rFonts w:ascii="Arial" w:hAnsi="Arial" w:cs="Arial"/>
                <w:sz w:val="20"/>
                <w:szCs w:val="20"/>
              </w:rPr>
            </w:pPr>
            <w:r w:rsidRPr="007F6A49">
              <w:rPr>
                <w:rFonts w:ascii="Arial" w:hAnsi="Arial" w:cs="Arial"/>
                <w:sz w:val="20"/>
                <w:szCs w:val="20"/>
              </w:rPr>
              <w:t>-34</w:t>
            </w:r>
            <w:r>
              <w:rPr>
                <w:rFonts w:ascii="Arial" w:hAnsi="Arial" w:cs="Arial"/>
                <w:sz w:val="20"/>
                <w:szCs w:val="20"/>
              </w:rPr>
              <w:t>.</w:t>
            </w:r>
            <w:r w:rsidRPr="007F6A49">
              <w:rPr>
                <w:rFonts w:ascii="Arial" w:hAnsi="Arial" w:cs="Arial"/>
                <w:sz w:val="20"/>
                <w:szCs w:val="20"/>
              </w:rPr>
              <w:t>4</w:t>
            </w:r>
          </w:p>
        </w:tc>
      </w:tr>
      <w:tr w:rsidR="0096243C" w:rsidRPr="007F6A49" w14:paraId="12E30B05" w14:textId="77777777" w:rsidTr="00A916C3">
        <w:trPr>
          <w:trHeight w:val="360"/>
        </w:trPr>
        <w:tc>
          <w:tcPr>
            <w:tcW w:w="280" w:type="dxa"/>
            <w:tcBorders>
              <w:top w:val="nil"/>
              <w:left w:val="nil"/>
              <w:bottom w:val="nil"/>
              <w:right w:val="nil"/>
            </w:tcBorders>
            <w:shd w:val="clear" w:color="auto" w:fill="auto"/>
            <w:noWrap/>
            <w:vAlign w:val="bottom"/>
            <w:hideMark/>
          </w:tcPr>
          <w:p w14:paraId="33E82690" w14:textId="77777777" w:rsidR="0096243C" w:rsidRPr="007F6A49" w:rsidRDefault="0096243C" w:rsidP="00A916C3">
            <w:pPr>
              <w:jc w:val="right"/>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6C1C345B" w14:textId="198D7229" w:rsidR="0096243C" w:rsidRPr="007F6A49" w:rsidRDefault="0096243C" w:rsidP="00A916C3">
            <w:pPr>
              <w:rPr>
                <w:rFonts w:ascii="Arial" w:hAnsi="Arial" w:cs="Arial"/>
                <w:sz w:val="20"/>
                <w:szCs w:val="20"/>
              </w:rPr>
            </w:pPr>
            <w:r w:rsidRPr="007F6A49">
              <w:rPr>
                <w:rFonts w:ascii="Arial" w:hAnsi="Arial" w:cs="Arial"/>
                <w:sz w:val="20"/>
                <w:szCs w:val="20"/>
              </w:rPr>
              <w:t>Electronic goods, computers</w:t>
            </w:r>
            <w:r w:rsidR="004A74F9">
              <w:rPr>
                <w:rFonts w:ascii="Arial" w:hAnsi="Arial" w:cs="Arial"/>
                <w:sz w:val="20"/>
                <w:szCs w:val="20"/>
              </w:rPr>
              <w:t>,</w:t>
            </w:r>
            <w:r w:rsidRPr="007F6A49">
              <w:rPr>
                <w:rFonts w:ascii="Arial" w:hAnsi="Arial" w:cs="Arial"/>
                <w:sz w:val="20"/>
                <w:szCs w:val="20"/>
              </w:rPr>
              <w:t xml:space="preserve"> and their parts</w:t>
            </w:r>
          </w:p>
        </w:tc>
        <w:tc>
          <w:tcPr>
            <w:tcW w:w="1842" w:type="dxa"/>
            <w:tcBorders>
              <w:top w:val="nil"/>
              <w:left w:val="nil"/>
              <w:bottom w:val="nil"/>
              <w:right w:val="nil"/>
            </w:tcBorders>
            <w:shd w:val="clear" w:color="auto" w:fill="auto"/>
            <w:noWrap/>
            <w:vAlign w:val="bottom"/>
            <w:hideMark/>
          </w:tcPr>
          <w:p w14:paraId="1111834B"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3</w:t>
            </w:r>
            <w:r>
              <w:rPr>
                <w:rFonts w:ascii="Arial" w:hAnsi="Arial" w:cs="Arial"/>
                <w:sz w:val="20"/>
                <w:szCs w:val="20"/>
              </w:rPr>
              <w:t>,</w:t>
            </w:r>
            <w:r w:rsidRPr="007F6A49">
              <w:rPr>
                <w:rFonts w:ascii="Arial" w:hAnsi="Arial" w:cs="Arial"/>
                <w:sz w:val="20"/>
                <w:szCs w:val="20"/>
              </w:rPr>
              <w:t>500</w:t>
            </w:r>
          </w:p>
        </w:tc>
        <w:tc>
          <w:tcPr>
            <w:tcW w:w="2978" w:type="dxa"/>
            <w:tcBorders>
              <w:top w:val="nil"/>
              <w:left w:val="nil"/>
              <w:bottom w:val="nil"/>
              <w:right w:val="nil"/>
            </w:tcBorders>
            <w:shd w:val="clear" w:color="auto" w:fill="auto"/>
            <w:noWrap/>
            <w:vAlign w:val="bottom"/>
            <w:hideMark/>
          </w:tcPr>
          <w:p w14:paraId="67E68E04" w14:textId="77777777" w:rsidR="0096243C" w:rsidRPr="007F6A49" w:rsidRDefault="0096243C" w:rsidP="00A916C3">
            <w:pPr>
              <w:ind w:right="887"/>
              <w:jc w:val="right"/>
              <w:rPr>
                <w:rFonts w:ascii="Arial" w:hAnsi="Arial" w:cs="Arial"/>
                <w:sz w:val="20"/>
                <w:szCs w:val="20"/>
              </w:rPr>
            </w:pPr>
            <w:r w:rsidRPr="007F6A49">
              <w:rPr>
                <w:rFonts w:ascii="Arial" w:hAnsi="Arial" w:cs="Arial"/>
                <w:sz w:val="20"/>
                <w:szCs w:val="20"/>
              </w:rPr>
              <w:t>-10</w:t>
            </w:r>
            <w:r>
              <w:rPr>
                <w:rFonts w:ascii="Arial" w:hAnsi="Arial" w:cs="Arial"/>
                <w:sz w:val="20"/>
                <w:szCs w:val="20"/>
              </w:rPr>
              <w:t>.</w:t>
            </w:r>
            <w:r w:rsidRPr="007F6A49">
              <w:rPr>
                <w:rFonts w:ascii="Arial" w:hAnsi="Arial" w:cs="Arial"/>
                <w:sz w:val="20"/>
                <w:szCs w:val="20"/>
              </w:rPr>
              <w:t>2</w:t>
            </w:r>
          </w:p>
        </w:tc>
      </w:tr>
      <w:tr w:rsidR="0096243C" w:rsidRPr="007F6A49" w14:paraId="7188A649" w14:textId="77777777" w:rsidTr="00A916C3">
        <w:trPr>
          <w:trHeight w:val="360"/>
        </w:trPr>
        <w:tc>
          <w:tcPr>
            <w:tcW w:w="280" w:type="dxa"/>
            <w:tcBorders>
              <w:top w:val="nil"/>
              <w:left w:val="nil"/>
              <w:bottom w:val="nil"/>
              <w:right w:val="nil"/>
            </w:tcBorders>
            <w:shd w:val="clear" w:color="auto" w:fill="auto"/>
            <w:noWrap/>
            <w:vAlign w:val="bottom"/>
            <w:hideMark/>
          </w:tcPr>
          <w:p w14:paraId="2B2A70F2" w14:textId="77777777" w:rsidR="0096243C" w:rsidRPr="007F6A49" w:rsidRDefault="0096243C" w:rsidP="00A916C3">
            <w:pPr>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163BBB40" w14:textId="77777777" w:rsidR="0096243C" w:rsidRPr="007F6A49" w:rsidRDefault="0096243C" w:rsidP="00A916C3">
            <w:pPr>
              <w:rPr>
                <w:rFonts w:ascii="Arial" w:hAnsi="Arial" w:cs="Arial"/>
                <w:sz w:val="20"/>
                <w:szCs w:val="20"/>
              </w:rPr>
            </w:pPr>
            <w:r w:rsidRPr="007F6A49">
              <w:rPr>
                <w:rFonts w:ascii="Arial" w:hAnsi="Arial" w:cs="Arial"/>
                <w:sz w:val="20"/>
                <w:szCs w:val="20"/>
              </w:rPr>
              <w:t>Textiles and garments</w:t>
            </w:r>
          </w:p>
        </w:tc>
        <w:tc>
          <w:tcPr>
            <w:tcW w:w="1842" w:type="dxa"/>
            <w:tcBorders>
              <w:top w:val="nil"/>
              <w:left w:val="nil"/>
              <w:bottom w:val="nil"/>
              <w:right w:val="nil"/>
            </w:tcBorders>
            <w:shd w:val="clear" w:color="auto" w:fill="auto"/>
            <w:noWrap/>
            <w:vAlign w:val="bottom"/>
            <w:hideMark/>
          </w:tcPr>
          <w:p w14:paraId="0C8B36BB"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3</w:t>
            </w:r>
            <w:r>
              <w:rPr>
                <w:rFonts w:ascii="Arial" w:hAnsi="Arial" w:cs="Arial"/>
                <w:sz w:val="20"/>
                <w:szCs w:val="20"/>
              </w:rPr>
              <w:t>,</w:t>
            </w:r>
            <w:r w:rsidRPr="007F6A49">
              <w:rPr>
                <w:rFonts w:ascii="Arial" w:hAnsi="Arial" w:cs="Arial"/>
                <w:sz w:val="20"/>
                <w:szCs w:val="20"/>
              </w:rPr>
              <w:t>300</w:t>
            </w:r>
          </w:p>
        </w:tc>
        <w:tc>
          <w:tcPr>
            <w:tcW w:w="2978" w:type="dxa"/>
            <w:tcBorders>
              <w:top w:val="nil"/>
              <w:left w:val="nil"/>
              <w:bottom w:val="nil"/>
              <w:right w:val="nil"/>
            </w:tcBorders>
            <w:shd w:val="clear" w:color="auto" w:fill="auto"/>
            <w:noWrap/>
            <w:vAlign w:val="bottom"/>
            <w:hideMark/>
          </w:tcPr>
          <w:p w14:paraId="53BF6B6A" w14:textId="77777777" w:rsidR="0096243C" w:rsidRPr="007F6A49" w:rsidRDefault="0096243C" w:rsidP="00A916C3">
            <w:pPr>
              <w:ind w:right="891"/>
              <w:jc w:val="right"/>
              <w:rPr>
                <w:rFonts w:ascii="Arial" w:hAnsi="Arial" w:cs="Arial"/>
                <w:sz w:val="20"/>
                <w:szCs w:val="20"/>
              </w:rPr>
            </w:pPr>
            <w:r w:rsidRPr="007F6A49">
              <w:rPr>
                <w:rFonts w:ascii="Arial" w:hAnsi="Arial" w:cs="Arial"/>
                <w:sz w:val="20"/>
                <w:szCs w:val="20"/>
              </w:rPr>
              <w:t>24</w:t>
            </w:r>
            <w:r>
              <w:rPr>
                <w:rFonts w:ascii="Arial" w:hAnsi="Arial" w:cs="Arial"/>
                <w:sz w:val="20"/>
                <w:szCs w:val="20"/>
              </w:rPr>
              <w:t>.</w:t>
            </w:r>
            <w:r w:rsidRPr="007F6A49">
              <w:rPr>
                <w:rFonts w:ascii="Arial" w:hAnsi="Arial" w:cs="Arial"/>
                <w:sz w:val="20"/>
                <w:szCs w:val="20"/>
              </w:rPr>
              <w:t>2</w:t>
            </w:r>
          </w:p>
        </w:tc>
      </w:tr>
      <w:tr w:rsidR="0096243C" w:rsidRPr="007F6A49" w14:paraId="44B94ABD" w14:textId="77777777" w:rsidTr="00A916C3">
        <w:trPr>
          <w:trHeight w:val="360"/>
        </w:trPr>
        <w:tc>
          <w:tcPr>
            <w:tcW w:w="280" w:type="dxa"/>
            <w:tcBorders>
              <w:top w:val="nil"/>
              <w:left w:val="nil"/>
              <w:bottom w:val="nil"/>
              <w:right w:val="nil"/>
            </w:tcBorders>
            <w:shd w:val="clear" w:color="auto" w:fill="auto"/>
            <w:noWrap/>
            <w:vAlign w:val="bottom"/>
            <w:hideMark/>
          </w:tcPr>
          <w:p w14:paraId="22602420" w14:textId="77777777" w:rsidR="0096243C" w:rsidRPr="007F6A49" w:rsidRDefault="0096243C" w:rsidP="00A916C3">
            <w:pPr>
              <w:jc w:val="right"/>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5D569ECA" w14:textId="77777777" w:rsidR="0096243C" w:rsidRPr="007F6A49" w:rsidRDefault="0096243C" w:rsidP="00A916C3">
            <w:pPr>
              <w:rPr>
                <w:rFonts w:ascii="Arial" w:hAnsi="Arial" w:cs="Arial"/>
                <w:sz w:val="20"/>
                <w:szCs w:val="20"/>
              </w:rPr>
            </w:pPr>
            <w:r>
              <w:rPr>
                <w:rFonts w:ascii="Arial" w:hAnsi="Arial" w:cs="Arial"/>
                <w:sz w:val="20"/>
                <w:szCs w:val="20"/>
              </w:rPr>
              <w:t>Other m</w:t>
            </w:r>
            <w:r w:rsidRPr="007F6A49">
              <w:rPr>
                <w:rFonts w:ascii="Arial" w:hAnsi="Arial" w:cs="Arial"/>
                <w:sz w:val="20"/>
                <w:szCs w:val="20"/>
              </w:rPr>
              <w:t>achinery, instrument, accessory</w:t>
            </w:r>
          </w:p>
        </w:tc>
        <w:tc>
          <w:tcPr>
            <w:tcW w:w="1842" w:type="dxa"/>
            <w:tcBorders>
              <w:top w:val="nil"/>
              <w:left w:val="nil"/>
              <w:bottom w:val="nil"/>
              <w:right w:val="nil"/>
            </w:tcBorders>
            <w:shd w:val="clear" w:color="auto" w:fill="auto"/>
            <w:noWrap/>
            <w:vAlign w:val="bottom"/>
            <w:hideMark/>
          </w:tcPr>
          <w:p w14:paraId="5F1689F1"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3</w:t>
            </w:r>
            <w:r>
              <w:rPr>
                <w:rFonts w:ascii="Arial" w:hAnsi="Arial" w:cs="Arial"/>
                <w:sz w:val="20"/>
                <w:szCs w:val="20"/>
              </w:rPr>
              <w:t>,</w:t>
            </w:r>
            <w:r w:rsidRPr="007F6A49">
              <w:rPr>
                <w:rFonts w:ascii="Arial" w:hAnsi="Arial" w:cs="Arial"/>
                <w:sz w:val="20"/>
                <w:szCs w:val="20"/>
              </w:rPr>
              <w:t>000</w:t>
            </w:r>
          </w:p>
        </w:tc>
        <w:tc>
          <w:tcPr>
            <w:tcW w:w="2978" w:type="dxa"/>
            <w:tcBorders>
              <w:top w:val="nil"/>
              <w:left w:val="nil"/>
              <w:bottom w:val="nil"/>
              <w:right w:val="nil"/>
            </w:tcBorders>
            <w:shd w:val="clear" w:color="auto" w:fill="auto"/>
            <w:noWrap/>
            <w:vAlign w:val="bottom"/>
            <w:hideMark/>
          </w:tcPr>
          <w:p w14:paraId="7EB6C53A" w14:textId="77777777" w:rsidR="0096243C" w:rsidRPr="007F6A49" w:rsidRDefault="0096243C" w:rsidP="00A916C3">
            <w:pPr>
              <w:ind w:right="887"/>
              <w:jc w:val="right"/>
              <w:rPr>
                <w:rFonts w:ascii="Arial" w:hAnsi="Arial" w:cs="Arial"/>
                <w:sz w:val="20"/>
                <w:szCs w:val="20"/>
              </w:rPr>
            </w:pPr>
            <w:r w:rsidRPr="007F6A49">
              <w:rPr>
                <w:rFonts w:ascii="Arial" w:hAnsi="Arial" w:cs="Arial"/>
                <w:sz w:val="20"/>
                <w:szCs w:val="20"/>
              </w:rPr>
              <w:t>-7</w:t>
            </w:r>
            <w:r>
              <w:rPr>
                <w:rFonts w:ascii="Arial" w:hAnsi="Arial" w:cs="Arial"/>
                <w:sz w:val="20"/>
                <w:szCs w:val="20"/>
              </w:rPr>
              <w:t>.</w:t>
            </w:r>
            <w:r w:rsidRPr="007F6A49">
              <w:rPr>
                <w:rFonts w:ascii="Arial" w:hAnsi="Arial" w:cs="Arial"/>
                <w:sz w:val="20"/>
                <w:szCs w:val="20"/>
              </w:rPr>
              <w:t>8</w:t>
            </w:r>
          </w:p>
        </w:tc>
      </w:tr>
      <w:tr w:rsidR="0096243C" w:rsidRPr="007F6A49" w14:paraId="5041403D" w14:textId="77777777" w:rsidTr="00A916C3">
        <w:trPr>
          <w:trHeight w:val="360"/>
        </w:trPr>
        <w:tc>
          <w:tcPr>
            <w:tcW w:w="280" w:type="dxa"/>
            <w:tcBorders>
              <w:top w:val="nil"/>
              <w:left w:val="nil"/>
              <w:bottom w:val="nil"/>
              <w:right w:val="nil"/>
            </w:tcBorders>
            <w:shd w:val="clear" w:color="auto" w:fill="auto"/>
            <w:noWrap/>
            <w:vAlign w:val="bottom"/>
            <w:hideMark/>
          </w:tcPr>
          <w:p w14:paraId="13751A7E" w14:textId="77777777" w:rsidR="0096243C" w:rsidRPr="007F6A49" w:rsidRDefault="0096243C" w:rsidP="00A916C3">
            <w:pPr>
              <w:jc w:val="right"/>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0E86017C" w14:textId="77777777" w:rsidR="0096243C" w:rsidRPr="007F6A49" w:rsidRDefault="0096243C" w:rsidP="00A916C3">
            <w:pPr>
              <w:rPr>
                <w:rFonts w:ascii="Arial" w:hAnsi="Arial" w:cs="Arial"/>
                <w:sz w:val="20"/>
                <w:szCs w:val="20"/>
              </w:rPr>
            </w:pPr>
            <w:r w:rsidRPr="007F6A49">
              <w:rPr>
                <w:rFonts w:ascii="Arial" w:hAnsi="Arial" w:cs="Arial"/>
                <w:sz w:val="20"/>
                <w:szCs w:val="20"/>
              </w:rPr>
              <w:t>Footwear</w:t>
            </w:r>
          </w:p>
        </w:tc>
        <w:tc>
          <w:tcPr>
            <w:tcW w:w="1842" w:type="dxa"/>
            <w:tcBorders>
              <w:top w:val="nil"/>
              <w:left w:val="nil"/>
              <w:bottom w:val="nil"/>
              <w:right w:val="nil"/>
            </w:tcBorders>
            <w:shd w:val="clear" w:color="auto" w:fill="auto"/>
            <w:noWrap/>
            <w:vAlign w:val="bottom"/>
            <w:hideMark/>
          </w:tcPr>
          <w:p w14:paraId="45F39DE1"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2</w:t>
            </w:r>
            <w:r>
              <w:rPr>
                <w:rFonts w:ascii="Arial" w:hAnsi="Arial" w:cs="Arial"/>
                <w:sz w:val="20"/>
                <w:szCs w:val="20"/>
              </w:rPr>
              <w:t>,</w:t>
            </w:r>
            <w:r w:rsidRPr="007F6A49">
              <w:rPr>
                <w:rFonts w:ascii="Arial" w:hAnsi="Arial" w:cs="Arial"/>
                <w:sz w:val="20"/>
                <w:szCs w:val="20"/>
              </w:rPr>
              <w:t>000</w:t>
            </w:r>
          </w:p>
        </w:tc>
        <w:tc>
          <w:tcPr>
            <w:tcW w:w="2978" w:type="dxa"/>
            <w:tcBorders>
              <w:top w:val="nil"/>
              <w:left w:val="nil"/>
              <w:bottom w:val="nil"/>
              <w:right w:val="nil"/>
            </w:tcBorders>
            <w:shd w:val="clear" w:color="auto" w:fill="auto"/>
            <w:noWrap/>
            <w:vAlign w:val="bottom"/>
            <w:hideMark/>
          </w:tcPr>
          <w:p w14:paraId="2DFCA48B" w14:textId="77777777" w:rsidR="0096243C" w:rsidRPr="007F6A49" w:rsidRDefault="0096243C" w:rsidP="00A916C3">
            <w:pPr>
              <w:ind w:right="887"/>
              <w:jc w:val="right"/>
              <w:rPr>
                <w:rFonts w:ascii="Arial" w:hAnsi="Arial" w:cs="Arial"/>
                <w:sz w:val="20"/>
                <w:szCs w:val="20"/>
              </w:rPr>
            </w:pPr>
            <w:r w:rsidRPr="007F6A49">
              <w:rPr>
                <w:rFonts w:ascii="Arial" w:hAnsi="Arial" w:cs="Arial"/>
                <w:sz w:val="20"/>
                <w:szCs w:val="20"/>
              </w:rPr>
              <w:t>7</w:t>
            </w:r>
            <w:r>
              <w:rPr>
                <w:rFonts w:ascii="Arial" w:hAnsi="Arial" w:cs="Arial"/>
                <w:sz w:val="20"/>
                <w:szCs w:val="20"/>
              </w:rPr>
              <w:t>.</w:t>
            </w:r>
            <w:r w:rsidRPr="007F6A49">
              <w:rPr>
                <w:rFonts w:ascii="Arial" w:hAnsi="Arial" w:cs="Arial"/>
                <w:sz w:val="20"/>
                <w:szCs w:val="20"/>
              </w:rPr>
              <w:t>2</w:t>
            </w:r>
          </w:p>
        </w:tc>
      </w:tr>
      <w:tr w:rsidR="0096243C" w:rsidRPr="007F6A49" w14:paraId="06089F23" w14:textId="77777777" w:rsidTr="00A916C3">
        <w:trPr>
          <w:trHeight w:val="360"/>
        </w:trPr>
        <w:tc>
          <w:tcPr>
            <w:tcW w:w="280" w:type="dxa"/>
            <w:tcBorders>
              <w:top w:val="nil"/>
              <w:left w:val="nil"/>
              <w:bottom w:val="nil"/>
              <w:right w:val="nil"/>
            </w:tcBorders>
            <w:shd w:val="clear" w:color="auto" w:fill="auto"/>
            <w:noWrap/>
            <w:vAlign w:val="bottom"/>
            <w:hideMark/>
          </w:tcPr>
          <w:p w14:paraId="724A3288" w14:textId="77777777" w:rsidR="0096243C" w:rsidRPr="007F6A49" w:rsidRDefault="0096243C" w:rsidP="00A916C3">
            <w:pPr>
              <w:jc w:val="right"/>
              <w:rPr>
                <w:rFonts w:ascii="Arial" w:hAnsi="Arial" w:cs="Arial"/>
                <w:sz w:val="20"/>
                <w:szCs w:val="20"/>
              </w:rPr>
            </w:pPr>
          </w:p>
        </w:tc>
        <w:tc>
          <w:tcPr>
            <w:tcW w:w="4256" w:type="dxa"/>
            <w:tcBorders>
              <w:top w:val="nil"/>
              <w:left w:val="nil"/>
              <w:right w:val="nil"/>
            </w:tcBorders>
            <w:shd w:val="clear" w:color="auto" w:fill="auto"/>
            <w:noWrap/>
            <w:vAlign w:val="bottom"/>
            <w:hideMark/>
          </w:tcPr>
          <w:p w14:paraId="23818B76" w14:textId="77777777" w:rsidR="0096243C" w:rsidRPr="007F6A49" w:rsidRDefault="0096243C" w:rsidP="00A916C3">
            <w:pPr>
              <w:rPr>
                <w:rFonts w:ascii="Arial" w:hAnsi="Arial" w:cs="Arial"/>
                <w:sz w:val="20"/>
                <w:szCs w:val="20"/>
              </w:rPr>
            </w:pPr>
            <w:r w:rsidRPr="007F6A49">
              <w:rPr>
                <w:rFonts w:ascii="Arial" w:hAnsi="Arial" w:cs="Arial"/>
                <w:sz w:val="20"/>
                <w:szCs w:val="20"/>
              </w:rPr>
              <w:t>Wood and products</w:t>
            </w:r>
          </w:p>
        </w:tc>
        <w:tc>
          <w:tcPr>
            <w:tcW w:w="1842" w:type="dxa"/>
            <w:tcBorders>
              <w:top w:val="nil"/>
              <w:left w:val="nil"/>
              <w:right w:val="nil"/>
            </w:tcBorders>
            <w:shd w:val="clear" w:color="auto" w:fill="auto"/>
            <w:noWrap/>
            <w:vAlign w:val="bottom"/>
            <w:hideMark/>
          </w:tcPr>
          <w:p w14:paraId="3BCFF1AE" w14:textId="77777777" w:rsidR="0096243C" w:rsidRPr="007F6A49" w:rsidRDefault="0096243C" w:rsidP="00A916C3">
            <w:pPr>
              <w:ind w:right="458"/>
              <w:jc w:val="right"/>
              <w:rPr>
                <w:rFonts w:ascii="Arial" w:hAnsi="Arial" w:cs="Arial"/>
                <w:sz w:val="20"/>
                <w:szCs w:val="20"/>
              </w:rPr>
            </w:pPr>
            <w:r w:rsidRPr="007F6A49">
              <w:rPr>
                <w:rFonts w:ascii="Arial" w:hAnsi="Arial" w:cs="Arial"/>
                <w:sz w:val="20"/>
                <w:szCs w:val="20"/>
              </w:rPr>
              <w:t>1</w:t>
            </w:r>
            <w:r>
              <w:rPr>
                <w:rFonts w:ascii="Arial" w:hAnsi="Arial" w:cs="Arial"/>
                <w:sz w:val="20"/>
                <w:szCs w:val="20"/>
              </w:rPr>
              <w:t>,</w:t>
            </w:r>
            <w:r w:rsidRPr="007F6A49">
              <w:rPr>
                <w:rFonts w:ascii="Arial" w:hAnsi="Arial" w:cs="Arial"/>
                <w:sz w:val="20"/>
                <w:szCs w:val="20"/>
              </w:rPr>
              <w:t>500</w:t>
            </w:r>
          </w:p>
        </w:tc>
        <w:tc>
          <w:tcPr>
            <w:tcW w:w="2978" w:type="dxa"/>
            <w:tcBorders>
              <w:top w:val="nil"/>
              <w:left w:val="nil"/>
              <w:right w:val="nil"/>
            </w:tcBorders>
            <w:shd w:val="clear" w:color="auto" w:fill="auto"/>
            <w:noWrap/>
            <w:vAlign w:val="bottom"/>
            <w:hideMark/>
          </w:tcPr>
          <w:p w14:paraId="33776273" w14:textId="77777777" w:rsidR="0096243C" w:rsidRPr="007F6A49" w:rsidRDefault="0096243C" w:rsidP="00A916C3">
            <w:pPr>
              <w:ind w:right="887"/>
              <w:jc w:val="right"/>
              <w:rPr>
                <w:rFonts w:ascii="Arial" w:hAnsi="Arial" w:cs="Arial"/>
                <w:sz w:val="20"/>
                <w:szCs w:val="20"/>
              </w:rPr>
            </w:pPr>
            <w:r w:rsidRPr="007F6A49">
              <w:rPr>
                <w:rFonts w:ascii="Arial" w:hAnsi="Arial" w:cs="Arial"/>
                <w:sz w:val="20"/>
                <w:szCs w:val="20"/>
              </w:rPr>
              <w:t>10</w:t>
            </w:r>
            <w:r>
              <w:rPr>
                <w:rFonts w:ascii="Arial" w:hAnsi="Arial" w:cs="Arial"/>
                <w:sz w:val="20"/>
                <w:szCs w:val="20"/>
              </w:rPr>
              <w:t>.</w:t>
            </w:r>
            <w:r w:rsidRPr="007F6A49">
              <w:rPr>
                <w:rFonts w:ascii="Arial" w:hAnsi="Arial" w:cs="Arial"/>
                <w:sz w:val="20"/>
                <w:szCs w:val="20"/>
              </w:rPr>
              <w:t>7</w:t>
            </w:r>
          </w:p>
        </w:tc>
      </w:tr>
      <w:tr w:rsidR="0096243C" w:rsidRPr="007F6A49" w14:paraId="17E112DD" w14:textId="77777777" w:rsidTr="00A916C3">
        <w:trPr>
          <w:trHeight w:val="463"/>
        </w:trPr>
        <w:tc>
          <w:tcPr>
            <w:tcW w:w="280" w:type="dxa"/>
            <w:tcBorders>
              <w:top w:val="nil"/>
              <w:left w:val="nil"/>
              <w:bottom w:val="nil"/>
              <w:right w:val="nil"/>
            </w:tcBorders>
            <w:shd w:val="clear" w:color="auto" w:fill="auto"/>
            <w:noWrap/>
            <w:vAlign w:val="bottom"/>
          </w:tcPr>
          <w:p w14:paraId="13CDAE86" w14:textId="77777777" w:rsidR="0096243C" w:rsidRPr="007F6A49" w:rsidRDefault="0096243C" w:rsidP="00A916C3">
            <w:pPr>
              <w:spacing w:after="120"/>
              <w:jc w:val="right"/>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bottom"/>
          </w:tcPr>
          <w:p w14:paraId="54AD15FB" w14:textId="77777777" w:rsidR="0096243C" w:rsidRPr="007F6A49" w:rsidRDefault="0096243C" w:rsidP="00A916C3">
            <w:pPr>
              <w:spacing w:after="120"/>
              <w:rPr>
                <w:rFonts w:ascii="Arial" w:hAnsi="Arial" w:cs="Arial"/>
                <w:sz w:val="20"/>
                <w:szCs w:val="20"/>
              </w:rPr>
            </w:pPr>
            <w:r w:rsidRPr="007F6A49">
              <w:rPr>
                <w:rFonts w:ascii="Arial" w:hAnsi="Arial" w:cs="Arial"/>
                <w:sz w:val="20"/>
                <w:szCs w:val="20"/>
                <w:lang w:val="en-GB"/>
              </w:rPr>
              <w:t>Means of transport and components</w:t>
            </w:r>
          </w:p>
        </w:tc>
        <w:tc>
          <w:tcPr>
            <w:tcW w:w="1842" w:type="dxa"/>
            <w:tcBorders>
              <w:top w:val="nil"/>
              <w:left w:val="nil"/>
              <w:bottom w:val="single" w:sz="4" w:space="0" w:color="auto"/>
              <w:right w:val="nil"/>
            </w:tcBorders>
            <w:shd w:val="clear" w:color="auto" w:fill="auto"/>
            <w:noWrap/>
            <w:vAlign w:val="bottom"/>
          </w:tcPr>
          <w:p w14:paraId="0F312D15" w14:textId="77777777" w:rsidR="0096243C" w:rsidRPr="007F6A49" w:rsidRDefault="0096243C" w:rsidP="00A916C3">
            <w:pPr>
              <w:spacing w:after="120"/>
              <w:ind w:right="458"/>
              <w:jc w:val="right"/>
              <w:rPr>
                <w:rFonts w:ascii="Arial" w:hAnsi="Arial" w:cs="Arial"/>
                <w:sz w:val="20"/>
                <w:szCs w:val="20"/>
              </w:rPr>
            </w:pPr>
            <w:r w:rsidRPr="007F6A49">
              <w:rPr>
                <w:rFonts w:ascii="Arial" w:hAnsi="Arial" w:cs="Arial"/>
                <w:sz w:val="20"/>
                <w:szCs w:val="20"/>
              </w:rPr>
              <w:t>1</w:t>
            </w:r>
            <w:r>
              <w:rPr>
                <w:rFonts w:ascii="Arial" w:hAnsi="Arial" w:cs="Arial"/>
                <w:sz w:val="20"/>
                <w:szCs w:val="20"/>
              </w:rPr>
              <w:t>,</w:t>
            </w:r>
            <w:r w:rsidRPr="007F6A49">
              <w:rPr>
                <w:rFonts w:ascii="Arial" w:hAnsi="Arial" w:cs="Arial"/>
                <w:sz w:val="20"/>
                <w:szCs w:val="20"/>
              </w:rPr>
              <w:t>050</w:t>
            </w:r>
          </w:p>
        </w:tc>
        <w:tc>
          <w:tcPr>
            <w:tcW w:w="2978" w:type="dxa"/>
            <w:tcBorders>
              <w:top w:val="nil"/>
              <w:left w:val="nil"/>
              <w:bottom w:val="single" w:sz="4" w:space="0" w:color="auto"/>
              <w:right w:val="nil"/>
            </w:tcBorders>
            <w:shd w:val="clear" w:color="auto" w:fill="auto"/>
            <w:noWrap/>
            <w:vAlign w:val="bottom"/>
          </w:tcPr>
          <w:p w14:paraId="6C9B2B82" w14:textId="77777777" w:rsidR="0096243C" w:rsidRPr="007F6A49" w:rsidRDefault="0096243C" w:rsidP="00A916C3">
            <w:pPr>
              <w:spacing w:after="120"/>
              <w:ind w:right="887"/>
              <w:jc w:val="right"/>
              <w:rPr>
                <w:rFonts w:ascii="Arial" w:hAnsi="Arial" w:cs="Arial"/>
                <w:sz w:val="20"/>
                <w:szCs w:val="20"/>
              </w:rPr>
            </w:pPr>
            <w:r w:rsidRPr="007F6A49">
              <w:rPr>
                <w:rFonts w:ascii="Arial" w:hAnsi="Arial" w:cs="Arial"/>
                <w:sz w:val="20"/>
                <w:szCs w:val="20"/>
              </w:rPr>
              <w:t>14</w:t>
            </w:r>
            <w:r>
              <w:rPr>
                <w:rFonts w:ascii="Arial" w:hAnsi="Arial" w:cs="Arial"/>
                <w:sz w:val="20"/>
                <w:szCs w:val="20"/>
              </w:rPr>
              <w:t>.</w:t>
            </w:r>
            <w:r w:rsidRPr="007F6A49">
              <w:rPr>
                <w:rFonts w:ascii="Arial" w:hAnsi="Arial" w:cs="Arial"/>
                <w:sz w:val="20"/>
                <w:szCs w:val="20"/>
              </w:rPr>
              <w:t>0</w:t>
            </w:r>
          </w:p>
        </w:tc>
      </w:tr>
      <w:bookmarkEnd w:id="6"/>
    </w:tbl>
    <w:p w14:paraId="102449B6" w14:textId="77777777" w:rsidR="00E020D3" w:rsidRDefault="00E020D3" w:rsidP="00FA76D6">
      <w:pPr>
        <w:tabs>
          <w:tab w:val="num" w:pos="0"/>
        </w:tabs>
        <w:spacing w:before="40" w:after="40"/>
        <w:ind w:right="6"/>
        <w:jc w:val="center"/>
        <w:rPr>
          <w:rFonts w:ascii="Arial" w:hAnsi="Arial" w:cs="Arial"/>
          <w:b/>
          <w:bCs/>
          <w:sz w:val="24"/>
          <w:szCs w:val="24"/>
          <w:lang w:val="es-NI"/>
        </w:rPr>
      </w:pPr>
    </w:p>
    <w:p w14:paraId="18411FCB" w14:textId="77777777" w:rsidR="00FA76D6" w:rsidRPr="006F74C3" w:rsidRDefault="00FA76D6" w:rsidP="00FA76D6">
      <w:pPr>
        <w:tabs>
          <w:tab w:val="num" w:pos="0"/>
        </w:tabs>
        <w:spacing w:before="40" w:after="40"/>
        <w:ind w:right="6"/>
        <w:jc w:val="both"/>
        <w:rPr>
          <w:rFonts w:ascii="Arial" w:hAnsi="Arial" w:cs="Arial"/>
          <w:b/>
          <w:bCs/>
          <w:sz w:val="8"/>
          <w:szCs w:val="24"/>
          <w:lang w:val="es-NI"/>
        </w:rPr>
      </w:pPr>
    </w:p>
    <w:p w14:paraId="156D6C44" w14:textId="77777777" w:rsidR="00505829" w:rsidRPr="001A2C17" w:rsidRDefault="00505829" w:rsidP="00505829">
      <w:pPr>
        <w:tabs>
          <w:tab w:val="num" w:pos="0"/>
          <w:tab w:val="left" w:pos="9475"/>
        </w:tabs>
        <w:spacing w:before="40" w:after="40" w:line="278" w:lineRule="auto"/>
        <w:ind w:right="119" w:firstLine="567"/>
        <w:jc w:val="right"/>
        <w:rPr>
          <w:rFonts w:ascii="Arial" w:hAnsi="Arial" w:cs="Arial"/>
          <w:b/>
          <w:bCs/>
          <w:i/>
          <w:iCs/>
          <w:sz w:val="2"/>
          <w:szCs w:val="20"/>
          <w:lang w:val="es-NI"/>
        </w:rPr>
      </w:pPr>
    </w:p>
    <w:bookmarkEnd w:id="3"/>
    <w:p w14:paraId="540151DF" w14:textId="29599163" w:rsidR="0049016A" w:rsidRDefault="0049016A" w:rsidP="0001673E">
      <w:pPr>
        <w:spacing w:before="40" w:after="40" w:line="288" w:lineRule="auto"/>
        <w:jc w:val="both"/>
      </w:pPr>
      <w:r>
        <w:rPr>
          <w:rFonts w:eastAsia="Batang"/>
          <w:bCs/>
          <w:i/>
          <w:noProof/>
          <w:spacing w:val="-6"/>
          <w:lang w:val="en-GB" w:eastAsia="en-GB"/>
        </w:rPr>
        <mc:AlternateContent>
          <mc:Choice Requires="wps">
            <w:drawing>
              <wp:anchor distT="0" distB="0" distL="114300" distR="114300" simplePos="0" relativeHeight="251661312" behindDoc="0" locked="0" layoutInCell="1" allowOverlap="1" wp14:anchorId="35ED543C" wp14:editId="2DE33DBB">
                <wp:simplePos x="0" y="0"/>
                <wp:positionH relativeFrom="column">
                  <wp:posOffset>32385</wp:posOffset>
                </wp:positionH>
                <wp:positionV relativeFrom="paragraph">
                  <wp:posOffset>11430</wp:posOffset>
                </wp:positionV>
                <wp:extent cx="3916680" cy="3063240"/>
                <wp:effectExtent l="0" t="0" r="7620" b="381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3063240"/>
                        </a:xfrm>
                        <a:prstGeom prst="rect">
                          <a:avLst/>
                        </a:prstGeom>
                        <a:solidFill>
                          <a:srgbClr val="FFFFFF"/>
                        </a:solidFill>
                        <a:ln w="9525">
                          <a:noFill/>
                          <a:miter lim="800000"/>
                          <a:headEnd/>
                          <a:tailEnd/>
                        </a:ln>
                      </wps:spPr>
                      <wps:txbx>
                        <w:txbxContent>
                          <w:p w14:paraId="650B1397" w14:textId="1A5F9CE4" w:rsidR="0049016A" w:rsidRDefault="00DB4C92" w:rsidP="0049016A">
                            <w:pPr>
                              <w:spacing w:before="40" w:after="40" w:line="288" w:lineRule="auto"/>
                              <w:jc w:val="center"/>
                              <w:rPr>
                                <w:rFonts w:ascii="Arial" w:hAnsi="Arial" w:cs="Arial"/>
                                <w:b/>
                                <w:bCs/>
                                <w:sz w:val="24"/>
                                <w:szCs w:val="24"/>
                              </w:rPr>
                            </w:pPr>
                            <w:r w:rsidRPr="00C16FE7">
                              <w:rPr>
                                <w:rFonts w:ascii="Arial" w:hAnsi="Arial" w:cs="Arial"/>
                                <w:b/>
                                <w:sz w:val="24"/>
                                <w:szCs w:val="24"/>
                                <w:lang w:val="nl-NL"/>
                              </w:rPr>
                              <w:t>Figure</w:t>
                            </w:r>
                            <w:r w:rsidR="0049016A">
                              <w:rPr>
                                <w:rFonts w:ascii="Arial" w:hAnsi="Arial" w:cs="Arial"/>
                                <w:b/>
                                <w:bCs/>
                                <w:sz w:val="24"/>
                                <w:szCs w:val="24"/>
                                <w:lang w:val="en-GB"/>
                              </w:rPr>
                              <w:t xml:space="preserve"> 1</w:t>
                            </w:r>
                            <w:r w:rsidR="008D32CB">
                              <w:rPr>
                                <w:rFonts w:ascii="Arial" w:hAnsi="Arial" w:cs="Arial"/>
                                <w:b/>
                                <w:bCs/>
                                <w:sz w:val="24"/>
                                <w:szCs w:val="24"/>
                                <w:lang w:val="en-GB"/>
                              </w:rPr>
                              <w:t>2</w:t>
                            </w:r>
                            <w:r w:rsidR="0049016A">
                              <w:rPr>
                                <w:rFonts w:ascii="Arial" w:hAnsi="Arial" w:cs="Arial"/>
                                <w:b/>
                                <w:bCs/>
                                <w:sz w:val="24"/>
                                <w:szCs w:val="24"/>
                                <w:lang w:val="en-GB"/>
                              </w:rPr>
                              <w:t xml:space="preserve">. </w:t>
                            </w:r>
                            <w:r w:rsidR="000C059F" w:rsidRPr="00CC1EC3">
                              <w:rPr>
                                <w:rFonts w:ascii="Arial" w:hAnsi="Arial" w:cs="Arial"/>
                                <w:b/>
                                <w:bCs/>
                                <w:sz w:val="24"/>
                                <w:szCs w:val="24"/>
                              </w:rPr>
                              <w:t xml:space="preserve">Structure of </w:t>
                            </w:r>
                            <w:r w:rsidR="000C059F">
                              <w:rPr>
                                <w:rFonts w:ascii="Arial" w:hAnsi="Arial" w:cs="Arial"/>
                                <w:b/>
                                <w:bCs/>
                                <w:sz w:val="24"/>
                                <w:szCs w:val="24"/>
                              </w:rPr>
                              <w:t>ex</w:t>
                            </w:r>
                            <w:r w:rsidR="000C059F" w:rsidRPr="00CC1EC3">
                              <w:rPr>
                                <w:rFonts w:ascii="Arial" w:hAnsi="Arial" w:cs="Arial"/>
                                <w:b/>
                                <w:bCs/>
                                <w:sz w:val="24"/>
                                <w:szCs w:val="24"/>
                              </w:rPr>
                              <w:t>ports of goods</w:t>
                            </w:r>
                          </w:p>
                          <w:p w14:paraId="2360A769" w14:textId="77777777" w:rsidR="000C059F" w:rsidRPr="00CC1EC3" w:rsidRDefault="000C059F" w:rsidP="000C059F">
                            <w:pPr>
                              <w:spacing w:before="40" w:after="40" w:line="288" w:lineRule="auto"/>
                              <w:jc w:val="center"/>
                              <w:rPr>
                                <w:rFonts w:ascii="Arial" w:hAnsi="Arial" w:cs="Arial"/>
                                <w:b/>
                                <w:bCs/>
                                <w:sz w:val="24"/>
                                <w:szCs w:val="24"/>
                              </w:rPr>
                            </w:pPr>
                            <w:r w:rsidRPr="00CC1EC3">
                              <w:rPr>
                                <w:rFonts w:ascii="Arial" w:hAnsi="Arial" w:cs="Arial"/>
                                <w:b/>
                                <w:bCs/>
                                <w:sz w:val="24"/>
                                <w:szCs w:val="24"/>
                              </w:rPr>
                              <w:t>in January 2022 by commodity group</w:t>
                            </w:r>
                          </w:p>
                          <w:p w14:paraId="6C07CE03" w14:textId="53A6ACE7" w:rsidR="0049016A" w:rsidRDefault="008A1920" w:rsidP="0049016A">
                            <w:pPr>
                              <w:spacing w:before="40" w:after="40" w:line="288" w:lineRule="auto"/>
                              <w:jc w:val="center"/>
                              <w:rPr>
                                <w:rFonts w:ascii="Arial" w:hAnsi="Arial" w:cs="Arial"/>
                                <w:b/>
                                <w:bCs/>
                                <w:sz w:val="24"/>
                                <w:szCs w:val="24"/>
                              </w:rPr>
                            </w:pPr>
                            <w:r>
                              <w:rPr>
                                <w:noProof/>
                              </w:rPr>
                              <w:drawing>
                                <wp:inline distT="0" distB="0" distL="0" distR="0" wp14:anchorId="635107F5" wp14:editId="74E7F2D2">
                                  <wp:extent cx="3878580" cy="2994660"/>
                                  <wp:effectExtent l="0" t="0" r="7620" b="0"/>
                                  <wp:docPr id="8" name="Picture 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7201" cy="3001316"/>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ED543C" id="_x0000_t202" coordsize="21600,21600" o:spt="202" path="m,l,21600r21600,l21600,xe">
                <v:stroke joinstyle="miter"/>
                <v:path gradientshapeok="t" o:connecttype="rect"/>
              </v:shapetype>
              <v:shape id="Text Box 2" o:spid="_x0000_s1026" type="#_x0000_t202" style="position:absolute;left:0;text-align:left;margin-left:2.55pt;margin-top:.9pt;width:308.4pt;height:24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" stroked="f">
                <v:textbox inset="1mm,1mm,1mm,1mm">
                  <w:txbxContent>
                    <w:p w14:paraId="650B1397" w14:textId="1A5F9CE4" w:rsidR="0049016A" w:rsidRDefault="00DB4C92" w:rsidP="0049016A">
                      <w:pPr>
                        <w:spacing w:before="40" w:after="40" w:line="288" w:lineRule="auto"/>
                        <w:jc w:val="center"/>
                        <w:rPr>
                          <w:rFonts w:ascii="Arial" w:hAnsi="Arial" w:cs="Arial"/>
                          <w:b/>
                          <w:bCs/>
                          <w:sz w:val="24"/>
                          <w:szCs w:val="24"/>
                        </w:rPr>
                      </w:pPr>
                      <w:r w:rsidRPr="00C16FE7">
                        <w:rPr>
                          <w:rFonts w:ascii="Arial" w:hAnsi="Arial" w:cs="Arial"/>
                          <w:b/>
                          <w:sz w:val="24"/>
                          <w:szCs w:val="24"/>
                          <w:lang w:val="nl-NL"/>
                        </w:rPr>
                        <w:t>Figure</w:t>
                      </w:r>
                      <w:r w:rsidR="0049016A">
                        <w:rPr>
                          <w:rFonts w:ascii="Arial" w:hAnsi="Arial" w:cs="Arial"/>
                          <w:b/>
                          <w:bCs/>
                          <w:sz w:val="24"/>
                          <w:szCs w:val="24"/>
                          <w:lang w:val="en-GB"/>
                        </w:rPr>
                        <w:t xml:space="preserve"> 1</w:t>
                      </w:r>
                      <w:r w:rsidR="008D32CB">
                        <w:rPr>
                          <w:rFonts w:ascii="Arial" w:hAnsi="Arial" w:cs="Arial"/>
                          <w:b/>
                          <w:bCs/>
                          <w:sz w:val="24"/>
                          <w:szCs w:val="24"/>
                          <w:lang w:val="en-GB"/>
                        </w:rPr>
                        <w:t>2</w:t>
                      </w:r>
                      <w:r w:rsidR="0049016A">
                        <w:rPr>
                          <w:rFonts w:ascii="Arial" w:hAnsi="Arial" w:cs="Arial"/>
                          <w:b/>
                          <w:bCs/>
                          <w:sz w:val="24"/>
                          <w:szCs w:val="24"/>
                          <w:lang w:val="en-GB"/>
                        </w:rPr>
                        <w:t xml:space="preserve">. </w:t>
                      </w:r>
                      <w:r w:rsidR="000C059F" w:rsidRPr="00CC1EC3">
                        <w:rPr>
                          <w:rFonts w:ascii="Arial" w:hAnsi="Arial" w:cs="Arial"/>
                          <w:b/>
                          <w:bCs/>
                          <w:sz w:val="24"/>
                          <w:szCs w:val="24"/>
                        </w:rPr>
                        <w:t xml:space="preserve">Structure of </w:t>
                      </w:r>
                      <w:r w:rsidR="000C059F">
                        <w:rPr>
                          <w:rFonts w:ascii="Arial" w:hAnsi="Arial" w:cs="Arial"/>
                          <w:b/>
                          <w:bCs/>
                          <w:sz w:val="24"/>
                          <w:szCs w:val="24"/>
                        </w:rPr>
                        <w:t>ex</w:t>
                      </w:r>
                      <w:r w:rsidR="000C059F" w:rsidRPr="00CC1EC3">
                        <w:rPr>
                          <w:rFonts w:ascii="Arial" w:hAnsi="Arial" w:cs="Arial"/>
                          <w:b/>
                          <w:bCs/>
                          <w:sz w:val="24"/>
                          <w:szCs w:val="24"/>
                        </w:rPr>
                        <w:t>ports of goods</w:t>
                      </w:r>
                    </w:p>
                    <w:p w14:paraId="2360A769" w14:textId="77777777" w:rsidR="000C059F" w:rsidRPr="00CC1EC3" w:rsidRDefault="000C059F" w:rsidP="000C059F">
                      <w:pPr>
                        <w:spacing w:before="40" w:after="40" w:line="288" w:lineRule="auto"/>
                        <w:jc w:val="center"/>
                        <w:rPr>
                          <w:rFonts w:ascii="Arial" w:hAnsi="Arial" w:cs="Arial"/>
                          <w:b/>
                          <w:bCs/>
                          <w:sz w:val="24"/>
                          <w:szCs w:val="24"/>
                        </w:rPr>
                      </w:pPr>
                      <w:r w:rsidRPr="00CC1EC3">
                        <w:rPr>
                          <w:rFonts w:ascii="Arial" w:hAnsi="Arial" w:cs="Arial"/>
                          <w:b/>
                          <w:bCs/>
                          <w:sz w:val="24"/>
                          <w:szCs w:val="24"/>
                        </w:rPr>
                        <w:t>in January 2022 by commodity group</w:t>
                      </w:r>
                    </w:p>
                    <w:p w14:paraId="6C07CE03" w14:textId="53A6ACE7" w:rsidR="0049016A" w:rsidRDefault="008A1920" w:rsidP="0049016A">
                      <w:pPr>
                        <w:spacing w:before="40" w:after="40" w:line="288" w:lineRule="auto"/>
                        <w:jc w:val="center"/>
                        <w:rPr>
                          <w:rFonts w:ascii="Arial" w:hAnsi="Arial" w:cs="Arial"/>
                          <w:b/>
                          <w:bCs/>
                          <w:sz w:val="24"/>
                          <w:szCs w:val="24"/>
                        </w:rPr>
                      </w:pPr>
                      <w:r>
                        <w:rPr>
                          <w:noProof/>
                        </w:rPr>
                        <w:drawing>
                          <wp:inline distT="0" distB="0" distL="0" distR="0" wp14:anchorId="635107F5" wp14:editId="74E7F2D2">
                            <wp:extent cx="3878580" cy="2994660"/>
                            <wp:effectExtent l="0" t="0" r="7620" b="0"/>
                            <wp:docPr id="8" name="Picture 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7201" cy="3001316"/>
                                    </a:xfrm>
                                    <a:prstGeom prst="rect">
                                      <a:avLst/>
                                    </a:prstGeom>
                                    <a:noFill/>
                                    <a:ln>
                                      <a:noFill/>
                                    </a:ln>
                                  </pic:spPr>
                                </pic:pic>
                              </a:graphicData>
                            </a:graphic>
                          </wp:inline>
                        </w:drawing>
                      </w:r>
                    </w:p>
                  </w:txbxContent>
                </v:textbox>
                <w10:wrap type="square"/>
              </v:shape>
            </w:pict>
          </mc:Fallback>
        </mc:AlternateContent>
      </w:r>
      <w:r w:rsidRPr="00292D2D">
        <w:rPr>
          <w:rFonts w:eastAsia="Batang"/>
          <w:bCs/>
          <w:i/>
          <w:spacing w:val="-6"/>
        </w:rPr>
        <w:t xml:space="preserve"> </w:t>
      </w:r>
      <w:r w:rsidR="00C638E1">
        <w:rPr>
          <w:rStyle w:val="Emphasis"/>
          <w:color w:val="0E101A"/>
        </w:rPr>
        <w:t>Regarding the structure of export commodity groups in January 2022, </w:t>
      </w:r>
      <w:r w:rsidR="00C638E1">
        <w:t>the group of processing industry accounted for 88.5%, down 1.5 percentage points over the same period last year; agricultural and forestry products accounted for 7.7%, up 0.7 percentage points; aquatic products accounted for 2.9%, up 0.8 percentage points; fuel and mineral products accounted for 0.9%, equaled to the same period last year.</w:t>
      </w:r>
    </w:p>
    <w:p w14:paraId="6C2B4952" w14:textId="77777777" w:rsidR="0001673E" w:rsidRPr="0049016A" w:rsidRDefault="0001673E" w:rsidP="0001673E">
      <w:pPr>
        <w:spacing w:before="40" w:after="40" w:line="288" w:lineRule="auto"/>
        <w:jc w:val="both"/>
        <w:rPr>
          <w:rStyle w:val="Strong"/>
          <w:i/>
          <w:iCs/>
          <w:sz w:val="18"/>
          <w:lang w:val="de-DE"/>
        </w:rPr>
      </w:pPr>
    </w:p>
    <w:p w14:paraId="73B6837D" w14:textId="77777777" w:rsidR="006A10FA" w:rsidRPr="00D64BE4" w:rsidRDefault="006A10FA" w:rsidP="006A10FA">
      <w:pPr>
        <w:tabs>
          <w:tab w:val="left" w:pos="900"/>
        </w:tabs>
        <w:spacing w:before="40" w:after="40" w:line="288" w:lineRule="auto"/>
        <w:ind w:firstLine="562"/>
        <w:jc w:val="both"/>
        <w:rPr>
          <w:b/>
          <w:bCs/>
          <w:i/>
          <w:iCs/>
        </w:rPr>
      </w:pPr>
      <w:r w:rsidRPr="00D64BE4">
        <w:rPr>
          <w:b/>
          <w:bCs/>
          <w:i/>
          <w:iCs/>
        </w:rPr>
        <w:t>Import of goods</w:t>
      </w:r>
    </w:p>
    <w:p w14:paraId="30DB90A4" w14:textId="77777777" w:rsidR="004471B0" w:rsidRPr="004471B0" w:rsidRDefault="004471B0" w:rsidP="004471B0">
      <w:pPr>
        <w:tabs>
          <w:tab w:val="left" w:pos="9475"/>
        </w:tabs>
        <w:spacing w:before="40" w:after="40" w:line="295" w:lineRule="auto"/>
        <w:ind w:right="6" w:firstLine="567"/>
        <w:jc w:val="both"/>
        <w:rPr>
          <w:bCs/>
          <w:lang w:val="de-DE"/>
        </w:rPr>
      </w:pPr>
      <w:r w:rsidRPr="004471B0">
        <w:rPr>
          <w:bCs/>
          <w:lang w:val="de-DE"/>
        </w:rPr>
        <w:t>Import turnover of goods in December 2021 reached 31.62 billion USD, 353 million USD lower than the estimated figure.</w:t>
      </w:r>
    </w:p>
    <w:p w14:paraId="7248BCBD" w14:textId="77777777" w:rsidR="004471B0" w:rsidRPr="004471B0" w:rsidRDefault="004471B0" w:rsidP="004471B0">
      <w:pPr>
        <w:tabs>
          <w:tab w:val="left" w:pos="9475"/>
        </w:tabs>
        <w:spacing w:before="40" w:after="40" w:line="295" w:lineRule="auto"/>
        <w:ind w:right="6" w:firstLine="567"/>
        <w:jc w:val="both"/>
        <w:rPr>
          <w:bCs/>
          <w:lang w:val="de-DE"/>
        </w:rPr>
      </w:pPr>
      <w:r w:rsidRPr="004471B0">
        <w:rPr>
          <w:bCs/>
          <w:lang w:val="de-DE"/>
        </w:rPr>
        <w:t xml:space="preserve">Import turnover of goods in January 2022 was estimated at 29.5 billion USD, down 6.7% over the previous month, of which the domestic economic sector gained 10 billion USD, down 4.3%; FDI sector reached 19.5 billion USD, down 7.9%. Compared to the same period last year, the import turnover of goods in January increased by 11.5%, of which the domestic economic sector increased by 12.8%; the foreign direct investment sector increased by 10.8%. </w:t>
      </w:r>
    </w:p>
    <w:p w14:paraId="5706747F" w14:textId="01C401BC" w:rsidR="0049016A" w:rsidRDefault="004471B0" w:rsidP="0001673E">
      <w:pPr>
        <w:tabs>
          <w:tab w:val="left" w:pos="9475"/>
        </w:tabs>
        <w:spacing w:before="40" w:after="40" w:line="295" w:lineRule="auto"/>
        <w:ind w:right="6" w:firstLine="567"/>
        <w:jc w:val="both"/>
        <w:rPr>
          <w:bCs/>
          <w:lang w:val="de-DE"/>
        </w:rPr>
      </w:pPr>
      <w:r w:rsidRPr="004471B0">
        <w:rPr>
          <w:bCs/>
          <w:lang w:val="de-DE"/>
        </w:rPr>
        <w:t>In January 2022, there were 4 items with an import turnover of over 1 billion USD, accounting for 46.8% of total import turnover.</w:t>
      </w:r>
    </w:p>
    <w:p w14:paraId="578331C2" w14:textId="5F18BC9D" w:rsidR="00927A13" w:rsidRDefault="00927A13" w:rsidP="0001673E">
      <w:pPr>
        <w:tabs>
          <w:tab w:val="left" w:pos="9475"/>
        </w:tabs>
        <w:spacing w:before="40" w:after="40" w:line="295" w:lineRule="auto"/>
        <w:ind w:right="6" w:firstLine="567"/>
        <w:jc w:val="both"/>
        <w:rPr>
          <w:bCs/>
          <w:lang w:val="de-DE"/>
        </w:rPr>
      </w:pPr>
    </w:p>
    <w:p w14:paraId="5308BB69" w14:textId="110A85F6" w:rsidR="00927A13" w:rsidRDefault="00927A13" w:rsidP="0001673E">
      <w:pPr>
        <w:tabs>
          <w:tab w:val="left" w:pos="9475"/>
        </w:tabs>
        <w:spacing w:before="40" w:after="40" w:line="295" w:lineRule="auto"/>
        <w:ind w:right="6" w:firstLine="567"/>
        <w:jc w:val="both"/>
        <w:rPr>
          <w:bCs/>
          <w:lang w:val="de-DE"/>
        </w:rPr>
      </w:pPr>
    </w:p>
    <w:p w14:paraId="5BC1E789" w14:textId="77777777" w:rsidR="00927A13" w:rsidRDefault="00927A13" w:rsidP="0001673E">
      <w:pPr>
        <w:tabs>
          <w:tab w:val="left" w:pos="9475"/>
        </w:tabs>
        <w:spacing w:before="40" w:after="40" w:line="295" w:lineRule="auto"/>
        <w:ind w:right="6" w:firstLine="567"/>
        <w:jc w:val="both"/>
        <w:rPr>
          <w:bCs/>
          <w:lang w:val="de-DE"/>
        </w:rPr>
      </w:pPr>
    </w:p>
    <w:p w14:paraId="622E6806" w14:textId="77777777" w:rsidR="0001673E" w:rsidRPr="00A4599A" w:rsidRDefault="0001673E" w:rsidP="0001673E">
      <w:pPr>
        <w:tabs>
          <w:tab w:val="left" w:pos="9475"/>
        </w:tabs>
        <w:spacing w:before="40" w:after="40" w:line="295" w:lineRule="auto"/>
        <w:ind w:right="6" w:firstLine="567"/>
        <w:jc w:val="both"/>
        <w:rPr>
          <w:rStyle w:val="Strong"/>
          <w:b w:val="0"/>
          <w:sz w:val="18"/>
          <w:lang w:val="de-DE"/>
        </w:rPr>
      </w:pPr>
    </w:p>
    <w:p w14:paraId="56F8C170" w14:textId="38DC6350" w:rsidR="00A4599A" w:rsidRPr="00A4599A" w:rsidRDefault="00D02E33" w:rsidP="0049016A">
      <w:pPr>
        <w:tabs>
          <w:tab w:val="left" w:pos="9475"/>
        </w:tabs>
        <w:spacing w:before="40" w:after="240" w:line="288" w:lineRule="auto"/>
        <w:ind w:right="6"/>
        <w:jc w:val="center"/>
        <w:rPr>
          <w:rFonts w:ascii="Arial" w:hAnsi="Arial" w:cs="Arial"/>
          <w:b/>
          <w:bCs/>
          <w:i/>
          <w:iCs/>
          <w:sz w:val="2"/>
          <w:szCs w:val="20"/>
        </w:rPr>
      </w:pPr>
      <w:r w:rsidRPr="00B72E99">
        <w:rPr>
          <w:rFonts w:ascii="Arial" w:hAnsi="Arial" w:cs="Arial"/>
          <w:b/>
          <w:spacing w:val="-2"/>
          <w:sz w:val="24"/>
          <w:szCs w:val="20"/>
          <w:lang w:val="pl-PL"/>
        </w:rPr>
        <w:lastRenderedPageBreak/>
        <w:t>Table</w:t>
      </w:r>
      <w:r>
        <w:rPr>
          <w:rFonts w:ascii="Arial" w:hAnsi="Arial" w:cs="Arial"/>
          <w:b/>
          <w:spacing w:val="-2"/>
          <w:sz w:val="24"/>
          <w:szCs w:val="20"/>
          <w:lang w:val="pl-PL"/>
        </w:rPr>
        <w:t xml:space="preserve"> 5</w:t>
      </w:r>
      <w:r w:rsidR="0049016A">
        <w:rPr>
          <w:rFonts w:ascii="Arial" w:hAnsi="Arial" w:cs="Arial"/>
          <w:b/>
          <w:spacing w:val="-2"/>
          <w:sz w:val="24"/>
          <w:szCs w:val="20"/>
          <w:lang w:val="pl-PL"/>
        </w:rPr>
        <w:t xml:space="preserve">. </w:t>
      </w:r>
      <w:r w:rsidR="005C26BA" w:rsidRPr="00B72E99">
        <w:rPr>
          <w:rFonts w:ascii="Arial" w:hAnsi="Arial" w:cs="Arial"/>
          <w:b/>
          <w:spacing w:val="-2"/>
          <w:sz w:val="24"/>
          <w:szCs w:val="20"/>
          <w:lang w:val="pl-PL"/>
        </w:rPr>
        <w:t>Value of some imported goods in January 2022</w:t>
      </w:r>
    </w:p>
    <w:tbl>
      <w:tblPr>
        <w:tblW w:w="9356" w:type="dxa"/>
        <w:jc w:val="center"/>
        <w:tblLook w:val="04A0" w:firstRow="1" w:lastRow="0" w:firstColumn="1" w:lastColumn="0" w:noHBand="0" w:noVBand="1"/>
      </w:tblPr>
      <w:tblGrid>
        <w:gridCol w:w="280"/>
        <w:gridCol w:w="4256"/>
        <w:gridCol w:w="1842"/>
        <w:gridCol w:w="2978"/>
      </w:tblGrid>
      <w:tr w:rsidR="00F659BB" w:rsidRPr="007F6A49" w14:paraId="51FD5FA5" w14:textId="77777777" w:rsidTr="003E0BA4">
        <w:trPr>
          <w:trHeight w:val="360"/>
          <w:jc w:val="center"/>
        </w:trPr>
        <w:tc>
          <w:tcPr>
            <w:tcW w:w="280" w:type="dxa"/>
            <w:tcBorders>
              <w:top w:val="single" w:sz="4" w:space="0" w:color="auto"/>
              <w:left w:val="nil"/>
              <w:bottom w:val="nil"/>
              <w:right w:val="nil"/>
            </w:tcBorders>
            <w:shd w:val="clear" w:color="auto" w:fill="auto"/>
            <w:noWrap/>
            <w:vAlign w:val="bottom"/>
            <w:hideMark/>
          </w:tcPr>
          <w:p w14:paraId="7DF44D7D" w14:textId="77777777" w:rsidR="00F659BB" w:rsidRPr="007F6A49" w:rsidRDefault="00F659BB" w:rsidP="00A916C3">
            <w:pPr>
              <w:rPr>
                <w:rFonts w:ascii="Arial" w:hAnsi="Arial" w:cs="Arial"/>
                <w:sz w:val="20"/>
                <w:szCs w:val="20"/>
              </w:rPr>
            </w:pPr>
            <w:r w:rsidRPr="007F6A49">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bottom"/>
            <w:hideMark/>
          </w:tcPr>
          <w:p w14:paraId="204DAF25" w14:textId="77777777" w:rsidR="00F659BB" w:rsidRPr="007F6A49" w:rsidRDefault="00F659BB" w:rsidP="00A916C3">
            <w:pPr>
              <w:jc w:val="center"/>
              <w:rPr>
                <w:rFonts w:ascii="Arial" w:hAnsi="Arial" w:cs="Arial"/>
                <w:sz w:val="20"/>
                <w:szCs w:val="20"/>
              </w:rPr>
            </w:pPr>
            <w:r w:rsidRPr="007F6A49">
              <w:rPr>
                <w:rFonts w:ascii="Arial" w:hAnsi="Arial" w:cs="Arial"/>
                <w:sz w:val="20"/>
                <w:szCs w:val="20"/>
              </w:rPr>
              <w:t> </w:t>
            </w:r>
          </w:p>
        </w:tc>
        <w:tc>
          <w:tcPr>
            <w:tcW w:w="1842" w:type="dxa"/>
            <w:tcBorders>
              <w:top w:val="single" w:sz="4" w:space="0" w:color="auto"/>
              <w:left w:val="nil"/>
            </w:tcBorders>
            <w:shd w:val="clear" w:color="auto" w:fill="auto"/>
            <w:vAlign w:val="center"/>
            <w:hideMark/>
          </w:tcPr>
          <w:p w14:paraId="5F44E64C"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sz w:val="20"/>
                <w:szCs w:val="20"/>
              </w:rPr>
              <w:t>Estimate</w:t>
            </w:r>
          </w:p>
        </w:tc>
        <w:tc>
          <w:tcPr>
            <w:tcW w:w="2978" w:type="dxa"/>
            <w:tcBorders>
              <w:top w:val="single" w:sz="4" w:space="0" w:color="auto"/>
            </w:tcBorders>
            <w:shd w:val="clear" w:color="auto" w:fill="auto"/>
            <w:vAlign w:val="center"/>
            <w:hideMark/>
          </w:tcPr>
          <w:p w14:paraId="7143D2DD"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sz w:val="20"/>
                <w:szCs w:val="20"/>
              </w:rPr>
              <w:t xml:space="preserve">Growth rate of </w:t>
            </w:r>
          </w:p>
        </w:tc>
      </w:tr>
      <w:tr w:rsidR="00F659BB" w:rsidRPr="007F6A49" w14:paraId="390DE824"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004B246C" w14:textId="77777777" w:rsidR="00F659BB" w:rsidRPr="007F6A49" w:rsidRDefault="00F659BB" w:rsidP="00A916C3">
            <w:pPr>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5DC0F0CA" w14:textId="77777777" w:rsidR="00F659BB" w:rsidRPr="007F6A49" w:rsidRDefault="00F659BB" w:rsidP="00A916C3">
            <w:pPr>
              <w:rPr>
                <w:rFonts w:ascii="Arial" w:hAnsi="Arial" w:cs="Arial"/>
                <w:sz w:val="20"/>
                <w:szCs w:val="20"/>
              </w:rPr>
            </w:pPr>
          </w:p>
        </w:tc>
        <w:tc>
          <w:tcPr>
            <w:tcW w:w="1842" w:type="dxa"/>
            <w:tcBorders>
              <w:top w:val="nil"/>
              <w:left w:val="nil"/>
            </w:tcBorders>
            <w:shd w:val="clear" w:color="auto" w:fill="auto"/>
            <w:vAlign w:val="center"/>
            <w:hideMark/>
          </w:tcPr>
          <w:p w14:paraId="4DE26002"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sz w:val="20"/>
                <w:szCs w:val="20"/>
              </w:rPr>
              <w:t>January</w:t>
            </w:r>
            <w:r>
              <w:rPr>
                <w:rFonts w:ascii="Arial" w:hAnsi="Arial" w:cs="Arial"/>
                <w:sz w:val="20"/>
                <w:szCs w:val="20"/>
              </w:rPr>
              <w:t xml:space="preserve"> 2022</w:t>
            </w:r>
          </w:p>
        </w:tc>
        <w:tc>
          <w:tcPr>
            <w:tcW w:w="2978" w:type="dxa"/>
            <w:tcBorders>
              <w:top w:val="nil"/>
            </w:tcBorders>
            <w:shd w:val="clear" w:color="auto" w:fill="auto"/>
            <w:vAlign w:val="center"/>
            <w:hideMark/>
          </w:tcPr>
          <w:p w14:paraId="008A00CD"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sz w:val="20"/>
                <w:szCs w:val="20"/>
              </w:rPr>
              <w:t>January 2022 compare to</w:t>
            </w:r>
          </w:p>
          <w:p w14:paraId="494D644E" w14:textId="77777777" w:rsidR="00F659BB" w:rsidRPr="007F6A49" w:rsidRDefault="00F659BB" w:rsidP="00A916C3">
            <w:pPr>
              <w:spacing w:before="60" w:after="60"/>
              <w:jc w:val="center"/>
              <w:rPr>
                <w:rFonts w:ascii="Arial" w:hAnsi="Arial" w:cs="Arial"/>
                <w:sz w:val="20"/>
                <w:szCs w:val="20"/>
              </w:rPr>
            </w:pPr>
          </w:p>
        </w:tc>
      </w:tr>
      <w:tr w:rsidR="00F659BB" w:rsidRPr="007F6A49" w14:paraId="61332AAD"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658F9048" w14:textId="77777777" w:rsidR="00F659BB" w:rsidRPr="007F6A49" w:rsidRDefault="00F659BB" w:rsidP="00A916C3">
            <w:pPr>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4F9F06E0" w14:textId="77777777" w:rsidR="00F659BB" w:rsidRPr="007F6A49" w:rsidRDefault="00F659BB" w:rsidP="00A916C3">
            <w:pPr>
              <w:rPr>
                <w:rFonts w:ascii="Arial" w:hAnsi="Arial" w:cs="Arial"/>
                <w:sz w:val="20"/>
                <w:szCs w:val="20"/>
              </w:rPr>
            </w:pPr>
          </w:p>
        </w:tc>
        <w:tc>
          <w:tcPr>
            <w:tcW w:w="1842" w:type="dxa"/>
            <w:tcBorders>
              <w:top w:val="nil"/>
              <w:left w:val="nil"/>
              <w:bottom w:val="single" w:sz="4" w:space="0" w:color="auto"/>
            </w:tcBorders>
            <w:shd w:val="clear" w:color="auto" w:fill="auto"/>
            <w:vAlign w:val="center"/>
            <w:hideMark/>
          </w:tcPr>
          <w:p w14:paraId="22D7AEB8"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47569F89" w14:textId="77777777" w:rsidR="00F659BB" w:rsidRPr="007F6A49" w:rsidRDefault="00F659BB" w:rsidP="00A916C3">
            <w:pPr>
              <w:spacing w:before="60" w:after="60"/>
              <w:jc w:val="center"/>
              <w:rPr>
                <w:rFonts w:ascii="Arial" w:hAnsi="Arial" w:cs="Arial"/>
                <w:sz w:val="20"/>
                <w:szCs w:val="20"/>
              </w:rPr>
            </w:pPr>
            <w:r w:rsidRPr="007F6A49">
              <w:rPr>
                <w:rFonts w:ascii="Arial" w:hAnsi="Arial" w:cs="Arial"/>
                <w:sz w:val="20"/>
                <w:szCs w:val="20"/>
              </w:rPr>
              <w:t>the same period last year (%)</w:t>
            </w:r>
          </w:p>
        </w:tc>
      </w:tr>
      <w:tr w:rsidR="00F659BB" w:rsidRPr="007F6A49" w14:paraId="526D0D25"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02F91BDF" w14:textId="77777777" w:rsidR="00F659BB" w:rsidRPr="007F6A49" w:rsidRDefault="00F659BB" w:rsidP="00A916C3">
            <w:pPr>
              <w:jc w:val="center"/>
              <w:rPr>
                <w:rFonts w:ascii="Arial" w:hAnsi="Arial" w:cs="Arial"/>
                <w:sz w:val="20"/>
                <w:szCs w:val="20"/>
              </w:rPr>
            </w:pPr>
          </w:p>
        </w:tc>
        <w:tc>
          <w:tcPr>
            <w:tcW w:w="4256" w:type="dxa"/>
            <w:tcBorders>
              <w:top w:val="nil"/>
              <w:left w:val="nil"/>
              <w:bottom w:val="nil"/>
              <w:right w:val="nil"/>
            </w:tcBorders>
            <w:shd w:val="clear" w:color="auto" w:fill="auto"/>
            <w:vAlign w:val="bottom"/>
            <w:hideMark/>
          </w:tcPr>
          <w:p w14:paraId="29AEF881" w14:textId="77777777" w:rsidR="00F659BB" w:rsidRPr="007F6A49" w:rsidRDefault="00F659BB" w:rsidP="00A916C3">
            <w:pPr>
              <w:rPr>
                <w:rFonts w:ascii="Arial" w:hAnsi="Arial" w:cs="Arial"/>
                <w:sz w:val="20"/>
                <w:szCs w:val="20"/>
              </w:rPr>
            </w:pPr>
          </w:p>
        </w:tc>
        <w:tc>
          <w:tcPr>
            <w:tcW w:w="1842" w:type="dxa"/>
            <w:tcBorders>
              <w:top w:val="single" w:sz="4" w:space="0" w:color="auto"/>
              <w:left w:val="nil"/>
              <w:bottom w:val="nil"/>
              <w:right w:val="nil"/>
            </w:tcBorders>
            <w:shd w:val="clear" w:color="auto" w:fill="auto"/>
            <w:noWrap/>
            <w:vAlign w:val="bottom"/>
            <w:hideMark/>
          </w:tcPr>
          <w:p w14:paraId="38803313" w14:textId="77777777" w:rsidR="00F659BB" w:rsidRPr="007F6A49" w:rsidRDefault="00F659BB" w:rsidP="00A916C3">
            <w:pPr>
              <w:rPr>
                <w:rFonts w:ascii="Arial" w:hAnsi="Arial" w:cs="Arial"/>
                <w:sz w:val="20"/>
                <w:szCs w:val="20"/>
              </w:rPr>
            </w:pPr>
          </w:p>
        </w:tc>
        <w:tc>
          <w:tcPr>
            <w:tcW w:w="2978" w:type="dxa"/>
            <w:tcBorders>
              <w:top w:val="single" w:sz="4" w:space="0" w:color="auto"/>
              <w:left w:val="nil"/>
              <w:bottom w:val="nil"/>
              <w:right w:val="nil"/>
            </w:tcBorders>
            <w:shd w:val="clear" w:color="auto" w:fill="auto"/>
            <w:noWrap/>
            <w:vAlign w:val="bottom"/>
            <w:hideMark/>
          </w:tcPr>
          <w:p w14:paraId="293431F3" w14:textId="77777777" w:rsidR="00F659BB" w:rsidRPr="007F6A49" w:rsidRDefault="00F659BB" w:rsidP="00A916C3">
            <w:pPr>
              <w:rPr>
                <w:rFonts w:ascii="Arial" w:hAnsi="Arial" w:cs="Arial"/>
                <w:sz w:val="20"/>
                <w:szCs w:val="20"/>
              </w:rPr>
            </w:pPr>
          </w:p>
        </w:tc>
      </w:tr>
      <w:tr w:rsidR="00F659BB" w:rsidRPr="007F6A49" w14:paraId="70B5C3A1" w14:textId="77777777" w:rsidTr="003E0BA4">
        <w:trPr>
          <w:trHeight w:val="360"/>
          <w:jc w:val="center"/>
        </w:trPr>
        <w:tc>
          <w:tcPr>
            <w:tcW w:w="4536" w:type="dxa"/>
            <w:gridSpan w:val="2"/>
            <w:tcBorders>
              <w:top w:val="nil"/>
              <w:left w:val="nil"/>
              <w:bottom w:val="nil"/>
              <w:right w:val="nil"/>
            </w:tcBorders>
            <w:shd w:val="clear" w:color="auto" w:fill="auto"/>
            <w:noWrap/>
            <w:vAlign w:val="bottom"/>
            <w:hideMark/>
          </w:tcPr>
          <w:p w14:paraId="3C9E246D" w14:textId="77777777" w:rsidR="00F659BB" w:rsidRPr="007F6A49" w:rsidRDefault="00F659BB" w:rsidP="00A916C3">
            <w:pPr>
              <w:rPr>
                <w:rFonts w:ascii="Arial" w:hAnsi="Arial" w:cs="Arial"/>
                <w:b/>
                <w:bCs/>
                <w:color w:val="000000"/>
                <w:sz w:val="20"/>
                <w:szCs w:val="20"/>
              </w:rPr>
            </w:pPr>
            <w:r w:rsidRPr="007F6A49">
              <w:rPr>
                <w:rFonts w:ascii="Arial" w:hAnsi="Arial" w:cs="Arial"/>
                <w:b/>
                <w:bCs/>
                <w:sz w:val="20"/>
                <w:szCs w:val="20"/>
              </w:rPr>
              <w:t>Items with a value of over 1 billion USD</w:t>
            </w:r>
          </w:p>
        </w:tc>
        <w:tc>
          <w:tcPr>
            <w:tcW w:w="1842" w:type="dxa"/>
            <w:tcBorders>
              <w:top w:val="nil"/>
              <w:left w:val="nil"/>
              <w:bottom w:val="nil"/>
              <w:right w:val="nil"/>
            </w:tcBorders>
            <w:shd w:val="clear" w:color="auto" w:fill="auto"/>
            <w:noWrap/>
            <w:vAlign w:val="bottom"/>
            <w:hideMark/>
          </w:tcPr>
          <w:p w14:paraId="19E8373A" w14:textId="77777777" w:rsidR="00F659BB" w:rsidRPr="007F6A49" w:rsidRDefault="00F659BB" w:rsidP="00A916C3">
            <w:pPr>
              <w:rPr>
                <w:rFonts w:ascii="Arial" w:hAnsi="Arial" w:cs="Arial"/>
                <w:sz w:val="20"/>
                <w:szCs w:val="20"/>
              </w:rPr>
            </w:pPr>
          </w:p>
        </w:tc>
        <w:tc>
          <w:tcPr>
            <w:tcW w:w="2978" w:type="dxa"/>
            <w:tcBorders>
              <w:top w:val="nil"/>
              <w:left w:val="nil"/>
              <w:bottom w:val="nil"/>
              <w:right w:val="nil"/>
            </w:tcBorders>
            <w:shd w:val="clear" w:color="auto" w:fill="auto"/>
            <w:noWrap/>
            <w:vAlign w:val="bottom"/>
            <w:hideMark/>
          </w:tcPr>
          <w:p w14:paraId="7C9B6670" w14:textId="77777777" w:rsidR="00F659BB" w:rsidRPr="007F6A49" w:rsidRDefault="00F659BB" w:rsidP="00A916C3">
            <w:pPr>
              <w:rPr>
                <w:rFonts w:ascii="Arial" w:hAnsi="Arial" w:cs="Arial"/>
                <w:sz w:val="20"/>
                <w:szCs w:val="20"/>
              </w:rPr>
            </w:pPr>
          </w:p>
        </w:tc>
      </w:tr>
      <w:tr w:rsidR="00F659BB" w:rsidRPr="007F6A49" w14:paraId="14602A25"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081EFBE4" w14:textId="77777777" w:rsidR="00F659BB" w:rsidRPr="007F6A49" w:rsidRDefault="00F659BB" w:rsidP="00A916C3">
            <w:pPr>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27B20BCF" w14:textId="62615F5E" w:rsidR="00F659BB" w:rsidRPr="007F6A49" w:rsidRDefault="00F659BB" w:rsidP="00A916C3">
            <w:pPr>
              <w:rPr>
                <w:rFonts w:ascii="Arial" w:hAnsi="Arial" w:cs="Arial"/>
                <w:sz w:val="20"/>
                <w:szCs w:val="20"/>
              </w:rPr>
            </w:pPr>
            <w:r w:rsidRPr="00ED5531">
              <w:rPr>
                <w:rFonts w:ascii="Arial" w:hAnsi="Arial" w:cs="Arial"/>
                <w:sz w:val="18"/>
                <w:szCs w:val="18"/>
              </w:rPr>
              <w:t>Electronic devices</w:t>
            </w:r>
            <w:r>
              <w:rPr>
                <w:rFonts w:ascii="Arial" w:hAnsi="Arial" w:cs="Arial"/>
                <w:sz w:val="18"/>
                <w:szCs w:val="18"/>
              </w:rPr>
              <w:t>,</w:t>
            </w:r>
            <w:r w:rsidRPr="00ED5531">
              <w:rPr>
                <w:rFonts w:ascii="Arial" w:hAnsi="Arial" w:cs="Arial"/>
                <w:sz w:val="18"/>
                <w:szCs w:val="18"/>
              </w:rPr>
              <w:t xml:space="preserve"> computers</w:t>
            </w:r>
            <w:r w:rsidR="004A74F9">
              <w:rPr>
                <w:rFonts w:ascii="Arial" w:hAnsi="Arial" w:cs="Arial"/>
                <w:sz w:val="18"/>
                <w:szCs w:val="18"/>
              </w:rPr>
              <w:t>,</w:t>
            </w:r>
            <w:r w:rsidRPr="00ED5531">
              <w:rPr>
                <w:rFonts w:ascii="Arial" w:hAnsi="Arial" w:cs="Arial"/>
                <w:sz w:val="18"/>
                <w:szCs w:val="18"/>
              </w:rPr>
              <w:t xml:space="preserve"> and their parts</w:t>
            </w:r>
          </w:p>
        </w:tc>
        <w:tc>
          <w:tcPr>
            <w:tcW w:w="1842" w:type="dxa"/>
            <w:tcBorders>
              <w:top w:val="nil"/>
              <w:left w:val="nil"/>
              <w:bottom w:val="nil"/>
              <w:right w:val="nil"/>
            </w:tcBorders>
            <w:shd w:val="clear" w:color="auto" w:fill="auto"/>
            <w:noWrap/>
            <w:vAlign w:val="bottom"/>
            <w:hideMark/>
          </w:tcPr>
          <w:p w14:paraId="747BBD97" w14:textId="77777777" w:rsidR="00F659BB" w:rsidRPr="00CC1EC3" w:rsidRDefault="00F659BB" w:rsidP="00A916C3">
            <w:pPr>
              <w:ind w:right="458"/>
              <w:jc w:val="right"/>
              <w:rPr>
                <w:rFonts w:ascii="Arial" w:hAnsi="Arial" w:cs="Arial"/>
                <w:sz w:val="20"/>
                <w:szCs w:val="20"/>
              </w:rPr>
            </w:pPr>
            <w:r>
              <w:rPr>
                <w:rFonts w:ascii="Arial" w:hAnsi="Arial" w:cs="Arial"/>
                <w:sz w:val="20"/>
                <w:szCs w:val="20"/>
              </w:rPr>
              <w:t>6,800</w:t>
            </w:r>
          </w:p>
        </w:tc>
        <w:tc>
          <w:tcPr>
            <w:tcW w:w="2978" w:type="dxa"/>
            <w:tcBorders>
              <w:top w:val="nil"/>
              <w:left w:val="nil"/>
              <w:bottom w:val="nil"/>
              <w:right w:val="nil"/>
            </w:tcBorders>
            <w:shd w:val="clear" w:color="auto" w:fill="auto"/>
            <w:noWrap/>
            <w:vAlign w:val="bottom"/>
            <w:hideMark/>
          </w:tcPr>
          <w:p w14:paraId="4A254F4D" w14:textId="77777777" w:rsidR="00F659BB" w:rsidRPr="00CC1EC3" w:rsidRDefault="00F659BB" w:rsidP="00A916C3">
            <w:pPr>
              <w:ind w:right="887"/>
              <w:jc w:val="right"/>
              <w:rPr>
                <w:rFonts w:ascii="Arial" w:hAnsi="Arial" w:cs="Arial"/>
                <w:sz w:val="20"/>
                <w:szCs w:val="20"/>
              </w:rPr>
            </w:pPr>
            <w:r>
              <w:rPr>
                <w:rFonts w:ascii="Arial" w:hAnsi="Arial" w:cs="Arial"/>
                <w:sz w:val="20"/>
                <w:szCs w:val="20"/>
              </w:rPr>
              <w:t>20.2</w:t>
            </w:r>
          </w:p>
        </w:tc>
      </w:tr>
      <w:tr w:rsidR="00F659BB" w:rsidRPr="007F6A49" w14:paraId="1387012C"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483D99DE" w14:textId="77777777" w:rsidR="00F659BB" w:rsidRPr="007F6A49" w:rsidRDefault="00F659BB" w:rsidP="00A916C3">
            <w:pPr>
              <w:jc w:val="right"/>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7E44BDF9" w14:textId="77777777" w:rsidR="00F659BB" w:rsidRPr="007F6A49" w:rsidRDefault="00F659BB" w:rsidP="00A916C3">
            <w:pPr>
              <w:rPr>
                <w:rFonts w:ascii="Arial" w:hAnsi="Arial" w:cs="Arial"/>
                <w:sz w:val="20"/>
                <w:szCs w:val="20"/>
              </w:rPr>
            </w:pPr>
            <w:r>
              <w:rPr>
                <w:rFonts w:ascii="Arial" w:hAnsi="Arial" w:cs="Arial"/>
                <w:sz w:val="18"/>
                <w:szCs w:val="18"/>
              </w:rPr>
              <w:t>Other m</w:t>
            </w:r>
            <w:r w:rsidRPr="00ED5531">
              <w:rPr>
                <w:rFonts w:ascii="Arial" w:hAnsi="Arial" w:cs="Arial"/>
                <w:sz w:val="18"/>
                <w:szCs w:val="18"/>
              </w:rPr>
              <w:t>achinery</w:t>
            </w:r>
            <w:r>
              <w:rPr>
                <w:rFonts w:ascii="Arial" w:hAnsi="Arial" w:cs="Arial"/>
                <w:sz w:val="18"/>
                <w:szCs w:val="18"/>
              </w:rPr>
              <w:t>,</w:t>
            </w:r>
            <w:r w:rsidRPr="00ED5531">
              <w:rPr>
                <w:rFonts w:ascii="Arial" w:hAnsi="Arial" w:cs="Arial"/>
                <w:sz w:val="18"/>
                <w:szCs w:val="18"/>
              </w:rPr>
              <w:t xml:space="preserve"> Instrument</w:t>
            </w:r>
            <w:r>
              <w:rPr>
                <w:rFonts w:ascii="Arial" w:hAnsi="Arial" w:cs="Arial"/>
                <w:sz w:val="18"/>
                <w:szCs w:val="18"/>
              </w:rPr>
              <w:t>,</w:t>
            </w:r>
            <w:r w:rsidRPr="00ED5531">
              <w:rPr>
                <w:rFonts w:ascii="Arial" w:hAnsi="Arial" w:cs="Arial"/>
                <w:sz w:val="18"/>
                <w:szCs w:val="18"/>
              </w:rPr>
              <w:t xml:space="preserve"> accessory</w:t>
            </w:r>
          </w:p>
        </w:tc>
        <w:tc>
          <w:tcPr>
            <w:tcW w:w="1842" w:type="dxa"/>
            <w:tcBorders>
              <w:top w:val="nil"/>
              <w:left w:val="nil"/>
              <w:bottom w:val="nil"/>
              <w:right w:val="nil"/>
            </w:tcBorders>
            <w:shd w:val="clear" w:color="auto" w:fill="auto"/>
            <w:noWrap/>
            <w:vAlign w:val="bottom"/>
            <w:hideMark/>
          </w:tcPr>
          <w:p w14:paraId="2E3901FA" w14:textId="77777777" w:rsidR="00F659BB" w:rsidRPr="007F6A49" w:rsidRDefault="00F659BB" w:rsidP="00A916C3">
            <w:pPr>
              <w:ind w:right="458"/>
              <w:jc w:val="right"/>
              <w:rPr>
                <w:rFonts w:ascii="Arial" w:hAnsi="Arial" w:cs="Arial"/>
                <w:sz w:val="20"/>
                <w:szCs w:val="20"/>
              </w:rPr>
            </w:pPr>
            <w:r w:rsidRPr="007F6A49">
              <w:rPr>
                <w:rFonts w:ascii="Arial" w:hAnsi="Arial" w:cs="Arial"/>
                <w:sz w:val="20"/>
                <w:szCs w:val="20"/>
              </w:rPr>
              <w:t>3</w:t>
            </w:r>
            <w:r>
              <w:rPr>
                <w:rFonts w:ascii="Arial" w:hAnsi="Arial" w:cs="Arial"/>
                <w:sz w:val="20"/>
                <w:szCs w:val="20"/>
              </w:rPr>
              <w:t>,8</w:t>
            </w:r>
            <w:r w:rsidRPr="007F6A49">
              <w:rPr>
                <w:rFonts w:ascii="Arial" w:hAnsi="Arial" w:cs="Arial"/>
                <w:sz w:val="20"/>
                <w:szCs w:val="20"/>
              </w:rPr>
              <w:t>00</w:t>
            </w:r>
          </w:p>
        </w:tc>
        <w:tc>
          <w:tcPr>
            <w:tcW w:w="2978" w:type="dxa"/>
            <w:tcBorders>
              <w:top w:val="nil"/>
              <w:left w:val="nil"/>
              <w:bottom w:val="nil"/>
              <w:right w:val="nil"/>
            </w:tcBorders>
            <w:shd w:val="clear" w:color="auto" w:fill="auto"/>
            <w:noWrap/>
            <w:vAlign w:val="bottom"/>
            <w:hideMark/>
          </w:tcPr>
          <w:p w14:paraId="5C0DABDC" w14:textId="77777777" w:rsidR="00F659BB" w:rsidRPr="007F6A49" w:rsidRDefault="00F659BB" w:rsidP="00A916C3">
            <w:pPr>
              <w:ind w:right="887"/>
              <w:jc w:val="right"/>
              <w:rPr>
                <w:rFonts w:ascii="Arial" w:hAnsi="Arial" w:cs="Arial"/>
                <w:sz w:val="20"/>
                <w:szCs w:val="20"/>
              </w:rPr>
            </w:pPr>
            <w:r w:rsidRPr="007F6A49">
              <w:rPr>
                <w:rFonts w:ascii="Arial" w:hAnsi="Arial" w:cs="Arial"/>
                <w:sz w:val="20"/>
                <w:szCs w:val="20"/>
              </w:rPr>
              <w:t>-</w:t>
            </w:r>
            <w:r>
              <w:rPr>
                <w:rFonts w:ascii="Arial" w:hAnsi="Arial" w:cs="Arial"/>
                <w:sz w:val="20"/>
                <w:szCs w:val="20"/>
              </w:rPr>
              <w:t>2.8</w:t>
            </w:r>
          </w:p>
        </w:tc>
      </w:tr>
      <w:tr w:rsidR="00F659BB" w:rsidRPr="007F6A49" w14:paraId="211D4A0B" w14:textId="77777777" w:rsidTr="003E0BA4">
        <w:trPr>
          <w:trHeight w:val="360"/>
          <w:jc w:val="center"/>
        </w:trPr>
        <w:tc>
          <w:tcPr>
            <w:tcW w:w="280" w:type="dxa"/>
            <w:tcBorders>
              <w:top w:val="nil"/>
              <w:left w:val="nil"/>
              <w:bottom w:val="nil"/>
              <w:right w:val="nil"/>
            </w:tcBorders>
            <w:shd w:val="clear" w:color="auto" w:fill="auto"/>
            <w:noWrap/>
            <w:vAlign w:val="bottom"/>
            <w:hideMark/>
          </w:tcPr>
          <w:p w14:paraId="3D44BE31" w14:textId="77777777" w:rsidR="00F659BB" w:rsidRPr="007F6A49" w:rsidRDefault="00F659BB" w:rsidP="00A916C3">
            <w:pPr>
              <w:rPr>
                <w:rFonts w:ascii="Arial" w:hAnsi="Arial" w:cs="Arial"/>
                <w:sz w:val="20"/>
                <w:szCs w:val="20"/>
              </w:rPr>
            </w:pPr>
          </w:p>
        </w:tc>
        <w:tc>
          <w:tcPr>
            <w:tcW w:w="4256" w:type="dxa"/>
            <w:tcBorders>
              <w:top w:val="nil"/>
              <w:left w:val="nil"/>
              <w:right w:val="nil"/>
            </w:tcBorders>
            <w:shd w:val="clear" w:color="auto" w:fill="auto"/>
            <w:noWrap/>
            <w:vAlign w:val="bottom"/>
            <w:hideMark/>
          </w:tcPr>
          <w:p w14:paraId="1141230A" w14:textId="7BF54B21" w:rsidR="00F659BB" w:rsidRPr="007F6A49" w:rsidRDefault="00F659BB" w:rsidP="00A916C3">
            <w:pPr>
              <w:rPr>
                <w:rFonts w:ascii="Arial" w:hAnsi="Arial" w:cs="Arial"/>
                <w:sz w:val="20"/>
                <w:szCs w:val="20"/>
              </w:rPr>
            </w:pPr>
            <w:r w:rsidRPr="00ED5531">
              <w:rPr>
                <w:rFonts w:ascii="Arial" w:hAnsi="Arial" w:cs="Arial"/>
                <w:sz w:val="18"/>
                <w:szCs w:val="18"/>
              </w:rPr>
              <w:t xml:space="preserve">Phones all of </w:t>
            </w:r>
            <w:r w:rsidR="004A74F9">
              <w:rPr>
                <w:rFonts w:ascii="Arial" w:hAnsi="Arial" w:cs="Arial"/>
                <w:sz w:val="18"/>
                <w:szCs w:val="18"/>
              </w:rPr>
              <w:t xml:space="preserve">the </w:t>
            </w:r>
            <w:r w:rsidRPr="00ED5531">
              <w:rPr>
                <w:rFonts w:ascii="Arial" w:hAnsi="Arial" w:cs="Arial"/>
                <w:sz w:val="18"/>
                <w:szCs w:val="18"/>
              </w:rPr>
              <w:t>kinds and their parts</w:t>
            </w:r>
          </w:p>
        </w:tc>
        <w:tc>
          <w:tcPr>
            <w:tcW w:w="1842" w:type="dxa"/>
            <w:tcBorders>
              <w:top w:val="nil"/>
              <w:left w:val="nil"/>
              <w:right w:val="nil"/>
            </w:tcBorders>
            <w:shd w:val="clear" w:color="auto" w:fill="auto"/>
            <w:noWrap/>
            <w:vAlign w:val="bottom"/>
            <w:hideMark/>
          </w:tcPr>
          <w:p w14:paraId="0AE9E3D1" w14:textId="77777777" w:rsidR="00F659BB" w:rsidRPr="007F6A49" w:rsidRDefault="00F659BB" w:rsidP="00A916C3">
            <w:pPr>
              <w:ind w:right="458"/>
              <w:jc w:val="right"/>
              <w:rPr>
                <w:rFonts w:ascii="Arial" w:hAnsi="Arial" w:cs="Arial"/>
                <w:sz w:val="20"/>
                <w:szCs w:val="20"/>
              </w:rPr>
            </w:pPr>
            <w:r>
              <w:rPr>
                <w:rFonts w:ascii="Arial" w:hAnsi="Arial" w:cs="Arial"/>
                <w:sz w:val="20"/>
                <w:szCs w:val="20"/>
              </w:rPr>
              <w:t>2,0</w:t>
            </w:r>
            <w:r w:rsidRPr="007F6A49">
              <w:rPr>
                <w:rFonts w:ascii="Arial" w:hAnsi="Arial" w:cs="Arial"/>
                <w:sz w:val="20"/>
                <w:szCs w:val="20"/>
              </w:rPr>
              <w:t>00</w:t>
            </w:r>
          </w:p>
        </w:tc>
        <w:tc>
          <w:tcPr>
            <w:tcW w:w="2978" w:type="dxa"/>
            <w:tcBorders>
              <w:top w:val="nil"/>
              <w:left w:val="nil"/>
              <w:right w:val="nil"/>
            </w:tcBorders>
            <w:shd w:val="clear" w:color="auto" w:fill="auto"/>
            <w:noWrap/>
            <w:vAlign w:val="bottom"/>
            <w:hideMark/>
          </w:tcPr>
          <w:p w14:paraId="49D590B5" w14:textId="77777777" w:rsidR="00F659BB" w:rsidRPr="007F6A49" w:rsidRDefault="00F659BB" w:rsidP="00A916C3">
            <w:pPr>
              <w:ind w:right="891"/>
              <w:jc w:val="right"/>
              <w:rPr>
                <w:rFonts w:ascii="Arial" w:hAnsi="Arial" w:cs="Arial"/>
                <w:sz w:val="20"/>
                <w:szCs w:val="20"/>
              </w:rPr>
            </w:pPr>
            <w:r>
              <w:rPr>
                <w:rFonts w:ascii="Arial" w:hAnsi="Arial" w:cs="Arial"/>
                <w:sz w:val="20"/>
                <w:szCs w:val="20"/>
              </w:rPr>
              <w:t>-12.6</w:t>
            </w:r>
          </w:p>
        </w:tc>
      </w:tr>
      <w:tr w:rsidR="00F659BB" w:rsidRPr="007F6A49" w14:paraId="458391EC" w14:textId="77777777" w:rsidTr="003E0BA4">
        <w:trPr>
          <w:trHeight w:val="469"/>
          <w:jc w:val="center"/>
        </w:trPr>
        <w:tc>
          <w:tcPr>
            <w:tcW w:w="280" w:type="dxa"/>
            <w:tcBorders>
              <w:top w:val="nil"/>
              <w:left w:val="nil"/>
              <w:bottom w:val="nil"/>
              <w:right w:val="nil"/>
            </w:tcBorders>
            <w:shd w:val="clear" w:color="auto" w:fill="auto"/>
            <w:noWrap/>
            <w:vAlign w:val="bottom"/>
            <w:hideMark/>
          </w:tcPr>
          <w:p w14:paraId="7BAE5D1C" w14:textId="77777777" w:rsidR="00F659BB" w:rsidRPr="007F6A49" w:rsidRDefault="00F659BB" w:rsidP="00A916C3">
            <w:pPr>
              <w:spacing w:after="120"/>
              <w:jc w:val="right"/>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bottom"/>
            <w:hideMark/>
          </w:tcPr>
          <w:p w14:paraId="6B37088F" w14:textId="77777777" w:rsidR="00F659BB" w:rsidRPr="007F6A49" w:rsidRDefault="00F659BB" w:rsidP="00A916C3">
            <w:pPr>
              <w:spacing w:after="120"/>
              <w:rPr>
                <w:rFonts w:ascii="Arial" w:hAnsi="Arial" w:cs="Arial"/>
                <w:sz w:val="20"/>
                <w:szCs w:val="20"/>
              </w:rPr>
            </w:pPr>
            <w:r w:rsidRPr="00ED5531">
              <w:rPr>
                <w:rFonts w:ascii="Arial" w:hAnsi="Arial" w:cs="Arial"/>
                <w:sz w:val="18"/>
                <w:szCs w:val="18"/>
              </w:rPr>
              <w:t>Fabrics</w:t>
            </w:r>
          </w:p>
        </w:tc>
        <w:tc>
          <w:tcPr>
            <w:tcW w:w="1842" w:type="dxa"/>
            <w:tcBorders>
              <w:top w:val="nil"/>
              <w:left w:val="nil"/>
              <w:bottom w:val="single" w:sz="4" w:space="0" w:color="auto"/>
              <w:right w:val="nil"/>
            </w:tcBorders>
            <w:shd w:val="clear" w:color="auto" w:fill="auto"/>
            <w:noWrap/>
            <w:vAlign w:val="bottom"/>
            <w:hideMark/>
          </w:tcPr>
          <w:p w14:paraId="39504CDC" w14:textId="77777777" w:rsidR="00F659BB" w:rsidRPr="007F6A49" w:rsidRDefault="00F659BB" w:rsidP="00A916C3">
            <w:pPr>
              <w:spacing w:after="120"/>
              <w:ind w:right="458"/>
              <w:jc w:val="right"/>
              <w:rPr>
                <w:rFonts w:ascii="Arial" w:hAnsi="Arial" w:cs="Arial"/>
                <w:sz w:val="20"/>
                <w:szCs w:val="20"/>
              </w:rPr>
            </w:pPr>
            <w:r>
              <w:rPr>
                <w:rFonts w:ascii="Arial" w:hAnsi="Arial" w:cs="Arial"/>
                <w:sz w:val="20"/>
                <w:szCs w:val="20"/>
              </w:rPr>
              <w:t>1,2</w:t>
            </w:r>
            <w:r w:rsidRPr="007F6A49">
              <w:rPr>
                <w:rFonts w:ascii="Arial" w:hAnsi="Arial" w:cs="Arial"/>
                <w:sz w:val="20"/>
                <w:szCs w:val="20"/>
              </w:rPr>
              <w:t>00</w:t>
            </w:r>
          </w:p>
        </w:tc>
        <w:tc>
          <w:tcPr>
            <w:tcW w:w="2978" w:type="dxa"/>
            <w:tcBorders>
              <w:top w:val="nil"/>
              <w:left w:val="nil"/>
              <w:bottom w:val="single" w:sz="4" w:space="0" w:color="auto"/>
              <w:right w:val="nil"/>
            </w:tcBorders>
            <w:shd w:val="clear" w:color="auto" w:fill="auto"/>
            <w:noWrap/>
            <w:vAlign w:val="bottom"/>
            <w:hideMark/>
          </w:tcPr>
          <w:p w14:paraId="58A177F3" w14:textId="77777777" w:rsidR="00F659BB" w:rsidRPr="00CC1EC3" w:rsidRDefault="00F659BB" w:rsidP="00A916C3">
            <w:pPr>
              <w:spacing w:after="120"/>
              <w:ind w:right="887"/>
              <w:jc w:val="right"/>
              <w:rPr>
                <w:rFonts w:ascii="Arial" w:hAnsi="Arial" w:cs="Arial"/>
                <w:sz w:val="20"/>
                <w:szCs w:val="20"/>
              </w:rPr>
            </w:pPr>
            <w:r>
              <w:rPr>
                <w:rFonts w:ascii="Arial" w:hAnsi="Arial" w:cs="Arial"/>
                <w:sz w:val="20"/>
                <w:szCs w:val="20"/>
              </w:rPr>
              <w:t>8.4</w:t>
            </w:r>
          </w:p>
        </w:tc>
      </w:tr>
    </w:tbl>
    <w:p w14:paraId="6C3C6940" w14:textId="77777777" w:rsidR="0049016A" w:rsidRDefault="0049016A" w:rsidP="0049016A">
      <w:pPr>
        <w:tabs>
          <w:tab w:val="left" w:pos="9475"/>
        </w:tabs>
        <w:spacing w:before="40" w:after="40" w:line="288" w:lineRule="auto"/>
        <w:ind w:right="6"/>
        <w:jc w:val="center"/>
        <w:rPr>
          <w:rFonts w:ascii="Arial" w:hAnsi="Arial" w:cs="Arial"/>
          <w:b/>
          <w:bCs/>
          <w:sz w:val="24"/>
          <w:szCs w:val="24"/>
          <w:lang w:val="de-DE"/>
        </w:rPr>
      </w:pPr>
    </w:p>
    <w:p w14:paraId="649EB7A8" w14:textId="77777777" w:rsidR="0049016A" w:rsidRDefault="0049016A" w:rsidP="0049016A">
      <w:pPr>
        <w:tabs>
          <w:tab w:val="num" w:pos="0"/>
          <w:tab w:val="left" w:pos="9475"/>
        </w:tabs>
        <w:spacing w:before="40"/>
        <w:ind w:right="187" w:firstLine="567"/>
        <w:jc w:val="right"/>
        <w:rPr>
          <w:rFonts w:ascii="Arial" w:hAnsi="Arial" w:cs="Arial"/>
          <w:b/>
          <w:bCs/>
          <w:i/>
          <w:iCs/>
          <w:sz w:val="2"/>
          <w:szCs w:val="20"/>
        </w:rPr>
      </w:pPr>
    </w:p>
    <w:p w14:paraId="37F8882A" w14:textId="77777777" w:rsidR="0049016A" w:rsidRDefault="00A4599A" w:rsidP="0049016A">
      <w:pPr>
        <w:tabs>
          <w:tab w:val="num" w:pos="0"/>
          <w:tab w:val="left" w:pos="9475"/>
        </w:tabs>
        <w:spacing w:before="40"/>
        <w:ind w:right="187" w:firstLine="567"/>
        <w:jc w:val="right"/>
        <w:rPr>
          <w:rFonts w:ascii="Arial" w:hAnsi="Arial" w:cs="Arial"/>
          <w:b/>
          <w:bCs/>
          <w:i/>
          <w:iCs/>
          <w:sz w:val="2"/>
          <w:szCs w:val="20"/>
        </w:rPr>
      </w:pPr>
      <w:r w:rsidRPr="00E35698">
        <w:rPr>
          <w:rFonts w:eastAsia="Batang"/>
          <w:i/>
          <w:iCs/>
          <w:noProof/>
          <w:spacing w:val="-2"/>
          <w:lang w:val="en-GB" w:eastAsia="en-GB"/>
        </w:rPr>
        <mc:AlternateContent>
          <mc:Choice Requires="wps">
            <w:drawing>
              <wp:anchor distT="0" distB="0" distL="114300" distR="114300" simplePos="0" relativeHeight="251662336" behindDoc="0" locked="0" layoutInCell="1" allowOverlap="1" wp14:anchorId="6A7EAC34" wp14:editId="18A13783">
                <wp:simplePos x="0" y="0"/>
                <wp:positionH relativeFrom="column">
                  <wp:posOffset>85725</wp:posOffset>
                </wp:positionH>
                <wp:positionV relativeFrom="paragraph">
                  <wp:posOffset>40005</wp:posOffset>
                </wp:positionV>
                <wp:extent cx="3476625" cy="3007995"/>
                <wp:effectExtent l="0" t="0" r="9525" b="190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007995"/>
                        </a:xfrm>
                        <a:prstGeom prst="rect">
                          <a:avLst/>
                        </a:prstGeom>
                        <a:solidFill>
                          <a:srgbClr val="FFFFFF"/>
                        </a:solidFill>
                        <a:ln w="9525">
                          <a:noFill/>
                          <a:miter lim="800000"/>
                          <a:headEnd/>
                          <a:tailEnd/>
                        </a:ln>
                      </wps:spPr>
                      <wps:txbx>
                        <w:txbxContent>
                          <w:p w14:paraId="30A50FBF" w14:textId="77777777" w:rsidR="007B0882" w:rsidRPr="00D51E06" w:rsidRDefault="00DB4C92" w:rsidP="007B0882">
                            <w:pPr>
                              <w:jc w:val="center"/>
                              <w:rPr>
                                <w:rFonts w:ascii="Arial" w:hAnsi="Arial" w:cs="Arial"/>
                                <w:b/>
                                <w:bCs/>
                                <w:sz w:val="24"/>
                                <w:szCs w:val="24"/>
                              </w:rPr>
                            </w:pPr>
                            <w:r w:rsidRPr="00C16FE7">
                              <w:rPr>
                                <w:rFonts w:ascii="Arial" w:hAnsi="Arial" w:cs="Arial"/>
                                <w:b/>
                                <w:sz w:val="24"/>
                                <w:szCs w:val="24"/>
                                <w:lang w:val="nl-NL"/>
                              </w:rPr>
                              <w:t>Figure</w:t>
                            </w:r>
                            <w:r w:rsidR="0049016A">
                              <w:rPr>
                                <w:rFonts w:ascii="Arial" w:hAnsi="Arial" w:cs="Arial"/>
                                <w:b/>
                                <w:bCs/>
                                <w:sz w:val="24"/>
                                <w:szCs w:val="24"/>
                                <w:lang w:val="en-GB"/>
                              </w:rPr>
                              <w:t xml:space="preserve"> 1</w:t>
                            </w:r>
                            <w:r w:rsidR="008D32CB">
                              <w:rPr>
                                <w:rFonts w:ascii="Arial" w:hAnsi="Arial" w:cs="Arial"/>
                                <w:b/>
                                <w:bCs/>
                                <w:sz w:val="24"/>
                                <w:szCs w:val="24"/>
                                <w:lang w:val="en-GB"/>
                              </w:rPr>
                              <w:t>3</w:t>
                            </w:r>
                            <w:r w:rsidR="0049016A">
                              <w:rPr>
                                <w:rFonts w:ascii="Arial" w:hAnsi="Arial" w:cs="Arial"/>
                                <w:b/>
                                <w:bCs/>
                                <w:sz w:val="24"/>
                                <w:szCs w:val="24"/>
                                <w:lang w:val="en-GB"/>
                              </w:rPr>
                              <w:t xml:space="preserve">. </w:t>
                            </w:r>
                            <w:r w:rsidR="007B0882" w:rsidRPr="00D51E06">
                              <w:rPr>
                                <w:rFonts w:ascii="Arial" w:hAnsi="Arial" w:cs="Arial"/>
                                <w:b/>
                                <w:bCs/>
                                <w:sz w:val="24"/>
                                <w:szCs w:val="24"/>
                              </w:rPr>
                              <w:t xml:space="preserve">Structure of </w:t>
                            </w:r>
                            <w:r w:rsidR="007B0882">
                              <w:rPr>
                                <w:rFonts w:ascii="Arial" w:hAnsi="Arial" w:cs="Arial"/>
                                <w:b/>
                                <w:bCs/>
                                <w:sz w:val="24"/>
                                <w:szCs w:val="24"/>
                              </w:rPr>
                              <w:t>im</w:t>
                            </w:r>
                            <w:r w:rsidR="007B0882" w:rsidRPr="00D51E06">
                              <w:rPr>
                                <w:rFonts w:ascii="Arial" w:hAnsi="Arial" w:cs="Arial"/>
                                <w:b/>
                                <w:bCs/>
                                <w:sz w:val="24"/>
                                <w:szCs w:val="24"/>
                              </w:rPr>
                              <w:t>ports of goods</w:t>
                            </w:r>
                          </w:p>
                          <w:p w14:paraId="4759D7EC" w14:textId="77777777" w:rsidR="007B0882" w:rsidRDefault="007B0882" w:rsidP="007B0882">
                            <w:pPr>
                              <w:spacing w:after="120"/>
                              <w:jc w:val="center"/>
                              <w:rPr>
                                <w:rFonts w:ascii="Arial" w:hAnsi="Arial" w:cs="Arial"/>
                                <w:b/>
                                <w:bCs/>
                                <w:sz w:val="24"/>
                                <w:szCs w:val="24"/>
                              </w:rPr>
                            </w:pPr>
                            <w:r>
                              <w:rPr>
                                <w:rFonts w:ascii="Arial" w:hAnsi="Arial" w:cs="Arial"/>
                                <w:b/>
                                <w:bCs/>
                                <w:sz w:val="24"/>
                                <w:szCs w:val="24"/>
                              </w:rPr>
                              <w:t>i</w:t>
                            </w:r>
                            <w:r w:rsidRPr="00D51E06">
                              <w:rPr>
                                <w:rFonts w:ascii="Arial" w:hAnsi="Arial" w:cs="Arial"/>
                                <w:b/>
                                <w:bCs/>
                                <w:sz w:val="24"/>
                                <w:szCs w:val="24"/>
                              </w:rPr>
                              <w:t xml:space="preserve">n </w:t>
                            </w:r>
                            <w:r>
                              <w:rPr>
                                <w:rFonts w:ascii="Arial" w:hAnsi="Arial" w:cs="Arial"/>
                                <w:b/>
                                <w:bCs/>
                                <w:sz w:val="24"/>
                                <w:szCs w:val="24"/>
                              </w:rPr>
                              <w:t xml:space="preserve">January </w:t>
                            </w:r>
                            <w:r w:rsidRPr="00D51E06">
                              <w:rPr>
                                <w:rFonts w:ascii="Arial" w:hAnsi="Arial" w:cs="Arial"/>
                                <w:b/>
                                <w:bCs/>
                                <w:sz w:val="24"/>
                                <w:szCs w:val="24"/>
                              </w:rPr>
                              <w:t>202</w:t>
                            </w:r>
                            <w:r>
                              <w:rPr>
                                <w:rFonts w:ascii="Arial" w:hAnsi="Arial" w:cs="Arial"/>
                                <w:b/>
                                <w:bCs/>
                                <w:sz w:val="24"/>
                                <w:szCs w:val="24"/>
                              </w:rPr>
                              <w:t>2</w:t>
                            </w:r>
                            <w:r w:rsidRPr="00D51E06">
                              <w:rPr>
                                <w:rFonts w:ascii="Arial" w:hAnsi="Arial" w:cs="Arial"/>
                                <w:b/>
                                <w:bCs/>
                                <w:sz w:val="24"/>
                                <w:szCs w:val="24"/>
                              </w:rPr>
                              <w:t xml:space="preserve"> by commodity group</w:t>
                            </w:r>
                          </w:p>
                          <w:p w14:paraId="7187DB40" w14:textId="0AE93840" w:rsidR="0049016A" w:rsidRPr="00B118BC" w:rsidRDefault="007364E1" w:rsidP="007B0882">
                            <w:pPr>
                              <w:spacing w:before="40"/>
                              <w:jc w:val="center"/>
                              <w:rPr>
                                <w:rFonts w:ascii="Arial" w:hAnsi="Arial" w:cs="Arial"/>
                                <w:sz w:val="24"/>
                                <w:szCs w:val="24"/>
                              </w:rPr>
                            </w:pPr>
                            <w:r w:rsidRPr="00CC1EC3">
                              <w:rPr>
                                <w:noProof/>
                              </w:rPr>
                              <w:drawing>
                                <wp:inline distT="0" distB="0" distL="0" distR="0" wp14:anchorId="301FA127" wp14:editId="2B55B30F">
                                  <wp:extent cx="3284855" cy="21602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4855" cy="21602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EAC34" id="_x0000_s1027" type="#_x0000_t202" style="position:absolute;left:0;text-align:left;margin-left:6.75pt;margin-top:3.15pt;width:273.75pt;height:2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" stroked="f">
                <v:textbox>
                  <w:txbxContent>
                    <w:p w14:paraId="30A50FBF" w14:textId="77777777" w:rsidR="007B0882" w:rsidRPr="00D51E06" w:rsidRDefault="00DB4C92" w:rsidP="007B0882">
                      <w:pPr>
                        <w:jc w:val="center"/>
                        <w:rPr>
                          <w:rFonts w:ascii="Arial" w:hAnsi="Arial" w:cs="Arial"/>
                          <w:b/>
                          <w:bCs/>
                          <w:sz w:val="24"/>
                          <w:szCs w:val="24"/>
                        </w:rPr>
                      </w:pPr>
                      <w:r w:rsidRPr="00C16FE7">
                        <w:rPr>
                          <w:rFonts w:ascii="Arial" w:hAnsi="Arial" w:cs="Arial"/>
                          <w:b/>
                          <w:sz w:val="24"/>
                          <w:szCs w:val="24"/>
                          <w:lang w:val="nl-NL"/>
                        </w:rPr>
                        <w:t>Figure</w:t>
                      </w:r>
                      <w:r w:rsidR="0049016A">
                        <w:rPr>
                          <w:rFonts w:ascii="Arial" w:hAnsi="Arial" w:cs="Arial"/>
                          <w:b/>
                          <w:bCs/>
                          <w:sz w:val="24"/>
                          <w:szCs w:val="24"/>
                          <w:lang w:val="en-GB"/>
                        </w:rPr>
                        <w:t xml:space="preserve"> 1</w:t>
                      </w:r>
                      <w:r w:rsidR="008D32CB">
                        <w:rPr>
                          <w:rFonts w:ascii="Arial" w:hAnsi="Arial" w:cs="Arial"/>
                          <w:b/>
                          <w:bCs/>
                          <w:sz w:val="24"/>
                          <w:szCs w:val="24"/>
                          <w:lang w:val="en-GB"/>
                        </w:rPr>
                        <w:t>3</w:t>
                      </w:r>
                      <w:r w:rsidR="0049016A">
                        <w:rPr>
                          <w:rFonts w:ascii="Arial" w:hAnsi="Arial" w:cs="Arial"/>
                          <w:b/>
                          <w:bCs/>
                          <w:sz w:val="24"/>
                          <w:szCs w:val="24"/>
                          <w:lang w:val="en-GB"/>
                        </w:rPr>
                        <w:t xml:space="preserve">. </w:t>
                      </w:r>
                      <w:r w:rsidR="007B0882" w:rsidRPr="00D51E06">
                        <w:rPr>
                          <w:rFonts w:ascii="Arial" w:hAnsi="Arial" w:cs="Arial"/>
                          <w:b/>
                          <w:bCs/>
                          <w:sz w:val="24"/>
                          <w:szCs w:val="24"/>
                        </w:rPr>
                        <w:t xml:space="preserve">Structure of </w:t>
                      </w:r>
                      <w:r w:rsidR="007B0882">
                        <w:rPr>
                          <w:rFonts w:ascii="Arial" w:hAnsi="Arial" w:cs="Arial"/>
                          <w:b/>
                          <w:bCs/>
                          <w:sz w:val="24"/>
                          <w:szCs w:val="24"/>
                        </w:rPr>
                        <w:t>im</w:t>
                      </w:r>
                      <w:r w:rsidR="007B0882" w:rsidRPr="00D51E06">
                        <w:rPr>
                          <w:rFonts w:ascii="Arial" w:hAnsi="Arial" w:cs="Arial"/>
                          <w:b/>
                          <w:bCs/>
                          <w:sz w:val="24"/>
                          <w:szCs w:val="24"/>
                        </w:rPr>
                        <w:t>ports of goods</w:t>
                      </w:r>
                    </w:p>
                    <w:p w14:paraId="4759D7EC" w14:textId="77777777" w:rsidR="007B0882" w:rsidRDefault="007B0882" w:rsidP="007B0882">
                      <w:pPr>
                        <w:spacing w:after="120"/>
                        <w:jc w:val="center"/>
                        <w:rPr>
                          <w:rFonts w:ascii="Arial" w:hAnsi="Arial" w:cs="Arial"/>
                          <w:b/>
                          <w:bCs/>
                          <w:sz w:val="24"/>
                          <w:szCs w:val="24"/>
                        </w:rPr>
                      </w:pPr>
                      <w:r>
                        <w:rPr>
                          <w:rFonts w:ascii="Arial" w:hAnsi="Arial" w:cs="Arial"/>
                          <w:b/>
                          <w:bCs/>
                          <w:sz w:val="24"/>
                          <w:szCs w:val="24"/>
                        </w:rPr>
                        <w:t>i</w:t>
                      </w:r>
                      <w:r w:rsidRPr="00D51E06">
                        <w:rPr>
                          <w:rFonts w:ascii="Arial" w:hAnsi="Arial" w:cs="Arial"/>
                          <w:b/>
                          <w:bCs/>
                          <w:sz w:val="24"/>
                          <w:szCs w:val="24"/>
                        </w:rPr>
                        <w:t xml:space="preserve">n </w:t>
                      </w:r>
                      <w:r>
                        <w:rPr>
                          <w:rFonts w:ascii="Arial" w:hAnsi="Arial" w:cs="Arial"/>
                          <w:b/>
                          <w:bCs/>
                          <w:sz w:val="24"/>
                          <w:szCs w:val="24"/>
                        </w:rPr>
                        <w:t xml:space="preserve">January </w:t>
                      </w:r>
                      <w:r w:rsidRPr="00D51E06">
                        <w:rPr>
                          <w:rFonts w:ascii="Arial" w:hAnsi="Arial" w:cs="Arial"/>
                          <w:b/>
                          <w:bCs/>
                          <w:sz w:val="24"/>
                          <w:szCs w:val="24"/>
                        </w:rPr>
                        <w:t>202</w:t>
                      </w:r>
                      <w:r>
                        <w:rPr>
                          <w:rFonts w:ascii="Arial" w:hAnsi="Arial" w:cs="Arial"/>
                          <w:b/>
                          <w:bCs/>
                          <w:sz w:val="24"/>
                          <w:szCs w:val="24"/>
                        </w:rPr>
                        <w:t>2</w:t>
                      </w:r>
                      <w:r w:rsidRPr="00D51E06">
                        <w:rPr>
                          <w:rFonts w:ascii="Arial" w:hAnsi="Arial" w:cs="Arial"/>
                          <w:b/>
                          <w:bCs/>
                          <w:sz w:val="24"/>
                          <w:szCs w:val="24"/>
                        </w:rPr>
                        <w:t xml:space="preserve"> by commodity group</w:t>
                      </w:r>
                    </w:p>
                    <w:p w14:paraId="7187DB40" w14:textId="0AE93840" w:rsidR="0049016A" w:rsidRPr="00B118BC" w:rsidRDefault="007364E1" w:rsidP="007B0882">
                      <w:pPr>
                        <w:spacing w:before="40"/>
                        <w:jc w:val="center"/>
                        <w:rPr>
                          <w:rFonts w:ascii="Arial" w:hAnsi="Arial" w:cs="Arial"/>
                          <w:sz w:val="24"/>
                          <w:szCs w:val="24"/>
                        </w:rPr>
                      </w:pPr>
                      <w:r w:rsidRPr="00CC1EC3">
                        <w:rPr>
                          <w:noProof/>
                        </w:rPr>
                        <w:drawing>
                          <wp:inline distT="0" distB="0" distL="0" distR="0" wp14:anchorId="301FA127" wp14:editId="2B55B30F">
                            <wp:extent cx="3284855" cy="21602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4855" cy="2160270"/>
                                    </a:xfrm>
                                    <a:prstGeom prst="rect">
                                      <a:avLst/>
                                    </a:prstGeom>
                                    <a:noFill/>
                                    <a:ln>
                                      <a:noFill/>
                                    </a:ln>
                                  </pic:spPr>
                                </pic:pic>
                              </a:graphicData>
                            </a:graphic>
                          </wp:inline>
                        </w:drawing>
                      </w:r>
                    </w:p>
                  </w:txbxContent>
                </v:textbox>
                <w10:wrap type="square"/>
              </v:shape>
            </w:pict>
          </mc:Fallback>
        </mc:AlternateContent>
      </w:r>
    </w:p>
    <w:p w14:paraId="548C8ED2" w14:textId="77777777" w:rsidR="0049016A" w:rsidRDefault="0049016A" w:rsidP="0049016A">
      <w:pPr>
        <w:tabs>
          <w:tab w:val="num" w:pos="0"/>
          <w:tab w:val="left" w:pos="9475"/>
        </w:tabs>
        <w:spacing w:before="40"/>
        <w:ind w:right="187" w:firstLine="567"/>
        <w:jc w:val="right"/>
        <w:rPr>
          <w:rFonts w:ascii="Arial" w:hAnsi="Arial" w:cs="Arial"/>
          <w:b/>
          <w:bCs/>
          <w:i/>
          <w:iCs/>
          <w:sz w:val="2"/>
          <w:szCs w:val="20"/>
        </w:rPr>
      </w:pPr>
    </w:p>
    <w:p w14:paraId="2F4FE6C8" w14:textId="77777777" w:rsidR="0049016A" w:rsidRPr="00B85D79" w:rsidRDefault="0049016A" w:rsidP="0049016A">
      <w:pPr>
        <w:tabs>
          <w:tab w:val="num" w:pos="0"/>
          <w:tab w:val="left" w:pos="9475"/>
        </w:tabs>
        <w:spacing w:before="40"/>
        <w:ind w:right="187" w:firstLine="567"/>
        <w:jc w:val="right"/>
        <w:rPr>
          <w:rFonts w:ascii="Arial" w:hAnsi="Arial" w:cs="Arial"/>
          <w:b/>
          <w:bCs/>
          <w:i/>
          <w:iCs/>
          <w:sz w:val="2"/>
          <w:szCs w:val="20"/>
        </w:rPr>
      </w:pPr>
    </w:p>
    <w:p w14:paraId="2F891176" w14:textId="77777777" w:rsidR="00734613" w:rsidRDefault="00734613" w:rsidP="00A4599A">
      <w:pPr>
        <w:tabs>
          <w:tab w:val="num" w:pos="0"/>
          <w:tab w:val="left" w:pos="9475"/>
        </w:tabs>
        <w:spacing w:before="240" w:after="40" w:line="283" w:lineRule="auto"/>
        <w:ind w:right="6" w:firstLine="567"/>
        <w:jc w:val="both"/>
      </w:pPr>
      <w:r>
        <w:rPr>
          <w:rStyle w:val="Emphasis"/>
          <w:color w:val="0E101A"/>
        </w:rPr>
        <w:t>Regarding the structure of import of goods in January 2022, </w:t>
      </w:r>
      <w:r>
        <w:t>the group of input materials accounted for 93.7%, a rise of 0.2 percentage points over last year, in which machinery, equipment, accessory, means of transport and components accounted for 46.3%, down 2.2 percentage points; fuel and row materials accounting for 47.3%, up 2.4 percentage point. The consumer goods group accounted for 6.3%, a drop of 0.2 percentage points.</w:t>
      </w:r>
    </w:p>
    <w:p w14:paraId="00097711" w14:textId="458358E2" w:rsidR="001F3BC1" w:rsidRDefault="001F3BC1" w:rsidP="00A4599A">
      <w:pPr>
        <w:tabs>
          <w:tab w:val="num" w:pos="0"/>
          <w:tab w:val="left" w:pos="9475"/>
        </w:tabs>
        <w:spacing w:before="240" w:after="40" w:line="283" w:lineRule="auto"/>
        <w:ind w:right="6" w:firstLine="567"/>
        <w:jc w:val="both"/>
      </w:pPr>
      <w:r>
        <w:rPr>
          <w:rStyle w:val="Emphasis"/>
          <w:color w:val="0E101A"/>
        </w:rPr>
        <w:t>Regarding the export and import market of goods in January 2022, </w:t>
      </w:r>
      <w:r>
        <w:t>the United States was the largest export market of Viet Nam with an estimated turnover of 9 billion USD. China was Viet Nam's largest import market with an estimated turnover of 10.2 billion USD. January 2022, the trade surplus to the EU was estimated at 2.1 billion USD, down 6.4% over the same period last year; trade deficit from China was 5 billion USD, up 11.7%; trade deficit from Korea was 3.8 billion USD, up 28.9%; trade deficit from ASEAN was 1.2 billion USD, up 69.2%; trade deficit from Japan was 600 million USD (same period in 2021, trade surplus was 58.2 million USD).</w:t>
      </w:r>
    </w:p>
    <w:p w14:paraId="5AF5A79F" w14:textId="77777777" w:rsidR="00FF626A" w:rsidRPr="007A1DBD" w:rsidRDefault="00FF626A" w:rsidP="00A4599A">
      <w:pPr>
        <w:tabs>
          <w:tab w:val="num" w:pos="0"/>
          <w:tab w:val="left" w:pos="9475"/>
        </w:tabs>
        <w:spacing w:before="240" w:after="40" w:line="283" w:lineRule="auto"/>
        <w:ind w:right="6" w:firstLine="567"/>
        <w:jc w:val="both"/>
        <w:rPr>
          <w:bCs/>
          <w:i/>
        </w:rPr>
      </w:pPr>
    </w:p>
    <w:p w14:paraId="27FF5DD7" w14:textId="42970220" w:rsidR="001F3BC1" w:rsidRDefault="00DB4C92" w:rsidP="001F3BC1">
      <w:pPr>
        <w:tabs>
          <w:tab w:val="num" w:pos="0"/>
          <w:tab w:val="left" w:pos="9475"/>
        </w:tabs>
        <w:spacing w:before="40" w:after="40" w:line="269" w:lineRule="auto"/>
        <w:ind w:right="6"/>
        <w:jc w:val="center"/>
        <w:rPr>
          <w:rFonts w:ascii="Arial" w:hAnsi="Arial" w:cs="Arial"/>
          <w:b/>
          <w:iCs/>
          <w:sz w:val="24"/>
        </w:rPr>
      </w:pPr>
      <w:bookmarkStart w:id="7" w:name="_Hlk95253762"/>
      <w:r w:rsidRPr="00C16FE7">
        <w:rPr>
          <w:rFonts w:ascii="Arial" w:hAnsi="Arial" w:cs="Arial"/>
          <w:b/>
          <w:sz w:val="24"/>
          <w:szCs w:val="24"/>
          <w:lang w:val="nl-NL"/>
        </w:rPr>
        <w:lastRenderedPageBreak/>
        <w:t>Figure</w:t>
      </w:r>
      <w:bookmarkEnd w:id="7"/>
      <w:r w:rsidR="0049016A">
        <w:rPr>
          <w:rFonts w:ascii="Arial" w:hAnsi="Arial" w:cs="Arial"/>
          <w:b/>
          <w:iCs/>
          <w:sz w:val="24"/>
          <w:lang w:val="en-GB"/>
        </w:rPr>
        <w:t xml:space="preserve"> 1</w:t>
      </w:r>
      <w:r w:rsidR="008D32CB">
        <w:rPr>
          <w:rFonts w:ascii="Arial" w:hAnsi="Arial" w:cs="Arial"/>
          <w:b/>
          <w:iCs/>
          <w:sz w:val="24"/>
          <w:lang w:val="en-GB"/>
        </w:rPr>
        <w:t>4</w:t>
      </w:r>
      <w:r w:rsidR="0049016A">
        <w:rPr>
          <w:rFonts w:ascii="Arial" w:hAnsi="Arial" w:cs="Arial"/>
          <w:b/>
          <w:iCs/>
          <w:sz w:val="24"/>
          <w:lang w:val="en-GB"/>
        </w:rPr>
        <w:t xml:space="preserve">. </w:t>
      </w:r>
      <w:r w:rsidR="001F3BC1">
        <w:rPr>
          <w:rFonts w:ascii="Arial" w:hAnsi="Arial" w:cs="Arial"/>
          <w:b/>
          <w:iCs/>
          <w:sz w:val="24"/>
        </w:rPr>
        <w:t>Ex</w:t>
      </w:r>
      <w:r w:rsidR="001F3BC1" w:rsidRPr="00EB4138">
        <w:rPr>
          <w:rFonts w:ascii="Arial" w:hAnsi="Arial" w:cs="Arial"/>
          <w:b/>
          <w:iCs/>
          <w:sz w:val="24"/>
        </w:rPr>
        <w:t>port</w:t>
      </w:r>
      <w:r w:rsidR="001F3BC1">
        <w:rPr>
          <w:rFonts w:ascii="Arial" w:hAnsi="Arial" w:cs="Arial"/>
          <w:b/>
          <w:iCs/>
          <w:sz w:val="24"/>
        </w:rPr>
        <w:t>s</w:t>
      </w:r>
      <w:r w:rsidR="001F3BC1" w:rsidRPr="00EB4138">
        <w:rPr>
          <w:rFonts w:ascii="Arial" w:hAnsi="Arial" w:cs="Arial"/>
          <w:b/>
          <w:iCs/>
          <w:sz w:val="24"/>
        </w:rPr>
        <w:t xml:space="preserve"> and </w:t>
      </w:r>
      <w:r w:rsidR="001F3BC1">
        <w:rPr>
          <w:rFonts w:ascii="Arial" w:hAnsi="Arial" w:cs="Arial"/>
          <w:b/>
          <w:iCs/>
          <w:sz w:val="24"/>
        </w:rPr>
        <w:t>im</w:t>
      </w:r>
      <w:r w:rsidR="001F3BC1" w:rsidRPr="00EB4138">
        <w:rPr>
          <w:rFonts w:ascii="Arial" w:hAnsi="Arial" w:cs="Arial"/>
          <w:b/>
          <w:iCs/>
          <w:sz w:val="24"/>
        </w:rPr>
        <w:t>port</w:t>
      </w:r>
      <w:r w:rsidR="001F3BC1">
        <w:rPr>
          <w:rFonts w:ascii="Arial" w:hAnsi="Arial" w:cs="Arial"/>
          <w:b/>
          <w:iCs/>
          <w:sz w:val="24"/>
        </w:rPr>
        <w:t>s</w:t>
      </w:r>
      <w:r w:rsidR="001F3BC1" w:rsidRPr="00EB4138">
        <w:rPr>
          <w:rFonts w:ascii="Arial" w:hAnsi="Arial" w:cs="Arial"/>
          <w:b/>
          <w:iCs/>
          <w:sz w:val="24"/>
        </w:rPr>
        <w:t xml:space="preserve"> of goods in </w:t>
      </w:r>
      <w:r w:rsidR="001F3BC1">
        <w:rPr>
          <w:rFonts w:ascii="Arial" w:hAnsi="Arial" w:cs="Arial"/>
          <w:b/>
          <w:iCs/>
          <w:sz w:val="24"/>
        </w:rPr>
        <w:t xml:space="preserve">January </w:t>
      </w:r>
      <w:r w:rsidR="001F3BC1" w:rsidRPr="00EB4138">
        <w:rPr>
          <w:rFonts w:ascii="Arial" w:hAnsi="Arial" w:cs="Arial"/>
          <w:b/>
          <w:iCs/>
          <w:sz w:val="24"/>
        </w:rPr>
        <w:t>202</w:t>
      </w:r>
      <w:r w:rsidR="001F3BC1">
        <w:rPr>
          <w:rFonts w:ascii="Arial" w:hAnsi="Arial" w:cs="Arial"/>
          <w:b/>
          <w:iCs/>
          <w:sz w:val="24"/>
        </w:rPr>
        <w:t>2</w:t>
      </w:r>
      <w:r w:rsidR="001F3BC1" w:rsidRPr="00EB4138">
        <w:rPr>
          <w:rFonts w:ascii="Arial" w:hAnsi="Arial" w:cs="Arial"/>
          <w:b/>
          <w:iCs/>
          <w:sz w:val="24"/>
        </w:rPr>
        <w:t xml:space="preserve"> by market</w:t>
      </w:r>
    </w:p>
    <w:p w14:paraId="363961DD" w14:textId="77777777" w:rsidR="00927A13" w:rsidRPr="0016527A" w:rsidRDefault="00927A13" w:rsidP="001F3BC1">
      <w:pPr>
        <w:tabs>
          <w:tab w:val="num" w:pos="0"/>
          <w:tab w:val="left" w:pos="9475"/>
        </w:tabs>
        <w:spacing w:before="40" w:after="40" w:line="269" w:lineRule="auto"/>
        <w:ind w:right="6"/>
        <w:jc w:val="center"/>
        <w:rPr>
          <w:rFonts w:ascii="Arial" w:hAnsi="Arial" w:cs="Arial"/>
          <w:b/>
          <w:iCs/>
          <w:sz w:val="24"/>
        </w:rPr>
      </w:pP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49016A" w14:paraId="74EB00AF" w14:textId="77777777" w:rsidTr="00A741FF">
        <w:trPr>
          <w:trHeight w:val="4350"/>
          <w:jc w:val="center"/>
        </w:trPr>
        <w:tc>
          <w:tcPr>
            <w:tcW w:w="4675" w:type="dxa"/>
            <w:gridSpan w:val="3"/>
          </w:tcPr>
          <w:p w14:paraId="1C46F400" w14:textId="19D22450" w:rsidR="0049016A" w:rsidRDefault="00BF0092" w:rsidP="00927A13">
            <w:pPr>
              <w:tabs>
                <w:tab w:val="num" w:pos="0"/>
                <w:tab w:val="left" w:pos="9475"/>
              </w:tabs>
              <w:spacing w:before="40" w:after="40" w:line="269" w:lineRule="auto"/>
              <w:ind w:right="-118"/>
              <w:rPr>
                <w:iCs/>
              </w:rPr>
            </w:pPr>
            <w:r>
              <w:rPr>
                <w:noProof/>
              </w:rPr>
              <w:drawing>
                <wp:inline distT="0" distB="0" distL="0" distR="0" wp14:anchorId="2DC7CB22" wp14:editId="40CFF55A">
                  <wp:extent cx="3169920" cy="2933700"/>
                  <wp:effectExtent l="0" t="0" r="11430" b="0"/>
                  <wp:docPr id="20" name="Chart 20">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818" w:type="dxa"/>
            <w:gridSpan w:val="3"/>
            <w:shd w:val="clear" w:color="auto" w:fill="auto"/>
          </w:tcPr>
          <w:p w14:paraId="690B633D" w14:textId="3E20BDF9" w:rsidR="0049016A" w:rsidRDefault="00BF0092" w:rsidP="00A741FF">
            <w:pPr>
              <w:tabs>
                <w:tab w:val="num" w:pos="0"/>
                <w:tab w:val="left" w:pos="9475"/>
              </w:tabs>
              <w:spacing w:before="40" w:after="40" w:line="269" w:lineRule="auto"/>
              <w:ind w:right="6" w:hanging="107"/>
              <w:jc w:val="both"/>
              <w:rPr>
                <w:iCs/>
              </w:rPr>
            </w:pPr>
            <w:r>
              <w:rPr>
                <w:noProof/>
              </w:rPr>
              <w:drawing>
                <wp:inline distT="0" distB="0" distL="0" distR="0" wp14:anchorId="0924D865" wp14:editId="1E57F5EA">
                  <wp:extent cx="2967990" cy="2933700"/>
                  <wp:effectExtent l="0" t="0" r="3810" b="0"/>
                  <wp:docPr id="24" name="Chart 24">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49016A" w14:paraId="58080C48" w14:textId="77777777" w:rsidTr="00A741FF">
        <w:trPr>
          <w:gridAfter w:val="1"/>
          <w:wAfter w:w="532" w:type="dxa"/>
          <w:trHeight w:val="176"/>
          <w:jc w:val="center"/>
        </w:trPr>
        <w:tc>
          <w:tcPr>
            <w:tcW w:w="1791" w:type="dxa"/>
          </w:tcPr>
          <w:p w14:paraId="76863E7E" w14:textId="77777777" w:rsidR="0049016A" w:rsidRDefault="0049016A" w:rsidP="00A741FF">
            <w:pPr>
              <w:spacing w:before="40" w:after="40" w:line="288" w:lineRule="auto"/>
              <w:jc w:val="both"/>
              <w:rPr>
                <w:b/>
                <w:bCs/>
                <w:i/>
                <w:iCs/>
              </w:rPr>
            </w:pPr>
          </w:p>
        </w:tc>
        <w:tc>
          <w:tcPr>
            <w:tcW w:w="619" w:type="dxa"/>
            <w:shd w:val="clear" w:color="auto" w:fill="auto"/>
          </w:tcPr>
          <w:p w14:paraId="171870F8" w14:textId="77777777" w:rsidR="0049016A" w:rsidRPr="00495002" w:rsidRDefault="0049016A" w:rsidP="00A741FF">
            <w:pPr>
              <w:spacing w:before="40" w:after="40" w:line="288" w:lineRule="auto"/>
              <w:jc w:val="both"/>
              <w:rPr>
                <w:b/>
                <w:bCs/>
                <w:i/>
                <w:iCs/>
                <w:color w:val="FF0000"/>
              </w:rPr>
            </w:pPr>
          </w:p>
        </w:tc>
        <w:tc>
          <w:tcPr>
            <w:tcW w:w="2265" w:type="dxa"/>
          </w:tcPr>
          <w:p w14:paraId="1FB2A40D" w14:textId="10D2719B" w:rsidR="0049016A" w:rsidRDefault="0049016A" w:rsidP="00A741FF">
            <w:pPr>
              <w:spacing w:before="40" w:after="40" w:line="288" w:lineRule="auto"/>
              <w:jc w:val="both"/>
              <w:rPr>
                <w:b/>
                <w:bCs/>
                <w:i/>
                <w:iCs/>
              </w:rPr>
            </w:pPr>
            <w:r>
              <w:rPr>
                <w:rFonts w:ascii="Arial" w:hAnsi="Arial" w:cs="Arial"/>
                <w:iCs/>
                <w:noProof/>
                <w:sz w:val="16"/>
                <w:szCs w:val="16"/>
                <w:lang w:val="en-GB" w:eastAsia="en-GB"/>
              </w:rPr>
              <mc:AlternateContent>
                <mc:Choice Requires="wps">
                  <w:drawing>
                    <wp:anchor distT="0" distB="0" distL="114300" distR="114300" simplePos="0" relativeHeight="251659264" behindDoc="0" locked="0" layoutInCell="1" allowOverlap="1" wp14:anchorId="20607394" wp14:editId="2F3EA9BE">
                      <wp:simplePos x="0" y="0"/>
                      <wp:positionH relativeFrom="column">
                        <wp:posOffset>98425</wp:posOffset>
                      </wp:positionH>
                      <wp:positionV relativeFrom="paragraph">
                        <wp:posOffset>36195</wp:posOffset>
                      </wp:positionV>
                      <wp:extent cx="126000" cy="90000"/>
                      <wp:effectExtent l="0" t="0" r="7620" b="5715"/>
                      <wp:wrapNone/>
                      <wp:docPr id="28" name="Rectangle 28"/>
                      <wp:cNvGraphicFramePr/>
                      <a:graphic xmlns:a="http://schemas.openxmlformats.org/drawingml/2006/main">
                        <a:graphicData uri="http://schemas.microsoft.com/office/word/2010/wordprocessingShape">
                          <wps:wsp>
                            <wps:cNvSpPr/>
                            <wps:spPr>
                              <a:xfrm>
                                <a:off x="0" y="0"/>
                                <a:ext cx="126000" cy="90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EE6CF" id="Rectangle 28" o:spid="_x0000_s1026" style="position:absolute;margin-left:7.75pt;margin-top:2.85pt;width:9.9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" fillcolor="#c00000" stroked="f" strokeweight="1pt"/>
                  </w:pict>
                </mc:Fallback>
              </mc:AlternateContent>
            </w:r>
            <w:r>
              <w:rPr>
                <w:rFonts w:ascii="Arial" w:hAnsi="Arial" w:cs="Arial"/>
                <w:iCs/>
                <w:sz w:val="16"/>
                <w:szCs w:val="16"/>
                <w:lang w:val="en-GB"/>
              </w:rPr>
              <w:t xml:space="preserve">           </w:t>
            </w:r>
            <w:r w:rsidR="00BF0092" w:rsidRPr="00337F83">
              <w:rPr>
                <w:rFonts w:ascii="Arial" w:hAnsi="Arial" w:cs="Arial"/>
                <w:iCs/>
                <w:sz w:val="16"/>
                <w:szCs w:val="16"/>
                <w:lang w:val="en-GB"/>
              </w:rPr>
              <w:t>Exports of goods</w:t>
            </w:r>
          </w:p>
        </w:tc>
        <w:tc>
          <w:tcPr>
            <w:tcW w:w="2838" w:type="dxa"/>
          </w:tcPr>
          <w:p w14:paraId="234C44EA" w14:textId="09B34A58" w:rsidR="0049016A" w:rsidRDefault="0049016A" w:rsidP="00A741FF">
            <w:pPr>
              <w:spacing w:before="40" w:after="40" w:line="288" w:lineRule="auto"/>
              <w:jc w:val="both"/>
              <w:rPr>
                <w:b/>
                <w:bCs/>
                <w:i/>
                <w:iCs/>
              </w:rPr>
            </w:pPr>
            <w:r>
              <w:rPr>
                <w:b/>
                <w:bCs/>
                <w:i/>
                <w:iCs/>
                <w:noProof/>
                <w:lang w:val="en-GB" w:eastAsia="en-GB"/>
              </w:rPr>
              <mc:AlternateContent>
                <mc:Choice Requires="wps">
                  <w:drawing>
                    <wp:anchor distT="0" distB="0" distL="114300" distR="114300" simplePos="0" relativeHeight="251660288" behindDoc="0" locked="0" layoutInCell="1" allowOverlap="1" wp14:anchorId="1202A19D" wp14:editId="09FEB15F">
                      <wp:simplePos x="0" y="0"/>
                      <wp:positionH relativeFrom="column">
                        <wp:posOffset>24130</wp:posOffset>
                      </wp:positionH>
                      <wp:positionV relativeFrom="paragraph">
                        <wp:posOffset>36195</wp:posOffset>
                      </wp:positionV>
                      <wp:extent cx="126000" cy="90000"/>
                      <wp:effectExtent l="0" t="0" r="26670" b="24765"/>
                      <wp:wrapNone/>
                      <wp:docPr id="29" name="Rectangle 29"/>
                      <wp:cNvGraphicFramePr/>
                      <a:graphic xmlns:a="http://schemas.openxmlformats.org/drawingml/2006/main">
                        <a:graphicData uri="http://schemas.microsoft.com/office/word/2010/wordprocessingShape">
                          <wps:wsp>
                            <wps:cNvSpPr/>
                            <wps:spPr>
                              <a:xfrm>
                                <a:off x="0" y="0"/>
                                <a:ext cx="126000" cy="9000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CDA8F" id="Rectangle 29" o:spid="_x0000_s1026" style="position:absolute;margin-left:1.9pt;margin-top:2.85pt;width:9.9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" fillcolor="yellow" strokecolor="#393737 [814]" strokeweight=".5pt"/>
                  </w:pict>
                </mc:Fallback>
              </mc:AlternateContent>
            </w:r>
            <w:r>
              <w:rPr>
                <w:rFonts w:ascii="Arial" w:hAnsi="Arial" w:cs="Arial"/>
                <w:iCs/>
                <w:sz w:val="16"/>
                <w:szCs w:val="16"/>
                <w:lang w:val="en-GB"/>
              </w:rPr>
              <w:t xml:space="preserve">          </w:t>
            </w:r>
            <w:r w:rsidR="00BF0092" w:rsidRPr="00337F83">
              <w:rPr>
                <w:rFonts w:ascii="Arial" w:hAnsi="Arial" w:cs="Arial"/>
                <w:iCs/>
                <w:sz w:val="16"/>
                <w:szCs w:val="16"/>
                <w:lang w:val="en-GB"/>
              </w:rPr>
              <w:t>Imports of goods</w:t>
            </w:r>
          </w:p>
        </w:tc>
        <w:tc>
          <w:tcPr>
            <w:tcW w:w="1448" w:type="dxa"/>
          </w:tcPr>
          <w:p w14:paraId="3FFC95B5" w14:textId="77777777" w:rsidR="0049016A" w:rsidRDefault="0049016A" w:rsidP="00A741FF">
            <w:pPr>
              <w:spacing w:before="40" w:after="40" w:line="288" w:lineRule="auto"/>
              <w:jc w:val="both"/>
              <w:rPr>
                <w:b/>
                <w:bCs/>
                <w:i/>
                <w:iCs/>
              </w:rPr>
            </w:pPr>
          </w:p>
        </w:tc>
      </w:tr>
    </w:tbl>
    <w:p w14:paraId="73A542C7" w14:textId="77777777" w:rsidR="00451C83" w:rsidRDefault="00451C83" w:rsidP="00927A13">
      <w:pPr>
        <w:spacing w:before="40" w:after="40" w:line="336" w:lineRule="auto"/>
        <w:ind w:firstLine="709"/>
        <w:jc w:val="both"/>
        <w:rPr>
          <w:iCs/>
        </w:rPr>
      </w:pPr>
      <w:r w:rsidRPr="00337F83">
        <w:rPr>
          <w:iCs/>
        </w:rPr>
        <w:t>The balance of trade in goods in December 2021 had a trade surplus of 3 billion USD</w:t>
      </w:r>
      <w:r>
        <w:rPr>
          <w:rStyle w:val="FootnoteReference"/>
          <w:iCs/>
        </w:rPr>
        <w:footnoteReference w:id="15"/>
      </w:r>
      <w:r w:rsidRPr="00337F83">
        <w:rPr>
          <w:iCs/>
        </w:rPr>
        <w:t xml:space="preserve">; in 2021, trade surplus </w:t>
      </w:r>
      <w:r>
        <w:rPr>
          <w:iCs/>
        </w:rPr>
        <w:t>wa</w:t>
      </w:r>
      <w:r w:rsidRPr="00337F83">
        <w:rPr>
          <w:iCs/>
        </w:rPr>
        <w:t xml:space="preserve">s 4.08 billion USD; January 2022 </w:t>
      </w:r>
      <w:r>
        <w:rPr>
          <w:iCs/>
        </w:rPr>
        <w:t>wa</w:t>
      </w:r>
      <w:r w:rsidRPr="00337F83">
        <w:rPr>
          <w:iCs/>
        </w:rPr>
        <w:t>s estimated to have a trade deficit of 500 million USD. In which, the domestic economic sector ha</w:t>
      </w:r>
      <w:r>
        <w:rPr>
          <w:iCs/>
        </w:rPr>
        <w:t>d</w:t>
      </w:r>
      <w:r w:rsidRPr="00337F83">
        <w:rPr>
          <w:iCs/>
        </w:rPr>
        <w:t xml:space="preserve"> a trade deficit of 1.8 billion USD; FDI sector (including crude oil) had a trade surplus of 1.3 billion USD.</w:t>
      </w:r>
    </w:p>
    <w:p w14:paraId="78B2A519" w14:textId="0C502F9F" w:rsidR="00461ACF" w:rsidRPr="009F5D5F" w:rsidRDefault="00461ACF" w:rsidP="00927A13">
      <w:pPr>
        <w:spacing w:before="40" w:after="40" w:line="336" w:lineRule="auto"/>
        <w:ind w:firstLine="567"/>
        <w:jc w:val="both"/>
        <w:rPr>
          <w:b/>
          <w:bCs/>
          <w:i/>
          <w:iCs/>
        </w:rPr>
      </w:pPr>
      <w:r w:rsidRPr="009F5D5F">
        <w:rPr>
          <w:b/>
          <w:bCs/>
          <w:i/>
          <w:iCs/>
        </w:rPr>
        <w:t xml:space="preserve">c) </w:t>
      </w:r>
      <w:r w:rsidR="00B126ED" w:rsidRPr="005D19D7">
        <w:rPr>
          <w:b/>
          <w:bCs/>
          <w:i/>
          <w:iCs/>
        </w:rPr>
        <w:t>Consumer price index, gold price index</w:t>
      </w:r>
      <w:r w:rsidR="004A74F9">
        <w:rPr>
          <w:b/>
          <w:bCs/>
          <w:i/>
          <w:iCs/>
        </w:rPr>
        <w:t>,</w:t>
      </w:r>
      <w:r w:rsidR="00B126ED" w:rsidRPr="005D19D7">
        <w:rPr>
          <w:b/>
          <w:bCs/>
          <w:i/>
          <w:iCs/>
        </w:rPr>
        <w:t xml:space="preserve"> and US dollar</w:t>
      </w:r>
    </w:p>
    <w:p w14:paraId="2EA47D64" w14:textId="1452B75F" w:rsidR="00461ACF" w:rsidRPr="00987176" w:rsidRDefault="00987176" w:rsidP="00927A13">
      <w:pPr>
        <w:spacing w:before="40" w:after="40" w:line="336" w:lineRule="auto"/>
        <w:ind w:firstLine="567"/>
        <w:jc w:val="both"/>
        <w:rPr>
          <w:i/>
        </w:rPr>
      </w:pPr>
      <w:r w:rsidRPr="00987176">
        <w:rPr>
          <w:i/>
        </w:rPr>
        <w:t>January 2022 is the month adjacent to the Lunar New Year, so people's shopping needs up. The prices of essential consumer goods and services increased according to the consumption rules on the Tet holiday; the increase in domestic gasoline prices was in line with world fuel prices were the factors that made the consumer price index (CPI) in January 2022 increase by 0.19% over the previous month. Compared to the same period in 2021, CPI in January increased by 1.94%; core inflation increased by 0.66%.</w:t>
      </w:r>
    </w:p>
    <w:p w14:paraId="44517122" w14:textId="77777777" w:rsidR="00987176" w:rsidRPr="005F424F" w:rsidRDefault="00987176" w:rsidP="00461ACF">
      <w:pPr>
        <w:pStyle w:val="NormalWeb"/>
        <w:spacing w:before="0" w:beforeAutospacing="0" w:after="0" w:afterAutospacing="0"/>
        <w:jc w:val="center"/>
        <w:rPr>
          <w:rFonts w:ascii="Arial" w:hAnsi="Arial" w:cs="Arial"/>
          <w:b/>
          <w:sz w:val="8"/>
          <w:lang w:val="nl-NL"/>
        </w:rPr>
      </w:pPr>
    </w:p>
    <w:p w14:paraId="19F198D0" w14:textId="77777777" w:rsidR="00927A13" w:rsidRDefault="00927A13" w:rsidP="00107A74">
      <w:pPr>
        <w:pStyle w:val="NormalWeb"/>
        <w:spacing w:before="0" w:beforeAutospacing="0" w:after="0" w:afterAutospacing="0"/>
        <w:jc w:val="center"/>
        <w:rPr>
          <w:rFonts w:ascii="Arial" w:hAnsi="Arial" w:cs="Arial"/>
          <w:b/>
          <w:lang w:val="nl-NL"/>
        </w:rPr>
      </w:pPr>
    </w:p>
    <w:p w14:paraId="210F0BA9" w14:textId="77777777" w:rsidR="00927A13" w:rsidRDefault="00927A13" w:rsidP="00107A74">
      <w:pPr>
        <w:pStyle w:val="NormalWeb"/>
        <w:spacing w:before="0" w:beforeAutospacing="0" w:after="0" w:afterAutospacing="0"/>
        <w:jc w:val="center"/>
        <w:rPr>
          <w:rFonts w:ascii="Arial" w:hAnsi="Arial" w:cs="Arial"/>
          <w:b/>
          <w:lang w:val="nl-NL"/>
        </w:rPr>
      </w:pPr>
    </w:p>
    <w:p w14:paraId="64690FCF" w14:textId="77777777" w:rsidR="00927A13" w:rsidRDefault="00927A13" w:rsidP="00107A74">
      <w:pPr>
        <w:pStyle w:val="NormalWeb"/>
        <w:spacing w:before="0" w:beforeAutospacing="0" w:after="0" w:afterAutospacing="0"/>
        <w:jc w:val="center"/>
        <w:rPr>
          <w:rFonts w:ascii="Arial" w:hAnsi="Arial" w:cs="Arial"/>
          <w:b/>
          <w:lang w:val="nl-NL"/>
        </w:rPr>
      </w:pPr>
    </w:p>
    <w:p w14:paraId="15A7EFCC" w14:textId="77777777" w:rsidR="00927A13" w:rsidRDefault="00927A13" w:rsidP="00107A74">
      <w:pPr>
        <w:pStyle w:val="NormalWeb"/>
        <w:spacing w:before="0" w:beforeAutospacing="0" w:after="0" w:afterAutospacing="0"/>
        <w:jc w:val="center"/>
        <w:rPr>
          <w:rFonts w:ascii="Arial" w:hAnsi="Arial" w:cs="Arial"/>
          <w:b/>
          <w:lang w:val="nl-NL"/>
        </w:rPr>
      </w:pPr>
    </w:p>
    <w:p w14:paraId="35DC87D8" w14:textId="77777777" w:rsidR="00927A13" w:rsidRDefault="00927A13" w:rsidP="00107A74">
      <w:pPr>
        <w:pStyle w:val="NormalWeb"/>
        <w:spacing w:before="0" w:beforeAutospacing="0" w:after="0" w:afterAutospacing="0"/>
        <w:jc w:val="center"/>
        <w:rPr>
          <w:rFonts w:ascii="Arial" w:hAnsi="Arial" w:cs="Arial"/>
          <w:b/>
          <w:lang w:val="nl-NL"/>
        </w:rPr>
      </w:pPr>
    </w:p>
    <w:p w14:paraId="009082F1" w14:textId="77777777" w:rsidR="00927A13" w:rsidRDefault="00927A13" w:rsidP="00107A74">
      <w:pPr>
        <w:pStyle w:val="NormalWeb"/>
        <w:spacing w:before="0" w:beforeAutospacing="0" w:after="0" w:afterAutospacing="0"/>
        <w:jc w:val="center"/>
        <w:rPr>
          <w:rFonts w:ascii="Arial" w:hAnsi="Arial" w:cs="Arial"/>
          <w:b/>
          <w:lang w:val="nl-NL"/>
        </w:rPr>
      </w:pPr>
    </w:p>
    <w:p w14:paraId="578B1C62" w14:textId="77777777" w:rsidR="00927A13" w:rsidRDefault="00927A13" w:rsidP="00107A74">
      <w:pPr>
        <w:pStyle w:val="NormalWeb"/>
        <w:spacing w:before="0" w:beforeAutospacing="0" w:after="0" w:afterAutospacing="0"/>
        <w:jc w:val="center"/>
        <w:rPr>
          <w:rFonts w:ascii="Arial" w:hAnsi="Arial" w:cs="Arial"/>
          <w:b/>
          <w:lang w:val="nl-NL"/>
        </w:rPr>
      </w:pPr>
    </w:p>
    <w:p w14:paraId="186F0DDC" w14:textId="42FBF8F8" w:rsidR="00107A74" w:rsidRDefault="00107A74" w:rsidP="00107A74">
      <w:pPr>
        <w:pStyle w:val="NormalWeb"/>
        <w:spacing w:before="0" w:beforeAutospacing="0" w:after="0" w:afterAutospacing="0"/>
        <w:jc w:val="center"/>
        <w:rPr>
          <w:rFonts w:ascii="Arial" w:hAnsi="Arial" w:cs="Arial"/>
          <w:b/>
          <w:lang w:val="nl-NL"/>
        </w:rPr>
      </w:pPr>
      <w:r w:rsidRPr="00C16FE7">
        <w:rPr>
          <w:rFonts w:ascii="Arial" w:hAnsi="Arial" w:cs="Arial"/>
          <w:b/>
          <w:lang w:val="nl-NL"/>
        </w:rPr>
        <w:lastRenderedPageBreak/>
        <w:t>Figure</w:t>
      </w:r>
      <w:r w:rsidR="00461ACF">
        <w:rPr>
          <w:rFonts w:ascii="Arial" w:hAnsi="Arial" w:cs="Arial"/>
          <w:b/>
          <w:lang w:val="nl-NL"/>
        </w:rPr>
        <w:t xml:space="preserve"> 1</w:t>
      </w:r>
      <w:r w:rsidR="008D32CB">
        <w:rPr>
          <w:rFonts w:ascii="Arial" w:hAnsi="Arial" w:cs="Arial"/>
          <w:b/>
          <w:lang w:val="nl-NL"/>
        </w:rPr>
        <w:t>5</w:t>
      </w:r>
      <w:r w:rsidR="00461ACF">
        <w:rPr>
          <w:rFonts w:ascii="Arial" w:hAnsi="Arial" w:cs="Arial"/>
          <w:b/>
          <w:lang w:val="nl-NL"/>
        </w:rPr>
        <w:t xml:space="preserve">. </w:t>
      </w:r>
      <w:r w:rsidRPr="00107A74">
        <w:rPr>
          <w:rFonts w:ascii="Arial" w:hAnsi="Arial" w:cs="Arial"/>
          <w:b/>
          <w:lang w:val="nl-NL"/>
        </w:rPr>
        <w:t xml:space="preserve">CPI growth/decrease rate in January of each year </w:t>
      </w:r>
    </w:p>
    <w:p w14:paraId="27AFF9A8" w14:textId="32E5B710" w:rsidR="00461ACF" w:rsidRDefault="00107A74" w:rsidP="00107A74">
      <w:pPr>
        <w:pStyle w:val="NormalWeb"/>
        <w:spacing w:before="0" w:beforeAutospacing="0" w:after="0" w:afterAutospacing="0"/>
        <w:jc w:val="center"/>
        <w:rPr>
          <w:noProof/>
          <w:lang w:val="en-GB" w:eastAsia="en-GB"/>
        </w:rPr>
      </w:pPr>
      <w:r w:rsidRPr="00107A74">
        <w:rPr>
          <w:rFonts w:ascii="Arial" w:hAnsi="Arial" w:cs="Arial"/>
          <w:b/>
          <w:lang w:val="nl-NL"/>
        </w:rPr>
        <w:t>in the 2018-2022 period (%)</w:t>
      </w:r>
    </w:p>
    <w:p w14:paraId="31ACB4BC" w14:textId="677798D7" w:rsidR="00424D57" w:rsidRDefault="00424D57" w:rsidP="00107A74">
      <w:pPr>
        <w:pStyle w:val="NormalWeb"/>
        <w:spacing w:before="0" w:beforeAutospacing="0" w:after="0" w:afterAutospacing="0"/>
        <w:jc w:val="center"/>
        <w:rPr>
          <w:noProof/>
          <w:lang w:val="en-GB" w:eastAsia="en-GB"/>
        </w:rPr>
      </w:pPr>
    </w:p>
    <w:p w14:paraId="722F6BE2" w14:textId="2C648D7A" w:rsidR="00424D57" w:rsidRDefault="00424D57" w:rsidP="00107A74">
      <w:pPr>
        <w:pStyle w:val="NormalWeb"/>
        <w:spacing w:before="0" w:beforeAutospacing="0" w:after="0" w:afterAutospacing="0"/>
        <w:jc w:val="center"/>
      </w:pPr>
      <w:r w:rsidRPr="00461ACF">
        <w:rPr>
          <w:noProof/>
        </w:rPr>
        <w:drawing>
          <wp:inline distT="0" distB="0" distL="0" distR="0" wp14:anchorId="28945AB6" wp14:editId="25B7DBCD">
            <wp:extent cx="5311140" cy="2796540"/>
            <wp:effectExtent l="0" t="0" r="3810" b="3810"/>
            <wp:docPr id="14"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3BF4D4" w14:textId="77777777" w:rsidR="00EE4827" w:rsidRDefault="00EE4827" w:rsidP="004268AF">
      <w:pPr>
        <w:pStyle w:val="FootnoteText"/>
        <w:spacing w:before="40" w:after="40" w:line="269" w:lineRule="auto"/>
        <w:ind w:firstLine="567"/>
        <w:jc w:val="both"/>
        <w:rPr>
          <w:rStyle w:val="normalchar"/>
          <w:sz w:val="28"/>
          <w:szCs w:val="28"/>
          <w:lang w:val="nl-NL"/>
        </w:rPr>
      </w:pPr>
    </w:p>
    <w:p w14:paraId="618D4D9D" w14:textId="77777777" w:rsidR="0063761F" w:rsidRDefault="0063761F" w:rsidP="004268AF">
      <w:pPr>
        <w:pStyle w:val="FootnoteText"/>
        <w:numPr>
          <w:ilvl w:val="0"/>
          <w:numId w:val="5"/>
        </w:numPr>
        <w:tabs>
          <w:tab w:val="left" w:pos="993"/>
        </w:tabs>
        <w:spacing w:before="40" w:after="40" w:line="269" w:lineRule="auto"/>
        <w:ind w:left="0" w:firstLine="567"/>
        <w:jc w:val="both"/>
        <w:rPr>
          <w:rStyle w:val="normalchar"/>
          <w:sz w:val="28"/>
          <w:szCs w:val="28"/>
          <w:lang w:val="nl-NL"/>
        </w:rPr>
      </w:pPr>
      <w:r w:rsidRPr="0063761F">
        <w:rPr>
          <w:rStyle w:val="normalchar"/>
          <w:sz w:val="28"/>
          <w:szCs w:val="28"/>
          <w:lang w:val="nl-NL"/>
        </w:rPr>
        <w:t>In the 0.19% increase of CPI in January 2022 compared to the previous month, there were 9 groups of goods and services with an increase in the price index, 1 group of goods with a decrease in the price index, and 1 group of goods that kept prices stable.</w:t>
      </w:r>
    </w:p>
    <w:p w14:paraId="37DD0F81" w14:textId="77777777" w:rsidR="00577AEE" w:rsidRDefault="00577AEE" w:rsidP="004268AF">
      <w:pPr>
        <w:pStyle w:val="FootnoteText"/>
        <w:spacing w:before="40" w:after="40" w:line="269" w:lineRule="auto"/>
        <w:ind w:firstLine="567"/>
        <w:jc w:val="both"/>
        <w:rPr>
          <w:sz w:val="28"/>
          <w:szCs w:val="28"/>
          <w:lang w:val="es-NI"/>
        </w:rPr>
      </w:pPr>
      <w:r w:rsidRPr="00577AEE">
        <w:rPr>
          <w:sz w:val="28"/>
          <w:szCs w:val="28"/>
          <w:lang w:val="es-NI"/>
        </w:rPr>
        <w:t>Nine groups of goods and services with an increase in price index:</w:t>
      </w:r>
    </w:p>
    <w:p w14:paraId="4E7558BE" w14:textId="77777777" w:rsidR="00577AEE" w:rsidRDefault="00577AEE" w:rsidP="004268AF">
      <w:pPr>
        <w:pStyle w:val="FootnoteText"/>
        <w:spacing w:before="40" w:after="40" w:line="269" w:lineRule="auto"/>
        <w:ind w:firstLine="567"/>
        <w:jc w:val="both"/>
        <w:rPr>
          <w:i/>
          <w:sz w:val="28"/>
          <w:szCs w:val="28"/>
          <w:lang w:val="es-NI"/>
        </w:rPr>
      </w:pPr>
      <w:r w:rsidRPr="00577AEE">
        <w:rPr>
          <w:i/>
          <w:sz w:val="28"/>
          <w:szCs w:val="28"/>
          <w:lang w:val="es-NI"/>
        </w:rPr>
        <w:t xml:space="preserve">- Transport group </w:t>
      </w:r>
      <w:r w:rsidRPr="00577AEE">
        <w:rPr>
          <w:iCs/>
          <w:sz w:val="28"/>
          <w:szCs w:val="28"/>
          <w:lang w:val="es-NI"/>
        </w:rPr>
        <w:t>had the highest increase with 1.18% (making the general CPI increase by 0.11 percentage points) due to the influence of petrol and oil price adjustments on December 25th, 2021; January 11st, 2022, and January 21st, 2022 made the gasoline price index increased by 2.65%, diesel oil by 2.81%. Besides, the spare parts price index increased by 0.13%; other services for personal means of transport increased by 0.11%; public transport services increased by 2.51%.</w:t>
      </w:r>
    </w:p>
    <w:p w14:paraId="1BBA44AF" w14:textId="39B2C211" w:rsidR="007C42A3" w:rsidRPr="007C42A3" w:rsidRDefault="007C42A3" w:rsidP="007C42A3">
      <w:pPr>
        <w:pStyle w:val="FootnoteText"/>
        <w:spacing w:before="40" w:after="40" w:line="269" w:lineRule="auto"/>
        <w:ind w:firstLine="567"/>
        <w:jc w:val="both"/>
        <w:rPr>
          <w:i/>
          <w:sz w:val="28"/>
          <w:szCs w:val="28"/>
        </w:rPr>
      </w:pPr>
      <w:r w:rsidRPr="007C42A3">
        <w:rPr>
          <w:i/>
          <w:sz w:val="28"/>
          <w:szCs w:val="28"/>
        </w:rPr>
        <w:t xml:space="preserve">- Beverage and cigarettes </w:t>
      </w:r>
      <w:r w:rsidRPr="007D6B57">
        <w:rPr>
          <w:iCs/>
          <w:sz w:val="28"/>
          <w:szCs w:val="28"/>
        </w:rPr>
        <w:t xml:space="preserve">increased by 0.57% due to demand </w:t>
      </w:r>
      <w:r w:rsidR="005F53E9" w:rsidRPr="007D6B57">
        <w:rPr>
          <w:iCs/>
          <w:sz w:val="28"/>
          <w:szCs w:val="28"/>
        </w:rPr>
        <w:t xml:space="preserve">consumption </w:t>
      </w:r>
      <w:r w:rsidRPr="007D6B57">
        <w:rPr>
          <w:iCs/>
          <w:sz w:val="28"/>
          <w:szCs w:val="28"/>
        </w:rPr>
        <w:t>and used as gifts during Tet, causing alcohol prices to increase by 0.76%; non-alcoholic beverages by 0.27%; smoking increased by 0.47%.</w:t>
      </w:r>
    </w:p>
    <w:p w14:paraId="53E9AFBC" w14:textId="77777777" w:rsidR="007C42A3" w:rsidRPr="007C42A3" w:rsidRDefault="007C42A3" w:rsidP="007C42A3">
      <w:pPr>
        <w:pStyle w:val="FootnoteText"/>
        <w:spacing w:before="40" w:after="40" w:line="269" w:lineRule="auto"/>
        <w:ind w:firstLine="567"/>
        <w:jc w:val="both"/>
        <w:rPr>
          <w:iCs/>
          <w:sz w:val="28"/>
          <w:szCs w:val="28"/>
        </w:rPr>
      </w:pPr>
      <w:r w:rsidRPr="007C42A3">
        <w:rPr>
          <w:i/>
          <w:sz w:val="28"/>
          <w:szCs w:val="28"/>
        </w:rPr>
        <w:t xml:space="preserve">- Garments, hats, and </w:t>
      </w:r>
      <w:r w:rsidRPr="007C42A3">
        <w:rPr>
          <w:iCs/>
          <w:sz w:val="28"/>
          <w:szCs w:val="28"/>
        </w:rPr>
        <w:t>shoes increased by 0.26% due to the increased demand for clothes to prepare for the Lunar New Year.</w:t>
      </w:r>
    </w:p>
    <w:p w14:paraId="5FB3F098" w14:textId="77777777" w:rsidR="007C42A3" w:rsidRDefault="007C42A3" w:rsidP="007C42A3">
      <w:pPr>
        <w:pStyle w:val="FootnoteText"/>
        <w:spacing w:before="40" w:after="40" w:line="269" w:lineRule="auto"/>
        <w:ind w:firstLine="567"/>
        <w:jc w:val="both"/>
        <w:rPr>
          <w:i/>
          <w:sz w:val="28"/>
          <w:szCs w:val="28"/>
        </w:rPr>
      </w:pPr>
      <w:r w:rsidRPr="007C42A3">
        <w:rPr>
          <w:i/>
          <w:sz w:val="28"/>
          <w:szCs w:val="28"/>
        </w:rPr>
        <w:t>- Household appliances</w:t>
      </w:r>
      <w:r w:rsidRPr="007C42A3">
        <w:rPr>
          <w:iCs/>
          <w:sz w:val="28"/>
          <w:szCs w:val="28"/>
        </w:rPr>
        <w:t xml:space="preserve"> increased by 0.18%.</w:t>
      </w:r>
    </w:p>
    <w:p w14:paraId="07CB7D1A" w14:textId="6416F433" w:rsidR="00461ACF" w:rsidRPr="00517DD3" w:rsidRDefault="00AF73F6" w:rsidP="007C42A3">
      <w:pPr>
        <w:pStyle w:val="FootnoteText"/>
        <w:spacing w:before="40" w:after="40" w:line="269" w:lineRule="auto"/>
        <w:ind w:firstLine="567"/>
        <w:jc w:val="both"/>
        <w:rPr>
          <w:sz w:val="28"/>
          <w:szCs w:val="28"/>
          <w:lang w:val="es-NI"/>
        </w:rPr>
      </w:pPr>
      <w:r w:rsidRPr="00AF73F6">
        <w:rPr>
          <w:i/>
          <w:sz w:val="28"/>
          <w:szCs w:val="28"/>
        </w:rPr>
        <w:t>- Culture, entertainment, and tourism groups</w:t>
      </w:r>
      <w:r w:rsidRPr="00AF73F6">
        <w:rPr>
          <w:iCs/>
          <w:sz w:val="28"/>
          <w:szCs w:val="28"/>
        </w:rPr>
        <w:t xml:space="preserve"> increased by 0.16%</w:t>
      </w:r>
      <w:r w:rsidR="00461ACF" w:rsidRPr="00517DD3">
        <w:rPr>
          <w:rStyle w:val="FootnoteReference"/>
          <w:sz w:val="28"/>
          <w:szCs w:val="28"/>
        </w:rPr>
        <w:footnoteReference w:id="16"/>
      </w:r>
      <w:r w:rsidR="00461ACF" w:rsidRPr="00517DD3">
        <w:rPr>
          <w:sz w:val="28"/>
          <w:szCs w:val="28"/>
          <w:lang w:val="es-NI"/>
        </w:rPr>
        <w:t>.</w:t>
      </w:r>
    </w:p>
    <w:p w14:paraId="58A51BD5" w14:textId="578AC0F4" w:rsidR="008B1A04" w:rsidRPr="008B1A04" w:rsidRDefault="008B1A04" w:rsidP="004268AF">
      <w:pPr>
        <w:pStyle w:val="FootnoteText"/>
        <w:spacing w:before="40" w:after="40" w:line="269" w:lineRule="auto"/>
        <w:ind w:firstLine="567"/>
        <w:jc w:val="both"/>
        <w:rPr>
          <w:iCs/>
          <w:sz w:val="28"/>
          <w:szCs w:val="28"/>
          <w:lang w:val="es-NI"/>
        </w:rPr>
      </w:pPr>
      <w:r w:rsidRPr="008B1A04">
        <w:rPr>
          <w:iCs/>
          <w:sz w:val="28"/>
          <w:szCs w:val="28"/>
          <w:lang w:val="es-NI"/>
        </w:rPr>
        <w:t xml:space="preserve">- Housing and building materials group increased by 0.07%, of which kerosene price increased by 2.9%; the price of domestic water increased by 1% </w:t>
      </w:r>
      <w:r w:rsidRPr="008B1A04">
        <w:rPr>
          <w:iCs/>
          <w:sz w:val="28"/>
          <w:szCs w:val="28"/>
          <w:lang w:val="es-NI"/>
        </w:rPr>
        <w:lastRenderedPageBreak/>
        <w:t xml:space="preserve">due to the high demand for water at the end of the year; the price of housing maintenance materials increased by 0.25% (making CPI increased by 0.01 percentage points), the price of house repair </w:t>
      </w:r>
      <w:r w:rsidR="005F53E9">
        <w:rPr>
          <w:iCs/>
          <w:sz w:val="28"/>
          <w:szCs w:val="28"/>
          <w:lang w:val="es-NI"/>
        </w:rPr>
        <w:t>services</w:t>
      </w:r>
      <w:r w:rsidRPr="008B1A04">
        <w:rPr>
          <w:iCs/>
          <w:sz w:val="28"/>
          <w:szCs w:val="28"/>
          <w:lang w:val="es-NI"/>
        </w:rPr>
        <w:t xml:space="preserve"> increased by 0.53% due to the increase in iron and steel prices, cement and demand to repair, decorate the house to welcome the Lunar New Year.</w:t>
      </w:r>
    </w:p>
    <w:p w14:paraId="22D5812B" w14:textId="77777777" w:rsidR="009A6543" w:rsidRPr="009A6543" w:rsidRDefault="009A6543" w:rsidP="009A6543">
      <w:pPr>
        <w:pStyle w:val="FootnoteText"/>
        <w:spacing w:before="40" w:after="40" w:line="269" w:lineRule="auto"/>
        <w:ind w:firstLine="567"/>
        <w:jc w:val="both"/>
        <w:rPr>
          <w:i/>
          <w:sz w:val="28"/>
          <w:szCs w:val="28"/>
          <w:lang w:val="nl-NL"/>
        </w:rPr>
      </w:pPr>
      <w:r w:rsidRPr="009A6543">
        <w:rPr>
          <w:i/>
          <w:sz w:val="28"/>
          <w:szCs w:val="28"/>
          <w:lang w:val="nl-NL"/>
        </w:rPr>
        <w:t xml:space="preserve">- Medicine and medical service </w:t>
      </w:r>
      <w:r w:rsidRPr="0037466B">
        <w:rPr>
          <w:iCs/>
          <w:sz w:val="28"/>
          <w:szCs w:val="28"/>
          <w:lang w:val="nl-NL"/>
        </w:rPr>
        <w:t>group and the education group had the same increase of 0.03%.</w:t>
      </w:r>
    </w:p>
    <w:p w14:paraId="729222FD" w14:textId="77777777" w:rsidR="009A6543" w:rsidRDefault="009A6543" w:rsidP="009A6543">
      <w:pPr>
        <w:pStyle w:val="FootnoteText"/>
        <w:spacing w:before="40" w:after="40" w:line="269" w:lineRule="auto"/>
        <w:ind w:firstLine="567"/>
        <w:jc w:val="both"/>
        <w:rPr>
          <w:i/>
          <w:sz w:val="28"/>
          <w:szCs w:val="28"/>
          <w:lang w:val="nl-NL"/>
        </w:rPr>
      </w:pPr>
      <w:r w:rsidRPr="009A6543">
        <w:rPr>
          <w:i/>
          <w:sz w:val="28"/>
          <w:szCs w:val="28"/>
          <w:lang w:val="nl-NL"/>
        </w:rPr>
        <w:t xml:space="preserve">- Other goods and services increased by 0.39% because the price of jewelry group increased by 0.93% </w:t>
      </w:r>
      <w:r w:rsidRPr="0037466B">
        <w:rPr>
          <w:iCs/>
          <w:sz w:val="28"/>
          <w:szCs w:val="28"/>
          <w:lang w:val="nl-NL"/>
        </w:rPr>
        <w:t>according to the domestic gold price; hair cutting and shampooing services increased by 1.22%; the price of wedding supplies and services increased by 0.29% because it was the wedding season; the demand for worship items at the end of the year increased, so the prices of these items increased by 0.28%.</w:t>
      </w:r>
      <w:r w:rsidRPr="009A6543">
        <w:rPr>
          <w:i/>
          <w:sz w:val="28"/>
          <w:szCs w:val="28"/>
          <w:lang w:val="nl-NL"/>
        </w:rPr>
        <w:t xml:space="preserve"> </w:t>
      </w:r>
    </w:p>
    <w:p w14:paraId="42A3EC82" w14:textId="3D5EB533" w:rsidR="00461ACF" w:rsidRPr="00517DD3" w:rsidRDefault="00461ACF" w:rsidP="009A6543">
      <w:pPr>
        <w:pStyle w:val="FootnoteText"/>
        <w:spacing w:before="40" w:after="40" w:line="269" w:lineRule="auto"/>
        <w:ind w:firstLine="567"/>
        <w:jc w:val="both"/>
        <w:rPr>
          <w:sz w:val="28"/>
          <w:szCs w:val="28"/>
        </w:rPr>
      </w:pPr>
      <w:r w:rsidRPr="00517DD3">
        <w:rPr>
          <w:sz w:val="28"/>
          <w:szCs w:val="28"/>
          <w:lang w:val="es-NI"/>
        </w:rPr>
        <w:t xml:space="preserve">(2) </w:t>
      </w:r>
      <w:r w:rsidR="00285550" w:rsidRPr="000546C4">
        <w:rPr>
          <w:i/>
          <w:sz w:val="28"/>
          <w:szCs w:val="28"/>
          <w:lang w:val="es-NI"/>
        </w:rPr>
        <w:t>Postal services and telecommunications</w:t>
      </w:r>
      <w:r w:rsidR="00285550" w:rsidRPr="00C16FE7">
        <w:rPr>
          <w:sz w:val="28"/>
          <w:szCs w:val="28"/>
        </w:rPr>
        <w:t xml:space="preserve"> decreased by </w:t>
      </w:r>
      <w:r w:rsidRPr="00517DD3">
        <w:rPr>
          <w:sz w:val="28"/>
          <w:szCs w:val="28"/>
        </w:rPr>
        <w:t>0,0</w:t>
      </w:r>
      <w:r w:rsidRPr="00517DD3">
        <w:rPr>
          <w:sz w:val="28"/>
          <w:szCs w:val="28"/>
          <w:lang w:val="en-US"/>
        </w:rPr>
        <w:t>3</w:t>
      </w:r>
      <w:r w:rsidRPr="00517DD3">
        <w:rPr>
          <w:sz w:val="28"/>
          <w:szCs w:val="28"/>
        </w:rPr>
        <w:t>%.</w:t>
      </w:r>
    </w:p>
    <w:p w14:paraId="12CD62DB" w14:textId="7987EE51" w:rsidR="00815C91" w:rsidRDefault="00815C91" w:rsidP="00815C91">
      <w:pPr>
        <w:pStyle w:val="FootnoteText"/>
        <w:spacing w:before="40" w:after="40" w:line="269" w:lineRule="auto"/>
        <w:ind w:firstLine="567"/>
        <w:jc w:val="both"/>
        <w:rPr>
          <w:rStyle w:val="normalchar"/>
          <w:lang w:val="nl-NL"/>
        </w:rPr>
      </w:pPr>
      <w:r w:rsidRPr="00517DD3">
        <w:rPr>
          <w:sz w:val="28"/>
          <w:szCs w:val="28"/>
          <w:lang w:val="es-NI"/>
        </w:rPr>
        <w:t xml:space="preserve">(3) </w:t>
      </w:r>
      <w:r w:rsidRPr="00415C05">
        <w:rPr>
          <w:i/>
          <w:iCs/>
          <w:sz w:val="28"/>
          <w:szCs w:val="28"/>
          <w:lang w:val="es-NI"/>
        </w:rPr>
        <w:t>Food and catering services</w:t>
      </w:r>
      <w:r w:rsidRPr="00C16FE7">
        <w:rPr>
          <w:sz w:val="28"/>
          <w:szCs w:val="28"/>
          <w:lang w:val="es-NI"/>
        </w:rPr>
        <w:t xml:space="preserve"> kept prices stable, in which: Food increased by 0.08%</w:t>
      </w:r>
      <w:r w:rsidRPr="00517DD3">
        <w:rPr>
          <w:rStyle w:val="FootnoteReference"/>
          <w:sz w:val="28"/>
          <w:szCs w:val="28"/>
          <w:lang w:val="nl-NL"/>
        </w:rPr>
        <w:footnoteReference w:id="17"/>
      </w:r>
      <w:r w:rsidRPr="00517DD3">
        <w:rPr>
          <w:rStyle w:val="normalchar"/>
          <w:lang w:val="nl-NL"/>
        </w:rPr>
        <w:t xml:space="preserve">; </w:t>
      </w:r>
      <w:r w:rsidRPr="00C16FE7">
        <w:rPr>
          <w:sz w:val="28"/>
          <w:szCs w:val="28"/>
          <w:lang w:val="es-NI"/>
        </w:rPr>
        <w:t>food</w:t>
      </w:r>
      <w:r>
        <w:rPr>
          <w:sz w:val="28"/>
          <w:szCs w:val="28"/>
          <w:lang w:val="es-NI"/>
        </w:rPr>
        <w:t>stuff</w:t>
      </w:r>
      <w:r w:rsidRPr="00C16FE7">
        <w:rPr>
          <w:sz w:val="28"/>
          <w:szCs w:val="28"/>
          <w:lang w:val="es-NI"/>
        </w:rPr>
        <w:t xml:space="preserve"> decreased by 0.09% because China tightened control of Covid-19 epidemic prevention at some border gates, causing traffic jams for Vietnamese agricultural products, traders stopped buying</w:t>
      </w:r>
      <w:r w:rsidRPr="00517DD3">
        <w:rPr>
          <w:rStyle w:val="FootnoteReference"/>
          <w:sz w:val="28"/>
          <w:szCs w:val="28"/>
          <w:lang w:val="nl-NL"/>
        </w:rPr>
        <w:footnoteReference w:id="18"/>
      </w:r>
      <w:r w:rsidRPr="00517DD3">
        <w:rPr>
          <w:rStyle w:val="normalchar"/>
          <w:lang w:val="nl-NL"/>
        </w:rPr>
        <w:t xml:space="preserve">; </w:t>
      </w:r>
      <w:r w:rsidRPr="000546C4">
        <w:rPr>
          <w:rStyle w:val="normalchar"/>
          <w:lang w:val="nl-NL"/>
        </w:rPr>
        <w:t>outdoor eating and drinking</w:t>
      </w:r>
      <w:r w:rsidRPr="00C16FE7">
        <w:rPr>
          <w:sz w:val="28"/>
          <w:szCs w:val="28"/>
          <w:lang w:val="es-NI"/>
        </w:rPr>
        <w:t xml:space="preserve"> increased by 0.18% due to the increase in the price of gasoline, fresh food, milk, and cooking oil, which made </w:t>
      </w:r>
      <w:r w:rsidR="00B1127D">
        <w:rPr>
          <w:sz w:val="28"/>
          <w:szCs w:val="28"/>
          <w:lang w:val="es-NI"/>
        </w:rPr>
        <w:t>foodservice</w:t>
      </w:r>
      <w:r w:rsidRPr="00C16FE7">
        <w:rPr>
          <w:sz w:val="28"/>
          <w:szCs w:val="28"/>
          <w:lang w:val="es-NI"/>
        </w:rPr>
        <w:t xml:space="preserve"> shops outside the family increase their selling prices</w:t>
      </w:r>
      <w:r w:rsidRPr="00517DD3">
        <w:rPr>
          <w:rStyle w:val="normalchar"/>
          <w:lang w:val="nl-NL"/>
        </w:rPr>
        <w:t>.</w:t>
      </w:r>
    </w:p>
    <w:p w14:paraId="6C5620FB" w14:textId="51EA6962" w:rsidR="00815C91" w:rsidRPr="00517DD3" w:rsidRDefault="00815C91" w:rsidP="00815C91">
      <w:pPr>
        <w:pStyle w:val="FootnoteText"/>
        <w:spacing w:before="40" w:after="40" w:line="269" w:lineRule="auto"/>
        <w:ind w:firstLine="567"/>
        <w:jc w:val="both"/>
        <w:rPr>
          <w:rStyle w:val="normalchar"/>
          <w:lang w:val="nl-NL"/>
        </w:rPr>
      </w:pPr>
      <w:r w:rsidRPr="00415C05">
        <w:rPr>
          <w:i/>
          <w:iCs/>
          <w:sz w:val="28"/>
          <w:szCs w:val="28"/>
          <w:lang w:val="es-NI"/>
        </w:rPr>
        <w:t>Core inflation</w:t>
      </w:r>
      <w:r w:rsidR="004A74F9">
        <w:rPr>
          <w:rStyle w:val="FootnoteReference"/>
          <w:sz w:val="28"/>
          <w:szCs w:val="28"/>
          <w:lang w:val="nl-NL"/>
        </w:rPr>
        <w:t xml:space="preserve"> </w:t>
      </w:r>
      <w:r w:rsidRPr="00415C05">
        <w:rPr>
          <w:sz w:val="28"/>
          <w:szCs w:val="28"/>
          <w:lang w:val="es-NI"/>
        </w:rPr>
        <w:t>in January 2022 increased by 0.26% over the previous month, by 0.66% over the same period last year.</w:t>
      </w:r>
    </w:p>
    <w:p w14:paraId="3F3C2A94" w14:textId="77777777" w:rsidR="00815C91" w:rsidRPr="00517DD3" w:rsidRDefault="00815C91" w:rsidP="00815C91">
      <w:pPr>
        <w:pStyle w:val="FootnoteText"/>
        <w:spacing w:before="40" w:after="40" w:line="269" w:lineRule="auto"/>
        <w:ind w:firstLine="567"/>
        <w:jc w:val="both"/>
        <w:rPr>
          <w:sz w:val="28"/>
          <w:szCs w:val="28"/>
          <w:lang w:val="es-NI"/>
        </w:rPr>
      </w:pPr>
      <w:r w:rsidRPr="00C16FE7">
        <w:rPr>
          <w:sz w:val="28"/>
          <w:szCs w:val="28"/>
          <w:lang w:val="es-NI"/>
        </w:rPr>
        <w:t xml:space="preserve">The domestic gold price </w:t>
      </w:r>
      <w:r>
        <w:rPr>
          <w:sz w:val="28"/>
          <w:szCs w:val="28"/>
          <w:lang w:val="es-NI"/>
        </w:rPr>
        <w:t>fluctuated</w:t>
      </w:r>
      <w:r w:rsidRPr="00C16FE7">
        <w:rPr>
          <w:sz w:val="28"/>
          <w:szCs w:val="28"/>
          <w:lang w:val="es-NI"/>
        </w:rPr>
        <w:t xml:space="preserve"> in the same direction as the world gold price. The average world gold price as of January 25</w:t>
      </w:r>
      <w:r>
        <w:rPr>
          <w:sz w:val="28"/>
          <w:szCs w:val="28"/>
          <w:lang w:val="es-NI"/>
        </w:rPr>
        <w:t>th</w:t>
      </w:r>
      <w:r w:rsidRPr="00C16FE7">
        <w:rPr>
          <w:sz w:val="28"/>
          <w:szCs w:val="28"/>
          <w:lang w:val="es-NI"/>
        </w:rPr>
        <w:t>, 2022 increased by 1.46% compared to December 2021 due to the US dollar and bond yields falling as the US inflation data increased. Besides, investors fear that prices will continue to rise and geopolitical tensions in Eastern Europe make safe assets like gold rise</w:t>
      </w:r>
      <w:r>
        <w:rPr>
          <w:sz w:val="28"/>
          <w:szCs w:val="28"/>
          <w:lang w:val="vi-VN"/>
        </w:rPr>
        <w:t xml:space="preserve"> </w:t>
      </w:r>
      <w:r>
        <w:rPr>
          <w:sz w:val="28"/>
          <w:szCs w:val="28"/>
          <w:lang w:val="vi-VN"/>
        </w:rPr>
        <w:lastRenderedPageBreak/>
        <w:t>the price</w:t>
      </w:r>
      <w:r w:rsidRPr="00C16FE7">
        <w:rPr>
          <w:sz w:val="28"/>
          <w:szCs w:val="28"/>
          <w:lang w:val="es-NI"/>
        </w:rPr>
        <w:t>. Domestically, the gold price index in January 2022 increased by 1.08% compared to the previous month; down 0.07% over the same period in 2021.</w:t>
      </w:r>
    </w:p>
    <w:p w14:paraId="023A511A" w14:textId="77777777" w:rsidR="00815C91" w:rsidRPr="009B614C" w:rsidRDefault="00815C91" w:rsidP="00815C91">
      <w:pPr>
        <w:pStyle w:val="FootnoteText"/>
        <w:spacing w:before="40" w:after="40" w:line="269" w:lineRule="auto"/>
        <w:ind w:firstLine="567"/>
        <w:jc w:val="both"/>
        <w:rPr>
          <w:sz w:val="28"/>
          <w:szCs w:val="28"/>
          <w:lang w:val="es-NI"/>
        </w:rPr>
      </w:pPr>
      <w:r w:rsidRPr="00C16FE7">
        <w:rPr>
          <w:sz w:val="28"/>
          <w:szCs w:val="28"/>
          <w:lang w:val="es-NI"/>
        </w:rPr>
        <w:t>The US dollar in the world market fell in the context that US inflation in December 2021 increased by 7% over the same period last year. Domestically, due to the guaranteed supply, the US dollar price index in January 2022 decreased by 0.32% compared to the previous month; down 0.73% over the same period in 2021.</w:t>
      </w:r>
    </w:p>
    <w:p w14:paraId="5F326A91" w14:textId="4E7A1093" w:rsidR="00D92A54" w:rsidRPr="00D92A54" w:rsidRDefault="00D92A54" w:rsidP="00FA070F">
      <w:pPr>
        <w:pStyle w:val="ListParagraph"/>
        <w:tabs>
          <w:tab w:val="left" w:pos="567"/>
        </w:tabs>
        <w:spacing w:before="40" w:after="40" w:line="295" w:lineRule="auto"/>
        <w:ind w:left="0" w:right="79" w:firstLine="567"/>
        <w:jc w:val="both"/>
        <w:rPr>
          <w:b/>
          <w:bCs/>
          <w:i/>
          <w:iCs/>
          <w:lang w:val="fr-FR"/>
        </w:rPr>
      </w:pPr>
      <w:r w:rsidRPr="00D92A54">
        <w:rPr>
          <w:b/>
          <w:bCs/>
          <w:i/>
          <w:iCs/>
          <w:lang w:val="fr-FR"/>
        </w:rPr>
        <w:t xml:space="preserve">b) </w:t>
      </w:r>
      <w:r w:rsidR="00E96D55" w:rsidRPr="002C53C8">
        <w:rPr>
          <w:b/>
          <w:bCs/>
          <w:i/>
          <w:iCs/>
        </w:rPr>
        <w:t>Transport</w:t>
      </w:r>
    </w:p>
    <w:p w14:paraId="03BEB06E" w14:textId="3D615B99" w:rsidR="00302F60" w:rsidRPr="00192CCC" w:rsidRDefault="00302F60" w:rsidP="0030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4" w:lineRule="auto"/>
        <w:jc w:val="both"/>
        <w:rPr>
          <w:i/>
          <w:iCs/>
        </w:rPr>
      </w:pPr>
      <w:r w:rsidRPr="00192CCC">
        <w:rPr>
          <w:rStyle w:val="y2iqfc"/>
          <w:i/>
          <w:color w:val="202124"/>
        </w:rPr>
        <w:t xml:space="preserve">Transport activities in January </w:t>
      </w:r>
      <w:r>
        <w:rPr>
          <w:rStyle w:val="y2iqfc"/>
          <w:i/>
          <w:color w:val="202124"/>
        </w:rPr>
        <w:t>we</w:t>
      </w:r>
      <w:r w:rsidRPr="00192CCC">
        <w:rPr>
          <w:rStyle w:val="y2iqfc"/>
          <w:i/>
          <w:color w:val="202124"/>
        </w:rPr>
        <w:t xml:space="preserve">re busier than previous months because this is the month adjacent to the Lunar New Year, the demand for transporting passengers and goods has increased. However, </w:t>
      </w:r>
      <w:r w:rsidRPr="00E34057">
        <w:rPr>
          <w:i/>
          <w:iCs/>
        </w:rPr>
        <w:t xml:space="preserve">compared to the same period last year, passenger transport decreased by </w:t>
      </w:r>
      <w:r>
        <w:rPr>
          <w:i/>
          <w:iCs/>
        </w:rPr>
        <w:t>54</w:t>
      </w:r>
      <w:r w:rsidRPr="00E34057">
        <w:rPr>
          <w:i/>
          <w:iCs/>
        </w:rPr>
        <w:t xml:space="preserve">% in passengers carried, decreased by </w:t>
      </w:r>
      <w:r>
        <w:rPr>
          <w:i/>
          <w:iCs/>
        </w:rPr>
        <w:t>61.4</w:t>
      </w:r>
      <w:r w:rsidRPr="00E34057">
        <w:rPr>
          <w:i/>
          <w:iCs/>
        </w:rPr>
        <w:t>% in passengers traffic</w:t>
      </w:r>
      <w:r w:rsidR="00212530">
        <w:rPr>
          <w:i/>
          <w:iCs/>
        </w:rPr>
        <w:t>,</w:t>
      </w:r>
      <w:r w:rsidRPr="00E34057">
        <w:rPr>
          <w:i/>
          <w:iCs/>
        </w:rPr>
        <w:t xml:space="preserve"> and cargo transport decreased by </w:t>
      </w:r>
      <w:r>
        <w:rPr>
          <w:i/>
          <w:iCs/>
        </w:rPr>
        <w:t>8.9</w:t>
      </w:r>
      <w:r w:rsidRPr="00E34057">
        <w:rPr>
          <w:i/>
          <w:iCs/>
        </w:rPr>
        <w:t xml:space="preserve">% in freight carried, </w:t>
      </w:r>
      <w:r w:rsidR="00212530">
        <w:rPr>
          <w:i/>
          <w:iCs/>
        </w:rPr>
        <w:t xml:space="preserve">a </w:t>
      </w:r>
      <w:r>
        <w:rPr>
          <w:i/>
          <w:iCs/>
        </w:rPr>
        <w:t>slight increase of 1.6% in</w:t>
      </w:r>
      <w:r w:rsidRPr="00E34057">
        <w:rPr>
          <w:i/>
          <w:iCs/>
        </w:rPr>
        <w:t xml:space="preserve"> freight traffic</w:t>
      </w:r>
      <w:r>
        <w:rPr>
          <w:i/>
          <w:iCs/>
        </w:rPr>
        <w:t>.</w:t>
      </w:r>
    </w:p>
    <w:p w14:paraId="45831CD0" w14:textId="77777777" w:rsidR="00302F60" w:rsidRPr="00E34057" w:rsidRDefault="00302F60" w:rsidP="00302F60">
      <w:pPr>
        <w:spacing w:before="120" w:after="120" w:line="264" w:lineRule="auto"/>
        <w:jc w:val="both"/>
        <w:rPr>
          <w:spacing w:val="-2"/>
          <w:lang w:val="fr-FR"/>
        </w:rPr>
      </w:pPr>
      <w:bookmarkStart w:id="8" w:name="_Hlk86823183"/>
      <w:r>
        <w:rPr>
          <w:i/>
          <w:iCs/>
          <w:spacing w:val="-2"/>
          <w:lang w:val="fr-FR"/>
        </w:rPr>
        <w:tab/>
      </w:r>
      <w:r w:rsidRPr="001471CC">
        <w:rPr>
          <w:i/>
          <w:iCs/>
          <w:spacing w:val="-2"/>
          <w:lang w:val="fr-FR"/>
        </w:rPr>
        <w:t>Passengers carried</w:t>
      </w:r>
      <w:r w:rsidRPr="00E34057">
        <w:rPr>
          <w:spacing w:val="-2"/>
          <w:lang w:val="fr-FR"/>
        </w:rPr>
        <w:t xml:space="preserve"> in </w:t>
      </w:r>
      <w:r>
        <w:rPr>
          <w:lang w:val="pt-BR"/>
        </w:rPr>
        <w:t>January 2022</w:t>
      </w:r>
      <w:r w:rsidRPr="00E34057">
        <w:rPr>
          <w:spacing w:val="-2"/>
          <w:lang w:val="fr-FR"/>
        </w:rPr>
        <w:t xml:space="preserve"> were estimated at </w:t>
      </w:r>
      <w:r>
        <w:rPr>
          <w:spacing w:val="-2"/>
          <w:lang w:val="fr-FR"/>
        </w:rPr>
        <w:t>165.3</w:t>
      </w:r>
      <w:r w:rsidRPr="00E34057">
        <w:rPr>
          <w:spacing w:val="-2"/>
          <w:lang w:val="fr-FR"/>
        </w:rPr>
        <w:t xml:space="preserve"> million persons, increased by </w:t>
      </w:r>
      <w:r>
        <w:rPr>
          <w:spacing w:val="-2"/>
          <w:lang w:val="fr-FR"/>
        </w:rPr>
        <w:t>15</w:t>
      </w:r>
      <w:r w:rsidRPr="00E34057">
        <w:rPr>
          <w:spacing w:val="-2"/>
          <w:lang w:val="fr-FR"/>
        </w:rPr>
        <w:t xml:space="preserve">% compared to the </w:t>
      </w:r>
      <w:r w:rsidRPr="00E34057">
        <w:rPr>
          <w:lang w:val="pt-BR"/>
        </w:rPr>
        <w:t>previous month</w:t>
      </w:r>
      <w:r w:rsidRPr="00E34057">
        <w:rPr>
          <w:spacing w:val="-2"/>
          <w:lang w:val="fr-FR"/>
        </w:rPr>
        <w:t xml:space="preserve">, and a decrease of </w:t>
      </w:r>
      <w:r>
        <w:rPr>
          <w:spacing w:val="-2"/>
          <w:lang w:val="fr-FR"/>
        </w:rPr>
        <w:t>54</w:t>
      </w:r>
      <w:r w:rsidRPr="00E34057">
        <w:rPr>
          <w:spacing w:val="-2"/>
          <w:lang w:val="fr-FR"/>
        </w:rPr>
        <w:t>% over the same period last year (the same period of 202</w:t>
      </w:r>
      <w:r>
        <w:rPr>
          <w:spacing w:val="-2"/>
          <w:lang w:val="fr-FR"/>
        </w:rPr>
        <w:t>1</w:t>
      </w:r>
      <w:r w:rsidRPr="00E34057">
        <w:rPr>
          <w:spacing w:val="-2"/>
          <w:lang w:val="fr-FR"/>
        </w:rPr>
        <w:t xml:space="preserve"> down </w:t>
      </w:r>
      <w:r>
        <w:rPr>
          <w:spacing w:val="-2"/>
          <w:lang w:val="fr-FR"/>
        </w:rPr>
        <w:t>27.4</w:t>
      </w:r>
      <w:r w:rsidRPr="00E34057">
        <w:rPr>
          <w:spacing w:val="-2"/>
          <w:lang w:val="fr-FR"/>
        </w:rPr>
        <w:t xml:space="preserve">%), the passenger traffic gained </w:t>
      </w:r>
      <w:r>
        <w:rPr>
          <w:spacing w:val="-2"/>
          <w:lang w:val="fr-FR"/>
        </w:rPr>
        <w:t>6</w:t>
      </w:r>
      <w:r w:rsidRPr="00E34057">
        <w:rPr>
          <w:spacing w:val="-2"/>
          <w:lang w:val="fr-FR"/>
        </w:rPr>
        <w:t xml:space="preserve"> billion passengers-km, increased by </w:t>
      </w:r>
      <w:r>
        <w:rPr>
          <w:spacing w:val="-2"/>
          <w:lang w:val="fr-FR"/>
        </w:rPr>
        <w:t>20.3</w:t>
      </w:r>
      <w:r w:rsidRPr="00E34057">
        <w:rPr>
          <w:spacing w:val="-2"/>
          <w:lang w:val="fr-FR"/>
        </w:rPr>
        <w:t xml:space="preserve">% </w:t>
      </w:r>
      <w:r>
        <w:rPr>
          <w:spacing w:val="-2"/>
          <w:lang w:val="fr-FR"/>
        </w:rPr>
        <w:t>and</w:t>
      </w:r>
      <w:r w:rsidRPr="00E34057">
        <w:rPr>
          <w:spacing w:val="-2"/>
          <w:lang w:val="fr-FR"/>
        </w:rPr>
        <w:t xml:space="preserve"> down </w:t>
      </w:r>
      <w:r>
        <w:rPr>
          <w:spacing w:val="-2"/>
          <w:lang w:val="fr-FR"/>
        </w:rPr>
        <w:t>61.4</w:t>
      </w:r>
      <w:r w:rsidRPr="00E34057">
        <w:rPr>
          <w:spacing w:val="-2"/>
          <w:lang w:val="fr-FR"/>
        </w:rPr>
        <w:t>% (the same period of 202</w:t>
      </w:r>
      <w:r>
        <w:rPr>
          <w:spacing w:val="-2"/>
          <w:lang w:val="fr-FR"/>
        </w:rPr>
        <w:t>1</w:t>
      </w:r>
      <w:r w:rsidRPr="00E34057">
        <w:rPr>
          <w:spacing w:val="-2"/>
          <w:lang w:val="fr-FR"/>
        </w:rPr>
        <w:t xml:space="preserve"> decreased by </w:t>
      </w:r>
      <w:r>
        <w:rPr>
          <w:spacing w:val="-2"/>
          <w:lang w:val="fr-FR"/>
        </w:rPr>
        <w:t>34.4</w:t>
      </w:r>
      <w:r w:rsidRPr="00E34057">
        <w:rPr>
          <w:spacing w:val="-2"/>
          <w:lang w:val="fr-FR"/>
        </w:rPr>
        <w:t xml:space="preserve"> %)</w:t>
      </w:r>
      <w:r>
        <w:rPr>
          <w:spacing w:val="-2"/>
          <w:lang w:val="fr-FR"/>
        </w:rPr>
        <w:t xml:space="preserve">, </w:t>
      </w:r>
      <w:bookmarkEnd w:id="8"/>
      <w:r w:rsidRPr="00321DDB">
        <w:rPr>
          <w:spacing w:val="-2"/>
          <w:lang w:val="fr-FR"/>
        </w:rPr>
        <w:t xml:space="preserve">in which domestic transport </w:t>
      </w:r>
      <w:r>
        <w:rPr>
          <w:spacing w:val="-2"/>
          <w:lang w:val="fr-FR"/>
        </w:rPr>
        <w:t>accounted</w:t>
      </w:r>
      <w:r w:rsidRPr="00321DDB">
        <w:rPr>
          <w:spacing w:val="-2"/>
          <w:lang w:val="fr-FR"/>
        </w:rPr>
        <w:t xml:space="preserve"> for nearly 100%, foreign transport </w:t>
      </w:r>
      <w:r>
        <w:rPr>
          <w:spacing w:val="-2"/>
          <w:lang w:val="fr-FR"/>
        </w:rPr>
        <w:t>accounted</w:t>
      </w:r>
      <w:r w:rsidRPr="00321DDB">
        <w:rPr>
          <w:spacing w:val="-2"/>
          <w:lang w:val="fr-FR"/>
        </w:rPr>
        <w:t xml:space="preserve"> for a negligible proportion</w:t>
      </w:r>
      <w:r w:rsidRPr="00E34057">
        <w:rPr>
          <w:spacing w:val="-2"/>
          <w:lang w:val="fr-FR"/>
        </w:rPr>
        <w:t>.</w:t>
      </w:r>
    </w:p>
    <w:p w14:paraId="51F541E3" w14:textId="77777777" w:rsidR="00302F60" w:rsidRPr="00E34057" w:rsidRDefault="00302F60" w:rsidP="00302F60">
      <w:pPr>
        <w:spacing w:before="120" w:after="120" w:line="264" w:lineRule="auto"/>
        <w:jc w:val="both"/>
        <w:rPr>
          <w:spacing w:val="-2"/>
          <w:lang w:val="fr-FR"/>
        </w:rPr>
      </w:pPr>
      <w:r>
        <w:rPr>
          <w:spacing w:val="-2"/>
          <w:lang w:val="fr-FR"/>
        </w:rPr>
        <w:tab/>
      </w:r>
      <w:r w:rsidRPr="00E34057">
        <w:rPr>
          <w:spacing w:val="-2"/>
          <w:lang w:val="fr-FR"/>
        </w:rPr>
        <w:t>By types</w:t>
      </w:r>
      <w:r>
        <w:rPr>
          <w:spacing w:val="-2"/>
          <w:lang w:val="fr-FR"/>
        </w:rPr>
        <w:t xml:space="preserve"> of transport, all types in </w:t>
      </w:r>
      <w:r w:rsidRPr="00E34057">
        <w:rPr>
          <w:spacing w:val="-2"/>
          <w:lang w:val="fr-FR"/>
        </w:rPr>
        <w:t xml:space="preserve">this </w:t>
      </w:r>
      <w:r>
        <w:rPr>
          <w:spacing w:val="-2"/>
          <w:lang w:val="fr-FR"/>
        </w:rPr>
        <w:t>month</w:t>
      </w:r>
      <w:r w:rsidRPr="00E34057">
        <w:rPr>
          <w:spacing w:val="-2"/>
          <w:lang w:val="fr-FR"/>
        </w:rPr>
        <w:t xml:space="preserve"> decreased compare</w:t>
      </w:r>
      <w:r>
        <w:rPr>
          <w:spacing w:val="-2"/>
          <w:lang w:val="fr-FR"/>
        </w:rPr>
        <w:t>d to the same period last year.</w:t>
      </w:r>
    </w:p>
    <w:p w14:paraId="48ED71A3" w14:textId="77777777" w:rsidR="00302F60" w:rsidRPr="00CF7B18" w:rsidRDefault="00302F60" w:rsidP="00302F60">
      <w:pPr>
        <w:spacing w:before="120" w:after="120" w:line="276" w:lineRule="auto"/>
        <w:jc w:val="center"/>
        <w:rPr>
          <w:b/>
          <w:bCs/>
          <w:lang w:val="fr-FR"/>
        </w:rPr>
      </w:pPr>
      <w:r>
        <w:rPr>
          <w:b/>
          <w:bCs/>
          <w:iCs/>
        </w:rPr>
        <w:t xml:space="preserve">Table 6. </w:t>
      </w:r>
      <w:r w:rsidRPr="00CF7B18">
        <w:rPr>
          <w:b/>
          <w:bCs/>
          <w:iCs/>
          <w:lang w:val="fr-FR"/>
        </w:rPr>
        <w:t xml:space="preserve">Carriage of passengers in </w:t>
      </w:r>
      <w:r>
        <w:rPr>
          <w:b/>
          <w:bCs/>
          <w:iCs/>
          <w:lang w:val="fr-FR"/>
        </w:rPr>
        <w:t>January</w:t>
      </w:r>
      <w:r w:rsidRPr="00CF7B18">
        <w:rPr>
          <w:b/>
          <w:bCs/>
          <w:iCs/>
          <w:lang w:val="fr-FR"/>
        </w:rPr>
        <w:t xml:space="preserve"> 202</w:t>
      </w:r>
      <w:r>
        <w:rPr>
          <w:b/>
          <w:bCs/>
          <w:iCs/>
          <w:lang w:val="fr-FR"/>
        </w:rPr>
        <w:t>2</w:t>
      </w:r>
      <w:r w:rsidRPr="00CF7B18">
        <w:rPr>
          <w:b/>
          <w:bCs/>
          <w:iCs/>
          <w:lang w:val="fr-FR"/>
        </w:rPr>
        <w:t xml:space="preserve"> </w:t>
      </w:r>
      <w:r w:rsidRPr="00CF7B18">
        <w:rPr>
          <w:b/>
          <w:bCs/>
          <w:lang w:val="fr-FR"/>
        </w:rPr>
        <w:t>by types of transport</w:t>
      </w:r>
    </w:p>
    <w:tbl>
      <w:tblPr>
        <w:tblW w:w="9219" w:type="dxa"/>
        <w:jc w:val="right"/>
        <w:tblLook w:val="04A0" w:firstRow="1" w:lastRow="0" w:firstColumn="1" w:lastColumn="0" w:noHBand="0" w:noVBand="1"/>
      </w:tblPr>
      <w:tblGrid>
        <w:gridCol w:w="2063"/>
        <w:gridCol w:w="1951"/>
        <w:gridCol w:w="2110"/>
        <w:gridCol w:w="272"/>
        <w:gridCol w:w="1531"/>
        <w:gridCol w:w="1292"/>
      </w:tblGrid>
      <w:tr w:rsidR="00302F60" w:rsidRPr="005037B2" w14:paraId="6940AD6F" w14:textId="77777777" w:rsidTr="00601A47">
        <w:trPr>
          <w:trHeight w:val="418"/>
          <w:jc w:val="right"/>
        </w:trPr>
        <w:tc>
          <w:tcPr>
            <w:tcW w:w="2063" w:type="dxa"/>
            <w:tcBorders>
              <w:top w:val="single" w:sz="4" w:space="0" w:color="auto"/>
              <w:left w:val="nil"/>
              <w:bottom w:val="nil"/>
              <w:right w:val="nil"/>
            </w:tcBorders>
            <w:vAlign w:val="center"/>
            <w:hideMark/>
          </w:tcPr>
          <w:p w14:paraId="582D61B1" w14:textId="77777777" w:rsidR="00302F60" w:rsidRPr="005037B2" w:rsidRDefault="00302F60" w:rsidP="00601A47">
            <w:pPr>
              <w:spacing w:before="40" w:after="40" w:line="276" w:lineRule="auto"/>
              <w:rPr>
                <w:sz w:val="20"/>
                <w:szCs w:val="20"/>
                <w:lang w:val="en-GB" w:eastAsia="vi-VN"/>
              </w:rPr>
            </w:pPr>
            <w:r w:rsidRPr="005037B2">
              <w:rPr>
                <w:sz w:val="20"/>
                <w:szCs w:val="20"/>
                <w:lang w:eastAsia="vi-VN"/>
              </w:rPr>
              <w:t> </w:t>
            </w:r>
          </w:p>
        </w:tc>
        <w:tc>
          <w:tcPr>
            <w:tcW w:w="4061" w:type="dxa"/>
            <w:gridSpan w:val="2"/>
            <w:tcBorders>
              <w:top w:val="single" w:sz="4" w:space="0" w:color="auto"/>
              <w:left w:val="nil"/>
              <w:bottom w:val="single" w:sz="4" w:space="0" w:color="auto"/>
              <w:right w:val="nil"/>
            </w:tcBorders>
            <w:vAlign w:val="center"/>
            <w:hideMark/>
          </w:tcPr>
          <w:p w14:paraId="60099738" w14:textId="77777777" w:rsidR="00302F60" w:rsidRPr="005037B2" w:rsidRDefault="00302F60" w:rsidP="00601A47">
            <w:pPr>
              <w:spacing w:before="40" w:after="40" w:line="276" w:lineRule="auto"/>
              <w:jc w:val="center"/>
              <w:rPr>
                <w:sz w:val="20"/>
                <w:szCs w:val="20"/>
                <w:lang w:eastAsia="vi-VN"/>
              </w:rPr>
            </w:pPr>
            <w:r w:rsidRPr="005037B2">
              <w:rPr>
                <w:iCs/>
                <w:sz w:val="20"/>
                <w:szCs w:val="20"/>
                <w:lang w:eastAsia="vi-VN"/>
              </w:rPr>
              <w:t xml:space="preserve">Number of passengers </w:t>
            </w:r>
          </w:p>
        </w:tc>
        <w:tc>
          <w:tcPr>
            <w:tcW w:w="272" w:type="dxa"/>
            <w:tcBorders>
              <w:top w:val="single" w:sz="4" w:space="0" w:color="auto"/>
              <w:left w:val="nil"/>
              <w:bottom w:val="single" w:sz="4" w:space="0" w:color="auto"/>
              <w:right w:val="nil"/>
            </w:tcBorders>
            <w:vAlign w:val="center"/>
            <w:hideMark/>
          </w:tcPr>
          <w:p w14:paraId="6AFB29F7" w14:textId="77777777" w:rsidR="00302F60" w:rsidRPr="005037B2" w:rsidRDefault="00302F60" w:rsidP="00601A47">
            <w:pPr>
              <w:spacing w:before="40" w:after="40" w:line="276" w:lineRule="auto"/>
              <w:jc w:val="center"/>
              <w:rPr>
                <w:color w:val="000000"/>
                <w:sz w:val="20"/>
                <w:szCs w:val="20"/>
                <w:lang w:val="en-GB" w:eastAsia="vi-VN"/>
              </w:rPr>
            </w:pPr>
            <w:r w:rsidRPr="005037B2">
              <w:rPr>
                <w:color w:val="000000"/>
                <w:sz w:val="20"/>
                <w:szCs w:val="20"/>
                <w:lang w:eastAsia="vi-VN"/>
              </w:rPr>
              <w:t> </w:t>
            </w:r>
          </w:p>
        </w:tc>
        <w:tc>
          <w:tcPr>
            <w:tcW w:w="2823" w:type="dxa"/>
            <w:gridSpan w:val="2"/>
            <w:tcBorders>
              <w:top w:val="single" w:sz="4" w:space="0" w:color="auto"/>
              <w:left w:val="nil"/>
              <w:bottom w:val="single" w:sz="4" w:space="0" w:color="auto"/>
              <w:right w:val="nil"/>
            </w:tcBorders>
            <w:vAlign w:val="center"/>
            <w:hideMark/>
          </w:tcPr>
          <w:p w14:paraId="4085D4C7" w14:textId="77777777" w:rsidR="00302F60" w:rsidRPr="005037B2" w:rsidRDefault="00302F60" w:rsidP="00601A47">
            <w:pPr>
              <w:spacing w:before="40" w:after="40" w:line="276" w:lineRule="auto"/>
              <w:jc w:val="center"/>
              <w:rPr>
                <w:color w:val="000000"/>
                <w:sz w:val="20"/>
                <w:szCs w:val="20"/>
                <w:lang w:eastAsia="vi-VN"/>
              </w:rPr>
            </w:pPr>
            <w:r w:rsidRPr="005037B2">
              <w:rPr>
                <w:color w:val="000000"/>
                <w:sz w:val="20"/>
                <w:szCs w:val="20"/>
                <w:lang w:eastAsia="vi-VN"/>
              </w:rPr>
              <w:t>The growth rate</w:t>
            </w:r>
            <w:r w:rsidRPr="005037B2">
              <w:rPr>
                <w:color w:val="000000"/>
                <w:sz w:val="20"/>
                <w:szCs w:val="20"/>
                <w:lang w:eastAsia="vi-VN"/>
              </w:rPr>
              <w:br/>
              <w:t>compared to the same period last year (%)</w:t>
            </w:r>
          </w:p>
        </w:tc>
      </w:tr>
      <w:tr w:rsidR="00302F60" w:rsidRPr="005037B2" w14:paraId="6E088433" w14:textId="77777777" w:rsidTr="00601A47">
        <w:trPr>
          <w:trHeight w:val="411"/>
          <w:jc w:val="right"/>
        </w:trPr>
        <w:tc>
          <w:tcPr>
            <w:tcW w:w="2063" w:type="dxa"/>
            <w:vAlign w:val="center"/>
            <w:hideMark/>
          </w:tcPr>
          <w:p w14:paraId="714A5EAD" w14:textId="77777777" w:rsidR="00302F60" w:rsidRPr="005037B2" w:rsidRDefault="00302F60" w:rsidP="00601A47">
            <w:pPr>
              <w:spacing w:line="276" w:lineRule="auto"/>
              <w:rPr>
                <w:color w:val="000000"/>
                <w:sz w:val="20"/>
                <w:szCs w:val="20"/>
                <w:lang w:eastAsia="vi-VN"/>
              </w:rPr>
            </w:pPr>
          </w:p>
        </w:tc>
        <w:tc>
          <w:tcPr>
            <w:tcW w:w="1951" w:type="dxa"/>
            <w:tcBorders>
              <w:top w:val="single" w:sz="4" w:space="0" w:color="auto"/>
              <w:left w:val="nil"/>
              <w:bottom w:val="single" w:sz="4" w:space="0" w:color="auto"/>
              <w:right w:val="nil"/>
            </w:tcBorders>
            <w:vAlign w:val="center"/>
            <w:hideMark/>
          </w:tcPr>
          <w:p w14:paraId="4D1F0D81" w14:textId="77777777" w:rsidR="00302F60" w:rsidRPr="005037B2" w:rsidRDefault="00302F60" w:rsidP="00601A47">
            <w:pPr>
              <w:spacing w:before="40" w:after="40" w:line="276" w:lineRule="auto"/>
              <w:jc w:val="center"/>
              <w:rPr>
                <w:sz w:val="20"/>
                <w:szCs w:val="20"/>
                <w:lang w:eastAsia="vi-VN"/>
              </w:rPr>
            </w:pPr>
            <w:r w:rsidRPr="005037B2">
              <w:rPr>
                <w:sz w:val="20"/>
                <w:szCs w:val="20"/>
                <w:lang w:eastAsia="vi-VN"/>
              </w:rPr>
              <w:t>Carried</w:t>
            </w:r>
            <w:r w:rsidRPr="005037B2">
              <w:rPr>
                <w:sz w:val="20"/>
                <w:szCs w:val="20"/>
                <w:lang w:eastAsia="vi-VN"/>
              </w:rPr>
              <w:br/>
              <w:t>(</w:t>
            </w:r>
            <w:r>
              <w:rPr>
                <w:sz w:val="20"/>
                <w:szCs w:val="20"/>
                <w:lang w:eastAsia="vi-VN"/>
              </w:rPr>
              <w:t xml:space="preserve">Thous. </w:t>
            </w:r>
            <w:r w:rsidRPr="005037B2">
              <w:rPr>
                <w:sz w:val="20"/>
                <w:szCs w:val="20"/>
                <w:lang w:eastAsia="vi-VN"/>
              </w:rPr>
              <w:t>passengers)</w:t>
            </w:r>
          </w:p>
        </w:tc>
        <w:tc>
          <w:tcPr>
            <w:tcW w:w="2110" w:type="dxa"/>
            <w:tcBorders>
              <w:top w:val="single" w:sz="4" w:space="0" w:color="auto"/>
              <w:left w:val="nil"/>
              <w:bottom w:val="single" w:sz="4" w:space="0" w:color="auto"/>
              <w:right w:val="nil"/>
            </w:tcBorders>
            <w:vAlign w:val="center"/>
            <w:hideMark/>
          </w:tcPr>
          <w:p w14:paraId="3B55F50A" w14:textId="77777777" w:rsidR="00302F60" w:rsidRPr="005037B2" w:rsidRDefault="00302F60" w:rsidP="00601A47">
            <w:pPr>
              <w:spacing w:before="40" w:after="40" w:line="276" w:lineRule="auto"/>
              <w:jc w:val="center"/>
              <w:rPr>
                <w:sz w:val="20"/>
                <w:szCs w:val="20"/>
                <w:lang w:eastAsia="vi-VN"/>
              </w:rPr>
            </w:pPr>
            <w:r w:rsidRPr="005037B2">
              <w:rPr>
                <w:sz w:val="20"/>
                <w:szCs w:val="20"/>
                <w:lang w:eastAsia="vi-VN"/>
              </w:rPr>
              <w:t>Traffic</w:t>
            </w:r>
            <w:r w:rsidRPr="005037B2">
              <w:rPr>
                <w:sz w:val="20"/>
                <w:szCs w:val="20"/>
                <w:lang w:eastAsia="vi-VN"/>
              </w:rPr>
              <w:br/>
              <w:t>(</w:t>
            </w:r>
            <w:r>
              <w:rPr>
                <w:sz w:val="20"/>
                <w:szCs w:val="20"/>
                <w:lang w:eastAsia="vi-VN"/>
              </w:rPr>
              <w:t>M</w:t>
            </w:r>
            <w:r w:rsidRPr="005037B2">
              <w:rPr>
                <w:sz w:val="20"/>
                <w:szCs w:val="20"/>
                <w:lang w:eastAsia="vi-VN"/>
              </w:rPr>
              <w:t>ill. passengers-km)</w:t>
            </w:r>
          </w:p>
        </w:tc>
        <w:tc>
          <w:tcPr>
            <w:tcW w:w="272" w:type="dxa"/>
            <w:tcBorders>
              <w:top w:val="single" w:sz="4" w:space="0" w:color="auto"/>
              <w:left w:val="nil"/>
              <w:bottom w:val="single" w:sz="4" w:space="0" w:color="auto"/>
              <w:right w:val="nil"/>
            </w:tcBorders>
            <w:vAlign w:val="center"/>
            <w:hideMark/>
          </w:tcPr>
          <w:p w14:paraId="6BA65F0A" w14:textId="77777777" w:rsidR="00302F60" w:rsidRPr="005037B2" w:rsidRDefault="00302F60" w:rsidP="00601A47">
            <w:pPr>
              <w:spacing w:before="40" w:after="40" w:line="276" w:lineRule="auto"/>
              <w:jc w:val="center"/>
              <w:rPr>
                <w:sz w:val="20"/>
                <w:szCs w:val="20"/>
                <w:lang w:val="en-GB" w:eastAsia="vi-VN"/>
              </w:rPr>
            </w:pPr>
            <w:r w:rsidRPr="005037B2">
              <w:rPr>
                <w:sz w:val="20"/>
                <w:szCs w:val="20"/>
                <w:lang w:eastAsia="vi-VN"/>
              </w:rPr>
              <w:t> </w:t>
            </w:r>
          </w:p>
        </w:tc>
        <w:tc>
          <w:tcPr>
            <w:tcW w:w="1531" w:type="dxa"/>
            <w:tcBorders>
              <w:top w:val="single" w:sz="4" w:space="0" w:color="auto"/>
              <w:left w:val="nil"/>
              <w:bottom w:val="single" w:sz="4" w:space="0" w:color="auto"/>
              <w:right w:val="nil"/>
            </w:tcBorders>
            <w:vAlign w:val="center"/>
            <w:hideMark/>
          </w:tcPr>
          <w:p w14:paraId="6898FDBD" w14:textId="77777777" w:rsidR="00302F60" w:rsidRPr="005037B2" w:rsidRDefault="00302F60" w:rsidP="00601A47">
            <w:pPr>
              <w:spacing w:before="40" w:after="40" w:line="276" w:lineRule="auto"/>
              <w:jc w:val="center"/>
              <w:rPr>
                <w:sz w:val="20"/>
                <w:szCs w:val="20"/>
                <w:lang w:eastAsia="vi-VN"/>
              </w:rPr>
            </w:pPr>
            <w:r w:rsidRPr="005037B2">
              <w:rPr>
                <w:sz w:val="20"/>
                <w:szCs w:val="20"/>
                <w:lang w:eastAsia="vi-VN"/>
              </w:rPr>
              <w:t>Carried</w:t>
            </w:r>
          </w:p>
        </w:tc>
        <w:tc>
          <w:tcPr>
            <w:tcW w:w="1292" w:type="dxa"/>
            <w:tcBorders>
              <w:top w:val="single" w:sz="4" w:space="0" w:color="auto"/>
              <w:left w:val="nil"/>
              <w:bottom w:val="single" w:sz="4" w:space="0" w:color="auto"/>
              <w:right w:val="nil"/>
            </w:tcBorders>
            <w:vAlign w:val="center"/>
            <w:hideMark/>
          </w:tcPr>
          <w:p w14:paraId="504B2648" w14:textId="77777777" w:rsidR="00302F60" w:rsidRPr="005037B2" w:rsidRDefault="00302F60" w:rsidP="00601A47">
            <w:pPr>
              <w:spacing w:before="40" w:after="40" w:line="276" w:lineRule="auto"/>
              <w:jc w:val="center"/>
              <w:rPr>
                <w:sz w:val="20"/>
                <w:szCs w:val="20"/>
                <w:lang w:eastAsia="vi-VN"/>
              </w:rPr>
            </w:pPr>
            <w:r w:rsidRPr="005037B2">
              <w:rPr>
                <w:sz w:val="20"/>
                <w:szCs w:val="20"/>
                <w:lang w:eastAsia="vi-VN"/>
              </w:rPr>
              <w:t>Traffic</w:t>
            </w:r>
          </w:p>
        </w:tc>
      </w:tr>
      <w:tr w:rsidR="00302F60" w:rsidRPr="005037B2" w14:paraId="5A969F8B" w14:textId="77777777" w:rsidTr="00601A47">
        <w:trPr>
          <w:trHeight w:val="372"/>
          <w:jc w:val="right"/>
        </w:trPr>
        <w:tc>
          <w:tcPr>
            <w:tcW w:w="2063" w:type="dxa"/>
            <w:noWrap/>
            <w:vAlign w:val="bottom"/>
            <w:hideMark/>
          </w:tcPr>
          <w:p w14:paraId="57C495E2" w14:textId="77777777" w:rsidR="00302F60" w:rsidRPr="005037B2" w:rsidRDefault="00302F60" w:rsidP="00601A47">
            <w:pPr>
              <w:spacing w:before="40" w:after="40" w:line="276" w:lineRule="auto"/>
              <w:rPr>
                <w:b/>
                <w:bCs/>
                <w:sz w:val="20"/>
                <w:szCs w:val="20"/>
                <w:lang w:eastAsia="vi-VN"/>
              </w:rPr>
            </w:pPr>
            <w:r w:rsidRPr="005037B2">
              <w:rPr>
                <w:b/>
                <w:bCs/>
                <w:sz w:val="20"/>
                <w:szCs w:val="20"/>
                <w:lang w:eastAsia="vi-VN"/>
              </w:rPr>
              <w:t>Total</w:t>
            </w:r>
          </w:p>
        </w:tc>
        <w:tc>
          <w:tcPr>
            <w:tcW w:w="1951" w:type="dxa"/>
            <w:tcBorders>
              <w:top w:val="single" w:sz="4" w:space="0" w:color="auto"/>
              <w:left w:val="nil"/>
              <w:bottom w:val="nil"/>
              <w:right w:val="nil"/>
            </w:tcBorders>
            <w:noWrap/>
            <w:vAlign w:val="bottom"/>
            <w:hideMark/>
          </w:tcPr>
          <w:p w14:paraId="2BB6D499" w14:textId="77777777" w:rsidR="00302F60" w:rsidRDefault="00302F60" w:rsidP="00601A47">
            <w:pPr>
              <w:spacing w:before="60" w:after="60"/>
              <w:ind w:right="265"/>
              <w:jc w:val="right"/>
              <w:rPr>
                <w:rFonts w:ascii="Arial" w:hAnsi="Arial" w:cs="Arial"/>
                <w:b/>
                <w:bCs/>
                <w:sz w:val="20"/>
                <w:szCs w:val="20"/>
              </w:rPr>
            </w:pPr>
            <w:r>
              <w:rPr>
                <w:rFonts w:ascii="Arial" w:hAnsi="Arial" w:cs="Arial"/>
                <w:b/>
                <w:bCs/>
                <w:sz w:val="20"/>
                <w:szCs w:val="20"/>
              </w:rPr>
              <w:t>165,271.5</w:t>
            </w:r>
          </w:p>
        </w:tc>
        <w:tc>
          <w:tcPr>
            <w:tcW w:w="2110" w:type="dxa"/>
            <w:tcBorders>
              <w:top w:val="single" w:sz="4" w:space="0" w:color="auto"/>
              <w:left w:val="nil"/>
              <w:bottom w:val="nil"/>
              <w:right w:val="nil"/>
            </w:tcBorders>
            <w:noWrap/>
            <w:vAlign w:val="bottom"/>
            <w:hideMark/>
          </w:tcPr>
          <w:p w14:paraId="2006AEBA" w14:textId="77777777" w:rsidR="00302F60" w:rsidRDefault="00302F60" w:rsidP="00601A47">
            <w:pPr>
              <w:spacing w:before="60" w:after="60"/>
              <w:ind w:right="219"/>
              <w:jc w:val="right"/>
              <w:rPr>
                <w:rFonts w:ascii="Arial" w:hAnsi="Arial" w:cs="Arial"/>
                <w:b/>
                <w:bCs/>
                <w:sz w:val="20"/>
                <w:szCs w:val="20"/>
              </w:rPr>
            </w:pPr>
            <w:r>
              <w:rPr>
                <w:rFonts w:ascii="Arial" w:hAnsi="Arial" w:cs="Arial"/>
                <w:b/>
                <w:bCs/>
                <w:sz w:val="20"/>
                <w:szCs w:val="20"/>
              </w:rPr>
              <w:t>5,993.8</w:t>
            </w:r>
          </w:p>
        </w:tc>
        <w:tc>
          <w:tcPr>
            <w:tcW w:w="272" w:type="dxa"/>
            <w:tcBorders>
              <w:top w:val="single" w:sz="4" w:space="0" w:color="auto"/>
              <w:left w:val="nil"/>
              <w:bottom w:val="nil"/>
              <w:right w:val="nil"/>
            </w:tcBorders>
            <w:noWrap/>
            <w:vAlign w:val="bottom"/>
            <w:hideMark/>
          </w:tcPr>
          <w:p w14:paraId="3B69D170" w14:textId="77777777" w:rsidR="00302F60" w:rsidRPr="00581500" w:rsidRDefault="00302F60" w:rsidP="00601A47">
            <w:pPr>
              <w:spacing w:before="60" w:after="60"/>
              <w:ind w:right="304"/>
              <w:jc w:val="right"/>
              <w:rPr>
                <w:rFonts w:ascii="Arial" w:hAnsi="Arial" w:cs="Arial"/>
                <w:b/>
                <w:bCs/>
                <w:sz w:val="20"/>
                <w:szCs w:val="20"/>
                <w:lang w:eastAsia="vi-VN"/>
              </w:rPr>
            </w:pPr>
          </w:p>
        </w:tc>
        <w:tc>
          <w:tcPr>
            <w:tcW w:w="1531" w:type="dxa"/>
            <w:tcBorders>
              <w:top w:val="single" w:sz="4" w:space="0" w:color="auto"/>
              <w:left w:val="nil"/>
              <w:bottom w:val="nil"/>
              <w:right w:val="nil"/>
            </w:tcBorders>
            <w:noWrap/>
            <w:vAlign w:val="bottom"/>
            <w:hideMark/>
          </w:tcPr>
          <w:p w14:paraId="6594948B" w14:textId="77777777" w:rsidR="00302F60" w:rsidRPr="00581500" w:rsidRDefault="00302F60" w:rsidP="00601A47">
            <w:pPr>
              <w:spacing w:before="60" w:after="60"/>
              <w:ind w:right="289"/>
              <w:jc w:val="right"/>
              <w:rPr>
                <w:rFonts w:ascii="Arial" w:hAnsi="Arial" w:cs="Arial"/>
                <w:b/>
                <w:color w:val="000000"/>
                <w:sz w:val="20"/>
                <w:szCs w:val="20"/>
              </w:rPr>
            </w:pPr>
            <w:r w:rsidRPr="00581500">
              <w:rPr>
                <w:rFonts w:ascii="Arial" w:hAnsi="Arial" w:cs="Arial"/>
                <w:b/>
                <w:color w:val="000000"/>
                <w:sz w:val="20"/>
                <w:szCs w:val="20"/>
              </w:rPr>
              <w:t>-54</w:t>
            </w:r>
            <w:r>
              <w:rPr>
                <w:rFonts w:ascii="Arial" w:hAnsi="Arial" w:cs="Arial"/>
                <w:b/>
                <w:color w:val="000000"/>
                <w:sz w:val="20"/>
                <w:szCs w:val="20"/>
              </w:rPr>
              <w:t>.</w:t>
            </w:r>
            <w:r w:rsidRPr="00581500">
              <w:rPr>
                <w:rFonts w:ascii="Arial" w:hAnsi="Arial" w:cs="Arial"/>
                <w:b/>
                <w:color w:val="000000"/>
                <w:sz w:val="20"/>
                <w:szCs w:val="20"/>
              </w:rPr>
              <w:t>0</w:t>
            </w:r>
          </w:p>
        </w:tc>
        <w:tc>
          <w:tcPr>
            <w:tcW w:w="1292" w:type="dxa"/>
            <w:tcBorders>
              <w:top w:val="single" w:sz="4" w:space="0" w:color="auto"/>
              <w:left w:val="nil"/>
              <w:bottom w:val="nil"/>
              <w:right w:val="nil"/>
            </w:tcBorders>
            <w:noWrap/>
            <w:vAlign w:val="bottom"/>
            <w:hideMark/>
          </w:tcPr>
          <w:p w14:paraId="1013970E" w14:textId="77777777" w:rsidR="00302F60" w:rsidRPr="00581500" w:rsidRDefault="00302F60" w:rsidP="00601A47">
            <w:pPr>
              <w:spacing w:before="60" w:after="60"/>
              <w:ind w:right="397"/>
              <w:jc w:val="right"/>
              <w:rPr>
                <w:rFonts w:ascii="Arial" w:hAnsi="Arial" w:cs="Arial"/>
                <w:b/>
                <w:color w:val="000000"/>
                <w:sz w:val="20"/>
                <w:szCs w:val="20"/>
              </w:rPr>
            </w:pPr>
            <w:r w:rsidRPr="00581500">
              <w:rPr>
                <w:rFonts w:ascii="Arial" w:hAnsi="Arial" w:cs="Arial"/>
                <w:b/>
                <w:color w:val="000000"/>
                <w:sz w:val="20"/>
                <w:szCs w:val="20"/>
              </w:rPr>
              <w:t>-61</w:t>
            </w:r>
            <w:r>
              <w:rPr>
                <w:rFonts w:ascii="Arial" w:hAnsi="Arial" w:cs="Arial"/>
                <w:b/>
                <w:color w:val="000000"/>
                <w:sz w:val="20"/>
                <w:szCs w:val="20"/>
              </w:rPr>
              <w:t>.</w:t>
            </w:r>
            <w:r w:rsidRPr="00581500">
              <w:rPr>
                <w:rFonts w:ascii="Arial" w:hAnsi="Arial" w:cs="Arial"/>
                <w:b/>
                <w:color w:val="000000"/>
                <w:sz w:val="20"/>
                <w:szCs w:val="20"/>
              </w:rPr>
              <w:t>4</w:t>
            </w:r>
          </w:p>
        </w:tc>
      </w:tr>
      <w:tr w:rsidR="00302F60" w:rsidRPr="005037B2" w14:paraId="41C065A6" w14:textId="77777777" w:rsidTr="00601A47">
        <w:trPr>
          <w:cantSplit/>
          <w:trHeight w:val="315"/>
          <w:jc w:val="right"/>
        </w:trPr>
        <w:tc>
          <w:tcPr>
            <w:tcW w:w="2063" w:type="dxa"/>
            <w:noWrap/>
            <w:vAlign w:val="bottom"/>
            <w:hideMark/>
          </w:tcPr>
          <w:p w14:paraId="5F737ED2" w14:textId="77777777" w:rsidR="00302F60" w:rsidRPr="005037B2" w:rsidRDefault="00302F60" w:rsidP="00601A47">
            <w:pPr>
              <w:spacing w:before="40" w:after="40" w:line="276" w:lineRule="auto"/>
              <w:ind w:firstLineChars="100" w:firstLine="200"/>
              <w:rPr>
                <w:sz w:val="20"/>
                <w:szCs w:val="20"/>
              </w:rPr>
            </w:pPr>
            <w:r w:rsidRPr="005037B2">
              <w:rPr>
                <w:sz w:val="20"/>
                <w:szCs w:val="20"/>
              </w:rPr>
              <w:t>Railway</w:t>
            </w:r>
          </w:p>
        </w:tc>
        <w:tc>
          <w:tcPr>
            <w:tcW w:w="1951" w:type="dxa"/>
            <w:noWrap/>
            <w:vAlign w:val="bottom"/>
            <w:hideMark/>
          </w:tcPr>
          <w:p w14:paraId="6CD52AA2" w14:textId="77777777" w:rsidR="00302F60" w:rsidRDefault="00302F60" w:rsidP="00601A47">
            <w:pPr>
              <w:spacing w:before="60" w:after="60"/>
              <w:ind w:right="265"/>
              <w:jc w:val="right"/>
              <w:rPr>
                <w:rFonts w:ascii="Arial" w:hAnsi="Arial" w:cs="Arial"/>
                <w:sz w:val="20"/>
                <w:szCs w:val="20"/>
              </w:rPr>
            </w:pPr>
            <w:r>
              <w:rPr>
                <w:rFonts w:ascii="Arial" w:hAnsi="Arial" w:cs="Arial"/>
                <w:sz w:val="20"/>
                <w:szCs w:val="20"/>
              </w:rPr>
              <w:t>87.2</w:t>
            </w:r>
          </w:p>
        </w:tc>
        <w:tc>
          <w:tcPr>
            <w:tcW w:w="2110" w:type="dxa"/>
            <w:noWrap/>
            <w:vAlign w:val="bottom"/>
            <w:hideMark/>
          </w:tcPr>
          <w:p w14:paraId="48D17BB7" w14:textId="77777777" w:rsidR="00302F60" w:rsidRDefault="00302F60" w:rsidP="00601A47">
            <w:pPr>
              <w:spacing w:before="60" w:after="60"/>
              <w:ind w:right="219"/>
              <w:jc w:val="right"/>
              <w:rPr>
                <w:rFonts w:ascii="Arial" w:hAnsi="Arial" w:cs="Arial"/>
                <w:sz w:val="20"/>
                <w:szCs w:val="20"/>
              </w:rPr>
            </w:pPr>
            <w:r>
              <w:rPr>
                <w:rFonts w:ascii="Arial" w:hAnsi="Arial" w:cs="Arial"/>
                <w:sz w:val="20"/>
                <w:szCs w:val="20"/>
              </w:rPr>
              <w:t>42.1</w:t>
            </w:r>
          </w:p>
        </w:tc>
        <w:tc>
          <w:tcPr>
            <w:tcW w:w="272" w:type="dxa"/>
            <w:noWrap/>
            <w:vAlign w:val="bottom"/>
            <w:hideMark/>
          </w:tcPr>
          <w:p w14:paraId="278406DB" w14:textId="77777777" w:rsidR="00302F60" w:rsidRPr="00F1379D" w:rsidRDefault="00302F60" w:rsidP="00601A47">
            <w:pPr>
              <w:spacing w:before="60" w:after="60"/>
              <w:ind w:right="304"/>
              <w:jc w:val="right"/>
              <w:rPr>
                <w:rFonts w:ascii="Arial" w:hAnsi="Arial" w:cs="Arial"/>
                <w:sz w:val="20"/>
                <w:szCs w:val="20"/>
                <w:lang w:eastAsia="vi-VN"/>
              </w:rPr>
            </w:pPr>
          </w:p>
        </w:tc>
        <w:tc>
          <w:tcPr>
            <w:tcW w:w="1531" w:type="dxa"/>
            <w:noWrap/>
            <w:vAlign w:val="bottom"/>
            <w:hideMark/>
          </w:tcPr>
          <w:p w14:paraId="0F07BE34" w14:textId="77777777" w:rsidR="00302F60" w:rsidRDefault="00302F60" w:rsidP="00601A47">
            <w:pPr>
              <w:spacing w:before="60" w:after="60"/>
              <w:ind w:right="289"/>
              <w:jc w:val="right"/>
              <w:rPr>
                <w:rFonts w:ascii="Arial" w:hAnsi="Arial" w:cs="Arial"/>
                <w:color w:val="000000"/>
                <w:sz w:val="20"/>
                <w:szCs w:val="20"/>
              </w:rPr>
            </w:pPr>
            <w:r>
              <w:rPr>
                <w:rFonts w:ascii="Arial" w:hAnsi="Arial" w:cs="Arial"/>
                <w:color w:val="000000"/>
                <w:sz w:val="20"/>
                <w:szCs w:val="20"/>
              </w:rPr>
              <w:t>-67.5</w:t>
            </w:r>
          </w:p>
        </w:tc>
        <w:tc>
          <w:tcPr>
            <w:tcW w:w="1292" w:type="dxa"/>
            <w:noWrap/>
            <w:vAlign w:val="bottom"/>
            <w:hideMark/>
          </w:tcPr>
          <w:p w14:paraId="37187EAC" w14:textId="77777777" w:rsidR="00302F60" w:rsidRDefault="00302F60" w:rsidP="00601A47">
            <w:pPr>
              <w:spacing w:before="60" w:after="60"/>
              <w:ind w:right="397"/>
              <w:jc w:val="right"/>
              <w:rPr>
                <w:rFonts w:ascii="Arial" w:hAnsi="Arial" w:cs="Arial"/>
                <w:color w:val="000000"/>
                <w:sz w:val="20"/>
                <w:szCs w:val="20"/>
              </w:rPr>
            </w:pPr>
            <w:r>
              <w:rPr>
                <w:rFonts w:ascii="Arial" w:hAnsi="Arial" w:cs="Arial"/>
                <w:color w:val="000000"/>
                <w:sz w:val="20"/>
                <w:szCs w:val="20"/>
              </w:rPr>
              <w:t>-49.6</w:t>
            </w:r>
          </w:p>
        </w:tc>
      </w:tr>
      <w:tr w:rsidR="00302F60" w:rsidRPr="005037B2" w14:paraId="6F3F1AE7" w14:textId="77777777" w:rsidTr="00601A47">
        <w:trPr>
          <w:cantSplit/>
          <w:trHeight w:val="315"/>
          <w:jc w:val="right"/>
        </w:trPr>
        <w:tc>
          <w:tcPr>
            <w:tcW w:w="2063" w:type="dxa"/>
            <w:noWrap/>
            <w:vAlign w:val="bottom"/>
            <w:hideMark/>
          </w:tcPr>
          <w:p w14:paraId="0D0870FE" w14:textId="77777777" w:rsidR="00302F60" w:rsidRPr="005037B2" w:rsidRDefault="00302F60" w:rsidP="00601A47">
            <w:pPr>
              <w:spacing w:before="40" w:after="40" w:line="276" w:lineRule="auto"/>
              <w:ind w:firstLineChars="100" w:firstLine="200"/>
              <w:rPr>
                <w:sz w:val="20"/>
                <w:szCs w:val="20"/>
              </w:rPr>
            </w:pPr>
            <w:r w:rsidRPr="005037B2">
              <w:rPr>
                <w:sz w:val="20"/>
                <w:szCs w:val="20"/>
              </w:rPr>
              <w:t>Seaway</w:t>
            </w:r>
          </w:p>
        </w:tc>
        <w:tc>
          <w:tcPr>
            <w:tcW w:w="1951" w:type="dxa"/>
            <w:noWrap/>
            <w:vAlign w:val="bottom"/>
            <w:hideMark/>
          </w:tcPr>
          <w:p w14:paraId="17E37207" w14:textId="77777777" w:rsidR="00302F60" w:rsidRDefault="00302F60" w:rsidP="00601A47">
            <w:pPr>
              <w:spacing w:before="60" w:after="60"/>
              <w:ind w:right="265"/>
              <w:jc w:val="right"/>
              <w:rPr>
                <w:rFonts w:ascii="Arial" w:hAnsi="Arial" w:cs="Arial"/>
                <w:sz w:val="20"/>
                <w:szCs w:val="20"/>
              </w:rPr>
            </w:pPr>
            <w:r>
              <w:rPr>
                <w:rFonts w:ascii="Arial" w:hAnsi="Arial" w:cs="Arial"/>
                <w:sz w:val="20"/>
                <w:szCs w:val="20"/>
              </w:rPr>
              <w:t>346.2</w:t>
            </w:r>
          </w:p>
        </w:tc>
        <w:tc>
          <w:tcPr>
            <w:tcW w:w="2110" w:type="dxa"/>
            <w:noWrap/>
            <w:vAlign w:val="bottom"/>
            <w:hideMark/>
          </w:tcPr>
          <w:p w14:paraId="0B9A4166" w14:textId="77777777" w:rsidR="00302F60" w:rsidRDefault="00302F60" w:rsidP="00601A47">
            <w:pPr>
              <w:spacing w:before="60" w:after="60"/>
              <w:ind w:right="219"/>
              <w:jc w:val="right"/>
              <w:rPr>
                <w:rFonts w:ascii="Arial" w:hAnsi="Arial" w:cs="Arial"/>
                <w:sz w:val="20"/>
                <w:szCs w:val="20"/>
              </w:rPr>
            </w:pPr>
            <w:r>
              <w:rPr>
                <w:rFonts w:ascii="Arial" w:hAnsi="Arial" w:cs="Arial"/>
                <w:sz w:val="20"/>
                <w:szCs w:val="20"/>
              </w:rPr>
              <w:t>20.8</w:t>
            </w:r>
          </w:p>
        </w:tc>
        <w:tc>
          <w:tcPr>
            <w:tcW w:w="272" w:type="dxa"/>
            <w:noWrap/>
            <w:vAlign w:val="bottom"/>
            <w:hideMark/>
          </w:tcPr>
          <w:p w14:paraId="37CBAB24" w14:textId="77777777" w:rsidR="00302F60" w:rsidRPr="00F1379D" w:rsidRDefault="00302F60" w:rsidP="00601A47">
            <w:pPr>
              <w:spacing w:before="60" w:after="60"/>
              <w:ind w:right="304"/>
              <w:jc w:val="right"/>
              <w:rPr>
                <w:rFonts w:ascii="Arial" w:hAnsi="Arial" w:cs="Arial"/>
                <w:sz w:val="20"/>
                <w:szCs w:val="20"/>
                <w:lang w:eastAsia="vi-VN"/>
              </w:rPr>
            </w:pPr>
          </w:p>
        </w:tc>
        <w:tc>
          <w:tcPr>
            <w:tcW w:w="1531" w:type="dxa"/>
            <w:noWrap/>
            <w:vAlign w:val="bottom"/>
            <w:hideMark/>
          </w:tcPr>
          <w:p w14:paraId="1B7149B0" w14:textId="77777777" w:rsidR="00302F60" w:rsidRDefault="00302F60" w:rsidP="00601A47">
            <w:pPr>
              <w:spacing w:before="60" w:after="60"/>
              <w:ind w:right="289"/>
              <w:jc w:val="right"/>
              <w:rPr>
                <w:rFonts w:ascii="Arial" w:hAnsi="Arial" w:cs="Arial"/>
                <w:color w:val="000000"/>
                <w:sz w:val="20"/>
                <w:szCs w:val="20"/>
              </w:rPr>
            </w:pPr>
            <w:r>
              <w:rPr>
                <w:rFonts w:ascii="Arial" w:hAnsi="Arial" w:cs="Arial"/>
                <w:color w:val="000000"/>
                <w:sz w:val="20"/>
                <w:szCs w:val="20"/>
              </w:rPr>
              <w:t>-53.0</w:t>
            </w:r>
          </w:p>
        </w:tc>
        <w:tc>
          <w:tcPr>
            <w:tcW w:w="1292" w:type="dxa"/>
            <w:noWrap/>
            <w:vAlign w:val="bottom"/>
            <w:hideMark/>
          </w:tcPr>
          <w:p w14:paraId="6424B4F6" w14:textId="77777777" w:rsidR="00302F60" w:rsidRDefault="00302F60" w:rsidP="00601A47">
            <w:pPr>
              <w:spacing w:before="60" w:after="60"/>
              <w:ind w:right="397"/>
              <w:jc w:val="right"/>
              <w:rPr>
                <w:rFonts w:ascii="Arial" w:hAnsi="Arial" w:cs="Arial"/>
                <w:color w:val="000000"/>
                <w:sz w:val="20"/>
                <w:szCs w:val="20"/>
              </w:rPr>
            </w:pPr>
            <w:r>
              <w:rPr>
                <w:rFonts w:ascii="Arial" w:hAnsi="Arial" w:cs="Arial"/>
                <w:color w:val="000000"/>
                <w:sz w:val="20"/>
                <w:szCs w:val="20"/>
              </w:rPr>
              <w:t>-55.4</w:t>
            </w:r>
          </w:p>
        </w:tc>
      </w:tr>
      <w:tr w:rsidR="00302F60" w:rsidRPr="005037B2" w14:paraId="6F9095DF" w14:textId="77777777" w:rsidTr="00601A47">
        <w:trPr>
          <w:cantSplit/>
          <w:trHeight w:val="315"/>
          <w:jc w:val="right"/>
        </w:trPr>
        <w:tc>
          <w:tcPr>
            <w:tcW w:w="2063" w:type="dxa"/>
            <w:noWrap/>
            <w:vAlign w:val="bottom"/>
            <w:hideMark/>
          </w:tcPr>
          <w:p w14:paraId="62F81271" w14:textId="77777777" w:rsidR="00302F60" w:rsidRPr="005037B2" w:rsidRDefault="00302F60" w:rsidP="00601A47">
            <w:pPr>
              <w:spacing w:before="40" w:after="40" w:line="276" w:lineRule="auto"/>
              <w:ind w:firstLineChars="100" w:firstLine="200"/>
              <w:rPr>
                <w:sz w:val="20"/>
                <w:szCs w:val="20"/>
              </w:rPr>
            </w:pPr>
            <w:r w:rsidRPr="005037B2">
              <w:rPr>
                <w:sz w:val="20"/>
                <w:szCs w:val="20"/>
              </w:rPr>
              <w:t>Inland waterway</w:t>
            </w:r>
          </w:p>
        </w:tc>
        <w:tc>
          <w:tcPr>
            <w:tcW w:w="1951" w:type="dxa"/>
            <w:noWrap/>
            <w:vAlign w:val="bottom"/>
            <w:hideMark/>
          </w:tcPr>
          <w:p w14:paraId="61E86313" w14:textId="77777777" w:rsidR="00302F60" w:rsidRDefault="00302F60" w:rsidP="00601A47">
            <w:pPr>
              <w:spacing w:before="60" w:after="60"/>
              <w:ind w:right="265"/>
              <w:jc w:val="right"/>
              <w:rPr>
                <w:rFonts w:ascii="Arial" w:hAnsi="Arial" w:cs="Arial"/>
                <w:sz w:val="20"/>
                <w:szCs w:val="20"/>
              </w:rPr>
            </w:pPr>
            <w:r>
              <w:rPr>
                <w:rFonts w:ascii="Arial" w:hAnsi="Arial" w:cs="Arial"/>
                <w:sz w:val="20"/>
                <w:szCs w:val="20"/>
              </w:rPr>
              <w:t>12.095.1</w:t>
            </w:r>
          </w:p>
        </w:tc>
        <w:tc>
          <w:tcPr>
            <w:tcW w:w="2110" w:type="dxa"/>
            <w:noWrap/>
            <w:vAlign w:val="bottom"/>
            <w:hideMark/>
          </w:tcPr>
          <w:p w14:paraId="2B2DAA91" w14:textId="77777777" w:rsidR="00302F60" w:rsidRDefault="00302F60" w:rsidP="00601A47">
            <w:pPr>
              <w:spacing w:before="60" w:after="60"/>
              <w:ind w:right="219"/>
              <w:jc w:val="right"/>
              <w:rPr>
                <w:rFonts w:ascii="Arial" w:hAnsi="Arial" w:cs="Arial"/>
                <w:sz w:val="20"/>
                <w:szCs w:val="20"/>
              </w:rPr>
            </w:pPr>
            <w:r>
              <w:rPr>
                <w:rFonts w:ascii="Arial" w:hAnsi="Arial" w:cs="Arial"/>
                <w:sz w:val="20"/>
                <w:szCs w:val="20"/>
              </w:rPr>
              <w:t>199.3</w:t>
            </w:r>
          </w:p>
        </w:tc>
        <w:tc>
          <w:tcPr>
            <w:tcW w:w="272" w:type="dxa"/>
            <w:noWrap/>
            <w:vAlign w:val="bottom"/>
            <w:hideMark/>
          </w:tcPr>
          <w:p w14:paraId="11F54E47" w14:textId="77777777" w:rsidR="00302F60" w:rsidRPr="00F1379D" w:rsidRDefault="00302F60" w:rsidP="00601A47">
            <w:pPr>
              <w:spacing w:before="60" w:after="60"/>
              <w:ind w:right="304"/>
              <w:jc w:val="right"/>
              <w:rPr>
                <w:rFonts w:ascii="Arial" w:hAnsi="Arial" w:cs="Arial"/>
                <w:sz w:val="20"/>
                <w:szCs w:val="20"/>
                <w:lang w:eastAsia="vi-VN"/>
              </w:rPr>
            </w:pPr>
          </w:p>
        </w:tc>
        <w:tc>
          <w:tcPr>
            <w:tcW w:w="1531" w:type="dxa"/>
            <w:noWrap/>
            <w:vAlign w:val="bottom"/>
            <w:hideMark/>
          </w:tcPr>
          <w:p w14:paraId="0AC8A5DB" w14:textId="77777777" w:rsidR="00302F60" w:rsidRDefault="00302F60" w:rsidP="00601A47">
            <w:pPr>
              <w:spacing w:before="60" w:after="60"/>
              <w:ind w:right="289"/>
              <w:jc w:val="right"/>
              <w:rPr>
                <w:rFonts w:ascii="Arial" w:hAnsi="Arial" w:cs="Arial"/>
                <w:color w:val="000000"/>
                <w:sz w:val="20"/>
                <w:szCs w:val="20"/>
              </w:rPr>
            </w:pPr>
            <w:r>
              <w:rPr>
                <w:rFonts w:ascii="Arial" w:hAnsi="Arial" w:cs="Arial"/>
                <w:color w:val="000000"/>
                <w:sz w:val="20"/>
                <w:szCs w:val="20"/>
              </w:rPr>
              <w:t>-44.3</w:t>
            </w:r>
          </w:p>
        </w:tc>
        <w:tc>
          <w:tcPr>
            <w:tcW w:w="1292" w:type="dxa"/>
            <w:noWrap/>
            <w:vAlign w:val="bottom"/>
            <w:hideMark/>
          </w:tcPr>
          <w:p w14:paraId="4E8F6E8A" w14:textId="77777777" w:rsidR="00302F60" w:rsidRDefault="00302F60" w:rsidP="00601A47">
            <w:pPr>
              <w:spacing w:before="60" w:after="60"/>
              <w:ind w:right="397"/>
              <w:jc w:val="right"/>
              <w:rPr>
                <w:rFonts w:ascii="Arial" w:hAnsi="Arial" w:cs="Arial"/>
                <w:color w:val="000000"/>
                <w:sz w:val="20"/>
                <w:szCs w:val="20"/>
              </w:rPr>
            </w:pPr>
            <w:r>
              <w:rPr>
                <w:rFonts w:ascii="Arial" w:hAnsi="Arial" w:cs="Arial"/>
                <w:color w:val="000000"/>
                <w:sz w:val="20"/>
                <w:szCs w:val="20"/>
              </w:rPr>
              <w:t>-47.2</w:t>
            </w:r>
          </w:p>
        </w:tc>
      </w:tr>
      <w:tr w:rsidR="00302F60" w:rsidRPr="005037B2" w14:paraId="498B8F81" w14:textId="77777777" w:rsidTr="00601A47">
        <w:trPr>
          <w:cantSplit/>
          <w:trHeight w:val="315"/>
          <w:jc w:val="right"/>
        </w:trPr>
        <w:tc>
          <w:tcPr>
            <w:tcW w:w="2063" w:type="dxa"/>
            <w:noWrap/>
            <w:vAlign w:val="bottom"/>
            <w:hideMark/>
          </w:tcPr>
          <w:p w14:paraId="18D281E0" w14:textId="77777777" w:rsidR="00302F60" w:rsidRPr="005037B2" w:rsidRDefault="00302F60" w:rsidP="00601A47">
            <w:pPr>
              <w:spacing w:before="40" w:after="40" w:line="276" w:lineRule="auto"/>
              <w:ind w:firstLineChars="100" w:firstLine="200"/>
              <w:rPr>
                <w:sz w:val="20"/>
                <w:szCs w:val="20"/>
              </w:rPr>
            </w:pPr>
            <w:r w:rsidRPr="005037B2">
              <w:rPr>
                <w:sz w:val="20"/>
                <w:szCs w:val="20"/>
              </w:rPr>
              <w:t>Road</w:t>
            </w:r>
          </w:p>
        </w:tc>
        <w:tc>
          <w:tcPr>
            <w:tcW w:w="1951" w:type="dxa"/>
            <w:noWrap/>
            <w:vAlign w:val="bottom"/>
            <w:hideMark/>
          </w:tcPr>
          <w:p w14:paraId="5ECD3D93" w14:textId="77777777" w:rsidR="00302F60" w:rsidRDefault="00302F60" w:rsidP="00601A47">
            <w:pPr>
              <w:spacing w:before="60" w:after="60"/>
              <w:ind w:right="265"/>
              <w:jc w:val="right"/>
              <w:rPr>
                <w:rFonts w:ascii="Arial" w:hAnsi="Arial" w:cs="Arial"/>
                <w:sz w:val="20"/>
                <w:szCs w:val="20"/>
              </w:rPr>
            </w:pPr>
            <w:r>
              <w:rPr>
                <w:rFonts w:ascii="Arial" w:hAnsi="Arial" w:cs="Arial"/>
                <w:sz w:val="20"/>
                <w:szCs w:val="20"/>
              </w:rPr>
              <w:t>152.438.5</w:t>
            </w:r>
          </w:p>
        </w:tc>
        <w:tc>
          <w:tcPr>
            <w:tcW w:w="2110" w:type="dxa"/>
            <w:noWrap/>
            <w:vAlign w:val="bottom"/>
            <w:hideMark/>
          </w:tcPr>
          <w:p w14:paraId="02C00A05" w14:textId="77777777" w:rsidR="00302F60" w:rsidRDefault="00302F60" w:rsidP="00601A47">
            <w:pPr>
              <w:spacing w:before="60" w:after="60"/>
              <w:ind w:right="219"/>
              <w:jc w:val="right"/>
              <w:rPr>
                <w:rFonts w:ascii="Arial" w:hAnsi="Arial" w:cs="Arial"/>
                <w:sz w:val="20"/>
                <w:szCs w:val="20"/>
              </w:rPr>
            </w:pPr>
            <w:r>
              <w:rPr>
                <w:rFonts w:ascii="Arial" w:hAnsi="Arial" w:cs="Arial"/>
                <w:sz w:val="20"/>
                <w:szCs w:val="20"/>
              </w:rPr>
              <w:t>5,331.3</w:t>
            </w:r>
          </w:p>
        </w:tc>
        <w:tc>
          <w:tcPr>
            <w:tcW w:w="272" w:type="dxa"/>
            <w:noWrap/>
            <w:vAlign w:val="bottom"/>
            <w:hideMark/>
          </w:tcPr>
          <w:p w14:paraId="1C4D1E96" w14:textId="77777777" w:rsidR="00302F60" w:rsidRPr="00F1379D" w:rsidRDefault="00302F60" w:rsidP="00601A47">
            <w:pPr>
              <w:spacing w:before="60" w:after="60"/>
              <w:ind w:right="304"/>
              <w:jc w:val="right"/>
              <w:rPr>
                <w:rFonts w:ascii="Arial" w:hAnsi="Arial" w:cs="Arial"/>
                <w:sz w:val="20"/>
                <w:szCs w:val="20"/>
                <w:lang w:eastAsia="vi-VN"/>
              </w:rPr>
            </w:pPr>
          </w:p>
        </w:tc>
        <w:tc>
          <w:tcPr>
            <w:tcW w:w="1531" w:type="dxa"/>
            <w:noWrap/>
            <w:vAlign w:val="bottom"/>
            <w:hideMark/>
          </w:tcPr>
          <w:p w14:paraId="559B1FE2" w14:textId="77777777" w:rsidR="00302F60" w:rsidRDefault="00302F60" w:rsidP="00601A47">
            <w:pPr>
              <w:spacing w:before="60" w:after="60"/>
              <w:ind w:right="289"/>
              <w:jc w:val="right"/>
              <w:rPr>
                <w:rFonts w:ascii="Arial" w:hAnsi="Arial" w:cs="Arial"/>
                <w:color w:val="000000"/>
                <w:sz w:val="20"/>
                <w:szCs w:val="20"/>
              </w:rPr>
            </w:pPr>
            <w:r>
              <w:rPr>
                <w:rFonts w:ascii="Arial" w:hAnsi="Arial" w:cs="Arial"/>
                <w:color w:val="000000"/>
                <w:sz w:val="20"/>
                <w:szCs w:val="20"/>
              </w:rPr>
              <w:t>-54.4</w:t>
            </w:r>
          </w:p>
        </w:tc>
        <w:tc>
          <w:tcPr>
            <w:tcW w:w="1292" w:type="dxa"/>
            <w:noWrap/>
            <w:vAlign w:val="bottom"/>
            <w:hideMark/>
          </w:tcPr>
          <w:p w14:paraId="3B230535" w14:textId="77777777" w:rsidR="00302F60" w:rsidRDefault="00302F60" w:rsidP="00601A47">
            <w:pPr>
              <w:spacing w:before="60" w:after="60"/>
              <w:ind w:right="397"/>
              <w:jc w:val="right"/>
              <w:rPr>
                <w:rFonts w:ascii="Arial" w:hAnsi="Arial" w:cs="Arial"/>
                <w:color w:val="000000"/>
                <w:sz w:val="20"/>
                <w:szCs w:val="20"/>
              </w:rPr>
            </w:pPr>
            <w:r>
              <w:rPr>
                <w:rFonts w:ascii="Arial" w:hAnsi="Arial" w:cs="Arial"/>
                <w:color w:val="000000"/>
                <w:sz w:val="20"/>
                <w:szCs w:val="20"/>
              </w:rPr>
              <w:t>-57.5</w:t>
            </w:r>
          </w:p>
        </w:tc>
      </w:tr>
      <w:tr w:rsidR="00302F60" w:rsidRPr="005037B2" w14:paraId="078C5230" w14:textId="77777777" w:rsidTr="00601A47">
        <w:trPr>
          <w:cantSplit/>
          <w:trHeight w:val="315"/>
          <w:jc w:val="right"/>
        </w:trPr>
        <w:tc>
          <w:tcPr>
            <w:tcW w:w="2063" w:type="dxa"/>
            <w:tcBorders>
              <w:top w:val="nil"/>
              <w:left w:val="nil"/>
              <w:bottom w:val="single" w:sz="4" w:space="0" w:color="auto"/>
              <w:right w:val="nil"/>
            </w:tcBorders>
            <w:noWrap/>
            <w:vAlign w:val="bottom"/>
            <w:hideMark/>
          </w:tcPr>
          <w:p w14:paraId="0A0D2C1F" w14:textId="77777777" w:rsidR="00302F60" w:rsidRPr="005037B2" w:rsidRDefault="00302F60" w:rsidP="00601A47">
            <w:pPr>
              <w:spacing w:before="40" w:after="40" w:line="276" w:lineRule="auto"/>
              <w:ind w:firstLineChars="100" w:firstLine="200"/>
              <w:rPr>
                <w:sz w:val="20"/>
                <w:szCs w:val="20"/>
              </w:rPr>
            </w:pPr>
            <w:r w:rsidRPr="005037B2">
              <w:rPr>
                <w:sz w:val="20"/>
                <w:szCs w:val="20"/>
              </w:rPr>
              <w:t>Airway</w:t>
            </w:r>
          </w:p>
        </w:tc>
        <w:tc>
          <w:tcPr>
            <w:tcW w:w="1951" w:type="dxa"/>
            <w:tcBorders>
              <w:top w:val="nil"/>
              <w:left w:val="nil"/>
              <w:bottom w:val="single" w:sz="4" w:space="0" w:color="auto"/>
              <w:right w:val="nil"/>
            </w:tcBorders>
            <w:noWrap/>
            <w:vAlign w:val="bottom"/>
            <w:hideMark/>
          </w:tcPr>
          <w:p w14:paraId="36625616" w14:textId="77777777" w:rsidR="00302F60" w:rsidRDefault="00302F60" w:rsidP="00601A47">
            <w:pPr>
              <w:spacing w:before="60" w:after="60"/>
              <w:ind w:right="265"/>
              <w:jc w:val="right"/>
              <w:rPr>
                <w:rFonts w:ascii="Arial" w:hAnsi="Arial" w:cs="Arial"/>
                <w:sz w:val="20"/>
                <w:szCs w:val="20"/>
              </w:rPr>
            </w:pPr>
            <w:r>
              <w:rPr>
                <w:rFonts w:ascii="Arial" w:hAnsi="Arial" w:cs="Arial"/>
                <w:sz w:val="20"/>
                <w:szCs w:val="20"/>
              </w:rPr>
              <w:t>304.5</w:t>
            </w:r>
          </w:p>
        </w:tc>
        <w:tc>
          <w:tcPr>
            <w:tcW w:w="2110" w:type="dxa"/>
            <w:tcBorders>
              <w:top w:val="nil"/>
              <w:left w:val="nil"/>
              <w:bottom w:val="single" w:sz="4" w:space="0" w:color="auto"/>
              <w:right w:val="nil"/>
            </w:tcBorders>
            <w:noWrap/>
            <w:vAlign w:val="bottom"/>
            <w:hideMark/>
          </w:tcPr>
          <w:p w14:paraId="758D6600" w14:textId="77777777" w:rsidR="00302F60" w:rsidRDefault="00302F60" w:rsidP="00601A47">
            <w:pPr>
              <w:spacing w:before="60" w:after="60"/>
              <w:ind w:right="219"/>
              <w:jc w:val="right"/>
              <w:rPr>
                <w:rFonts w:ascii="Arial" w:hAnsi="Arial" w:cs="Arial"/>
                <w:sz w:val="20"/>
                <w:szCs w:val="20"/>
              </w:rPr>
            </w:pPr>
            <w:r>
              <w:rPr>
                <w:rFonts w:ascii="Arial" w:hAnsi="Arial" w:cs="Arial"/>
                <w:sz w:val="20"/>
                <w:szCs w:val="20"/>
              </w:rPr>
              <w:t>400.3</w:t>
            </w:r>
          </w:p>
        </w:tc>
        <w:tc>
          <w:tcPr>
            <w:tcW w:w="272" w:type="dxa"/>
            <w:tcBorders>
              <w:top w:val="nil"/>
              <w:left w:val="nil"/>
              <w:bottom w:val="single" w:sz="4" w:space="0" w:color="auto"/>
              <w:right w:val="nil"/>
            </w:tcBorders>
            <w:noWrap/>
            <w:vAlign w:val="bottom"/>
            <w:hideMark/>
          </w:tcPr>
          <w:p w14:paraId="4C8F104D" w14:textId="77777777" w:rsidR="00302F60" w:rsidRPr="00F1379D" w:rsidRDefault="00302F60" w:rsidP="00601A47">
            <w:pPr>
              <w:spacing w:before="60" w:after="60"/>
              <w:ind w:right="304"/>
              <w:jc w:val="right"/>
              <w:rPr>
                <w:rFonts w:ascii="Arial" w:hAnsi="Arial" w:cs="Arial"/>
                <w:sz w:val="20"/>
                <w:szCs w:val="20"/>
                <w:lang w:eastAsia="vi-VN"/>
              </w:rPr>
            </w:pPr>
          </w:p>
        </w:tc>
        <w:tc>
          <w:tcPr>
            <w:tcW w:w="1531" w:type="dxa"/>
            <w:tcBorders>
              <w:top w:val="nil"/>
              <w:left w:val="nil"/>
              <w:bottom w:val="single" w:sz="4" w:space="0" w:color="auto"/>
              <w:right w:val="nil"/>
            </w:tcBorders>
            <w:noWrap/>
            <w:vAlign w:val="bottom"/>
            <w:hideMark/>
          </w:tcPr>
          <w:p w14:paraId="27712F05" w14:textId="77777777" w:rsidR="00302F60" w:rsidRDefault="00302F60" w:rsidP="00601A47">
            <w:pPr>
              <w:spacing w:before="60" w:after="60"/>
              <w:ind w:right="289"/>
              <w:jc w:val="right"/>
              <w:rPr>
                <w:rFonts w:ascii="Arial" w:hAnsi="Arial" w:cs="Arial"/>
                <w:color w:val="000000"/>
                <w:sz w:val="20"/>
                <w:szCs w:val="20"/>
              </w:rPr>
            </w:pPr>
            <w:r>
              <w:rPr>
                <w:rFonts w:ascii="Arial" w:hAnsi="Arial" w:cs="Arial"/>
                <w:color w:val="000000"/>
                <w:sz w:val="20"/>
                <w:szCs w:val="20"/>
              </w:rPr>
              <w:t>-88.3</w:t>
            </w:r>
          </w:p>
        </w:tc>
        <w:tc>
          <w:tcPr>
            <w:tcW w:w="1292" w:type="dxa"/>
            <w:tcBorders>
              <w:top w:val="nil"/>
              <w:left w:val="nil"/>
              <w:bottom w:val="single" w:sz="4" w:space="0" w:color="auto"/>
              <w:right w:val="nil"/>
            </w:tcBorders>
            <w:noWrap/>
            <w:vAlign w:val="bottom"/>
            <w:hideMark/>
          </w:tcPr>
          <w:p w14:paraId="3C258C83" w14:textId="77777777" w:rsidR="00302F60" w:rsidRDefault="00302F60" w:rsidP="00601A47">
            <w:pPr>
              <w:spacing w:before="60" w:after="60"/>
              <w:ind w:right="397"/>
              <w:jc w:val="right"/>
              <w:rPr>
                <w:rFonts w:ascii="Arial" w:hAnsi="Arial" w:cs="Arial"/>
                <w:color w:val="000000"/>
                <w:sz w:val="20"/>
                <w:szCs w:val="20"/>
              </w:rPr>
            </w:pPr>
            <w:r>
              <w:rPr>
                <w:rFonts w:ascii="Arial" w:hAnsi="Arial" w:cs="Arial"/>
                <w:color w:val="000000"/>
                <w:sz w:val="20"/>
                <w:szCs w:val="20"/>
              </w:rPr>
              <w:t>-83.9</w:t>
            </w:r>
          </w:p>
        </w:tc>
      </w:tr>
    </w:tbl>
    <w:p w14:paraId="2D39B1B0" w14:textId="77777777" w:rsidR="00302F60" w:rsidRPr="00CF7B18" w:rsidRDefault="00302F60" w:rsidP="00302F60">
      <w:pPr>
        <w:spacing w:before="120" w:after="120" w:line="264" w:lineRule="auto"/>
        <w:jc w:val="both"/>
        <w:rPr>
          <w:bCs/>
          <w:iCs/>
          <w:lang w:val="fr-FR"/>
        </w:rPr>
      </w:pPr>
      <w:bookmarkStart w:id="9" w:name="_Hlk86823246"/>
      <w:r>
        <w:rPr>
          <w:bCs/>
          <w:i/>
          <w:spacing w:val="-4"/>
          <w:lang w:val="fr-FR"/>
        </w:rPr>
        <w:tab/>
      </w:r>
      <w:r w:rsidRPr="001471CC">
        <w:rPr>
          <w:bCs/>
          <w:i/>
          <w:spacing w:val="-4"/>
          <w:lang w:val="fr-FR"/>
        </w:rPr>
        <w:t>Freight carried</w:t>
      </w:r>
      <w:r w:rsidRPr="00CF7B18">
        <w:rPr>
          <w:bCs/>
          <w:iCs/>
          <w:spacing w:val="-4"/>
          <w:lang w:val="fr-FR"/>
        </w:rPr>
        <w:t xml:space="preserve"> </w:t>
      </w:r>
      <w:r w:rsidRPr="00E34057">
        <w:rPr>
          <w:spacing w:val="-2"/>
          <w:lang w:val="fr-FR"/>
        </w:rPr>
        <w:t xml:space="preserve">in </w:t>
      </w:r>
      <w:r>
        <w:rPr>
          <w:lang w:val="pt-BR"/>
        </w:rPr>
        <w:t>January 2022</w:t>
      </w:r>
      <w:r w:rsidRPr="00E34057">
        <w:rPr>
          <w:spacing w:val="-2"/>
          <w:lang w:val="fr-FR"/>
        </w:rPr>
        <w:t xml:space="preserve"> </w:t>
      </w:r>
      <w:r w:rsidRPr="00CF7B18">
        <w:rPr>
          <w:bCs/>
          <w:iCs/>
          <w:spacing w:val="-4"/>
          <w:lang w:val="fr-FR"/>
        </w:rPr>
        <w:t xml:space="preserve">was estimated at </w:t>
      </w:r>
      <w:r>
        <w:rPr>
          <w:bCs/>
          <w:iCs/>
          <w:spacing w:val="-4"/>
          <w:lang w:val="fr-FR"/>
        </w:rPr>
        <w:t>157.9</w:t>
      </w:r>
      <w:r w:rsidRPr="00CF7B18">
        <w:rPr>
          <w:bCs/>
          <w:iCs/>
          <w:spacing w:val="-4"/>
          <w:lang w:val="fr-FR"/>
        </w:rPr>
        <w:t xml:space="preserve"> million tons, increased by </w:t>
      </w:r>
      <w:r>
        <w:rPr>
          <w:bCs/>
          <w:iCs/>
          <w:spacing w:val="-4"/>
          <w:lang w:val="fr-FR"/>
        </w:rPr>
        <w:t>3</w:t>
      </w:r>
      <w:r w:rsidRPr="00CF7B18">
        <w:rPr>
          <w:bCs/>
          <w:iCs/>
          <w:spacing w:val="-4"/>
          <w:lang w:val="fr-FR"/>
        </w:rPr>
        <w:t xml:space="preserve">% compared to the previous month, and down </w:t>
      </w:r>
      <w:r>
        <w:rPr>
          <w:bCs/>
          <w:iCs/>
          <w:spacing w:val="-4"/>
          <w:lang w:val="fr-FR"/>
        </w:rPr>
        <w:t>8.9</w:t>
      </w:r>
      <w:r w:rsidRPr="00CF7B18">
        <w:rPr>
          <w:bCs/>
          <w:iCs/>
          <w:spacing w:val="-4"/>
          <w:lang w:val="fr-FR"/>
        </w:rPr>
        <w:t>% against the similar period last year (the same period in 202</w:t>
      </w:r>
      <w:r>
        <w:rPr>
          <w:bCs/>
          <w:iCs/>
          <w:spacing w:val="-4"/>
          <w:lang w:val="fr-FR"/>
        </w:rPr>
        <w:t>1</w:t>
      </w:r>
      <w:r w:rsidRPr="00CF7B18">
        <w:rPr>
          <w:bCs/>
          <w:iCs/>
          <w:spacing w:val="-4"/>
          <w:lang w:val="fr-FR"/>
        </w:rPr>
        <w:t xml:space="preserve"> increased by </w:t>
      </w:r>
      <w:r>
        <w:rPr>
          <w:bCs/>
          <w:iCs/>
          <w:spacing w:val="-4"/>
          <w:lang w:val="fr-FR"/>
        </w:rPr>
        <w:t>11.8</w:t>
      </w:r>
      <w:r w:rsidRPr="00CF7B18">
        <w:rPr>
          <w:bCs/>
          <w:iCs/>
          <w:spacing w:val="-4"/>
          <w:lang w:val="fr-FR"/>
        </w:rPr>
        <w:t xml:space="preserve">%), freight traffic gained </w:t>
      </w:r>
      <w:r>
        <w:rPr>
          <w:bCs/>
          <w:iCs/>
          <w:spacing w:val="-4"/>
          <w:lang w:val="fr-FR"/>
        </w:rPr>
        <w:t>32.3</w:t>
      </w:r>
      <w:r w:rsidRPr="00CF7B18">
        <w:rPr>
          <w:bCs/>
          <w:iCs/>
          <w:spacing w:val="-4"/>
          <w:lang w:val="fr-FR"/>
        </w:rPr>
        <w:t xml:space="preserve"> billion tons-km, increased</w:t>
      </w:r>
      <w:r>
        <w:rPr>
          <w:bCs/>
          <w:iCs/>
          <w:spacing w:val="-4"/>
          <w:lang w:val="fr-FR"/>
        </w:rPr>
        <w:t xml:space="preserve"> by</w:t>
      </w:r>
      <w:r w:rsidRPr="00CF7B18">
        <w:rPr>
          <w:bCs/>
          <w:iCs/>
          <w:spacing w:val="-4"/>
          <w:lang w:val="fr-FR"/>
        </w:rPr>
        <w:t xml:space="preserve"> </w:t>
      </w:r>
      <w:r>
        <w:rPr>
          <w:bCs/>
          <w:iCs/>
          <w:spacing w:val="-4"/>
          <w:lang w:val="fr-FR"/>
        </w:rPr>
        <w:t>1.1</w:t>
      </w:r>
      <w:r w:rsidRPr="00CF7B18">
        <w:rPr>
          <w:bCs/>
          <w:iCs/>
          <w:spacing w:val="-4"/>
          <w:lang w:val="fr-FR"/>
        </w:rPr>
        <w:t>%</w:t>
      </w:r>
      <w:r>
        <w:rPr>
          <w:bCs/>
          <w:iCs/>
          <w:spacing w:val="-4"/>
          <w:lang w:val="fr-FR"/>
        </w:rPr>
        <w:t xml:space="preserve"> and </w:t>
      </w:r>
      <w:r w:rsidRPr="00CF7B18">
        <w:rPr>
          <w:bCs/>
          <w:iCs/>
          <w:spacing w:val="-4"/>
          <w:lang w:val="fr-FR"/>
        </w:rPr>
        <w:t>increased</w:t>
      </w:r>
      <w:r>
        <w:rPr>
          <w:bCs/>
          <w:iCs/>
          <w:spacing w:val="-4"/>
          <w:lang w:val="fr-FR"/>
        </w:rPr>
        <w:t xml:space="preserve"> by 1.6%</w:t>
      </w:r>
      <w:r w:rsidRPr="00CF7B18">
        <w:rPr>
          <w:bCs/>
          <w:iCs/>
          <w:spacing w:val="-4"/>
          <w:lang w:val="fr-FR"/>
        </w:rPr>
        <w:t xml:space="preserve"> (the same </w:t>
      </w:r>
      <w:r w:rsidRPr="00CF7B18">
        <w:rPr>
          <w:bCs/>
          <w:iCs/>
          <w:spacing w:val="-4"/>
          <w:lang w:val="fr-FR"/>
        </w:rPr>
        <w:lastRenderedPageBreak/>
        <w:t>period of 202</w:t>
      </w:r>
      <w:r>
        <w:rPr>
          <w:bCs/>
          <w:iCs/>
          <w:spacing w:val="-4"/>
          <w:lang w:val="fr-FR"/>
        </w:rPr>
        <w:t>1</w:t>
      </w:r>
      <w:r w:rsidRPr="00CF7B18">
        <w:rPr>
          <w:bCs/>
          <w:iCs/>
          <w:spacing w:val="-4"/>
          <w:lang w:val="fr-FR"/>
        </w:rPr>
        <w:t xml:space="preserve"> increased </w:t>
      </w:r>
      <w:r>
        <w:rPr>
          <w:bCs/>
          <w:iCs/>
          <w:spacing w:val="-4"/>
          <w:lang w:val="fr-FR"/>
        </w:rPr>
        <w:t>by</w:t>
      </w:r>
      <w:r>
        <w:rPr>
          <w:bCs/>
          <w:iCs/>
          <w:spacing w:val="-4"/>
        </w:rPr>
        <w:t xml:space="preserve"> </w:t>
      </w:r>
      <w:r>
        <w:rPr>
          <w:bCs/>
          <w:iCs/>
          <w:spacing w:val="-4"/>
          <w:lang w:val="fr-FR"/>
        </w:rPr>
        <w:t>7.8</w:t>
      </w:r>
      <w:r w:rsidRPr="00CF7B18">
        <w:rPr>
          <w:bCs/>
          <w:iCs/>
          <w:spacing w:val="-4"/>
          <w:lang w:val="fr-FR"/>
        </w:rPr>
        <w:t>%)</w:t>
      </w:r>
      <w:bookmarkEnd w:id="9"/>
      <w:r w:rsidRPr="00CF7B18">
        <w:rPr>
          <w:bCs/>
          <w:iCs/>
          <w:spacing w:val="-4"/>
          <w:lang w:val="fr-FR"/>
        </w:rPr>
        <w:t>.</w:t>
      </w:r>
      <w:r>
        <w:rPr>
          <w:bCs/>
          <w:iCs/>
          <w:spacing w:val="-4"/>
          <w:lang w:val="fr-FR"/>
        </w:rPr>
        <w:t xml:space="preserve"> </w:t>
      </w:r>
      <w:r w:rsidRPr="007A574F">
        <w:rPr>
          <w:spacing w:val="-4"/>
          <w:lang w:val="fr-FR"/>
        </w:rPr>
        <w:t xml:space="preserve">Of which, domestic freight carried recorded </w:t>
      </w:r>
      <w:r>
        <w:rPr>
          <w:spacing w:val="-4"/>
          <w:lang w:val="fr-FR"/>
        </w:rPr>
        <w:t>155.6</w:t>
      </w:r>
      <w:r w:rsidRPr="007A574F">
        <w:rPr>
          <w:spacing w:val="-4"/>
          <w:lang w:val="fr-FR"/>
        </w:rPr>
        <w:t xml:space="preserve"> million tons, a decrease of 8.</w:t>
      </w:r>
      <w:r>
        <w:rPr>
          <w:spacing w:val="-4"/>
          <w:lang w:val="fr-FR"/>
        </w:rPr>
        <w:t>9</w:t>
      </w:r>
      <w:r w:rsidRPr="007A574F">
        <w:rPr>
          <w:spacing w:val="-4"/>
          <w:lang w:val="fr-FR"/>
        </w:rPr>
        <w:t xml:space="preserve">% and </w:t>
      </w:r>
      <w:r>
        <w:rPr>
          <w:spacing w:val="-4"/>
          <w:lang w:val="fr-FR"/>
        </w:rPr>
        <w:t>20.2</w:t>
      </w:r>
      <w:r w:rsidRPr="007A574F">
        <w:rPr>
          <w:spacing w:val="-4"/>
          <w:lang w:val="fr-FR"/>
        </w:rPr>
        <w:t xml:space="preserve"> billion tons-km, up </w:t>
      </w:r>
      <w:r>
        <w:rPr>
          <w:spacing w:val="-4"/>
          <w:lang w:val="fr-FR"/>
        </w:rPr>
        <w:t>2</w:t>
      </w:r>
      <w:r w:rsidRPr="007A574F">
        <w:rPr>
          <w:spacing w:val="-4"/>
          <w:lang w:val="fr-FR"/>
        </w:rPr>
        <w:t xml:space="preserve">.1%; oversea freight reached </w:t>
      </w:r>
      <w:r>
        <w:rPr>
          <w:spacing w:val="-4"/>
          <w:lang w:val="fr-FR"/>
        </w:rPr>
        <w:t>2.4</w:t>
      </w:r>
      <w:r w:rsidRPr="007A574F">
        <w:rPr>
          <w:spacing w:val="-4"/>
          <w:lang w:val="fr-FR"/>
        </w:rPr>
        <w:t xml:space="preserve"> million tons, decreasing by </w:t>
      </w:r>
      <w:r>
        <w:rPr>
          <w:spacing w:val="-4"/>
          <w:lang w:val="fr-FR"/>
        </w:rPr>
        <w:t>11</w:t>
      </w:r>
      <w:r w:rsidRPr="007A574F">
        <w:rPr>
          <w:spacing w:val="-4"/>
          <w:lang w:val="fr-FR"/>
        </w:rPr>
        <w:t xml:space="preserve">% and </w:t>
      </w:r>
      <w:r>
        <w:rPr>
          <w:spacing w:val="-4"/>
          <w:lang w:val="fr-FR"/>
        </w:rPr>
        <w:t>12.1</w:t>
      </w:r>
      <w:r w:rsidRPr="007A574F">
        <w:rPr>
          <w:spacing w:val="-4"/>
          <w:lang w:val="fr-FR"/>
        </w:rPr>
        <w:t xml:space="preserve"> billion tons-km, </w:t>
      </w:r>
      <w:r w:rsidRPr="00CF7B18">
        <w:rPr>
          <w:bCs/>
          <w:iCs/>
          <w:spacing w:val="-4"/>
          <w:lang w:val="fr-FR"/>
        </w:rPr>
        <w:t>increased</w:t>
      </w:r>
      <w:r>
        <w:rPr>
          <w:bCs/>
          <w:iCs/>
          <w:spacing w:val="-4"/>
          <w:lang w:val="fr-FR"/>
        </w:rPr>
        <w:t xml:space="preserve"> by</w:t>
      </w:r>
      <w:r w:rsidRPr="007A574F">
        <w:rPr>
          <w:spacing w:val="-4"/>
          <w:lang w:val="fr-FR"/>
        </w:rPr>
        <w:t xml:space="preserve"> </w:t>
      </w:r>
      <w:r>
        <w:rPr>
          <w:spacing w:val="-4"/>
          <w:lang w:val="fr-FR"/>
        </w:rPr>
        <w:t>0.8</w:t>
      </w:r>
      <w:r w:rsidRPr="007A574F">
        <w:rPr>
          <w:spacing w:val="-4"/>
          <w:lang w:val="fr-FR"/>
        </w:rPr>
        <w:t>%.</w:t>
      </w:r>
    </w:p>
    <w:p w14:paraId="196273E6" w14:textId="77777777" w:rsidR="00302F60" w:rsidRDefault="00302F60" w:rsidP="00302F60">
      <w:pPr>
        <w:spacing w:before="120" w:line="276" w:lineRule="auto"/>
        <w:jc w:val="center"/>
        <w:rPr>
          <w:b/>
          <w:bCs/>
          <w:lang w:val="fr-FR"/>
        </w:rPr>
      </w:pPr>
      <w:r>
        <w:rPr>
          <w:b/>
          <w:bCs/>
        </w:rPr>
        <w:t xml:space="preserve">Table 7. </w:t>
      </w:r>
      <w:r>
        <w:rPr>
          <w:b/>
          <w:bCs/>
          <w:lang w:val="fr-FR"/>
        </w:rPr>
        <w:t xml:space="preserve">Carriage of freight in </w:t>
      </w:r>
      <w:r>
        <w:rPr>
          <w:b/>
          <w:bCs/>
          <w:iCs/>
          <w:lang w:val="fr-FR"/>
        </w:rPr>
        <w:t>January</w:t>
      </w:r>
      <w:r w:rsidRPr="00CF7B18">
        <w:rPr>
          <w:b/>
          <w:bCs/>
          <w:iCs/>
          <w:lang w:val="fr-FR"/>
        </w:rPr>
        <w:t xml:space="preserve"> 202</w:t>
      </w:r>
      <w:r>
        <w:rPr>
          <w:b/>
          <w:bCs/>
          <w:iCs/>
          <w:lang w:val="fr-FR"/>
        </w:rPr>
        <w:t xml:space="preserve">2 </w:t>
      </w:r>
      <w:r>
        <w:rPr>
          <w:b/>
          <w:bCs/>
          <w:lang w:val="fr-FR"/>
        </w:rPr>
        <w:t>by types of transport</w:t>
      </w:r>
    </w:p>
    <w:p w14:paraId="7104F28D" w14:textId="77777777" w:rsidR="00302F60" w:rsidRDefault="00302F60" w:rsidP="00302F60">
      <w:pPr>
        <w:spacing w:before="120" w:line="276" w:lineRule="auto"/>
        <w:jc w:val="center"/>
        <w:rPr>
          <w:b/>
          <w:bCs/>
          <w:sz w:val="2"/>
          <w:szCs w:val="24"/>
          <w:lang w:val="fr-FR"/>
        </w:rPr>
      </w:pPr>
    </w:p>
    <w:tbl>
      <w:tblPr>
        <w:tblW w:w="8553" w:type="dxa"/>
        <w:jc w:val="center"/>
        <w:tblLook w:val="04A0" w:firstRow="1" w:lastRow="0" w:firstColumn="1" w:lastColumn="0" w:noHBand="0" w:noVBand="1"/>
      </w:tblPr>
      <w:tblGrid>
        <w:gridCol w:w="2355"/>
        <w:gridCol w:w="1418"/>
        <w:gridCol w:w="1684"/>
        <w:gridCol w:w="311"/>
        <w:gridCol w:w="1260"/>
        <w:gridCol w:w="1525"/>
      </w:tblGrid>
      <w:tr w:rsidR="00302F60" w:rsidRPr="00163FEC" w14:paraId="28360AF6" w14:textId="77777777" w:rsidTr="00601A47">
        <w:trPr>
          <w:trHeight w:val="466"/>
          <w:jc w:val="center"/>
        </w:trPr>
        <w:tc>
          <w:tcPr>
            <w:tcW w:w="2355" w:type="dxa"/>
            <w:tcBorders>
              <w:top w:val="single" w:sz="4" w:space="0" w:color="auto"/>
              <w:left w:val="nil"/>
              <w:bottom w:val="nil"/>
              <w:right w:val="nil"/>
            </w:tcBorders>
            <w:vAlign w:val="center"/>
            <w:hideMark/>
          </w:tcPr>
          <w:p w14:paraId="65DA0DAC" w14:textId="77777777" w:rsidR="00302F60" w:rsidRPr="00163FEC" w:rsidRDefault="00302F60" w:rsidP="00601A47">
            <w:pPr>
              <w:spacing w:line="276" w:lineRule="auto"/>
              <w:rPr>
                <w:sz w:val="22"/>
                <w:szCs w:val="22"/>
                <w:lang w:val="en-GB" w:eastAsia="vi-VN"/>
              </w:rPr>
            </w:pPr>
            <w:r w:rsidRPr="00163FEC">
              <w:rPr>
                <w:sz w:val="22"/>
                <w:szCs w:val="22"/>
                <w:lang w:eastAsia="vi-VN"/>
              </w:rPr>
              <w:t> </w:t>
            </w:r>
          </w:p>
        </w:tc>
        <w:tc>
          <w:tcPr>
            <w:tcW w:w="3102" w:type="dxa"/>
            <w:gridSpan w:val="2"/>
            <w:tcBorders>
              <w:top w:val="single" w:sz="4" w:space="0" w:color="auto"/>
              <w:left w:val="nil"/>
              <w:bottom w:val="single" w:sz="4" w:space="0" w:color="auto"/>
              <w:right w:val="nil"/>
            </w:tcBorders>
            <w:vAlign w:val="center"/>
            <w:hideMark/>
          </w:tcPr>
          <w:p w14:paraId="794B6276" w14:textId="77777777" w:rsidR="00302F60" w:rsidRPr="00163FEC" w:rsidRDefault="00302F60" w:rsidP="00601A47">
            <w:pPr>
              <w:spacing w:line="276" w:lineRule="auto"/>
              <w:jc w:val="center"/>
              <w:rPr>
                <w:color w:val="000000"/>
                <w:sz w:val="22"/>
                <w:szCs w:val="22"/>
                <w:lang w:eastAsia="vi-VN"/>
              </w:rPr>
            </w:pPr>
            <w:r w:rsidRPr="00163FEC">
              <w:rPr>
                <w:color w:val="000000"/>
                <w:sz w:val="22"/>
                <w:szCs w:val="22"/>
                <w:lang w:eastAsia="vi-VN"/>
              </w:rPr>
              <w:t>Quantity of goods</w:t>
            </w:r>
          </w:p>
        </w:tc>
        <w:tc>
          <w:tcPr>
            <w:tcW w:w="311" w:type="dxa"/>
            <w:tcBorders>
              <w:top w:val="single" w:sz="4" w:space="0" w:color="auto"/>
              <w:left w:val="nil"/>
              <w:bottom w:val="single" w:sz="4" w:space="0" w:color="auto"/>
              <w:right w:val="nil"/>
            </w:tcBorders>
            <w:vAlign w:val="center"/>
            <w:hideMark/>
          </w:tcPr>
          <w:p w14:paraId="5C0D470C" w14:textId="77777777" w:rsidR="00302F60" w:rsidRPr="00163FEC" w:rsidRDefault="00302F60" w:rsidP="00601A47">
            <w:pPr>
              <w:spacing w:line="276" w:lineRule="auto"/>
              <w:jc w:val="center"/>
              <w:rPr>
                <w:color w:val="000000"/>
                <w:sz w:val="22"/>
                <w:szCs w:val="22"/>
                <w:lang w:val="en-GB" w:eastAsia="vi-VN"/>
              </w:rPr>
            </w:pPr>
            <w:r w:rsidRPr="00163FEC">
              <w:rPr>
                <w:color w:val="000000"/>
                <w:sz w:val="22"/>
                <w:szCs w:val="22"/>
                <w:lang w:eastAsia="vi-VN"/>
              </w:rPr>
              <w:t> </w:t>
            </w:r>
          </w:p>
        </w:tc>
        <w:tc>
          <w:tcPr>
            <w:tcW w:w="2785" w:type="dxa"/>
            <w:gridSpan w:val="2"/>
            <w:tcBorders>
              <w:top w:val="single" w:sz="4" w:space="0" w:color="auto"/>
              <w:left w:val="nil"/>
              <w:bottom w:val="single" w:sz="4" w:space="0" w:color="auto"/>
              <w:right w:val="nil"/>
            </w:tcBorders>
            <w:vAlign w:val="center"/>
            <w:hideMark/>
          </w:tcPr>
          <w:p w14:paraId="046B6CB5" w14:textId="77777777" w:rsidR="00302F60" w:rsidRPr="00163FEC" w:rsidRDefault="00302F60" w:rsidP="00601A47">
            <w:pPr>
              <w:spacing w:before="60" w:after="60" w:line="276" w:lineRule="auto"/>
              <w:jc w:val="center"/>
              <w:rPr>
                <w:color w:val="000000"/>
                <w:sz w:val="22"/>
                <w:szCs w:val="22"/>
                <w:lang w:eastAsia="vi-VN"/>
              </w:rPr>
            </w:pPr>
            <w:r w:rsidRPr="00163FEC">
              <w:rPr>
                <w:color w:val="000000"/>
                <w:sz w:val="22"/>
                <w:szCs w:val="22"/>
                <w:lang w:eastAsia="vi-VN"/>
              </w:rPr>
              <w:t>The growth rate</w:t>
            </w:r>
            <w:r w:rsidRPr="00163FEC">
              <w:rPr>
                <w:color w:val="000000"/>
                <w:sz w:val="22"/>
                <w:szCs w:val="22"/>
                <w:lang w:eastAsia="vi-VN"/>
              </w:rPr>
              <w:br/>
              <w:t>compared to the same period last year (%)</w:t>
            </w:r>
          </w:p>
        </w:tc>
      </w:tr>
      <w:tr w:rsidR="00302F60" w:rsidRPr="00163FEC" w14:paraId="0BA1F56A" w14:textId="77777777" w:rsidTr="00601A47">
        <w:trPr>
          <w:trHeight w:val="416"/>
          <w:jc w:val="center"/>
        </w:trPr>
        <w:tc>
          <w:tcPr>
            <w:tcW w:w="2355" w:type="dxa"/>
            <w:vAlign w:val="center"/>
            <w:hideMark/>
          </w:tcPr>
          <w:p w14:paraId="3C4F437A" w14:textId="77777777" w:rsidR="00302F60" w:rsidRPr="00163FEC" w:rsidRDefault="00302F60" w:rsidP="00601A47">
            <w:pPr>
              <w:spacing w:line="276" w:lineRule="auto"/>
              <w:rPr>
                <w:color w:val="000000"/>
                <w:sz w:val="22"/>
                <w:szCs w:val="22"/>
                <w:lang w:eastAsia="vi-VN"/>
              </w:rPr>
            </w:pPr>
          </w:p>
        </w:tc>
        <w:tc>
          <w:tcPr>
            <w:tcW w:w="1418" w:type="dxa"/>
            <w:tcBorders>
              <w:top w:val="single" w:sz="4" w:space="0" w:color="auto"/>
              <w:left w:val="nil"/>
              <w:bottom w:val="single" w:sz="4" w:space="0" w:color="auto"/>
              <w:right w:val="nil"/>
            </w:tcBorders>
            <w:vAlign w:val="center"/>
            <w:hideMark/>
          </w:tcPr>
          <w:p w14:paraId="47DC7D6E" w14:textId="77777777" w:rsidR="00302F60" w:rsidRPr="00163FEC" w:rsidRDefault="00302F60" w:rsidP="00601A47">
            <w:pPr>
              <w:spacing w:before="40" w:after="40" w:line="276" w:lineRule="auto"/>
              <w:jc w:val="center"/>
              <w:rPr>
                <w:sz w:val="22"/>
                <w:szCs w:val="22"/>
                <w:lang w:eastAsia="vi-VN"/>
              </w:rPr>
            </w:pPr>
            <w:r w:rsidRPr="00163FEC">
              <w:rPr>
                <w:sz w:val="22"/>
                <w:szCs w:val="22"/>
                <w:lang w:eastAsia="vi-VN"/>
              </w:rPr>
              <w:t>Carried</w:t>
            </w:r>
            <w:r w:rsidRPr="00163FEC">
              <w:rPr>
                <w:sz w:val="22"/>
                <w:szCs w:val="22"/>
                <w:lang w:eastAsia="vi-VN"/>
              </w:rPr>
              <w:br/>
              <w:t>(Mill. tons)</w:t>
            </w:r>
          </w:p>
        </w:tc>
        <w:tc>
          <w:tcPr>
            <w:tcW w:w="1684" w:type="dxa"/>
            <w:tcBorders>
              <w:top w:val="single" w:sz="4" w:space="0" w:color="auto"/>
              <w:left w:val="nil"/>
              <w:bottom w:val="single" w:sz="4" w:space="0" w:color="auto"/>
              <w:right w:val="nil"/>
            </w:tcBorders>
            <w:vAlign w:val="center"/>
            <w:hideMark/>
          </w:tcPr>
          <w:p w14:paraId="70C4C431" w14:textId="77777777" w:rsidR="00302F60" w:rsidRPr="00163FEC" w:rsidRDefault="00302F60" w:rsidP="00601A47">
            <w:pPr>
              <w:spacing w:before="40" w:after="40" w:line="276" w:lineRule="auto"/>
              <w:jc w:val="center"/>
              <w:rPr>
                <w:sz w:val="22"/>
                <w:szCs w:val="22"/>
                <w:lang w:eastAsia="vi-VN"/>
              </w:rPr>
            </w:pPr>
            <w:r w:rsidRPr="00163FEC">
              <w:rPr>
                <w:sz w:val="22"/>
                <w:szCs w:val="22"/>
                <w:lang w:eastAsia="vi-VN"/>
              </w:rPr>
              <w:t>Traffic</w:t>
            </w:r>
            <w:r w:rsidRPr="00163FEC">
              <w:rPr>
                <w:sz w:val="22"/>
                <w:szCs w:val="22"/>
                <w:lang w:eastAsia="vi-VN"/>
              </w:rPr>
              <w:br/>
              <w:t>(Bill. tons-km)</w:t>
            </w:r>
          </w:p>
        </w:tc>
        <w:tc>
          <w:tcPr>
            <w:tcW w:w="311" w:type="dxa"/>
            <w:tcBorders>
              <w:top w:val="single" w:sz="4" w:space="0" w:color="auto"/>
              <w:left w:val="nil"/>
              <w:bottom w:val="single" w:sz="4" w:space="0" w:color="auto"/>
              <w:right w:val="nil"/>
            </w:tcBorders>
            <w:vAlign w:val="center"/>
            <w:hideMark/>
          </w:tcPr>
          <w:p w14:paraId="47A786D5" w14:textId="77777777" w:rsidR="00302F60" w:rsidRPr="00163FEC" w:rsidRDefault="00302F60" w:rsidP="00601A47">
            <w:pPr>
              <w:spacing w:line="276" w:lineRule="auto"/>
              <w:rPr>
                <w:sz w:val="22"/>
                <w:szCs w:val="22"/>
                <w:lang w:eastAsia="vi-VN"/>
              </w:rPr>
            </w:pPr>
          </w:p>
        </w:tc>
        <w:tc>
          <w:tcPr>
            <w:tcW w:w="1260" w:type="dxa"/>
            <w:tcBorders>
              <w:top w:val="single" w:sz="4" w:space="0" w:color="auto"/>
              <w:left w:val="nil"/>
              <w:bottom w:val="single" w:sz="4" w:space="0" w:color="auto"/>
              <w:right w:val="nil"/>
            </w:tcBorders>
            <w:vAlign w:val="center"/>
            <w:hideMark/>
          </w:tcPr>
          <w:p w14:paraId="00EC7D1D" w14:textId="77777777" w:rsidR="00302F60" w:rsidRPr="00163FEC" w:rsidRDefault="00302F60" w:rsidP="00601A47">
            <w:pPr>
              <w:spacing w:line="276" w:lineRule="auto"/>
              <w:jc w:val="center"/>
              <w:rPr>
                <w:sz w:val="22"/>
                <w:szCs w:val="22"/>
                <w:lang w:val="en-GB" w:eastAsia="vi-VN"/>
              </w:rPr>
            </w:pPr>
            <w:r w:rsidRPr="00163FEC">
              <w:rPr>
                <w:sz w:val="22"/>
                <w:szCs w:val="22"/>
                <w:lang w:eastAsia="vi-VN"/>
              </w:rPr>
              <w:t>Carried</w:t>
            </w:r>
          </w:p>
        </w:tc>
        <w:tc>
          <w:tcPr>
            <w:tcW w:w="1525" w:type="dxa"/>
            <w:tcBorders>
              <w:top w:val="single" w:sz="4" w:space="0" w:color="auto"/>
              <w:left w:val="nil"/>
              <w:bottom w:val="single" w:sz="4" w:space="0" w:color="auto"/>
              <w:right w:val="nil"/>
            </w:tcBorders>
            <w:vAlign w:val="center"/>
            <w:hideMark/>
          </w:tcPr>
          <w:p w14:paraId="0B886BF3" w14:textId="77777777" w:rsidR="00302F60" w:rsidRPr="00163FEC" w:rsidRDefault="00302F60" w:rsidP="00601A47">
            <w:pPr>
              <w:spacing w:line="276" w:lineRule="auto"/>
              <w:jc w:val="center"/>
              <w:rPr>
                <w:sz w:val="22"/>
                <w:szCs w:val="22"/>
                <w:lang w:eastAsia="vi-VN"/>
              </w:rPr>
            </w:pPr>
            <w:r w:rsidRPr="00163FEC">
              <w:rPr>
                <w:sz w:val="22"/>
                <w:szCs w:val="22"/>
                <w:lang w:eastAsia="vi-VN"/>
              </w:rPr>
              <w:t>Traffic</w:t>
            </w:r>
          </w:p>
        </w:tc>
      </w:tr>
      <w:tr w:rsidR="00302F60" w:rsidRPr="00163FEC" w14:paraId="28FAE92B" w14:textId="77777777" w:rsidTr="00601A47">
        <w:trPr>
          <w:cantSplit/>
          <w:trHeight w:val="340"/>
          <w:jc w:val="center"/>
        </w:trPr>
        <w:tc>
          <w:tcPr>
            <w:tcW w:w="2355" w:type="dxa"/>
            <w:noWrap/>
            <w:vAlign w:val="center"/>
            <w:hideMark/>
          </w:tcPr>
          <w:p w14:paraId="5F50A1F5" w14:textId="77777777" w:rsidR="00302F60" w:rsidRPr="00163FEC" w:rsidRDefault="00302F60" w:rsidP="00601A47">
            <w:pPr>
              <w:spacing w:before="120" w:after="100" w:line="276" w:lineRule="auto"/>
              <w:rPr>
                <w:b/>
                <w:bCs/>
                <w:sz w:val="22"/>
                <w:szCs w:val="22"/>
                <w:lang w:eastAsia="vi-VN"/>
              </w:rPr>
            </w:pPr>
            <w:r w:rsidRPr="00163FEC">
              <w:rPr>
                <w:b/>
                <w:bCs/>
                <w:sz w:val="22"/>
                <w:szCs w:val="22"/>
                <w:lang w:eastAsia="vi-VN"/>
              </w:rPr>
              <w:t>Total</w:t>
            </w:r>
          </w:p>
        </w:tc>
        <w:tc>
          <w:tcPr>
            <w:tcW w:w="1418" w:type="dxa"/>
            <w:tcBorders>
              <w:top w:val="single" w:sz="4" w:space="0" w:color="auto"/>
              <w:left w:val="nil"/>
              <w:bottom w:val="nil"/>
              <w:right w:val="nil"/>
            </w:tcBorders>
            <w:noWrap/>
            <w:vAlign w:val="bottom"/>
            <w:hideMark/>
          </w:tcPr>
          <w:p w14:paraId="33623046" w14:textId="77777777" w:rsidR="00302F60" w:rsidRPr="004E4A79" w:rsidRDefault="00302F60" w:rsidP="00601A47">
            <w:pPr>
              <w:spacing w:before="60" w:after="60" w:line="264" w:lineRule="auto"/>
              <w:ind w:right="322"/>
              <w:jc w:val="right"/>
              <w:rPr>
                <w:rFonts w:ascii="Arial" w:hAnsi="Arial" w:cs="Arial"/>
                <w:b/>
                <w:color w:val="000000"/>
                <w:sz w:val="20"/>
                <w:szCs w:val="20"/>
              </w:rPr>
            </w:pPr>
            <w:r w:rsidRPr="004E4A79">
              <w:rPr>
                <w:rFonts w:ascii="Arial" w:hAnsi="Arial" w:cs="Arial"/>
                <w:b/>
                <w:color w:val="000000"/>
                <w:sz w:val="20"/>
                <w:szCs w:val="20"/>
              </w:rPr>
              <w:t>157</w:t>
            </w:r>
            <w:r>
              <w:rPr>
                <w:rFonts w:ascii="Arial" w:hAnsi="Arial" w:cs="Arial"/>
                <w:b/>
                <w:color w:val="000000"/>
                <w:sz w:val="20"/>
                <w:szCs w:val="20"/>
              </w:rPr>
              <w:t>.</w:t>
            </w:r>
            <w:r w:rsidRPr="004E4A79">
              <w:rPr>
                <w:rFonts w:ascii="Arial" w:hAnsi="Arial" w:cs="Arial"/>
                <w:b/>
                <w:color w:val="000000"/>
                <w:sz w:val="20"/>
                <w:szCs w:val="20"/>
              </w:rPr>
              <w:t>9</w:t>
            </w:r>
          </w:p>
        </w:tc>
        <w:tc>
          <w:tcPr>
            <w:tcW w:w="1684" w:type="dxa"/>
            <w:tcBorders>
              <w:top w:val="single" w:sz="4" w:space="0" w:color="auto"/>
              <w:left w:val="nil"/>
              <w:bottom w:val="nil"/>
              <w:right w:val="nil"/>
            </w:tcBorders>
            <w:noWrap/>
            <w:vAlign w:val="bottom"/>
            <w:hideMark/>
          </w:tcPr>
          <w:p w14:paraId="58E2BDC0" w14:textId="77777777" w:rsidR="00302F60" w:rsidRPr="004E4A79" w:rsidRDefault="00302F60" w:rsidP="00601A47">
            <w:pPr>
              <w:spacing w:before="60" w:after="60" w:line="264" w:lineRule="auto"/>
              <w:ind w:right="292"/>
              <w:jc w:val="right"/>
              <w:rPr>
                <w:rFonts w:ascii="Arial" w:hAnsi="Arial" w:cs="Arial"/>
                <w:b/>
                <w:color w:val="000000"/>
                <w:sz w:val="20"/>
                <w:szCs w:val="20"/>
              </w:rPr>
            </w:pPr>
            <w:r w:rsidRPr="004E4A79">
              <w:rPr>
                <w:rFonts w:ascii="Arial" w:hAnsi="Arial" w:cs="Arial"/>
                <w:b/>
                <w:color w:val="000000"/>
                <w:sz w:val="20"/>
                <w:szCs w:val="20"/>
              </w:rPr>
              <w:t>32</w:t>
            </w:r>
            <w:r>
              <w:rPr>
                <w:rFonts w:ascii="Arial" w:hAnsi="Arial" w:cs="Arial"/>
                <w:b/>
                <w:color w:val="000000"/>
                <w:sz w:val="20"/>
                <w:szCs w:val="20"/>
              </w:rPr>
              <w:t>.</w:t>
            </w:r>
            <w:r w:rsidRPr="004E4A79">
              <w:rPr>
                <w:rFonts w:ascii="Arial" w:hAnsi="Arial" w:cs="Arial"/>
                <w:b/>
                <w:color w:val="000000"/>
                <w:sz w:val="20"/>
                <w:szCs w:val="20"/>
              </w:rPr>
              <w:t>3</w:t>
            </w:r>
          </w:p>
        </w:tc>
        <w:tc>
          <w:tcPr>
            <w:tcW w:w="311" w:type="dxa"/>
            <w:tcBorders>
              <w:top w:val="single" w:sz="4" w:space="0" w:color="auto"/>
              <w:left w:val="nil"/>
              <w:bottom w:val="nil"/>
              <w:right w:val="nil"/>
            </w:tcBorders>
            <w:noWrap/>
            <w:vAlign w:val="center"/>
            <w:hideMark/>
          </w:tcPr>
          <w:p w14:paraId="0D96642B" w14:textId="77777777" w:rsidR="00302F60" w:rsidRPr="004E4A79" w:rsidRDefault="00302F60" w:rsidP="00601A47">
            <w:pPr>
              <w:spacing w:before="60" w:after="60" w:line="264" w:lineRule="auto"/>
              <w:jc w:val="right"/>
              <w:rPr>
                <w:rFonts w:ascii="Arial" w:hAnsi="Arial" w:cs="Arial"/>
                <w:b/>
                <w:bCs/>
                <w:sz w:val="20"/>
                <w:szCs w:val="20"/>
              </w:rPr>
            </w:pPr>
          </w:p>
        </w:tc>
        <w:tc>
          <w:tcPr>
            <w:tcW w:w="1260" w:type="dxa"/>
            <w:tcBorders>
              <w:top w:val="single" w:sz="4" w:space="0" w:color="auto"/>
              <w:left w:val="nil"/>
              <w:bottom w:val="nil"/>
              <w:right w:val="nil"/>
            </w:tcBorders>
            <w:noWrap/>
            <w:vAlign w:val="bottom"/>
            <w:hideMark/>
          </w:tcPr>
          <w:p w14:paraId="5D8D6AEF" w14:textId="77777777" w:rsidR="00302F60" w:rsidRPr="004E4A79" w:rsidRDefault="00302F60" w:rsidP="00601A47">
            <w:pPr>
              <w:spacing w:before="60" w:after="60" w:line="264" w:lineRule="auto"/>
              <w:ind w:right="427"/>
              <w:jc w:val="right"/>
              <w:rPr>
                <w:rFonts w:ascii="Arial" w:hAnsi="Arial" w:cs="Arial"/>
                <w:b/>
                <w:color w:val="000000"/>
                <w:sz w:val="20"/>
                <w:szCs w:val="20"/>
              </w:rPr>
            </w:pPr>
            <w:r w:rsidRPr="004E4A79">
              <w:rPr>
                <w:rFonts w:ascii="Arial" w:hAnsi="Arial" w:cs="Arial"/>
                <w:b/>
                <w:color w:val="000000"/>
                <w:sz w:val="20"/>
                <w:szCs w:val="20"/>
              </w:rPr>
              <w:t>-8</w:t>
            </w:r>
            <w:r>
              <w:rPr>
                <w:rFonts w:ascii="Arial" w:hAnsi="Arial" w:cs="Arial"/>
                <w:b/>
                <w:color w:val="000000"/>
                <w:sz w:val="20"/>
                <w:szCs w:val="20"/>
              </w:rPr>
              <w:t>.</w:t>
            </w:r>
            <w:r w:rsidRPr="004E4A79">
              <w:rPr>
                <w:rFonts w:ascii="Arial" w:hAnsi="Arial" w:cs="Arial"/>
                <w:b/>
                <w:color w:val="000000"/>
                <w:sz w:val="20"/>
                <w:szCs w:val="20"/>
              </w:rPr>
              <w:t>9</w:t>
            </w:r>
          </w:p>
        </w:tc>
        <w:tc>
          <w:tcPr>
            <w:tcW w:w="1525" w:type="dxa"/>
            <w:tcBorders>
              <w:top w:val="single" w:sz="4" w:space="0" w:color="auto"/>
              <w:left w:val="nil"/>
              <w:bottom w:val="nil"/>
              <w:right w:val="nil"/>
            </w:tcBorders>
            <w:noWrap/>
            <w:vAlign w:val="bottom"/>
            <w:hideMark/>
          </w:tcPr>
          <w:p w14:paraId="154C3E33" w14:textId="77777777" w:rsidR="00302F60" w:rsidRPr="004E4A79" w:rsidRDefault="00302F60" w:rsidP="00601A47">
            <w:pPr>
              <w:spacing w:before="60" w:after="60" w:line="264" w:lineRule="auto"/>
              <w:ind w:right="393"/>
              <w:jc w:val="right"/>
              <w:rPr>
                <w:rFonts w:ascii="Arial" w:hAnsi="Arial" w:cs="Arial"/>
                <w:b/>
                <w:color w:val="000000"/>
                <w:sz w:val="20"/>
                <w:szCs w:val="20"/>
              </w:rPr>
            </w:pPr>
            <w:r w:rsidRPr="004E4A79">
              <w:rPr>
                <w:rFonts w:ascii="Arial" w:hAnsi="Arial" w:cs="Arial"/>
                <w:b/>
                <w:color w:val="000000"/>
                <w:sz w:val="20"/>
                <w:szCs w:val="20"/>
              </w:rPr>
              <w:t>1</w:t>
            </w:r>
            <w:r>
              <w:rPr>
                <w:rFonts w:ascii="Arial" w:hAnsi="Arial" w:cs="Arial"/>
                <w:b/>
                <w:color w:val="000000"/>
                <w:sz w:val="20"/>
                <w:szCs w:val="20"/>
              </w:rPr>
              <w:t>.</w:t>
            </w:r>
            <w:r w:rsidRPr="004E4A79">
              <w:rPr>
                <w:rFonts w:ascii="Arial" w:hAnsi="Arial" w:cs="Arial"/>
                <w:b/>
                <w:color w:val="000000"/>
                <w:sz w:val="20"/>
                <w:szCs w:val="20"/>
              </w:rPr>
              <w:t>6</w:t>
            </w:r>
          </w:p>
        </w:tc>
      </w:tr>
      <w:tr w:rsidR="00302F60" w:rsidRPr="00163FEC" w14:paraId="7AA65807" w14:textId="77777777" w:rsidTr="00601A47">
        <w:trPr>
          <w:cantSplit/>
          <w:trHeight w:val="340"/>
          <w:jc w:val="center"/>
        </w:trPr>
        <w:tc>
          <w:tcPr>
            <w:tcW w:w="2355" w:type="dxa"/>
            <w:noWrap/>
            <w:vAlign w:val="bottom"/>
            <w:hideMark/>
          </w:tcPr>
          <w:p w14:paraId="3CCFEAC4" w14:textId="77777777" w:rsidR="00302F60" w:rsidRPr="00163FEC" w:rsidRDefault="00302F60" w:rsidP="00601A47">
            <w:pPr>
              <w:spacing w:before="40" w:after="40" w:line="276" w:lineRule="auto"/>
              <w:ind w:firstLineChars="100" w:firstLine="220"/>
              <w:rPr>
                <w:sz w:val="22"/>
                <w:szCs w:val="22"/>
              </w:rPr>
            </w:pPr>
            <w:r w:rsidRPr="00163FEC">
              <w:rPr>
                <w:sz w:val="22"/>
                <w:szCs w:val="22"/>
              </w:rPr>
              <w:t>Railway</w:t>
            </w:r>
          </w:p>
        </w:tc>
        <w:tc>
          <w:tcPr>
            <w:tcW w:w="1418" w:type="dxa"/>
            <w:noWrap/>
            <w:vAlign w:val="bottom"/>
            <w:hideMark/>
          </w:tcPr>
          <w:p w14:paraId="0F6E3A5F" w14:textId="77777777" w:rsidR="00302F60" w:rsidRDefault="00302F60" w:rsidP="00601A47">
            <w:pPr>
              <w:spacing w:before="60" w:after="60" w:line="264" w:lineRule="auto"/>
              <w:ind w:right="322"/>
              <w:jc w:val="right"/>
              <w:rPr>
                <w:rFonts w:ascii="Arial" w:hAnsi="Arial" w:cs="Arial"/>
                <w:color w:val="000000"/>
                <w:sz w:val="20"/>
                <w:szCs w:val="20"/>
              </w:rPr>
            </w:pPr>
            <w:r>
              <w:rPr>
                <w:rFonts w:ascii="Arial" w:hAnsi="Arial" w:cs="Arial"/>
                <w:color w:val="000000"/>
                <w:sz w:val="20"/>
                <w:szCs w:val="20"/>
              </w:rPr>
              <w:t>0.5</w:t>
            </w:r>
          </w:p>
        </w:tc>
        <w:tc>
          <w:tcPr>
            <w:tcW w:w="1684" w:type="dxa"/>
            <w:noWrap/>
            <w:vAlign w:val="bottom"/>
            <w:hideMark/>
          </w:tcPr>
          <w:p w14:paraId="12C207D6" w14:textId="77777777" w:rsidR="00302F60" w:rsidRDefault="00302F60" w:rsidP="00601A47">
            <w:pPr>
              <w:spacing w:before="60" w:after="60" w:line="264" w:lineRule="auto"/>
              <w:ind w:right="292"/>
              <w:jc w:val="right"/>
              <w:rPr>
                <w:rFonts w:ascii="Arial" w:hAnsi="Arial" w:cs="Arial"/>
                <w:color w:val="000000"/>
                <w:sz w:val="20"/>
                <w:szCs w:val="20"/>
              </w:rPr>
            </w:pPr>
            <w:r>
              <w:rPr>
                <w:rFonts w:ascii="Arial" w:hAnsi="Arial" w:cs="Arial"/>
                <w:color w:val="000000"/>
                <w:sz w:val="20"/>
                <w:szCs w:val="20"/>
              </w:rPr>
              <w:t>0.4</w:t>
            </w:r>
          </w:p>
        </w:tc>
        <w:tc>
          <w:tcPr>
            <w:tcW w:w="311" w:type="dxa"/>
            <w:noWrap/>
            <w:vAlign w:val="center"/>
            <w:hideMark/>
          </w:tcPr>
          <w:p w14:paraId="38B34E7F" w14:textId="77777777" w:rsidR="00302F60" w:rsidRDefault="00302F60" w:rsidP="00601A47">
            <w:pPr>
              <w:spacing w:before="60" w:after="60" w:line="264" w:lineRule="auto"/>
              <w:jc w:val="right"/>
              <w:rPr>
                <w:rFonts w:ascii="Arial" w:hAnsi="Arial" w:cs="Arial"/>
                <w:sz w:val="20"/>
                <w:szCs w:val="20"/>
              </w:rPr>
            </w:pPr>
          </w:p>
        </w:tc>
        <w:tc>
          <w:tcPr>
            <w:tcW w:w="1260" w:type="dxa"/>
            <w:noWrap/>
            <w:vAlign w:val="bottom"/>
            <w:hideMark/>
          </w:tcPr>
          <w:p w14:paraId="51D728FD" w14:textId="77777777" w:rsidR="00302F60" w:rsidRDefault="00302F60" w:rsidP="00601A47">
            <w:pPr>
              <w:spacing w:before="60" w:after="60" w:line="264" w:lineRule="auto"/>
              <w:ind w:right="427"/>
              <w:jc w:val="right"/>
              <w:rPr>
                <w:rFonts w:ascii="Arial" w:hAnsi="Arial" w:cs="Arial"/>
                <w:color w:val="000000"/>
                <w:sz w:val="20"/>
                <w:szCs w:val="20"/>
              </w:rPr>
            </w:pPr>
            <w:r>
              <w:rPr>
                <w:rFonts w:ascii="Arial" w:hAnsi="Arial" w:cs="Arial"/>
                <w:color w:val="000000"/>
                <w:sz w:val="20"/>
                <w:szCs w:val="20"/>
              </w:rPr>
              <w:t>1.6</w:t>
            </w:r>
          </w:p>
        </w:tc>
        <w:tc>
          <w:tcPr>
            <w:tcW w:w="1525" w:type="dxa"/>
            <w:noWrap/>
            <w:vAlign w:val="bottom"/>
            <w:hideMark/>
          </w:tcPr>
          <w:p w14:paraId="464C5D5B" w14:textId="77777777" w:rsidR="00302F60" w:rsidRDefault="00302F60" w:rsidP="00601A47">
            <w:pPr>
              <w:spacing w:before="60" w:after="60" w:line="264" w:lineRule="auto"/>
              <w:ind w:right="393"/>
              <w:jc w:val="right"/>
              <w:rPr>
                <w:rFonts w:ascii="Arial" w:hAnsi="Arial" w:cs="Arial"/>
                <w:color w:val="000000"/>
                <w:sz w:val="20"/>
                <w:szCs w:val="20"/>
              </w:rPr>
            </w:pPr>
            <w:r>
              <w:rPr>
                <w:rFonts w:ascii="Arial" w:hAnsi="Arial" w:cs="Arial"/>
                <w:color w:val="000000"/>
                <w:sz w:val="20"/>
                <w:szCs w:val="20"/>
              </w:rPr>
              <w:t>15.0</w:t>
            </w:r>
          </w:p>
        </w:tc>
      </w:tr>
      <w:tr w:rsidR="00302F60" w:rsidRPr="00163FEC" w14:paraId="76F75AA9" w14:textId="77777777" w:rsidTr="00601A47">
        <w:trPr>
          <w:cantSplit/>
          <w:trHeight w:val="340"/>
          <w:jc w:val="center"/>
        </w:trPr>
        <w:tc>
          <w:tcPr>
            <w:tcW w:w="2355" w:type="dxa"/>
            <w:noWrap/>
            <w:vAlign w:val="bottom"/>
            <w:hideMark/>
          </w:tcPr>
          <w:p w14:paraId="5A8BFAEE" w14:textId="77777777" w:rsidR="00302F60" w:rsidRPr="00163FEC" w:rsidRDefault="00302F60" w:rsidP="00601A47">
            <w:pPr>
              <w:spacing w:before="40" w:after="40" w:line="276" w:lineRule="auto"/>
              <w:ind w:firstLineChars="100" w:firstLine="220"/>
              <w:rPr>
                <w:sz w:val="22"/>
                <w:szCs w:val="22"/>
              </w:rPr>
            </w:pPr>
            <w:r w:rsidRPr="00163FEC">
              <w:rPr>
                <w:sz w:val="22"/>
                <w:szCs w:val="22"/>
              </w:rPr>
              <w:t>Seaway</w:t>
            </w:r>
          </w:p>
        </w:tc>
        <w:tc>
          <w:tcPr>
            <w:tcW w:w="1418" w:type="dxa"/>
            <w:noWrap/>
            <w:vAlign w:val="bottom"/>
            <w:hideMark/>
          </w:tcPr>
          <w:p w14:paraId="47265600" w14:textId="77777777" w:rsidR="00302F60" w:rsidRDefault="00302F60" w:rsidP="00601A47">
            <w:pPr>
              <w:spacing w:before="60" w:after="60" w:line="264" w:lineRule="auto"/>
              <w:ind w:right="322"/>
              <w:jc w:val="right"/>
              <w:rPr>
                <w:rFonts w:ascii="Arial" w:hAnsi="Arial" w:cs="Arial"/>
                <w:color w:val="000000"/>
                <w:sz w:val="20"/>
                <w:szCs w:val="20"/>
              </w:rPr>
            </w:pPr>
            <w:r>
              <w:rPr>
                <w:rFonts w:ascii="Arial" w:hAnsi="Arial" w:cs="Arial"/>
                <w:color w:val="000000"/>
                <w:sz w:val="20"/>
                <w:szCs w:val="20"/>
              </w:rPr>
              <w:t>8.7</w:t>
            </w:r>
          </w:p>
        </w:tc>
        <w:tc>
          <w:tcPr>
            <w:tcW w:w="1684" w:type="dxa"/>
            <w:noWrap/>
            <w:vAlign w:val="bottom"/>
            <w:hideMark/>
          </w:tcPr>
          <w:p w14:paraId="24BE1A2A" w14:textId="77777777" w:rsidR="00302F60" w:rsidRDefault="00302F60" w:rsidP="00601A47">
            <w:pPr>
              <w:spacing w:before="60" w:after="60" w:line="264" w:lineRule="auto"/>
              <w:ind w:right="292"/>
              <w:jc w:val="right"/>
              <w:rPr>
                <w:rFonts w:ascii="Arial" w:hAnsi="Arial" w:cs="Arial"/>
                <w:color w:val="000000"/>
                <w:sz w:val="20"/>
                <w:szCs w:val="20"/>
              </w:rPr>
            </w:pPr>
            <w:r>
              <w:rPr>
                <w:rFonts w:ascii="Arial" w:hAnsi="Arial" w:cs="Arial"/>
                <w:color w:val="000000"/>
                <w:sz w:val="20"/>
                <w:szCs w:val="20"/>
              </w:rPr>
              <w:t>16.5</w:t>
            </w:r>
          </w:p>
        </w:tc>
        <w:tc>
          <w:tcPr>
            <w:tcW w:w="311" w:type="dxa"/>
            <w:noWrap/>
            <w:vAlign w:val="center"/>
            <w:hideMark/>
          </w:tcPr>
          <w:p w14:paraId="2BFE80C5" w14:textId="77777777" w:rsidR="00302F60" w:rsidRDefault="00302F60" w:rsidP="00601A47">
            <w:pPr>
              <w:spacing w:before="60" w:after="60" w:line="264" w:lineRule="auto"/>
              <w:jc w:val="right"/>
              <w:rPr>
                <w:rFonts w:ascii="Arial" w:hAnsi="Arial" w:cs="Arial"/>
                <w:sz w:val="20"/>
                <w:szCs w:val="20"/>
              </w:rPr>
            </w:pPr>
          </w:p>
        </w:tc>
        <w:tc>
          <w:tcPr>
            <w:tcW w:w="1260" w:type="dxa"/>
            <w:noWrap/>
            <w:vAlign w:val="bottom"/>
            <w:hideMark/>
          </w:tcPr>
          <w:p w14:paraId="5D9ED24B" w14:textId="77777777" w:rsidR="00302F60" w:rsidRDefault="00302F60" w:rsidP="00601A47">
            <w:pPr>
              <w:spacing w:before="60" w:after="60" w:line="264" w:lineRule="auto"/>
              <w:ind w:right="427"/>
              <w:jc w:val="right"/>
              <w:rPr>
                <w:rFonts w:ascii="Arial" w:hAnsi="Arial" w:cs="Arial"/>
                <w:color w:val="000000"/>
                <w:sz w:val="20"/>
                <w:szCs w:val="20"/>
              </w:rPr>
            </w:pPr>
            <w:r>
              <w:rPr>
                <w:rFonts w:ascii="Arial" w:hAnsi="Arial" w:cs="Arial"/>
                <w:color w:val="000000"/>
                <w:sz w:val="20"/>
                <w:szCs w:val="20"/>
              </w:rPr>
              <w:t>8.2</w:t>
            </w:r>
          </w:p>
        </w:tc>
        <w:tc>
          <w:tcPr>
            <w:tcW w:w="1525" w:type="dxa"/>
            <w:noWrap/>
            <w:vAlign w:val="bottom"/>
            <w:hideMark/>
          </w:tcPr>
          <w:p w14:paraId="30F66116" w14:textId="77777777" w:rsidR="00302F60" w:rsidRDefault="00302F60" w:rsidP="00601A47">
            <w:pPr>
              <w:spacing w:before="60" w:after="60" w:line="264" w:lineRule="auto"/>
              <w:ind w:right="393"/>
              <w:jc w:val="right"/>
              <w:rPr>
                <w:rFonts w:ascii="Arial" w:hAnsi="Arial" w:cs="Arial"/>
                <w:color w:val="000000"/>
                <w:sz w:val="20"/>
                <w:szCs w:val="20"/>
              </w:rPr>
            </w:pPr>
            <w:r>
              <w:rPr>
                <w:rFonts w:ascii="Arial" w:hAnsi="Arial" w:cs="Arial"/>
                <w:color w:val="000000"/>
                <w:sz w:val="20"/>
                <w:szCs w:val="20"/>
              </w:rPr>
              <w:t>8.0</w:t>
            </w:r>
          </w:p>
        </w:tc>
      </w:tr>
      <w:tr w:rsidR="00302F60" w:rsidRPr="00163FEC" w14:paraId="3C3B100F" w14:textId="77777777" w:rsidTr="00601A47">
        <w:trPr>
          <w:cantSplit/>
          <w:trHeight w:val="340"/>
          <w:jc w:val="center"/>
        </w:trPr>
        <w:tc>
          <w:tcPr>
            <w:tcW w:w="2355" w:type="dxa"/>
            <w:noWrap/>
            <w:vAlign w:val="bottom"/>
            <w:hideMark/>
          </w:tcPr>
          <w:p w14:paraId="0A5E0527" w14:textId="77777777" w:rsidR="00302F60" w:rsidRPr="00163FEC" w:rsidRDefault="00302F60" w:rsidP="00601A47">
            <w:pPr>
              <w:spacing w:before="40" w:after="40" w:line="276" w:lineRule="auto"/>
              <w:ind w:firstLineChars="100" w:firstLine="220"/>
              <w:rPr>
                <w:sz w:val="22"/>
                <w:szCs w:val="22"/>
              </w:rPr>
            </w:pPr>
            <w:r w:rsidRPr="00163FEC">
              <w:rPr>
                <w:sz w:val="22"/>
                <w:szCs w:val="22"/>
              </w:rPr>
              <w:t>Inland waterway</w:t>
            </w:r>
          </w:p>
        </w:tc>
        <w:tc>
          <w:tcPr>
            <w:tcW w:w="1418" w:type="dxa"/>
            <w:noWrap/>
            <w:vAlign w:val="bottom"/>
            <w:hideMark/>
          </w:tcPr>
          <w:p w14:paraId="53F8511B" w14:textId="77777777" w:rsidR="00302F60" w:rsidRDefault="00302F60" w:rsidP="00601A47">
            <w:pPr>
              <w:spacing w:before="60" w:after="60" w:line="264" w:lineRule="auto"/>
              <w:ind w:right="322"/>
              <w:jc w:val="right"/>
              <w:rPr>
                <w:rFonts w:ascii="Arial" w:hAnsi="Arial" w:cs="Arial"/>
                <w:color w:val="000000"/>
                <w:sz w:val="20"/>
                <w:szCs w:val="20"/>
              </w:rPr>
            </w:pPr>
            <w:r>
              <w:rPr>
                <w:rFonts w:ascii="Arial" w:hAnsi="Arial" w:cs="Arial"/>
                <w:color w:val="000000"/>
                <w:sz w:val="20"/>
                <w:szCs w:val="20"/>
              </w:rPr>
              <w:t>27.0</w:t>
            </w:r>
          </w:p>
        </w:tc>
        <w:tc>
          <w:tcPr>
            <w:tcW w:w="1684" w:type="dxa"/>
            <w:noWrap/>
            <w:vAlign w:val="bottom"/>
            <w:hideMark/>
          </w:tcPr>
          <w:p w14:paraId="784C4B87" w14:textId="77777777" w:rsidR="00302F60" w:rsidRDefault="00302F60" w:rsidP="00601A47">
            <w:pPr>
              <w:spacing w:before="60" w:after="60" w:line="264" w:lineRule="auto"/>
              <w:ind w:right="292"/>
              <w:jc w:val="right"/>
              <w:rPr>
                <w:rFonts w:ascii="Arial" w:hAnsi="Arial" w:cs="Arial"/>
                <w:color w:val="000000"/>
                <w:sz w:val="20"/>
                <w:szCs w:val="20"/>
              </w:rPr>
            </w:pPr>
            <w:r>
              <w:rPr>
                <w:rFonts w:ascii="Arial" w:hAnsi="Arial" w:cs="Arial"/>
                <w:color w:val="000000"/>
                <w:sz w:val="20"/>
                <w:szCs w:val="20"/>
              </w:rPr>
              <w:t>5.8</w:t>
            </w:r>
          </w:p>
        </w:tc>
        <w:tc>
          <w:tcPr>
            <w:tcW w:w="311" w:type="dxa"/>
            <w:noWrap/>
            <w:vAlign w:val="center"/>
            <w:hideMark/>
          </w:tcPr>
          <w:p w14:paraId="21FA6844" w14:textId="77777777" w:rsidR="00302F60" w:rsidRDefault="00302F60" w:rsidP="00601A47">
            <w:pPr>
              <w:spacing w:before="60" w:after="60" w:line="264" w:lineRule="auto"/>
              <w:jc w:val="right"/>
              <w:rPr>
                <w:rFonts w:ascii="Arial" w:hAnsi="Arial" w:cs="Arial"/>
                <w:sz w:val="20"/>
                <w:szCs w:val="20"/>
              </w:rPr>
            </w:pPr>
          </w:p>
        </w:tc>
        <w:tc>
          <w:tcPr>
            <w:tcW w:w="1260" w:type="dxa"/>
            <w:noWrap/>
            <w:vAlign w:val="bottom"/>
            <w:hideMark/>
          </w:tcPr>
          <w:p w14:paraId="1E7EB3AD" w14:textId="77777777" w:rsidR="00302F60" w:rsidRDefault="00302F60" w:rsidP="00601A47">
            <w:pPr>
              <w:spacing w:before="60" w:after="60" w:line="264" w:lineRule="auto"/>
              <w:ind w:right="427"/>
              <w:jc w:val="right"/>
              <w:rPr>
                <w:rFonts w:ascii="Arial" w:hAnsi="Arial" w:cs="Arial"/>
                <w:color w:val="000000"/>
                <w:sz w:val="20"/>
                <w:szCs w:val="20"/>
              </w:rPr>
            </w:pPr>
            <w:r>
              <w:rPr>
                <w:rFonts w:ascii="Arial" w:hAnsi="Arial" w:cs="Arial"/>
                <w:color w:val="000000"/>
                <w:sz w:val="20"/>
                <w:szCs w:val="20"/>
              </w:rPr>
              <w:t>-9.8</w:t>
            </w:r>
          </w:p>
        </w:tc>
        <w:tc>
          <w:tcPr>
            <w:tcW w:w="1525" w:type="dxa"/>
            <w:noWrap/>
            <w:vAlign w:val="bottom"/>
            <w:hideMark/>
          </w:tcPr>
          <w:p w14:paraId="7DBFA572" w14:textId="77777777" w:rsidR="00302F60" w:rsidRDefault="00302F60" w:rsidP="00601A47">
            <w:pPr>
              <w:spacing w:before="60" w:after="60" w:line="264" w:lineRule="auto"/>
              <w:ind w:right="393"/>
              <w:jc w:val="right"/>
              <w:rPr>
                <w:rFonts w:ascii="Arial" w:hAnsi="Arial" w:cs="Arial"/>
                <w:color w:val="000000"/>
                <w:sz w:val="20"/>
                <w:szCs w:val="20"/>
              </w:rPr>
            </w:pPr>
            <w:r>
              <w:rPr>
                <w:rFonts w:ascii="Arial" w:hAnsi="Arial" w:cs="Arial"/>
                <w:color w:val="000000"/>
                <w:sz w:val="20"/>
                <w:szCs w:val="20"/>
              </w:rPr>
              <w:t>-7.9</w:t>
            </w:r>
          </w:p>
        </w:tc>
      </w:tr>
      <w:tr w:rsidR="00302F60" w:rsidRPr="00163FEC" w14:paraId="2AD844FC" w14:textId="77777777" w:rsidTr="00601A47">
        <w:trPr>
          <w:cantSplit/>
          <w:trHeight w:val="340"/>
          <w:jc w:val="center"/>
        </w:trPr>
        <w:tc>
          <w:tcPr>
            <w:tcW w:w="2355" w:type="dxa"/>
            <w:noWrap/>
            <w:vAlign w:val="bottom"/>
            <w:hideMark/>
          </w:tcPr>
          <w:p w14:paraId="40E3DCDA" w14:textId="77777777" w:rsidR="00302F60" w:rsidRPr="00163FEC" w:rsidRDefault="00302F60" w:rsidP="00601A47">
            <w:pPr>
              <w:spacing w:before="40" w:after="40" w:line="276" w:lineRule="auto"/>
              <w:ind w:firstLineChars="100" w:firstLine="220"/>
              <w:rPr>
                <w:sz w:val="22"/>
                <w:szCs w:val="22"/>
              </w:rPr>
            </w:pPr>
            <w:r w:rsidRPr="00163FEC">
              <w:rPr>
                <w:sz w:val="22"/>
                <w:szCs w:val="22"/>
              </w:rPr>
              <w:t>Road</w:t>
            </w:r>
          </w:p>
        </w:tc>
        <w:tc>
          <w:tcPr>
            <w:tcW w:w="1418" w:type="dxa"/>
            <w:noWrap/>
            <w:vAlign w:val="bottom"/>
            <w:hideMark/>
          </w:tcPr>
          <w:p w14:paraId="009C6307" w14:textId="77777777" w:rsidR="00302F60" w:rsidRDefault="00302F60" w:rsidP="00601A47">
            <w:pPr>
              <w:spacing w:before="60" w:after="60" w:line="264" w:lineRule="auto"/>
              <w:ind w:right="322"/>
              <w:jc w:val="right"/>
              <w:rPr>
                <w:rFonts w:ascii="Arial" w:hAnsi="Arial" w:cs="Arial"/>
                <w:color w:val="000000"/>
                <w:sz w:val="20"/>
                <w:szCs w:val="20"/>
              </w:rPr>
            </w:pPr>
            <w:r>
              <w:rPr>
                <w:rFonts w:ascii="Arial" w:hAnsi="Arial" w:cs="Arial"/>
                <w:color w:val="000000"/>
                <w:sz w:val="20"/>
                <w:szCs w:val="20"/>
              </w:rPr>
              <w:t>121.7</w:t>
            </w:r>
          </w:p>
        </w:tc>
        <w:tc>
          <w:tcPr>
            <w:tcW w:w="1684" w:type="dxa"/>
            <w:noWrap/>
            <w:vAlign w:val="bottom"/>
            <w:hideMark/>
          </w:tcPr>
          <w:p w14:paraId="0A8FB021" w14:textId="77777777" w:rsidR="00302F60" w:rsidRDefault="00302F60" w:rsidP="00601A47">
            <w:pPr>
              <w:spacing w:before="60" w:after="60" w:line="264" w:lineRule="auto"/>
              <w:ind w:right="292"/>
              <w:jc w:val="right"/>
              <w:rPr>
                <w:rFonts w:ascii="Arial" w:hAnsi="Arial" w:cs="Arial"/>
                <w:color w:val="000000"/>
                <w:sz w:val="20"/>
                <w:szCs w:val="20"/>
              </w:rPr>
            </w:pPr>
            <w:r>
              <w:rPr>
                <w:rFonts w:ascii="Arial" w:hAnsi="Arial" w:cs="Arial"/>
                <w:color w:val="000000"/>
                <w:sz w:val="20"/>
                <w:szCs w:val="20"/>
              </w:rPr>
              <w:t>9.0</w:t>
            </w:r>
          </w:p>
        </w:tc>
        <w:tc>
          <w:tcPr>
            <w:tcW w:w="311" w:type="dxa"/>
            <w:noWrap/>
            <w:vAlign w:val="center"/>
            <w:hideMark/>
          </w:tcPr>
          <w:p w14:paraId="45649863" w14:textId="77777777" w:rsidR="00302F60" w:rsidRDefault="00302F60" w:rsidP="00601A47">
            <w:pPr>
              <w:spacing w:before="60" w:after="60" w:line="264" w:lineRule="auto"/>
              <w:jc w:val="right"/>
              <w:rPr>
                <w:rFonts w:ascii="Arial" w:hAnsi="Arial" w:cs="Arial"/>
                <w:sz w:val="20"/>
                <w:szCs w:val="20"/>
              </w:rPr>
            </w:pPr>
          </w:p>
        </w:tc>
        <w:tc>
          <w:tcPr>
            <w:tcW w:w="1260" w:type="dxa"/>
            <w:noWrap/>
            <w:vAlign w:val="bottom"/>
            <w:hideMark/>
          </w:tcPr>
          <w:p w14:paraId="3F36EE5C" w14:textId="77777777" w:rsidR="00302F60" w:rsidRDefault="00302F60" w:rsidP="00601A47">
            <w:pPr>
              <w:spacing w:before="60" w:after="60" w:line="264" w:lineRule="auto"/>
              <w:ind w:right="427"/>
              <w:jc w:val="right"/>
              <w:rPr>
                <w:rFonts w:ascii="Arial" w:hAnsi="Arial" w:cs="Arial"/>
                <w:color w:val="000000"/>
                <w:sz w:val="20"/>
                <w:szCs w:val="20"/>
              </w:rPr>
            </w:pPr>
            <w:r>
              <w:rPr>
                <w:rFonts w:ascii="Arial" w:hAnsi="Arial" w:cs="Arial"/>
                <w:color w:val="000000"/>
                <w:sz w:val="20"/>
                <w:szCs w:val="20"/>
              </w:rPr>
              <w:t>-9.7</w:t>
            </w:r>
          </w:p>
        </w:tc>
        <w:tc>
          <w:tcPr>
            <w:tcW w:w="1525" w:type="dxa"/>
            <w:noWrap/>
            <w:vAlign w:val="bottom"/>
            <w:hideMark/>
          </w:tcPr>
          <w:p w14:paraId="3963203B" w14:textId="77777777" w:rsidR="00302F60" w:rsidRDefault="00302F60" w:rsidP="00601A47">
            <w:pPr>
              <w:spacing w:before="60" w:after="60" w:line="264" w:lineRule="auto"/>
              <w:ind w:right="393"/>
              <w:jc w:val="right"/>
              <w:rPr>
                <w:rFonts w:ascii="Arial" w:hAnsi="Arial" w:cs="Arial"/>
                <w:color w:val="000000"/>
                <w:sz w:val="20"/>
                <w:szCs w:val="20"/>
              </w:rPr>
            </w:pPr>
            <w:r>
              <w:rPr>
                <w:rFonts w:ascii="Arial" w:hAnsi="Arial" w:cs="Arial"/>
                <w:color w:val="000000"/>
                <w:sz w:val="20"/>
                <w:szCs w:val="20"/>
              </w:rPr>
              <w:t>-6.5</w:t>
            </w:r>
          </w:p>
        </w:tc>
      </w:tr>
      <w:tr w:rsidR="00302F60" w:rsidRPr="00163FEC" w14:paraId="61B8AAC2" w14:textId="77777777" w:rsidTr="00601A47">
        <w:trPr>
          <w:cantSplit/>
          <w:trHeight w:val="340"/>
          <w:jc w:val="center"/>
        </w:trPr>
        <w:tc>
          <w:tcPr>
            <w:tcW w:w="2355" w:type="dxa"/>
            <w:tcBorders>
              <w:top w:val="nil"/>
              <w:left w:val="nil"/>
              <w:bottom w:val="single" w:sz="4" w:space="0" w:color="auto"/>
              <w:right w:val="nil"/>
            </w:tcBorders>
            <w:noWrap/>
            <w:vAlign w:val="bottom"/>
            <w:hideMark/>
          </w:tcPr>
          <w:p w14:paraId="45DB5150" w14:textId="77777777" w:rsidR="00302F60" w:rsidRPr="00163FEC" w:rsidRDefault="00302F60" w:rsidP="00601A47">
            <w:pPr>
              <w:spacing w:before="40" w:after="40" w:line="276" w:lineRule="auto"/>
              <w:ind w:firstLineChars="100" w:firstLine="220"/>
              <w:rPr>
                <w:sz w:val="22"/>
                <w:szCs w:val="22"/>
              </w:rPr>
            </w:pPr>
            <w:r w:rsidRPr="00163FEC">
              <w:rPr>
                <w:sz w:val="22"/>
                <w:szCs w:val="22"/>
              </w:rPr>
              <w:t>Airway</w:t>
            </w:r>
          </w:p>
        </w:tc>
        <w:tc>
          <w:tcPr>
            <w:tcW w:w="1418" w:type="dxa"/>
            <w:tcBorders>
              <w:top w:val="nil"/>
              <w:left w:val="nil"/>
              <w:bottom w:val="single" w:sz="4" w:space="0" w:color="auto"/>
              <w:right w:val="nil"/>
            </w:tcBorders>
            <w:noWrap/>
            <w:vAlign w:val="bottom"/>
            <w:hideMark/>
          </w:tcPr>
          <w:p w14:paraId="09CB34C5" w14:textId="77777777" w:rsidR="00302F60" w:rsidRDefault="00302F60" w:rsidP="00601A47">
            <w:pPr>
              <w:spacing w:before="60" w:after="60" w:line="264" w:lineRule="auto"/>
              <w:ind w:right="322"/>
              <w:jc w:val="right"/>
              <w:rPr>
                <w:rFonts w:ascii="Arial" w:hAnsi="Arial" w:cs="Arial"/>
                <w:color w:val="000000"/>
                <w:sz w:val="20"/>
                <w:szCs w:val="20"/>
              </w:rPr>
            </w:pPr>
            <w:r>
              <w:rPr>
                <w:rFonts w:ascii="Arial" w:hAnsi="Arial" w:cs="Arial"/>
                <w:color w:val="000000"/>
                <w:sz w:val="20"/>
                <w:szCs w:val="20"/>
              </w:rPr>
              <w:t>0.03</w:t>
            </w:r>
          </w:p>
        </w:tc>
        <w:tc>
          <w:tcPr>
            <w:tcW w:w="1684" w:type="dxa"/>
            <w:tcBorders>
              <w:top w:val="nil"/>
              <w:left w:val="nil"/>
              <w:bottom w:val="single" w:sz="4" w:space="0" w:color="auto"/>
              <w:right w:val="nil"/>
            </w:tcBorders>
            <w:noWrap/>
            <w:vAlign w:val="bottom"/>
            <w:hideMark/>
          </w:tcPr>
          <w:p w14:paraId="53B420B6" w14:textId="77777777" w:rsidR="00302F60" w:rsidRDefault="00302F60" w:rsidP="00601A47">
            <w:pPr>
              <w:spacing w:before="60" w:after="60" w:line="264" w:lineRule="auto"/>
              <w:ind w:right="292"/>
              <w:jc w:val="right"/>
              <w:rPr>
                <w:rFonts w:ascii="Arial" w:hAnsi="Arial" w:cs="Arial"/>
                <w:color w:val="000000"/>
                <w:sz w:val="20"/>
                <w:szCs w:val="20"/>
              </w:rPr>
            </w:pPr>
            <w:r>
              <w:rPr>
                <w:rFonts w:ascii="Arial" w:hAnsi="Arial" w:cs="Arial"/>
                <w:color w:val="000000"/>
                <w:sz w:val="20"/>
                <w:szCs w:val="20"/>
              </w:rPr>
              <w:t>0.6</w:t>
            </w:r>
          </w:p>
        </w:tc>
        <w:tc>
          <w:tcPr>
            <w:tcW w:w="311" w:type="dxa"/>
            <w:tcBorders>
              <w:top w:val="nil"/>
              <w:left w:val="nil"/>
              <w:bottom w:val="single" w:sz="4" w:space="0" w:color="auto"/>
              <w:right w:val="nil"/>
            </w:tcBorders>
            <w:noWrap/>
            <w:vAlign w:val="center"/>
            <w:hideMark/>
          </w:tcPr>
          <w:p w14:paraId="4057DA55" w14:textId="77777777" w:rsidR="00302F60" w:rsidRDefault="00302F60" w:rsidP="00601A47">
            <w:pPr>
              <w:spacing w:before="60" w:after="60" w:line="264" w:lineRule="auto"/>
              <w:jc w:val="right"/>
              <w:rPr>
                <w:rFonts w:ascii="Arial" w:hAnsi="Arial" w:cs="Arial"/>
                <w:sz w:val="20"/>
                <w:szCs w:val="20"/>
              </w:rPr>
            </w:pPr>
          </w:p>
        </w:tc>
        <w:tc>
          <w:tcPr>
            <w:tcW w:w="1260" w:type="dxa"/>
            <w:tcBorders>
              <w:top w:val="nil"/>
              <w:left w:val="nil"/>
              <w:bottom w:val="single" w:sz="4" w:space="0" w:color="auto"/>
              <w:right w:val="nil"/>
            </w:tcBorders>
            <w:noWrap/>
            <w:vAlign w:val="bottom"/>
            <w:hideMark/>
          </w:tcPr>
          <w:p w14:paraId="055FBE28" w14:textId="77777777" w:rsidR="00302F60" w:rsidRDefault="00302F60" w:rsidP="00601A47">
            <w:pPr>
              <w:spacing w:before="60" w:after="60" w:line="264" w:lineRule="auto"/>
              <w:ind w:right="427"/>
              <w:jc w:val="right"/>
              <w:rPr>
                <w:rFonts w:ascii="Arial" w:hAnsi="Arial" w:cs="Arial"/>
                <w:color w:val="000000"/>
                <w:sz w:val="20"/>
                <w:szCs w:val="20"/>
              </w:rPr>
            </w:pPr>
            <w:r>
              <w:rPr>
                <w:rFonts w:ascii="Arial" w:hAnsi="Arial" w:cs="Arial"/>
                <w:color w:val="000000"/>
                <w:sz w:val="20"/>
                <w:szCs w:val="20"/>
              </w:rPr>
              <w:t>-67.8</w:t>
            </w:r>
          </w:p>
        </w:tc>
        <w:tc>
          <w:tcPr>
            <w:tcW w:w="1525" w:type="dxa"/>
            <w:tcBorders>
              <w:top w:val="nil"/>
              <w:left w:val="nil"/>
              <w:bottom w:val="single" w:sz="4" w:space="0" w:color="auto"/>
              <w:right w:val="nil"/>
            </w:tcBorders>
            <w:noWrap/>
            <w:vAlign w:val="bottom"/>
            <w:hideMark/>
          </w:tcPr>
          <w:p w14:paraId="450EBEC0" w14:textId="77777777" w:rsidR="00302F60" w:rsidRDefault="00302F60" w:rsidP="00601A47">
            <w:pPr>
              <w:spacing w:before="60" w:after="60" w:line="264" w:lineRule="auto"/>
              <w:ind w:right="393"/>
              <w:jc w:val="right"/>
              <w:rPr>
                <w:rFonts w:ascii="Arial" w:hAnsi="Arial" w:cs="Arial"/>
                <w:color w:val="000000"/>
                <w:sz w:val="20"/>
                <w:szCs w:val="20"/>
              </w:rPr>
            </w:pPr>
            <w:r>
              <w:rPr>
                <w:rFonts w:ascii="Arial" w:hAnsi="Arial" w:cs="Arial"/>
                <w:color w:val="000000"/>
                <w:sz w:val="20"/>
                <w:szCs w:val="20"/>
              </w:rPr>
              <w:t>137.1</w:t>
            </w:r>
          </w:p>
        </w:tc>
      </w:tr>
    </w:tbl>
    <w:p w14:paraId="19B295E4" w14:textId="77777777" w:rsidR="00302F60" w:rsidRDefault="00302F60" w:rsidP="00FA070F">
      <w:pPr>
        <w:spacing w:before="40" w:after="40" w:line="276" w:lineRule="auto"/>
        <w:ind w:firstLine="567"/>
        <w:jc w:val="both"/>
        <w:rPr>
          <w:b/>
          <w:bCs/>
          <w:i/>
          <w:iCs/>
          <w:lang w:val="vi-VN"/>
        </w:rPr>
      </w:pPr>
    </w:p>
    <w:p w14:paraId="25FABB92" w14:textId="31AA8ED1" w:rsidR="00D92A54" w:rsidRPr="00D11890" w:rsidRDefault="00D92A54" w:rsidP="00FA070F">
      <w:pPr>
        <w:spacing w:before="40" w:after="40" w:line="276" w:lineRule="auto"/>
        <w:ind w:firstLine="567"/>
        <w:jc w:val="both"/>
        <w:rPr>
          <w:b/>
          <w:bCs/>
          <w:i/>
          <w:lang w:val="vi-VN"/>
        </w:rPr>
      </w:pPr>
      <w:r w:rsidRPr="00D11890">
        <w:rPr>
          <w:b/>
          <w:bCs/>
          <w:i/>
          <w:iCs/>
          <w:lang w:val="vi-VN"/>
        </w:rPr>
        <w:t xml:space="preserve">c) </w:t>
      </w:r>
      <w:r w:rsidR="00352DD6" w:rsidRPr="00E34057">
        <w:rPr>
          <w:b/>
          <w:bCs/>
          <w:i/>
          <w:iCs/>
        </w:rPr>
        <w:t>International visitors to Viet Nam</w:t>
      </w:r>
      <w:r w:rsidR="00352DD6" w:rsidRPr="00E34057">
        <w:rPr>
          <w:rStyle w:val="FootnoteReference"/>
          <w:b/>
          <w:bCs/>
          <w:i/>
          <w:iCs/>
        </w:rPr>
        <w:footnoteReference w:id="19"/>
      </w:r>
    </w:p>
    <w:p w14:paraId="25A6697F" w14:textId="77777777" w:rsidR="00706D64" w:rsidRDefault="003A2F8F" w:rsidP="00FA070F">
      <w:pPr>
        <w:shd w:val="clear" w:color="auto" w:fill="FFFFFF"/>
        <w:spacing w:before="40" w:after="40" w:line="264" w:lineRule="auto"/>
        <w:ind w:firstLine="567"/>
        <w:jc w:val="both"/>
        <w:rPr>
          <w:i/>
          <w:iCs/>
        </w:rPr>
      </w:pPr>
      <w:r w:rsidRPr="00B04515">
        <w:rPr>
          <w:i/>
          <w:iCs/>
        </w:rPr>
        <w:t xml:space="preserve">International visitors to our country in </w:t>
      </w:r>
      <w:r>
        <w:rPr>
          <w:i/>
          <w:iCs/>
        </w:rPr>
        <w:t>January</w:t>
      </w:r>
      <w:r>
        <w:rPr>
          <w:rStyle w:val="FootnoteReference"/>
          <w:i/>
          <w:iCs/>
        </w:rPr>
        <w:footnoteReference w:id="20"/>
      </w:r>
      <w:r w:rsidRPr="00B04515">
        <w:rPr>
          <w:i/>
          <w:iCs/>
        </w:rPr>
        <w:t xml:space="preserve"> increased by 14.</w:t>
      </w:r>
      <w:r>
        <w:rPr>
          <w:i/>
          <w:iCs/>
        </w:rPr>
        <w:t>9</w:t>
      </w:r>
      <w:r w:rsidRPr="00B04515">
        <w:rPr>
          <w:i/>
          <w:iCs/>
        </w:rPr>
        <w:t xml:space="preserve">% compared to the previous month </w:t>
      </w:r>
      <w:r>
        <w:rPr>
          <w:i/>
          <w:iCs/>
        </w:rPr>
        <w:t xml:space="preserve">and </w:t>
      </w:r>
      <w:r w:rsidRPr="00B04515">
        <w:rPr>
          <w:i/>
          <w:iCs/>
        </w:rPr>
        <w:t xml:space="preserve">increased by </w:t>
      </w:r>
      <w:r>
        <w:rPr>
          <w:i/>
          <w:iCs/>
        </w:rPr>
        <w:t>11.2</w:t>
      </w:r>
      <w:r w:rsidRPr="00B04515">
        <w:rPr>
          <w:i/>
          <w:iCs/>
        </w:rPr>
        <w:t xml:space="preserve">% </w:t>
      </w:r>
      <w:r w:rsidRPr="00163FEC">
        <w:rPr>
          <w:i/>
          <w:iCs/>
          <w:spacing w:val="-4"/>
        </w:rPr>
        <w:t>over the same period last year</w:t>
      </w:r>
      <w:r w:rsidRPr="00B04515">
        <w:rPr>
          <w:i/>
          <w:iCs/>
        </w:rPr>
        <w:t xml:space="preserve"> because Viet Nam has implemented a pilot route to welcome international tourists from November 2021, and </w:t>
      </w:r>
      <w:r>
        <w:rPr>
          <w:i/>
          <w:iCs/>
        </w:rPr>
        <w:t>s</w:t>
      </w:r>
      <w:r w:rsidRPr="008214D8">
        <w:rPr>
          <w:i/>
          <w:iCs/>
        </w:rPr>
        <w:t>ome regular international routes have been res</w:t>
      </w:r>
      <w:r>
        <w:rPr>
          <w:i/>
          <w:iCs/>
        </w:rPr>
        <w:t>tored starting from January 2022.</w:t>
      </w:r>
    </w:p>
    <w:p w14:paraId="0B272BB5" w14:textId="19781FF7" w:rsidR="00B463CA" w:rsidRDefault="00B463CA" w:rsidP="00FA070F">
      <w:pPr>
        <w:shd w:val="clear" w:color="auto" w:fill="FFFFFF"/>
        <w:spacing w:before="40" w:after="40" w:line="264" w:lineRule="auto"/>
        <w:ind w:firstLine="567"/>
        <w:jc w:val="both"/>
        <w:rPr>
          <w:lang w:val="vi-VN"/>
        </w:rPr>
      </w:pPr>
      <w:r w:rsidRPr="00B463CA">
        <w:rPr>
          <w:lang w:val="vi-VN"/>
        </w:rPr>
        <w:t>International visitors to Viet Nam in January were estimated at 19.7 thousand arrivals, up 14.9% compared to the previous month and increased by 11.2% compared to the same period last year. Of which, visitors coming by airway gained 17.4 thousand persons, accounting for 88% of the total international visitors to Viet Nam, increased by 56.2%; by roadway achieved 2.3 thousand arrivals, accounted for 11.9% and went down by 64.2%; by seaway were 10 arrivals, accounted for 0.1% and decreased by 76.7%.</w:t>
      </w:r>
    </w:p>
    <w:p w14:paraId="306F0E10" w14:textId="2F7B52A8" w:rsidR="00927A13" w:rsidRDefault="00927A13" w:rsidP="00FA070F">
      <w:pPr>
        <w:shd w:val="clear" w:color="auto" w:fill="FFFFFF"/>
        <w:spacing w:before="40" w:after="40" w:line="264" w:lineRule="auto"/>
        <w:ind w:firstLine="567"/>
        <w:jc w:val="both"/>
        <w:rPr>
          <w:lang w:val="vi-VN"/>
        </w:rPr>
      </w:pPr>
    </w:p>
    <w:p w14:paraId="291EBE84" w14:textId="1B7F8C5F" w:rsidR="00927A13" w:rsidRDefault="00927A13" w:rsidP="00FA070F">
      <w:pPr>
        <w:shd w:val="clear" w:color="auto" w:fill="FFFFFF"/>
        <w:spacing w:before="40" w:after="40" w:line="264" w:lineRule="auto"/>
        <w:ind w:firstLine="567"/>
        <w:jc w:val="both"/>
        <w:rPr>
          <w:lang w:val="vi-VN"/>
        </w:rPr>
      </w:pPr>
    </w:p>
    <w:p w14:paraId="0738D7C1" w14:textId="2AB9C648" w:rsidR="00927A13" w:rsidRDefault="00927A13" w:rsidP="00FA070F">
      <w:pPr>
        <w:shd w:val="clear" w:color="auto" w:fill="FFFFFF"/>
        <w:spacing w:before="40" w:after="40" w:line="264" w:lineRule="auto"/>
        <w:ind w:firstLine="567"/>
        <w:jc w:val="both"/>
        <w:rPr>
          <w:lang w:val="vi-VN"/>
        </w:rPr>
      </w:pPr>
    </w:p>
    <w:p w14:paraId="33F8705B" w14:textId="5CFB0F60" w:rsidR="00927A13" w:rsidRDefault="00927A13" w:rsidP="00FA070F">
      <w:pPr>
        <w:shd w:val="clear" w:color="auto" w:fill="FFFFFF"/>
        <w:spacing w:before="40" w:after="40" w:line="264" w:lineRule="auto"/>
        <w:ind w:firstLine="567"/>
        <w:jc w:val="both"/>
        <w:rPr>
          <w:lang w:val="vi-VN"/>
        </w:rPr>
      </w:pPr>
    </w:p>
    <w:p w14:paraId="2689B82F" w14:textId="77777777" w:rsidR="00927A13" w:rsidRDefault="00927A13" w:rsidP="00FA070F">
      <w:pPr>
        <w:shd w:val="clear" w:color="auto" w:fill="FFFFFF"/>
        <w:spacing w:before="40" w:after="40" w:line="264" w:lineRule="auto"/>
        <w:ind w:firstLine="567"/>
        <w:jc w:val="both"/>
        <w:rPr>
          <w:lang w:val="vi-VN"/>
        </w:rPr>
      </w:pPr>
    </w:p>
    <w:p w14:paraId="0DC97A2A" w14:textId="77777777" w:rsidR="00D92A54" w:rsidRDefault="00D92A54" w:rsidP="00D92A54">
      <w:pPr>
        <w:shd w:val="clear" w:color="auto" w:fill="FFFFFF"/>
        <w:jc w:val="center"/>
        <w:rPr>
          <w:rFonts w:ascii="Arial" w:hAnsi="Arial" w:cs="Arial"/>
          <w:b/>
          <w:sz w:val="24"/>
          <w:szCs w:val="24"/>
          <w:lang w:val="vi-VN"/>
        </w:rPr>
      </w:pPr>
    </w:p>
    <w:p w14:paraId="0441BEF2" w14:textId="77777777" w:rsidR="00AF6A60" w:rsidRDefault="001D07B7" w:rsidP="00AF6A60">
      <w:pPr>
        <w:shd w:val="clear" w:color="auto" w:fill="FFFFFF"/>
        <w:jc w:val="center"/>
        <w:rPr>
          <w:rFonts w:ascii="Arial" w:hAnsi="Arial" w:cs="Arial"/>
          <w:b/>
          <w:sz w:val="24"/>
          <w:szCs w:val="24"/>
          <w:lang w:val="vi-VN"/>
        </w:rPr>
      </w:pPr>
      <w:r>
        <w:rPr>
          <w:rFonts w:ascii="Arial" w:hAnsi="Arial" w:cs="Arial"/>
          <w:b/>
          <w:sz w:val="24"/>
          <w:szCs w:val="24"/>
        </w:rPr>
        <w:t>Figure</w:t>
      </w:r>
      <w:r w:rsidR="00D92A54" w:rsidRPr="009F297E">
        <w:rPr>
          <w:rFonts w:ascii="Arial" w:hAnsi="Arial" w:cs="Arial"/>
          <w:b/>
          <w:sz w:val="24"/>
          <w:szCs w:val="24"/>
          <w:lang w:val="vi-VN"/>
        </w:rPr>
        <w:t xml:space="preserve"> </w:t>
      </w:r>
      <w:r w:rsidR="001F6098" w:rsidRPr="00052095">
        <w:rPr>
          <w:rFonts w:ascii="Arial" w:hAnsi="Arial" w:cs="Arial"/>
          <w:b/>
          <w:sz w:val="24"/>
          <w:szCs w:val="24"/>
          <w:lang w:val="vi-VN"/>
        </w:rPr>
        <w:t>1</w:t>
      </w:r>
      <w:r w:rsidR="008D32CB">
        <w:rPr>
          <w:rFonts w:ascii="Arial" w:hAnsi="Arial" w:cs="Arial"/>
          <w:b/>
          <w:sz w:val="24"/>
          <w:szCs w:val="24"/>
          <w:lang w:val="en-GB"/>
        </w:rPr>
        <w:t>6</w:t>
      </w:r>
      <w:r w:rsidR="00D92A54" w:rsidRPr="009F297E">
        <w:rPr>
          <w:rFonts w:ascii="Arial" w:hAnsi="Arial" w:cs="Arial"/>
          <w:b/>
          <w:sz w:val="24"/>
          <w:szCs w:val="24"/>
          <w:lang w:val="vi-VN"/>
        </w:rPr>
        <w:t>.</w:t>
      </w:r>
      <w:r w:rsidR="00AF6A60">
        <w:rPr>
          <w:rFonts w:ascii="Arial" w:hAnsi="Arial" w:cs="Arial"/>
          <w:b/>
          <w:sz w:val="24"/>
          <w:szCs w:val="24"/>
        </w:rPr>
        <w:t xml:space="preserve"> </w:t>
      </w:r>
      <w:r w:rsidR="00AF6A60" w:rsidRPr="00AF6A60">
        <w:rPr>
          <w:rFonts w:ascii="Arial" w:hAnsi="Arial" w:cs="Arial"/>
          <w:b/>
          <w:sz w:val="24"/>
          <w:szCs w:val="24"/>
          <w:lang w:val="vi-VN"/>
        </w:rPr>
        <w:t xml:space="preserve">International visitors to Vietnam </w:t>
      </w:r>
    </w:p>
    <w:p w14:paraId="7A48E8A5" w14:textId="62B03FCB" w:rsidR="00D92A54" w:rsidRDefault="00AF6A60" w:rsidP="00AF6A60">
      <w:pPr>
        <w:shd w:val="clear" w:color="auto" w:fill="FFFFFF"/>
        <w:jc w:val="center"/>
        <w:rPr>
          <w:rFonts w:ascii="Arial" w:hAnsi="Arial" w:cs="Arial"/>
          <w:b/>
          <w:sz w:val="24"/>
          <w:szCs w:val="24"/>
        </w:rPr>
      </w:pPr>
      <w:r w:rsidRPr="00AF6A60">
        <w:rPr>
          <w:rFonts w:ascii="Arial" w:hAnsi="Arial" w:cs="Arial"/>
          <w:b/>
          <w:sz w:val="24"/>
          <w:szCs w:val="24"/>
          <w:lang w:val="vi-VN"/>
        </w:rPr>
        <w:t>in January 2022</w:t>
      </w:r>
      <w:r>
        <w:rPr>
          <w:rFonts w:ascii="Arial" w:hAnsi="Arial" w:cs="Arial"/>
          <w:b/>
          <w:sz w:val="24"/>
          <w:szCs w:val="24"/>
        </w:rPr>
        <w:t xml:space="preserve"> </w:t>
      </w:r>
      <w:r w:rsidRPr="00AF6A60">
        <w:rPr>
          <w:rFonts w:ascii="Arial" w:hAnsi="Arial" w:cs="Arial"/>
          <w:b/>
          <w:sz w:val="24"/>
          <w:szCs w:val="24"/>
          <w:lang w:val="vi-VN"/>
        </w:rPr>
        <w:t>by territory</w:t>
      </w:r>
    </w:p>
    <w:p w14:paraId="5A11FB79" w14:textId="1A8FA341" w:rsidR="00D92A54" w:rsidRPr="0089221B" w:rsidRDefault="00464294" w:rsidP="00D92A54">
      <w:pPr>
        <w:shd w:val="clear" w:color="auto" w:fill="FFFFFF"/>
        <w:jc w:val="center"/>
      </w:pPr>
      <w:r>
        <w:rPr>
          <w:noProof/>
        </w:rPr>
        <w:drawing>
          <wp:inline distT="0" distB="0" distL="0" distR="0" wp14:anchorId="1376A4DF" wp14:editId="2F6904C0">
            <wp:extent cx="5699760" cy="2576354"/>
            <wp:effectExtent l="0" t="0" r="0" b="0"/>
            <wp:docPr id="32" name="Picture 1" descr="C:\Users\btvan\AppData\Local\Temp\Rar$DRa0.84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van\AppData\Local\Temp\Rar$DRa0.843\0001.jpg"/>
                    <pic:cNvPicPr>
                      <a:picLocks noChangeAspect="1" noChangeArrowheads="1"/>
                    </pic:cNvPicPr>
                  </pic:nvPicPr>
                  <pic:blipFill>
                    <a:blip r:embed="rId26"/>
                    <a:srcRect/>
                    <a:stretch>
                      <a:fillRect/>
                    </a:stretch>
                  </pic:blipFill>
                  <pic:spPr bwMode="auto">
                    <a:xfrm>
                      <a:off x="0" y="0"/>
                      <a:ext cx="5699760" cy="2576354"/>
                    </a:xfrm>
                    <a:prstGeom prst="rect">
                      <a:avLst/>
                    </a:prstGeom>
                    <a:noFill/>
                    <a:ln w="9525">
                      <a:noFill/>
                      <a:miter lim="800000"/>
                      <a:headEnd/>
                      <a:tailEnd/>
                    </a:ln>
                  </pic:spPr>
                </pic:pic>
              </a:graphicData>
            </a:graphic>
          </wp:inline>
        </w:drawing>
      </w:r>
    </w:p>
    <w:p w14:paraId="7EE942C5" w14:textId="7DD60470" w:rsidR="00130947" w:rsidRPr="00AF7B85" w:rsidRDefault="00130947" w:rsidP="00851384">
      <w:pPr>
        <w:spacing w:before="40" w:after="40" w:line="300" w:lineRule="auto"/>
        <w:ind w:firstLine="567"/>
        <w:jc w:val="both"/>
        <w:rPr>
          <w:b/>
          <w:bCs/>
        </w:rPr>
      </w:pPr>
      <w:r w:rsidRPr="00AF7B85">
        <w:rPr>
          <w:b/>
          <w:bCs/>
        </w:rPr>
        <w:t xml:space="preserve">7. </w:t>
      </w:r>
      <w:bookmarkStart w:id="10" w:name="_Hlk89701091"/>
      <w:r w:rsidR="00EF6556" w:rsidRPr="00387E47">
        <w:rPr>
          <w:b/>
          <w:bCs/>
        </w:rPr>
        <w:t>Some</w:t>
      </w:r>
      <w:bookmarkEnd w:id="10"/>
      <w:r w:rsidR="00EF6556" w:rsidRPr="00387E47">
        <w:rPr>
          <w:b/>
          <w:bCs/>
        </w:rPr>
        <w:t xml:space="preserve"> social situation</w:t>
      </w:r>
    </w:p>
    <w:p w14:paraId="55B37C65" w14:textId="5BCD3B24" w:rsidR="00130947" w:rsidRPr="00AF7B85" w:rsidRDefault="00130947" w:rsidP="00C014E8">
      <w:pPr>
        <w:tabs>
          <w:tab w:val="left" w:pos="709"/>
          <w:tab w:val="left" w:pos="1134"/>
        </w:tabs>
        <w:spacing w:before="40" w:after="40" w:line="300" w:lineRule="auto"/>
        <w:ind w:firstLine="567"/>
        <w:jc w:val="both"/>
        <w:rPr>
          <w:b/>
          <w:i/>
        </w:rPr>
      </w:pPr>
      <w:r w:rsidRPr="00AF7B85">
        <w:rPr>
          <w:b/>
          <w:i/>
        </w:rPr>
        <w:t xml:space="preserve">a) </w:t>
      </w:r>
      <w:r w:rsidR="00C014E8" w:rsidRPr="00C014E8">
        <w:rPr>
          <w:b/>
          <w:i/>
        </w:rPr>
        <w:t>Residential life and social security</w:t>
      </w:r>
    </w:p>
    <w:p w14:paraId="158B8C4E" w14:textId="13A3F202" w:rsidR="00375CF9" w:rsidRDefault="00375CF9" w:rsidP="00851384">
      <w:pPr>
        <w:tabs>
          <w:tab w:val="left" w:pos="567"/>
        </w:tabs>
        <w:spacing w:before="40" w:after="40" w:line="300" w:lineRule="auto"/>
        <w:ind w:firstLine="567"/>
        <w:jc w:val="both"/>
        <w:rPr>
          <w:bCs/>
          <w:snapToGrid w:val="0"/>
          <w:lang w:val="nl-NL"/>
        </w:rPr>
      </w:pPr>
      <w:r w:rsidRPr="00375CF9">
        <w:rPr>
          <w:bCs/>
          <w:snapToGrid w:val="0"/>
          <w:lang w:val="nl-NL"/>
        </w:rPr>
        <w:t>In January 2022, the people of the country prepared to welcome the Lunar New Year in the context of the complicated development of the Covid-19 epidemic. To ensure that people can enjoy the Spring Festival safely and healthily, the Party and Government have made drastic directions in disease prevention and control, and at the same time implemented supportive policies to ensure people's lives. people during the Lunar New Year. On December 8, 2021, the Secretariat issued Directive No. 11/CT-TW on the organization of the Year of the Lunar New Year 2022; The Prime Minister issued Directive No. 35/CT-</w:t>
      </w:r>
      <w:r w:rsidR="0071375D">
        <w:rPr>
          <w:bCs/>
          <w:snapToGrid w:val="0"/>
          <w:lang w:val="nl-NL"/>
        </w:rPr>
        <w:t>TTg</w:t>
      </w:r>
      <w:r w:rsidRPr="00375CF9">
        <w:rPr>
          <w:bCs/>
          <w:snapToGrid w:val="0"/>
          <w:lang w:val="nl-NL"/>
        </w:rPr>
        <w:t xml:space="preserve"> dated December 31, 2021</w:t>
      </w:r>
      <w:r w:rsidR="0071375D">
        <w:rPr>
          <w:bCs/>
          <w:snapToGrid w:val="0"/>
          <w:lang w:val="nl-NL"/>
        </w:rPr>
        <w:t>,</w:t>
      </w:r>
      <w:r w:rsidRPr="00375CF9">
        <w:rPr>
          <w:bCs/>
          <w:snapToGrid w:val="0"/>
          <w:lang w:val="nl-NL"/>
        </w:rPr>
        <w:t xml:space="preserve"> on strengthening measures to ensure the Lunar New Year in 2022.</w:t>
      </w:r>
    </w:p>
    <w:p w14:paraId="5D4C93FC" w14:textId="77777777" w:rsidR="00896ADA" w:rsidRDefault="00896ADA" w:rsidP="00851384">
      <w:pPr>
        <w:tabs>
          <w:tab w:val="left" w:pos="567"/>
        </w:tabs>
        <w:spacing w:before="40" w:after="40" w:line="300" w:lineRule="auto"/>
        <w:ind w:firstLine="567"/>
        <w:jc w:val="both"/>
        <w:rPr>
          <w:rStyle w:val="fontstyle01"/>
          <w:lang w:val="nl-NL"/>
        </w:rPr>
      </w:pPr>
      <w:r w:rsidRPr="00896ADA">
        <w:rPr>
          <w:rStyle w:val="fontstyle01"/>
          <w:lang w:val="nl-NL"/>
        </w:rPr>
        <w:t xml:space="preserve">Social security work has received much attention on the occasion of the Lunar New Year, supporting poverty in early 2022 and families affected by rains and floods. The Prime Minister has signed Decisions on free rice supply from the national reserve. Specifically, Decision No. 123/QD-TTg dated January 21, 2022, to supply 9,877.9 tons of rice, of which: 6,902.2 tons in the case of the Lunar New Year 2022 for the following provinces: Tay Ninh 825.5 tons; Cao Bang 624.7 tons; Phu Yen 1,008.1 tons; Ninh Thuan 1,508.8 tons; Nghe An 1,140.7 tons; Gia Lai 692.2 tons; Quang Binh 1,102.2 tons; and 2,975.7 tons of rice to support hunger and poverty for 56.3 thousand hungry households with 198.4 thousand people in 3 provinces: Cao Bang (1,093.4 tons), Gia Lai (697,9 </w:t>
      </w:r>
      <w:r w:rsidRPr="00896ADA">
        <w:rPr>
          <w:rStyle w:val="fontstyle01"/>
          <w:lang w:val="nl-NL"/>
        </w:rPr>
        <w:lastRenderedPageBreak/>
        <w:t>tons), Quang Binh (1,184.4 tons); Decision No. 122/QD-TTg dated 21/01/2022 issued 3,738.5 tons of rice to support people affected by floods.</w:t>
      </w:r>
    </w:p>
    <w:p w14:paraId="6A824859" w14:textId="77777777" w:rsidR="00DF0D76" w:rsidRDefault="00DF0D76" w:rsidP="00851384">
      <w:pPr>
        <w:tabs>
          <w:tab w:val="left" w:pos="-3780"/>
          <w:tab w:val="left" w:pos="-2880"/>
        </w:tabs>
        <w:spacing w:before="40" w:after="40" w:line="300" w:lineRule="auto"/>
        <w:ind w:firstLine="567"/>
        <w:jc w:val="both"/>
        <w:rPr>
          <w:rStyle w:val="fontstyle01"/>
          <w:lang w:val="nl-NL"/>
        </w:rPr>
      </w:pPr>
      <w:r w:rsidRPr="00DF0D76">
        <w:rPr>
          <w:rStyle w:val="fontstyle01"/>
          <w:lang w:val="nl-NL"/>
        </w:rPr>
        <w:t>The package to support people affected by the Covid-19 epidemic continues to be implemented. According to the report of the Ministry of Labor, War Invalids and Social Affairs on the implementation of Resolution No. 68/NQ-CP dated July 01, 2021, of the Government and Resolution No. 126/NQ-CP dated October 8 2021 of the Government amending and supplementing Resolution No. 68/NQ-CP dated July 01, 2021, of the Government on policies to support employees and employers facing difficulties due to the Covid-19 pandemic, as of January 21, 2022,  there was 36.3 trillion VND supported for 31.3 million people and 378.3 thousand employers/business households.</w:t>
      </w:r>
    </w:p>
    <w:p w14:paraId="460A9051" w14:textId="77777777" w:rsidR="00405C8D" w:rsidRDefault="00130947" w:rsidP="00405C8D">
      <w:pPr>
        <w:tabs>
          <w:tab w:val="left" w:pos="-3780"/>
          <w:tab w:val="left" w:pos="-2880"/>
        </w:tabs>
        <w:spacing w:before="40" w:after="40" w:line="300" w:lineRule="auto"/>
        <w:ind w:firstLine="567"/>
        <w:jc w:val="both"/>
        <w:rPr>
          <w:lang w:val="de-DE"/>
        </w:rPr>
      </w:pPr>
      <w:r w:rsidRPr="00052095">
        <w:rPr>
          <w:b/>
          <w:i/>
          <w:lang w:val="nl-NL"/>
        </w:rPr>
        <w:t xml:space="preserve">b) </w:t>
      </w:r>
      <w:r w:rsidR="00405C8D" w:rsidRPr="00387E47">
        <w:rPr>
          <w:rStyle w:val="normalchar"/>
          <w:b/>
          <w:i/>
          <w:iCs/>
          <w:lang w:val="nl-NL"/>
        </w:rPr>
        <w:t>Epidemic diseases and food poisoning</w:t>
      </w:r>
      <w:r w:rsidR="00405C8D" w:rsidRPr="00387E47">
        <w:rPr>
          <w:lang w:val="de-DE"/>
        </w:rPr>
        <w:t xml:space="preserve"> </w:t>
      </w:r>
    </w:p>
    <w:p w14:paraId="6D528C5A" w14:textId="77777777" w:rsidR="008F2F34" w:rsidRPr="008F2F34" w:rsidRDefault="008F2F34" w:rsidP="008F2F34">
      <w:pPr>
        <w:spacing w:before="40" w:after="40" w:line="278" w:lineRule="auto"/>
        <w:ind w:firstLine="567"/>
        <w:jc w:val="both"/>
        <w:rPr>
          <w:spacing w:val="-2"/>
          <w:lang w:val="de-DE"/>
        </w:rPr>
      </w:pPr>
      <w:r w:rsidRPr="008F2F34">
        <w:rPr>
          <w:spacing w:val="-2"/>
          <w:lang w:val="de-DE"/>
        </w:rPr>
        <w:t>According to the report of the Ministry of Health, in the month (December 19, 2021, to January 18, 2022), there were 1,188 cases of hemorrhagic fever; 41 cases of hand, foot, and mouth disease; 04 cases of virus encephalitis and 03 cases of scarlet fever suspected for measles.</w:t>
      </w:r>
    </w:p>
    <w:p w14:paraId="1BF0BB3D" w14:textId="16E03AC5" w:rsidR="00130947" w:rsidRPr="00F26301" w:rsidRDefault="008F2F34" w:rsidP="008F2F34">
      <w:pPr>
        <w:spacing w:before="40" w:after="40" w:line="278" w:lineRule="auto"/>
        <w:ind w:firstLine="567"/>
        <w:jc w:val="both"/>
        <w:rPr>
          <w:color w:val="FF0000"/>
          <w:lang w:val="de-DE"/>
        </w:rPr>
      </w:pPr>
      <w:r w:rsidRPr="008F2F34">
        <w:rPr>
          <w:spacing w:val="-2"/>
          <w:lang w:val="de-DE"/>
        </w:rPr>
        <w:t>The epidemic of Covid-19 in the world continues to be complicated</w:t>
      </w:r>
      <w:r w:rsidR="00130947" w:rsidRPr="00F26301">
        <w:rPr>
          <w:rStyle w:val="FootnoteReference"/>
          <w:lang w:val="de-DE"/>
        </w:rPr>
        <w:footnoteReference w:id="21"/>
      </w:r>
      <w:r w:rsidR="00130947" w:rsidRPr="00F26301">
        <w:rPr>
          <w:lang w:val="de-DE"/>
        </w:rPr>
        <w:t xml:space="preserve">. </w:t>
      </w:r>
      <w:r w:rsidRPr="008F2F34">
        <w:rPr>
          <w:lang w:val="de-DE"/>
        </w:rPr>
        <w:t>In Vietnam, the prevention and control of the Covid-19 epidemic continue to be implemented drastically, synchronously, and effectively, promptly changing the status to "Safely adapting, flexibly, effectively controlling the Covid-19 epidemic" while preventing and fighting the epidemic, while recovering and developing socio-economically. As of 16:00 on January 25, 2022, in Viet Nam had 2,187.5 thousand cases were reported, of which 1,924.6 thousand were cured and 37,165 deaths.</w:t>
      </w:r>
    </w:p>
    <w:p w14:paraId="5D7DFAA7" w14:textId="77777777" w:rsidR="00263772" w:rsidRDefault="00263772" w:rsidP="004268AF">
      <w:pPr>
        <w:spacing w:before="40" w:after="40" w:line="278" w:lineRule="auto"/>
        <w:ind w:firstLine="567"/>
        <w:jc w:val="both"/>
        <w:rPr>
          <w:lang w:val="de-DE"/>
        </w:rPr>
      </w:pPr>
      <w:r w:rsidRPr="00263772">
        <w:rPr>
          <w:lang w:val="de-DE"/>
        </w:rPr>
        <w:t xml:space="preserve">Vietnam's Covid-19 vaccine campaign continues to be deployed quickly, safely, scientifically, and effectively. As of January 25, 2022, The total number of doses of Covid-19 vaccine administered was 178,818.6 thousand doses, of which the injection was a nasal injection the first was 78,945.7 thousand doses; the second dose was 73,967.1 thousand doses; 3rd dose injection (additional injection, booster injection and basic 3-dose injection) was 25,905.8 thousand doses. </w:t>
      </w:r>
    </w:p>
    <w:p w14:paraId="2AA2CA02" w14:textId="77777777" w:rsidR="006B0860" w:rsidRPr="006B0860" w:rsidRDefault="006B0860" w:rsidP="006B0860">
      <w:pPr>
        <w:spacing w:before="40" w:after="40" w:line="278" w:lineRule="auto"/>
        <w:ind w:firstLine="567"/>
        <w:jc w:val="both"/>
        <w:rPr>
          <w:lang w:val="de-DE"/>
        </w:rPr>
      </w:pPr>
      <w:r w:rsidRPr="006B0860">
        <w:rPr>
          <w:lang w:val="de-DE"/>
        </w:rPr>
        <w:t>The total number of people living with HIV nationwide as of January  18, 2022, was 214,281 persons and the number of deaths by HIV/AIDS as of the above time-point was 111.076 persons.</w:t>
      </w:r>
    </w:p>
    <w:p w14:paraId="1890266A" w14:textId="77777777" w:rsidR="006B0860" w:rsidRDefault="006B0860" w:rsidP="006B0860">
      <w:pPr>
        <w:spacing w:before="40" w:after="40" w:line="278" w:lineRule="auto"/>
        <w:ind w:firstLine="567"/>
        <w:jc w:val="both"/>
        <w:rPr>
          <w:lang w:val="de-DE"/>
        </w:rPr>
      </w:pPr>
      <w:r w:rsidRPr="006B0860">
        <w:rPr>
          <w:lang w:val="de-DE"/>
        </w:rPr>
        <w:lastRenderedPageBreak/>
        <w:t>In January 2022, there were 01 cases of food poisoning with 04 persons poisoned.</w:t>
      </w:r>
    </w:p>
    <w:p w14:paraId="744B4556" w14:textId="58DC6CE2" w:rsidR="00130947" w:rsidRPr="00052095" w:rsidRDefault="00130947" w:rsidP="006B0860">
      <w:pPr>
        <w:spacing w:before="40" w:after="40" w:line="278" w:lineRule="auto"/>
        <w:ind w:firstLine="567"/>
        <w:jc w:val="both"/>
        <w:rPr>
          <w:b/>
          <w:i/>
          <w:lang w:val="nl-NL"/>
        </w:rPr>
      </w:pPr>
      <w:r w:rsidRPr="00052095">
        <w:rPr>
          <w:b/>
          <w:i/>
          <w:lang w:val="nl-NL"/>
        </w:rPr>
        <w:t xml:space="preserve">c) </w:t>
      </w:r>
      <w:r w:rsidR="00FA5DEC" w:rsidRPr="00387E47">
        <w:rPr>
          <w:b/>
          <w:i/>
        </w:rPr>
        <w:t>Traffic accident</w:t>
      </w:r>
      <w:r w:rsidR="00FA5DEC" w:rsidRPr="00387E47">
        <w:rPr>
          <w:rStyle w:val="FootnoteReference"/>
          <w:rFonts w:eastAsia="Calibri"/>
        </w:rPr>
        <w:t xml:space="preserve"> </w:t>
      </w:r>
      <w:r w:rsidRPr="00AF7B85">
        <w:rPr>
          <w:rStyle w:val="FootnoteReference"/>
          <w:rFonts w:eastAsia="Calibri"/>
        </w:rPr>
        <w:footnoteReference w:id="22"/>
      </w:r>
    </w:p>
    <w:p w14:paraId="236CA9FC" w14:textId="77777777" w:rsidR="00125085" w:rsidRDefault="00603318" w:rsidP="004268AF">
      <w:pPr>
        <w:spacing w:before="40" w:after="40" w:line="278" w:lineRule="auto"/>
        <w:ind w:firstLine="567"/>
        <w:jc w:val="both"/>
        <w:rPr>
          <w:spacing w:val="-2"/>
          <w:lang w:val="de-DE"/>
        </w:rPr>
      </w:pPr>
      <w:r w:rsidRPr="00603318">
        <w:rPr>
          <w:spacing w:val="-2"/>
          <w:lang w:val="de-DE"/>
        </w:rPr>
        <w:t>In January (from December 15, 2021, to January 14, 2022), there were 963  traffic accidents nationwide, including 687 traffic accidents less serious or more serious, 276 traffic collisions, causing 565 deaths, 336 injuries, and 263 minor injuries. Compared to the same period last year, the number of traffic accidents in January this year decreased by 21.9% (the number of traffic accidents of less serious or more serious decreased by 8.8%, and the number of traffic collisions decreased by 42.5%); the number of deaths decreased by 7.1%; the number of injured people decreased by 8.2%, and the number of minor injuries decreased by 50.3%. On average a day per month, there are 31 traffic accidents nationwide, including 22 traffic accidents less serious or more serious, and 9 traffic collisions, causing 18 deaths, 11 people were injured, and 8 people were slightly injured.</w:t>
      </w:r>
    </w:p>
    <w:p w14:paraId="29E72E7D" w14:textId="28D9B93B" w:rsidR="002C0B48" w:rsidRDefault="00130947" w:rsidP="002C0B48">
      <w:pPr>
        <w:spacing w:before="40" w:after="40" w:line="278" w:lineRule="auto"/>
        <w:ind w:firstLine="567"/>
        <w:jc w:val="both"/>
        <w:rPr>
          <w:lang w:val="de-DE"/>
        </w:rPr>
      </w:pPr>
      <w:r w:rsidRPr="00052095">
        <w:rPr>
          <w:b/>
          <w:i/>
          <w:lang w:val="de-DE"/>
        </w:rPr>
        <w:t xml:space="preserve">d) </w:t>
      </w:r>
      <w:r w:rsidR="00F8007A" w:rsidRPr="00387E47">
        <w:rPr>
          <w:b/>
          <w:bCs/>
          <w:i/>
          <w:iCs/>
          <w:lang w:val="pl-PL"/>
        </w:rPr>
        <w:t>Damage caused by natural disasters</w:t>
      </w:r>
      <w:r w:rsidRPr="00052095">
        <w:rPr>
          <w:b/>
          <w:i/>
          <w:lang w:val="de-DE"/>
        </w:rPr>
        <w:t xml:space="preserve">, </w:t>
      </w:r>
      <w:r w:rsidR="002C0B48">
        <w:rPr>
          <w:b/>
          <w:bCs/>
          <w:i/>
          <w:iCs/>
          <w:lang w:val="pl-PL"/>
        </w:rPr>
        <w:t>e</w:t>
      </w:r>
      <w:r w:rsidR="002C0B48" w:rsidRPr="00387E47">
        <w:rPr>
          <w:b/>
          <w:bCs/>
          <w:i/>
          <w:iCs/>
          <w:lang w:val="pl-PL"/>
        </w:rPr>
        <w:t>nvironmental protection and fire</w:t>
      </w:r>
      <w:r w:rsidR="002C0B48">
        <w:rPr>
          <w:b/>
          <w:bCs/>
          <w:i/>
          <w:iCs/>
          <w:lang w:val="pl-PL"/>
        </w:rPr>
        <w:t>,</w:t>
      </w:r>
      <w:r w:rsidR="002C0B48" w:rsidRPr="00387E47">
        <w:rPr>
          <w:b/>
          <w:bCs/>
          <w:i/>
          <w:iCs/>
          <w:lang w:val="pl-PL"/>
        </w:rPr>
        <w:t xml:space="preserve"> and explosion prevention</w:t>
      </w:r>
      <w:r w:rsidR="002C0B48" w:rsidRPr="00052095">
        <w:rPr>
          <w:lang w:val="de-DE"/>
        </w:rPr>
        <w:t xml:space="preserve"> </w:t>
      </w:r>
    </w:p>
    <w:p w14:paraId="538DC719" w14:textId="77777777" w:rsidR="001F4FDF" w:rsidRPr="00387E47" w:rsidRDefault="001F4FDF" w:rsidP="001F4FDF">
      <w:pPr>
        <w:tabs>
          <w:tab w:val="left" w:pos="709"/>
          <w:tab w:val="left" w:pos="1134"/>
        </w:tabs>
        <w:spacing w:before="120" w:after="120" w:line="288" w:lineRule="auto"/>
        <w:ind w:firstLine="680"/>
        <w:jc w:val="both"/>
        <w:rPr>
          <w:lang w:val="pl-PL"/>
        </w:rPr>
      </w:pPr>
      <w:r w:rsidRPr="00387E47">
        <w:rPr>
          <w:lang w:val="pl-PL"/>
        </w:rPr>
        <w:t xml:space="preserve">Natural disasters that occurred in the month </w:t>
      </w:r>
      <w:r>
        <w:rPr>
          <w:lang w:val="pl-PL"/>
        </w:rPr>
        <w:t xml:space="preserve">were </w:t>
      </w:r>
      <w:r w:rsidRPr="00387E47">
        <w:rPr>
          <w:lang w:val="pl-PL"/>
        </w:rPr>
        <w:t xml:space="preserve">mainly </w:t>
      </w:r>
      <w:r w:rsidRPr="009A286A">
        <w:rPr>
          <w:lang w:val="pl-PL"/>
        </w:rPr>
        <w:t>heavy rain; landslides and storms damaged</w:t>
      </w:r>
      <w:r w:rsidRPr="00387E47">
        <w:rPr>
          <w:lang w:val="pl-PL"/>
        </w:rPr>
        <w:t xml:space="preserve"> made </w:t>
      </w:r>
      <w:r>
        <w:rPr>
          <w:lang w:val="pl-PL"/>
        </w:rPr>
        <w:t>33.6</w:t>
      </w:r>
      <w:r w:rsidRPr="00387E47">
        <w:rPr>
          <w:lang w:val="pl-PL"/>
        </w:rPr>
        <w:t xml:space="preserve"> thousand hectares of rice and crops were damaged; 892 houses flooded, the damage was estimated at </w:t>
      </w:r>
      <w:r>
        <w:rPr>
          <w:lang w:val="pl-PL"/>
        </w:rPr>
        <w:t>561.2</w:t>
      </w:r>
      <w:r w:rsidRPr="00387E47">
        <w:rPr>
          <w:lang w:val="pl-PL"/>
        </w:rPr>
        <w:t xml:space="preserve"> billion VND, </w:t>
      </w:r>
      <w:r>
        <w:rPr>
          <w:lang w:val="pl-PL"/>
        </w:rPr>
        <w:t>14.5 times higher</w:t>
      </w:r>
      <w:r w:rsidRPr="00387E47">
        <w:rPr>
          <w:lang w:val="pl-PL"/>
        </w:rPr>
        <w:t xml:space="preserve"> over the same period last year</w:t>
      </w:r>
      <w:r>
        <w:rPr>
          <w:lang w:val="pl-PL"/>
        </w:rPr>
        <w:t>,</w:t>
      </w:r>
      <w:r w:rsidRPr="00387E47">
        <w:rPr>
          <w:lang w:val="pl-PL"/>
        </w:rPr>
        <w:t xml:space="preserve"> </w:t>
      </w:r>
      <w:r w:rsidRPr="009A286A">
        <w:rPr>
          <w:lang w:val="pl-PL"/>
        </w:rPr>
        <w:t xml:space="preserve">mainly damage caused by storms and heavy rain in some provinces such as Khanh Hoa 395.6 billion VND; Quang Ngai 66.5 billion VND; Binh Dinh 36.8 billion </w:t>
      </w:r>
      <w:r>
        <w:rPr>
          <w:lang w:val="pl-PL"/>
        </w:rPr>
        <w:t>VND</w:t>
      </w:r>
      <w:r w:rsidRPr="009A286A">
        <w:rPr>
          <w:lang w:val="pl-PL"/>
        </w:rPr>
        <w:t>; Quang Nam 31.7 billion</w:t>
      </w:r>
      <w:r>
        <w:rPr>
          <w:lang w:val="pl-PL"/>
        </w:rPr>
        <w:t xml:space="preserve"> </w:t>
      </w:r>
      <w:r w:rsidRPr="009A286A">
        <w:rPr>
          <w:lang w:val="pl-PL"/>
        </w:rPr>
        <w:t>VND; Phu Yen 21.8 billion VND…</w:t>
      </w:r>
    </w:p>
    <w:p w14:paraId="2F28ED0C" w14:textId="0D2AA3D0" w:rsidR="006379FB" w:rsidRDefault="00130947" w:rsidP="004268AF">
      <w:pPr>
        <w:spacing w:before="40" w:after="40" w:line="288" w:lineRule="auto"/>
        <w:ind w:firstLine="567"/>
        <w:jc w:val="both"/>
      </w:pPr>
      <w:r w:rsidRPr="00052095">
        <w:rPr>
          <w:lang w:val="de-DE"/>
        </w:rPr>
        <w:t xml:space="preserve"> </w:t>
      </w:r>
      <w:r w:rsidR="009E7A74" w:rsidRPr="00387E47">
        <w:rPr>
          <w:lang w:val="pl-PL"/>
        </w:rPr>
        <w:t xml:space="preserve">In </w:t>
      </w:r>
      <w:r w:rsidR="009E7A74">
        <w:rPr>
          <w:lang w:val="pl-PL"/>
        </w:rPr>
        <w:t>January</w:t>
      </w:r>
      <w:r w:rsidR="009E7A74" w:rsidRPr="00387E47">
        <w:rPr>
          <w:lang w:val="pl-PL"/>
        </w:rPr>
        <w:t xml:space="preserve"> 202</w:t>
      </w:r>
      <w:r w:rsidR="009E7A74">
        <w:rPr>
          <w:lang w:val="pl-PL"/>
        </w:rPr>
        <w:t>2</w:t>
      </w:r>
      <w:r w:rsidR="009E7A74" w:rsidRPr="00387E47">
        <w:rPr>
          <w:lang w:val="pl-PL"/>
        </w:rPr>
        <w:t xml:space="preserve">, authorities discovered </w:t>
      </w:r>
      <w:r w:rsidR="009E7A74">
        <w:rPr>
          <w:lang w:val="pl-PL"/>
        </w:rPr>
        <w:t>3,155</w:t>
      </w:r>
      <w:r w:rsidR="009E7A74" w:rsidRPr="00387E47">
        <w:rPr>
          <w:lang w:val="pl-PL"/>
        </w:rPr>
        <w:t xml:space="preserve"> cases of environmental violations, of which </w:t>
      </w:r>
      <w:r w:rsidR="009E7A74">
        <w:rPr>
          <w:lang w:val="pl-PL"/>
        </w:rPr>
        <w:t>2,443</w:t>
      </w:r>
      <w:r w:rsidR="009E7A74" w:rsidRPr="00387E47">
        <w:rPr>
          <w:lang w:val="pl-PL"/>
        </w:rPr>
        <w:t xml:space="preserve"> cases were handled with a total fine of </w:t>
      </w:r>
      <w:r w:rsidR="009E7A74">
        <w:rPr>
          <w:lang w:val="pl-PL"/>
        </w:rPr>
        <w:t>26</w:t>
      </w:r>
      <w:r w:rsidR="009E7A74" w:rsidRPr="00387E47">
        <w:rPr>
          <w:lang w:val="pl-PL"/>
        </w:rPr>
        <w:t>.</w:t>
      </w:r>
      <w:r w:rsidR="009E7A74">
        <w:rPr>
          <w:lang w:val="pl-PL"/>
        </w:rPr>
        <w:t>4</w:t>
      </w:r>
      <w:r w:rsidR="009E7A74" w:rsidRPr="00387E47">
        <w:rPr>
          <w:lang w:val="pl-PL"/>
        </w:rPr>
        <w:t xml:space="preserve"> billion VND.</w:t>
      </w:r>
      <w:r w:rsidR="009E7A74">
        <w:rPr>
          <w:lang w:val="pl-PL"/>
        </w:rPr>
        <w:t xml:space="preserve"> </w:t>
      </w:r>
      <w:r w:rsidR="009E7A74" w:rsidRPr="00387E47">
        <w:rPr>
          <w:lang w:val="pl-PL"/>
        </w:rPr>
        <w:t xml:space="preserve">During the month, there were </w:t>
      </w:r>
      <w:r w:rsidR="009E7A74">
        <w:rPr>
          <w:lang w:val="pl-PL"/>
        </w:rPr>
        <w:t>153</w:t>
      </w:r>
      <w:r w:rsidR="009E7A74" w:rsidRPr="00387E47">
        <w:rPr>
          <w:lang w:val="pl-PL"/>
        </w:rPr>
        <w:t xml:space="preserve"> fires and explosions in the whole country</w:t>
      </w:r>
      <w:r w:rsidRPr="00AF7B85">
        <w:rPr>
          <w:rStyle w:val="FootnoteReference"/>
          <w:rFonts w:eastAsia="Calibri"/>
          <w:lang w:val="de-DE"/>
        </w:rPr>
        <w:footnoteReference w:id="23"/>
      </w:r>
      <w:r w:rsidRPr="00052095">
        <w:rPr>
          <w:lang w:val="de-DE"/>
        </w:rPr>
        <w:t xml:space="preserve">, </w:t>
      </w:r>
      <w:r w:rsidR="009E7A74" w:rsidRPr="00387E47">
        <w:rPr>
          <w:lang w:val="pl-PL"/>
        </w:rPr>
        <w:t xml:space="preserve">killing </w:t>
      </w:r>
      <w:r w:rsidR="009E7A74">
        <w:rPr>
          <w:lang w:val="pl-PL"/>
        </w:rPr>
        <w:t>9</w:t>
      </w:r>
      <w:r w:rsidR="009E7A74" w:rsidRPr="00387E47">
        <w:rPr>
          <w:lang w:val="pl-PL"/>
        </w:rPr>
        <w:t xml:space="preserve"> people and injuring </w:t>
      </w:r>
      <w:r w:rsidR="009E7A74">
        <w:rPr>
          <w:lang w:val="pl-PL"/>
        </w:rPr>
        <w:t>9</w:t>
      </w:r>
      <w:r w:rsidR="009E7A74" w:rsidRPr="00387E47">
        <w:rPr>
          <w:lang w:val="pl-PL"/>
        </w:rPr>
        <w:t xml:space="preserve"> others</w:t>
      </w:r>
      <w:r w:rsidR="009E7A74" w:rsidRPr="00387E47">
        <w:t>,</w:t>
      </w:r>
      <w:r w:rsidR="009E7A74" w:rsidRPr="00387E47">
        <w:rPr>
          <w:lang w:val="pl-PL"/>
        </w:rPr>
        <w:t xml:space="preserve"> with</w:t>
      </w:r>
      <w:r w:rsidR="009E7A74" w:rsidRPr="00387E47">
        <w:t xml:space="preserve"> </w:t>
      </w:r>
      <w:r w:rsidR="009E7A74">
        <w:rPr>
          <w:lang w:val="pl-PL"/>
        </w:rPr>
        <w:t>24</w:t>
      </w:r>
      <w:r w:rsidR="009E7A74" w:rsidRPr="00387E47">
        <w:rPr>
          <w:lang w:val="pl-PL"/>
        </w:rPr>
        <w:t xml:space="preserve"> billion VND</w:t>
      </w:r>
      <w:r w:rsidR="009E7A74">
        <w:rPr>
          <w:lang w:val="en-GB"/>
        </w:rPr>
        <w:t xml:space="preserve"> </w:t>
      </w:r>
      <w:r w:rsidR="009E7A74" w:rsidRPr="00387E47">
        <w:rPr>
          <w:lang w:val="pl-PL"/>
        </w:rPr>
        <w:t>estimated damage.</w:t>
      </w:r>
      <w:r w:rsidR="009E7A74" w:rsidRPr="00387E47">
        <w:t>/.</w:t>
      </w:r>
    </w:p>
    <w:p w14:paraId="37DB1A3D" w14:textId="6B8A5F0E" w:rsidR="00E764BA" w:rsidRDefault="00E764BA" w:rsidP="004268AF">
      <w:pPr>
        <w:spacing w:before="40" w:after="40" w:line="288" w:lineRule="auto"/>
        <w:ind w:firstLine="567"/>
        <w:jc w:val="both"/>
      </w:pPr>
    </w:p>
    <w:p w14:paraId="366D82E3" w14:textId="22432066" w:rsidR="00E764BA" w:rsidRDefault="00E764BA" w:rsidP="004268AF">
      <w:pPr>
        <w:spacing w:before="40" w:after="40" w:line="288" w:lineRule="auto"/>
        <w:ind w:firstLine="567"/>
        <w:jc w:val="both"/>
      </w:pPr>
    </w:p>
    <w:p w14:paraId="043EAC0B" w14:textId="735AE44E" w:rsidR="00E764BA" w:rsidRDefault="00E764BA" w:rsidP="004268AF">
      <w:pPr>
        <w:spacing w:before="40" w:after="40" w:line="288" w:lineRule="auto"/>
        <w:ind w:firstLine="567"/>
        <w:jc w:val="both"/>
      </w:pPr>
    </w:p>
    <w:p w14:paraId="01A1D291" w14:textId="77777777" w:rsidR="00E764BA" w:rsidRPr="00387E47" w:rsidRDefault="00E764BA" w:rsidP="00E764BA">
      <w:pPr>
        <w:tabs>
          <w:tab w:val="left" w:pos="426"/>
          <w:tab w:val="left" w:pos="900"/>
        </w:tabs>
        <w:spacing w:before="40" w:after="40" w:line="276" w:lineRule="auto"/>
        <w:jc w:val="center"/>
        <w:rPr>
          <w:rFonts w:eastAsia="Calibri"/>
          <w:b/>
          <w:i/>
          <w:lang w:val="de-DE"/>
        </w:rPr>
      </w:pPr>
      <w:r w:rsidRPr="00387E47">
        <w:rPr>
          <w:rStyle w:val="normalchar"/>
          <w:b/>
          <w:bCs/>
          <w:iCs/>
          <w:lang w:val="nl-NL"/>
        </w:rPr>
        <w:t>GENERAL STATISTICS OFFICE</w:t>
      </w:r>
    </w:p>
    <w:p w14:paraId="501AA2E0" w14:textId="77777777" w:rsidR="003E69D8" w:rsidRPr="00052095" w:rsidRDefault="003E69D8" w:rsidP="003E69D8">
      <w:pPr>
        <w:spacing w:before="40" w:after="40" w:line="259" w:lineRule="auto"/>
        <w:ind w:firstLine="567"/>
        <w:jc w:val="both"/>
        <w:rPr>
          <w:b/>
          <w:bCs/>
          <w:lang w:val="de-DE"/>
        </w:rPr>
      </w:pPr>
    </w:p>
    <w:p w14:paraId="28E74A16" w14:textId="77777777" w:rsidR="00DC7810" w:rsidRPr="00215FC8" w:rsidRDefault="00DC7810" w:rsidP="00574DB7">
      <w:pPr>
        <w:pStyle w:val="Normal10"/>
        <w:spacing w:before="40" w:beforeAutospacing="0" w:after="40" w:afterAutospacing="0" w:line="288" w:lineRule="auto"/>
        <w:ind w:firstLine="567"/>
        <w:jc w:val="both"/>
        <w:rPr>
          <w:rStyle w:val="normalchar"/>
          <w:rFonts w:ascii="Times New Roman" w:hAnsi="Times New Roman" w:cs="Times New Roman"/>
          <w:b/>
          <w:bCs/>
          <w:i/>
          <w:sz w:val="12"/>
          <w:szCs w:val="28"/>
          <w:lang w:val="nl-NL"/>
        </w:rPr>
      </w:pPr>
    </w:p>
    <w:p w14:paraId="5943AB40" w14:textId="77777777" w:rsidR="002646C7" w:rsidRPr="003E69D8" w:rsidRDefault="002646C7" w:rsidP="003E69D8">
      <w:pPr>
        <w:pStyle w:val="NormalWeb"/>
        <w:shd w:val="clear" w:color="auto" w:fill="FFFFFF"/>
        <w:tabs>
          <w:tab w:val="left" w:pos="6540"/>
        </w:tabs>
        <w:spacing w:before="40" w:beforeAutospacing="0" w:after="40" w:afterAutospacing="0" w:line="264" w:lineRule="auto"/>
        <w:rPr>
          <w:b/>
          <w:bCs/>
          <w:sz w:val="2"/>
        </w:rPr>
      </w:pPr>
    </w:p>
    <w:sectPr w:rsidR="002646C7" w:rsidRPr="003E69D8" w:rsidSect="00956F29">
      <w:headerReference w:type="default" r:id="rId27"/>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B4ACD" w14:textId="77777777" w:rsidR="000B6F7C" w:rsidRDefault="000B6F7C" w:rsidP="001A07A9">
      <w:r>
        <w:separator/>
      </w:r>
    </w:p>
  </w:endnote>
  <w:endnote w:type="continuationSeparator" w:id="0">
    <w:p w14:paraId="17650E9D" w14:textId="77777777" w:rsidR="000B6F7C" w:rsidRDefault="000B6F7C" w:rsidP="001A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5"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A0695" w14:textId="77777777" w:rsidR="000B6F7C" w:rsidRDefault="000B6F7C" w:rsidP="001A07A9">
      <w:r>
        <w:separator/>
      </w:r>
    </w:p>
  </w:footnote>
  <w:footnote w:type="continuationSeparator" w:id="0">
    <w:p w14:paraId="62B10FF0" w14:textId="77777777" w:rsidR="000B6F7C" w:rsidRDefault="000B6F7C" w:rsidP="001A07A9">
      <w:r>
        <w:continuationSeparator/>
      </w:r>
    </w:p>
  </w:footnote>
  <w:footnote w:id="1">
    <w:p w14:paraId="0525D926" w14:textId="77777777" w:rsidR="00820B23" w:rsidRPr="002C394B" w:rsidRDefault="00820B23" w:rsidP="00820B23">
      <w:pPr>
        <w:pStyle w:val="FootnoteText"/>
        <w:jc w:val="both"/>
      </w:pPr>
      <w:r>
        <w:rPr>
          <w:rStyle w:val="FootnoteReference"/>
        </w:rPr>
        <w:footnoteRef/>
      </w:r>
      <w:r>
        <w:t xml:space="preserve"> </w:t>
      </w:r>
      <w:r w:rsidRPr="00524E41">
        <w:t>One must: Use certified rice varieties - Five of reduction: reduce the amount of seed sown, reduce fertilizers, reduce irrigation water through alternate flooding-dry techniques, reduce the times of pesticide applications and reduce post losses harvest.</w:t>
      </w:r>
    </w:p>
  </w:footnote>
  <w:footnote w:id="2">
    <w:p w14:paraId="39236542" w14:textId="215E3647" w:rsidR="00D57B09" w:rsidRPr="002C394B" w:rsidRDefault="00D57B09" w:rsidP="00D57B09">
      <w:pPr>
        <w:pStyle w:val="FootnoteText"/>
        <w:jc w:val="both"/>
      </w:pPr>
      <w:r>
        <w:rPr>
          <w:rStyle w:val="FootnoteReference"/>
        </w:rPr>
        <w:footnoteRef/>
      </w:r>
      <w:r>
        <w:t xml:space="preserve"> </w:t>
      </w:r>
      <w:r w:rsidRPr="00583A7A">
        <w:t>Ha Noi, Bac Ninh, Ha Nam, Thai Binh, Ninh Binh, Cao Bang, Lao Cai, Bac Kan, Lang Son, Tuyen Quang, Thai Nguyen, Thai Nguyen, Dien Bien, Son La, Hoa Binh, Ha Tinh, Quang Binh, Quang Tri, Quang Nam, Quang Ngai, Phu Yen, Khanh Hoa, Kon Tum, Đak Lak, Đak Nong, Tay Ninh, Ba Ria - Vung Tau, Đong Thap, Tien Giang, Vinh Long, Ben Tre, Kien Giang, Tra Vinh, Soc Trang, Bac Lieu and Ca Mau.</w:t>
      </w:r>
    </w:p>
  </w:footnote>
  <w:footnote w:id="3">
    <w:p w14:paraId="76ED65BB" w14:textId="77777777" w:rsidR="00671BAE" w:rsidRPr="00AD6B2D" w:rsidRDefault="00671BAE" w:rsidP="00671BAE">
      <w:pPr>
        <w:pStyle w:val="FootnoteText"/>
        <w:ind w:left="142" w:hanging="142"/>
        <w:jc w:val="both"/>
        <w:rPr>
          <w:lang w:val="en-US"/>
        </w:rPr>
      </w:pPr>
      <w:r w:rsidRPr="00490BF4">
        <w:rPr>
          <w:rStyle w:val="FootnoteReference"/>
        </w:rPr>
        <w:footnoteRef/>
      </w:r>
      <w:r w:rsidRPr="00490BF4">
        <w:t xml:space="preserve"> </w:t>
      </w:r>
      <w:r w:rsidRPr="00CD2042">
        <w:rPr>
          <w:lang w:val="en-US"/>
        </w:rPr>
        <w:t>Because there was a land bank for logging in the previous period, which was set up in the early spring crop this year, the newly concentrated planted forest area of ​​Phu Tho increased by 348 hectares compared to 2021, Quang Ninh increased by 93 hectares.</w:t>
      </w:r>
    </w:p>
  </w:footnote>
  <w:footnote w:id="4">
    <w:p w14:paraId="0C649B91" w14:textId="77777777" w:rsidR="00671BAE" w:rsidRPr="003231A4" w:rsidRDefault="00671BAE" w:rsidP="00671BAE">
      <w:pPr>
        <w:pStyle w:val="FootnoteText"/>
        <w:ind w:left="142" w:hanging="142"/>
        <w:jc w:val="both"/>
        <w:rPr>
          <w:lang w:val="vi-VN"/>
        </w:rPr>
      </w:pPr>
      <w:r w:rsidRPr="00AA39F5">
        <w:rPr>
          <w:rStyle w:val="FootnoteReference"/>
        </w:rPr>
        <w:footnoteRef/>
      </w:r>
      <w:r w:rsidRPr="00AA39F5">
        <w:t xml:space="preserve"> </w:t>
      </w:r>
      <w:r w:rsidRPr="00981D7A">
        <w:rPr>
          <w:rFonts w:eastAsia="Times New Roman"/>
          <w:lang w:val="en-US"/>
        </w:rPr>
        <w:t>Due to the favorable weather in the month for afforestation.</w:t>
      </w:r>
    </w:p>
  </w:footnote>
  <w:footnote w:id="5">
    <w:p w14:paraId="0AB0BB0F" w14:textId="77777777" w:rsidR="00671BAE" w:rsidRPr="00D373AA" w:rsidRDefault="00671BAE" w:rsidP="00671BAE">
      <w:pPr>
        <w:pStyle w:val="FootnoteText"/>
        <w:spacing w:before="20"/>
        <w:ind w:left="142" w:hanging="142"/>
        <w:jc w:val="both"/>
      </w:pPr>
      <w:r w:rsidRPr="00D373AA">
        <w:rPr>
          <w:rStyle w:val="FootnoteReference"/>
        </w:rPr>
        <w:footnoteRef/>
      </w:r>
      <w:r w:rsidRPr="00D373AA">
        <w:t xml:space="preserve"> </w:t>
      </w:r>
      <w:r w:rsidRPr="008F60CC">
        <w:t>According to data from the Ministry of Agriculture and Rural Development, from December 16, 2021, to January 15, 2022.</w:t>
      </w:r>
    </w:p>
  </w:footnote>
  <w:footnote w:id="6">
    <w:p w14:paraId="44DE05D7" w14:textId="77777777" w:rsidR="00F43ADC" w:rsidRPr="004F28D8" w:rsidRDefault="00F43ADC" w:rsidP="00F43ADC">
      <w:pPr>
        <w:pStyle w:val="FootnoteText"/>
        <w:spacing w:before="40"/>
        <w:ind w:left="142" w:hanging="142"/>
        <w:jc w:val="both"/>
        <w:rPr>
          <w:spacing w:val="-6"/>
          <w:lang w:val="en-US"/>
        </w:rPr>
      </w:pPr>
      <w:r w:rsidRPr="004F28D8">
        <w:rPr>
          <w:rStyle w:val="FootnoteReference"/>
          <w:spacing w:val="-6"/>
        </w:rPr>
        <w:footnoteRef/>
      </w:r>
      <w:r w:rsidRPr="004F28D8">
        <w:rPr>
          <w:spacing w:val="-6"/>
        </w:rPr>
        <w:t xml:space="preserve"> </w:t>
      </w:r>
      <w:r w:rsidRPr="006E4114">
        <w:rPr>
          <w:spacing w:val="-6"/>
        </w:rPr>
        <w:t>Due to the stocking of fingerling pangasius, there was a sharp decrease in the social distancing time (third quarter of 2021) and cold weather (fourth quarter of 2021).</w:t>
      </w:r>
    </w:p>
  </w:footnote>
  <w:footnote w:id="7">
    <w:p w14:paraId="1492EB01" w14:textId="77777777" w:rsidR="00F43ADC" w:rsidRPr="00793F58" w:rsidRDefault="00F43ADC" w:rsidP="00F43ADC">
      <w:pPr>
        <w:pStyle w:val="FootnoteText"/>
        <w:spacing w:before="40"/>
        <w:ind w:left="142" w:hanging="142"/>
        <w:jc w:val="both"/>
        <w:rPr>
          <w:i/>
          <w:iCs/>
        </w:rPr>
      </w:pPr>
      <w:r>
        <w:rPr>
          <w:rStyle w:val="FootnoteReference"/>
        </w:rPr>
        <w:footnoteRef/>
      </w:r>
      <w:r>
        <w:rPr>
          <w:lang w:val="en-GB"/>
        </w:rPr>
        <w:t xml:space="preserve"> Source: </w:t>
      </w:r>
      <w:r w:rsidRPr="00793F58">
        <w:rPr>
          <w:i/>
          <w:iCs/>
        </w:rPr>
        <w:t>http://agromonitor.vn/group/47/272/giam-sat-gia</w:t>
      </w:r>
    </w:p>
  </w:footnote>
  <w:footnote w:id="8">
    <w:p w14:paraId="18117C93" w14:textId="77777777" w:rsidR="00F315FA" w:rsidRPr="00BD303F" w:rsidRDefault="00F315FA" w:rsidP="00F315FA">
      <w:pPr>
        <w:pStyle w:val="FootnoteText"/>
        <w:ind w:left="142" w:hanging="142"/>
        <w:jc w:val="both"/>
        <w:rPr>
          <w:lang w:val="en-US"/>
        </w:rPr>
      </w:pPr>
      <w:r w:rsidRPr="009D62A4">
        <w:rPr>
          <w:sz w:val="18"/>
          <w:szCs w:val="18"/>
          <w:lang w:val="en-US"/>
        </w:rPr>
        <w:footnoteRef/>
      </w:r>
      <w:r w:rsidRPr="009D62A4">
        <w:rPr>
          <w:sz w:val="18"/>
          <w:szCs w:val="18"/>
          <w:lang w:val="en-US"/>
        </w:rPr>
        <w:t xml:space="preserve"> </w:t>
      </w:r>
      <w:r w:rsidRPr="00AD3153">
        <w:rPr>
          <w:lang w:val="en-US"/>
        </w:rPr>
        <w:t>The IIP index in 01/2022 compared with the previous month of the number of localities with huge industrial-scale decreased sharply: Hai Phong decreased by 8.4%; Hanoi decreased by 8.3%; Ba Ria - Vung Tau decreased by 6.8%; Bac Ninh decreased by 6.6%; Ho Chi Minh City decreased by 6.2%; Thai Nguyen decreased by 5.4%; Quang Ninh fell by 2.3%.</w:t>
      </w:r>
    </w:p>
    <w:p w14:paraId="71E4D39D" w14:textId="77777777" w:rsidR="00F315FA" w:rsidRPr="006F02A2" w:rsidRDefault="00F315FA" w:rsidP="00F315FA">
      <w:pPr>
        <w:pStyle w:val="FootnoteText"/>
        <w:rPr>
          <w:lang w:val="en-US"/>
        </w:rPr>
      </w:pPr>
    </w:p>
  </w:footnote>
  <w:footnote w:id="9">
    <w:p w14:paraId="319ADC02" w14:textId="259CD1F1" w:rsidR="005864E8" w:rsidRPr="009F297E" w:rsidRDefault="005864E8" w:rsidP="005864E8">
      <w:pPr>
        <w:pStyle w:val="FootnoteText"/>
        <w:ind w:left="198" w:hanging="198"/>
        <w:jc w:val="both"/>
        <w:rPr>
          <w:spacing w:val="-4"/>
          <w:lang w:val="vi-VN"/>
        </w:rPr>
      </w:pPr>
      <w:r w:rsidRPr="00F531EB">
        <w:rPr>
          <w:rStyle w:val="FootnoteReference"/>
        </w:rPr>
        <w:footnoteRef/>
      </w:r>
      <w:r w:rsidRPr="009F297E">
        <w:rPr>
          <w:lang w:val="vi-VN"/>
        </w:rPr>
        <w:t xml:space="preserve"> </w:t>
      </w:r>
      <w:r w:rsidR="005F53E9" w:rsidRPr="006D7720">
        <w:rPr>
          <w:lang w:val="en-IN"/>
        </w:rPr>
        <w:t xml:space="preserve">Source: National Enterprise Registration Information System, Business Registration Management Agency, Ministry of Planning and Investment (Received the report on </w:t>
      </w:r>
      <w:r w:rsidR="005F53E9">
        <w:rPr>
          <w:lang w:val="en-IN"/>
        </w:rPr>
        <w:t>January 24,</w:t>
      </w:r>
      <w:r w:rsidR="005F53E9" w:rsidRPr="006D7720">
        <w:t xml:space="preserve"> </w:t>
      </w:r>
      <w:r w:rsidR="005F53E9" w:rsidRPr="006D7720">
        <w:rPr>
          <w:lang w:val="en-IN"/>
        </w:rPr>
        <w:t>202</w:t>
      </w:r>
      <w:r w:rsidR="005F53E9">
        <w:rPr>
          <w:lang w:val="en-IN"/>
        </w:rPr>
        <w:t>2</w:t>
      </w:r>
      <w:r w:rsidR="005F53E9" w:rsidRPr="006D7720">
        <w:rPr>
          <w:lang w:val="en-IN"/>
        </w:rPr>
        <w:t>)</w:t>
      </w:r>
    </w:p>
  </w:footnote>
  <w:footnote w:id="10">
    <w:p w14:paraId="1CF6F87E" w14:textId="57BE4F2B" w:rsidR="00461ACF" w:rsidRPr="00BF4F29" w:rsidRDefault="00461ACF" w:rsidP="00461ACF">
      <w:pPr>
        <w:pStyle w:val="FootnoteText"/>
        <w:rPr>
          <w:lang w:val="en-GB"/>
        </w:rPr>
      </w:pPr>
      <w:r w:rsidRPr="00426245">
        <w:rPr>
          <w:rStyle w:val="FootnoteReference"/>
        </w:rPr>
        <w:footnoteRef/>
      </w:r>
      <w:r w:rsidR="00BF4F29">
        <w:rPr>
          <w:lang w:val="en-GB"/>
        </w:rPr>
        <w:t xml:space="preserve"> </w:t>
      </w:r>
      <w:r w:rsidR="00BF4F29" w:rsidRPr="00BF4F29">
        <w:rPr>
          <w:lang w:val="en-GB"/>
        </w:rPr>
        <w:t>According to the report of the Foreign Investment Department, Ministry of Planning and Investment, received on January 22, 2022</w:t>
      </w:r>
    </w:p>
  </w:footnote>
  <w:footnote w:id="11">
    <w:p w14:paraId="49A7C35A" w14:textId="3F4573FD" w:rsidR="00461ACF" w:rsidRPr="009256D1" w:rsidRDefault="00461ACF" w:rsidP="005864E8">
      <w:pPr>
        <w:pStyle w:val="FootnoteText"/>
        <w:ind w:left="198" w:hanging="198"/>
        <w:rPr>
          <w:lang w:val="en-US"/>
        </w:rPr>
      </w:pPr>
      <w:r>
        <w:rPr>
          <w:rStyle w:val="FootnoteReference"/>
        </w:rPr>
        <w:footnoteRef/>
      </w:r>
      <w:r>
        <w:t xml:space="preserve"> </w:t>
      </w:r>
      <w:r w:rsidR="000601F6" w:rsidRPr="000601F6">
        <w:t>The total investment capital of Vietnam abroad in January 2022 increased sharply because, in January 2021, only 01 new granted investment project with an investment capital of 3.16 million USD.</w:t>
      </w:r>
    </w:p>
  </w:footnote>
  <w:footnote w:id="12">
    <w:p w14:paraId="43FE3BC5" w14:textId="6CE38590" w:rsidR="00BD74AE" w:rsidRPr="00B70B38" w:rsidRDefault="00BD74AE" w:rsidP="00766521">
      <w:pPr>
        <w:pStyle w:val="FootnoteText"/>
        <w:ind w:left="198" w:hanging="198"/>
        <w:jc w:val="both"/>
      </w:pPr>
      <w:r w:rsidRPr="002F2F02">
        <w:rPr>
          <w:rStyle w:val="FootnoteReference"/>
        </w:rPr>
        <w:footnoteRef/>
      </w:r>
      <w:r w:rsidRPr="00B70B38">
        <w:t xml:space="preserve"> </w:t>
      </w:r>
      <w:r w:rsidR="00CF4A00" w:rsidRPr="00CF4A00">
        <w:t>According to the report on the implementation of Resolution No. 01/NQ-CP of the Government in Finance - state budget field in January 2022 by the Ministry of Finance.</w:t>
      </w:r>
    </w:p>
  </w:footnote>
  <w:footnote w:id="13">
    <w:p w14:paraId="0029CFF8" w14:textId="77777777" w:rsidR="007E6D5F" w:rsidRPr="00A25D0E" w:rsidRDefault="007E6D5F" w:rsidP="007E6D5F">
      <w:pPr>
        <w:pStyle w:val="FootnoteText"/>
        <w:ind w:left="90" w:hanging="90"/>
        <w:jc w:val="both"/>
        <w:rPr>
          <w:lang w:val="en-US"/>
        </w:rPr>
      </w:pPr>
      <w:r>
        <w:rPr>
          <w:rStyle w:val="FootnoteReference"/>
        </w:rPr>
        <w:footnoteRef/>
      </w:r>
      <w:r>
        <w:t xml:space="preserve"> </w:t>
      </w:r>
      <w:bookmarkStart w:id="4" w:name="_Hlk94250092"/>
      <w:r w:rsidRPr="00E5263A">
        <w:t xml:space="preserve">Data for </w:t>
      </w:r>
      <w:r>
        <w:t>January</w:t>
      </w:r>
      <w:r w:rsidRPr="00E5263A">
        <w:t xml:space="preserve"> 202</w:t>
      </w:r>
      <w:r>
        <w:t>2</w:t>
      </w:r>
      <w:r w:rsidRPr="00E5263A">
        <w:t xml:space="preserve"> provided by the General Department of Customs on </w:t>
      </w:r>
      <w:r>
        <w:t>January</w:t>
      </w:r>
      <w:r w:rsidRPr="00E5263A">
        <w:t xml:space="preserve"> 2</w:t>
      </w:r>
      <w:r>
        <w:t>6</w:t>
      </w:r>
      <w:r w:rsidRPr="00E5263A">
        <w:t>, 202</w:t>
      </w:r>
      <w:r>
        <w:t>2</w:t>
      </w:r>
      <w:r w:rsidRPr="00EB01D9">
        <w:t>.</w:t>
      </w:r>
      <w:bookmarkEnd w:id="4"/>
    </w:p>
  </w:footnote>
  <w:footnote w:id="14">
    <w:p w14:paraId="2246C236" w14:textId="77777777" w:rsidR="007D3F14" w:rsidRPr="00A25D0E" w:rsidRDefault="007D3F14" w:rsidP="007D3F14">
      <w:pPr>
        <w:pStyle w:val="FootnoteText"/>
        <w:ind w:left="90" w:hanging="90"/>
        <w:jc w:val="both"/>
        <w:rPr>
          <w:lang w:val="en-US"/>
        </w:rPr>
      </w:pPr>
      <w:r>
        <w:rPr>
          <w:rStyle w:val="FootnoteReference"/>
        </w:rPr>
        <w:footnoteRef/>
      </w:r>
      <w:r>
        <w:t xml:space="preserve"> </w:t>
      </w:r>
      <w:r w:rsidRPr="00771125">
        <w:t>Total import and export turnover of goods in January 2021 reached 55 billion USD, up 48.2% over the same period last year, of which export reached 28.5 billion USD, up 55.1%; imports reached 26.5 billion USD, up 41.4%.</w:t>
      </w:r>
    </w:p>
  </w:footnote>
  <w:footnote w:id="15">
    <w:p w14:paraId="25FFB3C5" w14:textId="77777777" w:rsidR="00451C83" w:rsidRPr="00A02535" w:rsidRDefault="00451C83" w:rsidP="00451C83">
      <w:pPr>
        <w:pStyle w:val="FootnoteText"/>
        <w:rPr>
          <w:lang w:val="en-US"/>
        </w:rPr>
      </w:pPr>
      <w:r>
        <w:rPr>
          <w:rStyle w:val="FootnoteReference"/>
        </w:rPr>
        <w:footnoteRef/>
      </w:r>
      <w:r>
        <w:t xml:space="preserve"> </w:t>
      </w:r>
      <w:r w:rsidRPr="00A02535">
        <w:rPr>
          <w:lang w:val="en-GB"/>
        </w:rPr>
        <w:t xml:space="preserve">The trade surplus in </w:t>
      </w:r>
      <w:r w:rsidRPr="00A02535">
        <w:rPr>
          <w:iCs/>
        </w:rPr>
        <w:t xml:space="preserve">December 2021 </w:t>
      </w:r>
      <w:r w:rsidRPr="00A02535">
        <w:rPr>
          <w:lang w:val="en-GB"/>
        </w:rPr>
        <w:t>was estimated at 2.54 billion USD</w:t>
      </w:r>
    </w:p>
  </w:footnote>
  <w:footnote w:id="16">
    <w:p w14:paraId="202972A8" w14:textId="61B24AF6" w:rsidR="00461ACF" w:rsidRPr="009044DD" w:rsidRDefault="00461ACF" w:rsidP="009044DD">
      <w:pPr>
        <w:pStyle w:val="FootnoteText"/>
        <w:ind w:left="198" w:hanging="198"/>
        <w:jc w:val="both"/>
        <w:rPr>
          <w:lang w:val="en-US"/>
        </w:rPr>
      </w:pPr>
      <w:r>
        <w:rPr>
          <w:rStyle w:val="FootnoteReference"/>
        </w:rPr>
        <w:footnoteRef/>
      </w:r>
      <w:r>
        <w:t xml:space="preserve"> </w:t>
      </w:r>
      <w:r w:rsidR="00950233" w:rsidRPr="00950233">
        <w:rPr>
          <w:lang w:val="en-US"/>
        </w:rPr>
        <w:t>Due to increased shopping demand in preparation for the Lunar New Year, mainly in the following items: Price of color television increased by 0.27%; photography and printing services increased by 0.12%; plants, flowers, and ornamental plants rose from 0.21% to 3.68%.</w:t>
      </w:r>
    </w:p>
  </w:footnote>
  <w:footnote w:id="17">
    <w:p w14:paraId="1246040D" w14:textId="77777777" w:rsidR="00815C91" w:rsidRPr="009044DD" w:rsidRDefault="00815C91" w:rsidP="00815C91">
      <w:pPr>
        <w:pStyle w:val="FootnoteText"/>
        <w:spacing w:before="40" w:after="40" w:line="252" w:lineRule="auto"/>
        <w:ind w:left="198" w:hanging="198"/>
        <w:jc w:val="both"/>
        <w:rPr>
          <w:lang w:val="en-US"/>
        </w:rPr>
      </w:pPr>
      <w:r w:rsidRPr="009044DD">
        <w:rPr>
          <w:rStyle w:val="FootnoteReference"/>
        </w:rPr>
        <w:footnoteRef/>
      </w:r>
      <w:r w:rsidRPr="009044DD">
        <w:t xml:space="preserve"> </w:t>
      </w:r>
      <w:r w:rsidRPr="00CE1A79">
        <w:rPr>
          <w:lang w:val="en-US"/>
        </w:rPr>
        <w:t xml:space="preserve">Rice prices increased 0.04% as export prices remained stable at high levels and consumer demand for delicious </w:t>
      </w:r>
      <w:r>
        <w:rPr>
          <w:lang w:val="en-US"/>
        </w:rPr>
        <w:t>rice</w:t>
      </w:r>
      <w:r>
        <w:rPr>
          <w:lang w:val="vi-VN"/>
        </w:rPr>
        <w:t xml:space="preserve"> </w:t>
      </w:r>
      <w:r w:rsidRPr="00CE1A79">
        <w:rPr>
          <w:lang w:val="en-US"/>
        </w:rPr>
        <w:t>and sticky rice increased during the Lunar New Year holiday. Besides, the price of other processed food items such as vermicelli increased by 0.51%; instant noodles, noodles, pho, instant porridge increased by 0.34%.</w:t>
      </w:r>
    </w:p>
  </w:footnote>
  <w:footnote w:id="18">
    <w:p w14:paraId="231623A5" w14:textId="77777777" w:rsidR="00815C91" w:rsidRPr="00CE1A79" w:rsidRDefault="00815C91" w:rsidP="00815C91">
      <w:pPr>
        <w:pStyle w:val="FootnoteText"/>
        <w:spacing w:before="40" w:after="40" w:line="252" w:lineRule="auto"/>
        <w:ind w:left="198" w:hanging="198"/>
        <w:jc w:val="both"/>
        <w:rPr>
          <w:lang w:val="en-US"/>
        </w:rPr>
      </w:pPr>
      <w:r w:rsidRPr="009044DD">
        <w:rPr>
          <w:rStyle w:val="FootnoteReference"/>
        </w:rPr>
        <w:footnoteRef/>
      </w:r>
      <w:r w:rsidRPr="009044DD">
        <w:t xml:space="preserve"> </w:t>
      </w:r>
      <w:r w:rsidRPr="00CE1A79">
        <w:rPr>
          <w:spacing w:val="-2"/>
          <w:lang w:val="en-US"/>
        </w:rPr>
        <w:t xml:space="preserve">In which, the price of fresh, dried and processed vegetables decreased by 6.05%; prices of fresh and processed fruit decreased by 0.59%, mainly in dragon fruit and watermelon. In the opposite direction, the price of pork increased by 1.79% (making the general CPI </w:t>
      </w:r>
      <w:r>
        <w:rPr>
          <w:spacing w:val="-2"/>
          <w:lang w:val="en-US"/>
        </w:rPr>
        <w:t>increased</w:t>
      </w:r>
      <w:r w:rsidRPr="00CE1A79">
        <w:rPr>
          <w:spacing w:val="-2"/>
          <w:lang w:val="en-US"/>
        </w:rPr>
        <w:t xml:space="preserve"> by 0.06 percentage points) due to the high demand for meat consumption to prepare for Tet; egg prices of all kinds increased by 0.91%; the price of fresh poultry meat increased by 0.57%; price of canned meat and other processed meat increased by 0.26% and 0.31%, respectively; prices of edible fats and other fats increased by 1.63%; cakes, jams and candies up 0.61%; tea, coffee, </w:t>
      </w:r>
      <w:r>
        <w:rPr>
          <w:spacing w:val="-2"/>
          <w:lang w:val="en-US"/>
        </w:rPr>
        <w:t>cacao</w:t>
      </w:r>
      <w:r w:rsidRPr="00CE1A79">
        <w:rPr>
          <w:spacing w:val="-2"/>
          <w:lang w:val="en-US"/>
        </w:rPr>
        <w:t xml:space="preserve"> increased by 0.51%... due to increased consumer demand during the festival of Mr. Cong, Mr. Tao and the preparation of Tet; the price of fresh seafood increased by 0.58% and the price of processed seafood increased by 0.54% because fishing activities are affected by weather and seasonal factors, so the catch and farming output is not </w:t>
      </w:r>
      <w:r>
        <w:rPr>
          <w:spacing w:val="-2"/>
          <w:lang w:val="en-US"/>
        </w:rPr>
        <w:t>high</w:t>
      </w:r>
      <w:r>
        <w:rPr>
          <w:spacing w:val="-2"/>
          <w:lang w:val="vi-VN"/>
        </w:rPr>
        <w:t>,</w:t>
      </w:r>
      <w:r w:rsidRPr="00CE1A79">
        <w:rPr>
          <w:spacing w:val="-2"/>
          <w:lang w:val="en-US"/>
        </w:rPr>
        <w:t xml:space="preserve"> while consumer demand increases.</w:t>
      </w:r>
    </w:p>
  </w:footnote>
  <w:footnote w:id="19">
    <w:p w14:paraId="7735C668" w14:textId="77777777" w:rsidR="00352DD6" w:rsidRDefault="00352DD6" w:rsidP="00352DD6">
      <w:pPr>
        <w:pStyle w:val="FootnoteText"/>
        <w:spacing w:line="276" w:lineRule="auto"/>
        <w:ind w:left="90" w:hanging="90"/>
        <w:jc w:val="both"/>
      </w:pPr>
      <w:r>
        <w:rPr>
          <w:rStyle w:val="FootnoteReference"/>
        </w:rPr>
        <w:footnoteRef/>
      </w:r>
      <w:r>
        <w:rPr>
          <w:lang w:val="nl-NL"/>
        </w:rPr>
        <w:t>According to the report of the Border Gate Department, the Border Guard Command, the Ministry of National Defense and the Immigration Department, the Ministry of Public Security.</w:t>
      </w:r>
    </w:p>
  </w:footnote>
  <w:footnote w:id="20">
    <w:p w14:paraId="61E10FF9" w14:textId="77777777" w:rsidR="003A2F8F" w:rsidRPr="008214D8" w:rsidRDefault="003A2F8F" w:rsidP="003A2F8F">
      <w:pPr>
        <w:pStyle w:val="FootnoteText"/>
        <w:rPr>
          <w:lang w:val="en-US"/>
        </w:rPr>
      </w:pPr>
      <w:r>
        <w:rPr>
          <w:rStyle w:val="FootnoteReference"/>
        </w:rPr>
        <w:footnoteRef/>
      </w:r>
      <w:r>
        <w:t xml:space="preserve"> </w:t>
      </w:r>
      <w:r>
        <w:rPr>
          <w:lang w:val="en-US"/>
        </w:rPr>
        <w:t>T</w:t>
      </w:r>
      <w:r>
        <w:rPr>
          <w:lang w:val="nl-NL"/>
        </w:rPr>
        <w:t>he reporting period was from December 21, 2021 to January 20, 2022.</w:t>
      </w:r>
    </w:p>
  </w:footnote>
  <w:footnote w:id="21">
    <w:p w14:paraId="1C4FDAB2" w14:textId="06CB3A48" w:rsidR="00130947" w:rsidRPr="00052095" w:rsidRDefault="00130947" w:rsidP="00673E6A">
      <w:pPr>
        <w:pStyle w:val="FootnoteText"/>
        <w:ind w:left="198" w:hanging="198"/>
        <w:jc w:val="both"/>
        <w:rPr>
          <w:lang w:val="vi-VN"/>
        </w:rPr>
      </w:pPr>
      <w:r w:rsidRPr="00745924">
        <w:rPr>
          <w:rStyle w:val="FootnoteReference"/>
        </w:rPr>
        <w:footnoteRef/>
      </w:r>
      <w:r w:rsidRPr="00745924">
        <w:t xml:space="preserve"> </w:t>
      </w:r>
      <w:r w:rsidR="00C93BBC" w:rsidRPr="00C93BBC">
        <w:t>As of 16: 00 on January 25, 2022, in the world, there were 359,661.2 thousand cases of Covid-19  (5,636.1 thousand deaths).</w:t>
      </w:r>
    </w:p>
  </w:footnote>
  <w:footnote w:id="22">
    <w:p w14:paraId="3E85B14F" w14:textId="405F384B" w:rsidR="00130947" w:rsidRPr="00E7325E" w:rsidRDefault="00130947" w:rsidP="00130947">
      <w:pPr>
        <w:pStyle w:val="FootnoteText"/>
        <w:spacing w:before="20" w:after="20"/>
        <w:ind w:left="198" w:hanging="198"/>
        <w:jc w:val="both"/>
        <w:rPr>
          <w:lang w:val="en-GB"/>
        </w:rPr>
      </w:pPr>
      <w:r w:rsidRPr="00507105">
        <w:rPr>
          <w:rStyle w:val="FootnoteReference"/>
        </w:rPr>
        <w:footnoteRef/>
      </w:r>
      <w:r w:rsidRPr="001256F8">
        <w:t xml:space="preserve"> </w:t>
      </w:r>
      <w:r w:rsidR="00122FD4" w:rsidRPr="00631DA2">
        <w:t xml:space="preserve">According to a quick report from the Office of the Ministry of Public Security and the Maritime Administration (Ministry of Transport) from </w:t>
      </w:r>
      <w:r w:rsidR="00122FD4">
        <w:rPr>
          <w:lang w:val="en-GB"/>
        </w:rPr>
        <w:t>December</w:t>
      </w:r>
      <w:r w:rsidR="00122FD4" w:rsidRPr="00631DA2">
        <w:t xml:space="preserve"> 15 to </w:t>
      </w:r>
      <w:r w:rsidR="00122FD4">
        <w:rPr>
          <w:lang w:val="en-GB"/>
        </w:rPr>
        <w:t>January</w:t>
      </w:r>
      <w:r w:rsidR="00122FD4" w:rsidRPr="00631DA2">
        <w:t xml:space="preserve"> 14, 202</w:t>
      </w:r>
      <w:r w:rsidR="00122FD4">
        <w:rPr>
          <w:lang w:val="en-GB"/>
        </w:rPr>
        <w:t>2</w:t>
      </w:r>
      <w:r w:rsidR="00122FD4" w:rsidRPr="00631DA2">
        <w:t>.</w:t>
      </w:r>
    </w:p>
  </w:footnote>
  <w:footnote w:id="23">
    <w:p w14:paraId="78E0F1A7" w14:textId="37AFCC87" w:rsidR="00130947" w:rsidRPr="00232635" w:rsidRDefault="00130947" w:rsidP="00130947">
      <w:pPr>
        <w:pStyle w:val="FootnoteText"/>
      </w:pPr>
      <w:r w:rsidRPr="004808B0">
        <w:rPr>
          <w:rStyle w:val="FootnoteReference"/>
        </w:rPr>
        <w:footnoteRef/>
      </w:r>
      <w:r w:rsidRPr="001256F8">
        <w:t xml:space="preserve"> </w:t>
      </w:r>
      <w:r w:rsidR="00E7325E" w:rsidRPr="00E7325E">
        <w:t>According to a quick report from the Ministry of Public Security on January 23, 2022</w:t>
      </w:r>
      <w:r w:rsidRPr="0023263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24DC" w14:textId="77777777" w:rsidR="005D194A" w:rsidRPr="00AC7FFB" w:rsidRDefault="005D194A">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sidR="00DB233E">
      <w:rPr>
        <w:noProof/>
        <w:sz w:val="26"/>
        <w:szCs w:val="26"/>
      </w:rPr>
      <w:t>9</w:t>
    </w:r>
    <w:r w:rsidRPr="00AC7FFB">
      <w:rPr>
        <w:sz w:val="26"/>
        <w:szCs w:val="26"/>
      </w:rPr>
      <w:fldChar w:fldCharType="end"/>
    </w:r>
  </w:p>
  <w:p w14:paraId="55F5B43B" w14:textId="77777777" w:rsidR="005D194A" w:rsidRDefault="005D1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4"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68"/>
    <w:rsid w:val="0000060A"/>
    <w:rsid w:val="0000106D"/>
    <w:rsid w:val="00001111"/>
    <w:rsid w:val="00001C22"/>
    <w:rsid w:val="000036C2"/>
    <w:rsid w:val="000043CF"/>
    <w:rsid w:val="0000461D"/>
    <w:rsid w:val="00005622"/>
    <w:rsid w:val="0000631B"/>
    <w:rsid w:val="000071F9"/>
    <w:rsid w:val="000111B7"/>
    <w:rsid w:val="00011C16"/>
    <w:rsid w:val="00011FBD"/>
    <w:rsid w:val="00012187"/>
    <w:rsid w:val="00012976"/>
    <w:rsid w:val="00012C2C"/>
    <w:rsid w:val="0001355E"/>
    <w:rsid w:val="00013D33"/>
    <w:rsid w:val="00014846"/>
    <w:rsid w:val="00014AB2"/>
    <w:rsid w:val="000154AA"/>
    <w:rsid w:val="00016203"/>
    <w:rsid w:val="0001673E"/>
    <w:rsid w:val="0001752D"/>
    <w:rsid w:val="00020671"/>
    <w:rsid w:val="000209B1"/>
    <w:rsid w:val="00023E6C"/>
    <w:rsid w:val="00024AC9"/>
    <w:rsid w:val="00025359"/>
    <w:rsid w:val="0002579C"/>
    <w:rsid w:val="000277B8"/>
    <w:rsid w:val="0003027A"/>
    <w:rsid w:val="00030AF3"/>
    <w:rsid w:val="00030D8A"/>
    <w:rsid w:val="000319D7"/>
    <w:rsid w:val="0003230D"/>
    <w:rsid w:val="00034406"/>
    <w:rsid w:val="000357BF"/>
    <w:rsid w:val="00036452"/>
    <w:rsid w:val="00040137"/>
    <w:rsid w:val="000412E4"/>
    <w:rsid w:val="000420D5"/>
    <w:rsid w:val="00042223"/>
    <w:rsid w:val="00042EB9"/>
    <w:rsid w:val="00044A7D"/>
    <w:rsid w:val="00045745"/>
    <w:rsid w:val="000461E1"/>
    <w:rsid w:val="000463F1"/>
    <w:rsid w:val="00046EB2"/>
    <w:rsid w:val="000506B5"/>
    <w:rsid w:val="00050839"/>
    <w:rsid w:val="00050A08"/>
    <w:rsid w:val="00051916"/>
    <w:rsid w:val="00052095"/>
    <w:rsid w:val="00055398"/>
    <w:rsid w:val="0005565B"/>
    <w:rsid w:val="00055C58"/>
    <w:rsid w:val="000564ED"/>
    <w:rsid w:val="00056734"/>
    <w:rsid w:val="000577DB"/>
    <w:rsid w:val="000601AD"/>
    <w:rsid w:val="000601F6"/>
    <w:rsid w:val="00060A18"/>
    <w:rsid w:val="00060EF3"/>
    <w:rsid w:val="000615F8"/>
    <w:rsid w:val="00061C45"/>
    <w:rsid w:val="00062BEB"/>
    <w:rsid w:val="00062D3D"/>
    <w:rsid w:val="00062EB5"/>
    <w:rsid w:val="00062FE7"/>
    <w:rsid w:val="00063317"/>
    <w:rsid w:val="00063509"/>
    <w:rsid w:val="0006483F"/>
    <w:rsid w:val="0006495B"/>
    <w:rsid w:val="00065158"/>
    <w:rsid w:val="0006555A"/>
    <w:rsid w:val="000658A7"/>
    <w:rsid w:val="00065CCF"/>
    <w:rsid w:val="000712EE"/>
    <w:rsid w:val="00072295"/>
    <w:rsid w:val="00072810"/>
    <w:rsid w:val="00072A12"/>
    <w:rsid w:val="000730C0"/>
    <w:rsid w:val="00074861"/>
    <w:rsid w:val="0007509B"/>
    <w:rsid w:val="0007526A"/>
    <w:rsid w:val="0007626A"/>
    <w:rsid w:val="00076466"/>
    <w:rsid w:val="00076E9A"/>
    <w:rsid w:val="00076F40"/>
    <w:rsid w:val="0007721A"/>
    <w:rsid w:val="00077553"/>
    <w:rsid w:val="0007787D"/>
    <w:rsid w:val="00077957"/>
    <w:rsid w:val="000809AB"/>
    <w:rsid w:val="00083FA5"/>
    <w:rsid w:val="000851C7"/>
    <w:rsid w:val="000906F5"/>
    <w:rsid w:val="000909CE"/>
    <w:rsid w:val="0009196E"/>
    <w:rsid w:val="00092A06"/>
    <w:rsid w:val="00092C77"/>
    <w:rsid w:val="00092E0E"/>
    <w:rsid w:val="000930DA"/>
    <w:rsid w:val="000937B1"/>
    <w:rsid w:val="00094645"/>
    <w:rsid w:val="00095257"/>
    <w:rsid w:val="00095F89"/>
    <w:rsid w:val="00096A12"/>
    <w:rsid w:val="00096C40"/>
    <w:rsid w:val="00097180"/>
    <w:rsid w:val="00097770"/>
    <w:rsid w:val="000A0827"/>
    <w:rsid w:val="000A0849"/>
    <w:rsid w:val="000A1186"/>
    <w:rsid w:val="000A173F"/>
    <w:rsid w:val="000A192B"/>
    <w:rsid w:val="000A1CCE"/>
    <w:rsid w:val="000A314B"/>
    <w:rsid w:val="000A3467"/>
    <w:rsid w:val="000A39E0"/>
    <w:rsid w:val="000A498B"/>
    <w:rsid w:val="000A4A08"/>
    <w:rsid w:val="000A58E0"/>
    <w:rsid w:val="000A6278"/>
    <w:rsid w:val="000B1DBB"/>
    <w:rsid w:val="000B2181"/>
    <w:rsid w:val="000B3A76"/>
    <w:rsid w:val="000B3B84"/>
    <w:rsid w:val="000B44D8"/>
    <w:rsid w:val="000B4674"/>
    <w:rsid w:val="000B46CF"/>
    <w:rsid w:val="000B481F"/>
    <w:rsid w:val="000B49D3"/>
    <w:rsid w:val="000B56FF"/>
    <w:rsid w:val="000B6F7C"/>
    <w:rsid w:val="000B720A"/>
    <w:rsid w:val="000C006C"/>
    <w:rsid w:val="000C01B2"/>
    <w:rsid w:val="000C0548"/>
    <w:rsid w:val="000C059F"/>
    <w:rsid w:val="000C1A58"/>
    <w:rsid w:val="000C1AEE"/>
    <w:rsid w:val="000C27E6"/>
    <w:rsid w:val="000C3E07"/>
    <w:rsid w:val="000C5209"/>
    <w:rsid w:val="000C53E9"/>
    <w:rsid w:val="000C5737"/>
    <w:rsid w:val="000C5829"/>
    <w:rsid w:val="000C65E4"/>
    <w:rsid w:val="000C66D1"/>
    <w:rsid w:val="000C6AB4"/>
    <w:rsid w:val="000C6F18"/>
    <w:rsid w:val="000C74A9"/>
    <w:rsid w:val="000C7688"/>
    <w:rsid w:val="000C76BE"/>
    <w:rsid w:val="000C7F9F"/>
    <w:rsid w:val="000D0051"/>
    <w:rsid w:val="000D3A06"/>
    <w:rsid w:val="000D4CC8"/>
    <w:rsid w:val="000D5192"/>
    <w:rsid w:val="000D53AB"/>
    <w:rsid w:val="000D573D"/>
    <w:rsid w:val="000D58AA"/>
    <w:rsid w:val="000D60C2"/>
    <w:rsid w:val="000D713B"/>
    <w:rsid w:val="000D71B7"/>
    <w:rsid w:val="000D76D0"/>
    <w:rsid w:val="000E0006"/>
    <w:rsid w:val="000E006D"/>
    <w:rsid w:val="000E0C6F"/>
    <w:rsid w:val="000E1A46"/>
    <w:rsid w:val="000E4E3C"/>
    <w:rsid w:val="000E535D"/>
    <w:rsid w:val="000E612F"/>
    <w:rsid w:val="000E6165"/>
    <w:rsid w:val="000E689F"/>
    <w:rsid w:val="000E6961"/>
    <w:rsid w:val="000E780A"/>
    <w:rsid w:val="000F0084"/>
    <w:rsid w:val="000F394F"/>
    <w:rsid w:val="000F3CA3"/>
    <w:rsid w:val="000F423F"/>
    <w:rsid w:val="000F4742"/>
    <w:rsid w:val="000F4AC9"/>
    <w:rsid w:val="000F4DEC"/>
    <w:rsid w:val="000F6092"/>
    <w:rsid w:val="000F630A"/>
    <w:rsid w:val="000F6482"/>
    <w:rsid w:val="000F6A90"/>
    <w:rsid w:val="000F74AD"/>
    <w:rsid w:val="000F7BC2"/>
    <w:rsid w:val="00100DF0"/>
    <w:rsid w:val="00100EB4"/>
    <w:rsid w:val="00101826"/>
    <w:rsid w:val="0010196B"/>
    <w:rsid w:val="0010267B"/>
    <w:rsid w:val="00103A80"/>
    <w:rsid w:val="00103B7E"/>
    <w:rsid w:val="001053C0"/>
    <w:rsid w:val="001067DB"/>
    <w:rsid w:val="0010721A"/>
    <w:rsid w:val="00107927"/>
    <w:rsid w:val="00107A74"/>
    <w:rsid w:val="00110D60"/>
    <w:rsid w:val="001111A4"/>
    <w:rsid w:val="00111673"/>
    <w:rsid w:val="00112582"/>
    <w:rsid w:val="0011328C"/>
    <w:rsid w:val="00113542"/>
    <w:rsid w:val="0011450B"/>
    <w:rsid w:val="001145F4"/>
    <w:rsid w:val="00115649"/>
    <w:rsid w:val="001156CE"/>
    <w:rsid w:val="001163E2"/>
    <w:rsid w:val="00117119"/>
    <w:rsid w:val="0011728C"/>
    <w:rsid w:val="00117732"/>
    <w:rsid w:val="00117781"/>
    <w:rsid w:val="001208B8"/>
    <w:rsid w:val="001208F7"/>
    <w:rsid w:val="00120AA1"/>
    <w:rsid w:val="00120DCB"/>
    <w:rsid w:val="001219F9"/>
    <w:rsid w:val="00122FD4"/>
    <w:rsid w:val="00123F60"/>
    <w:rsid w:val="00124496"/>
    <w:rsid w:val="00124520"/>
    <w:rsid w:val="00124AE1"/>
    <w:rsid w:val="00124D0A"/>
    <w:rsid w:val="00124E9B"/>
    <w:rsid w:val="00124F5E"/>
    <w:rsid w:val="00125085"/>
    <w:rsid w:val="001265FC"/>
    <w:rsid w:val="00126B64"/>
    <w:rsid w:val="00126BCD"/>
    <w:rsid w:val="00127476"/>
    <w:rsid w:val="00127893"/>
    <w:rsid w:val="00130947"/>
    <w:rsid w:val="00132327"/>
    <w:rsid w:val="00132AB4"/>
    <w:rsid w:val="00132C6D"/>
    <w:rsid w:val="00132F80"/>
    <w:rsid w:val="0013362F"/>
    <w:rsid w:val="00134829"/>
    <w:rsid w:val="0013560B"/>
    <w:rsid w:val="00135708"/>
    <w:rsid w:val="00136657"/>
    <w:rsid w:val="00137F3E"/>
    <w:rsid w:val="00140121"/>
    <w:rsid w:val="0014056F"/>
    <w:rsid w:val="001409C2"/>
    <w:rsid w:val="00141006"/>
    <w:rsid w:val="001413DD"/>
    <w:rsid w:val="00141744"/>
    <w:rsid w:val="00141BCE"/>
    <w:rsid w:val="00142019"/>
    <w:rsid w:val="001426FE"/>
    <w:rsid w:val="00142D28"/>
    <w:rsid w:val="0014472B"/>
    <w:rsid w:val="00144921"/>
    <w:rsid w:val="00145BC9"/>
    <w:rsid w:val="00147998"/>
    <w:rsid w:val="00150717"/>
    <w:rsid w:val="001507DD"/>
    <w:rsid w:val="00150E8C"/>
    <w:rsid w:val="00151028"/>
    <w:rsid w:val="0015190E"/>
    <w:rsid w:val="0015193C"/>
    <w:rsid w:val="0015299C"/>
    <w:rsid w:val="0015336C"/>
    <w:rsid w:val="00155547"/>
    <w:rsid w:val="00155DE1"/>
    <w:rsid w:val="00156079"/>
    <w:rsid w:val="001562F7"/>
    <w:rsid w:val="001573FD"/>
    <w:rsid w:val="00160722"/>
    <w:rsid w:val="0016093E"/>
    <w:rsid w:val="0016098B"/>
    <w:rsid w:val="001609D3"/>
    <w:rsid w:val="00160A44"/>
    <w:rsid w:val="00161BCD"/>
    <w:rsid w:val="0016207C"/>
    <w:rsid w:val="00162689"/>
    <w:rsid w:val="001631CA"/>
    <w:rsid w:val="00164709"/>
    <w:rsid w:val="00164CDE"/>
    <w:rsid w:val="001655F8"/>
    <w:rsid w:val="001665C1"/>
    <w:rsid w:val="00166711"/>
    <w:rsid w:val="00166F19"/>
    <w:rsid w:val="00170E86"/>
    <w:rsid w:val="00171A4B"/>
    <w:rsid w:val="00174088"/>
    <w:rsid w:val="00174CD4"/>
    <w:rsid w:val="00175126"/>
    <w:rsid w:val="0017608F"/>
    <w:rsid w:val="00176E13"/>
    <w:rsid w:val="0017716A"/>
    <w:rsid w:val="00177248"/>
    <w:rsid w:val="00180A37"/>
    <w:rsid w:val="00180D47"/>
    <w:rsid w:val="0018214D"/>
    <w:rsid w:val="00182AE3"/>
    <w:rsid w:val="001842C2"/>
    <w:rsid w:val="00184CDD"/>
    <w:rsid w:val="00185B08"/>
    <w:rsid w:val="00185C7C"/>
    <w:rsid w:val="00185CEB"/>
    <w:rsid w:val="001867C2"/>
    <w:rsid w:val="0018688D"/>
    <w:rsid w:val="001879CD"/>
    <w:rsid w:val="001909BC"/>
    <w:rsid w:val="00190AEB"/>
    <w:rsid w:val="00190D41"/>
    <w:rsid w:val="00191B9D"/>
    <w:rsid w:val="00193B56"/>
    <w:rsid w:val="0019426B"/>
    <w:rsid w:val="00194ABE"/>
    <w:rsid w:val="00195284"/>
    <w:rsid w:val="0019559C"/>
    <w:rsid w:val="001958B8"/>
    <w:rsid w:val="0019657C"/>
    <w:rsid w:val="0019666F"/>
    <w:rsid w:val="001967B1"/>
    <w:rsid w:val="001A02E3"/>
    <w:rsid w:val="001A07A9"/>
    <w:rsid w:val="001A0BF1"/>
    <w:rsid w:val="001A1D48"/>
    <w:rsid w:val="001A1DE3"/>
    <w:rsid w:val="001A1F71"/>
    <w:rsid w:val="001A24A0"/>
    <w:rsid w:val="001A307B"/>
    <w:rsid w:val="001A5466"/>
    <w:rsid w:val="001A6265"/>
    <w:rsid w:val="001A632D"/>
    <w:rsid w:val="001A767A"/>
    <w:rsid w:val="001A7B87"/>
    <w:rsid w:val="001A7D02"/>
    <w:rsid w:val="001A7D38"/>
    <w:rsid w:val="001B0377"/>
    <w:rsid w:val="001B05F7"/>
    <w:rsid w:val="001B0A32"/>
    <w:rsid w:val="001B1245"/>
    <w:rsid w:val="001B17CD"/>
    <w:rsid w:val="001B1F8B"/>
    <w:rsid w:val="001B2DC9"/>
    <w:rsid w:val="001B31A8"/>
    <w:rsid w:val="001B34BB"/>
    <w:rsid w:val="001B37A2"/>
    <w:rsid w:val="001B37BE"/>
    <w:rsid w:val="001B3974"/>
    <w:rsid w:val="001B46A1"/>
    <w:rsid w:val="001B471E"/>
    <w:rsid w:val="001B47EE"/>
    <w:rsid w:val="001B5C7F"/>
    <w:rsid w:val="001B5F6C"/>
    <w:rsid w:val="001B7A79"/>
    <w:rsid w:val="001B7CA1"/>
    <w:rsid w:val="001B7D2D"/>
    <w:rsid w:val="001C07D6"/>
    <w:rsid w:val="001C0EAD"/>
    <w:rsid w:val="001C1AB7"/>
    <w:rsid w:val="001C1B98"/>
    <w:rsid w:val="001C24DB"/>
    <w:rsid w:val="001C2530"/>
    <w:rsid w:val="001C26B0"/>
    <w:rsid w:val="001C2E28"/>
    <w:rsid w:val="001C3319"/>
    <w:rsid w:val="001C3C67"/>
    <w:rsid w:val="001C43F7"/>
    <w:rsid w:val="001C4575"/>
    <w:rsid w:val="001C76B1"/>
    <w:rsid w:val="001C7A98"/>
    <w:rsid w:val="001C7C6B"/>
    <w:rsid w:val="001D07B7"/>
    <w:rsid w:val="001D13CD"/>
    <w:rsid w:val="001D2113"/>
    <w:rsid w:val="001D3772"/>
    <w:rsid w:val="001D3D53"/>
    <w:rsid w:val="001D49F4"/>
    <w:rsid w:val="001D4C5F"/>
    <w:rsid w:val="001D5CA2"/>
    <w:rsid w:val="001D6579"/>
    <w:rsid w:val="001E014E"/>
    <w:rsid w:val="001E07EA"/>
    <w:rsid w:val="001E0EF9"/>
    <w:rsid w:val="001E1778"/>
    <w:rsid w:val="001E2999"/>
    <w:rsid w:val="001E342B"/>
    <w:rsid w:val="001E3544"/>
    <w:rsid w:val="001E375D"/>
    <w:rsid w:val="001E39D0"/>
    <w:rsid w:val="001E4032"/>
    <w:rsid w:val="001E4A2C"/>
    <w:rsid w:val="001E5C74"/>
    <w:rsid w:val="001E6570"/>
    <w:rsid w:val="001E6760"/>
    <w:rsid w:val="001E6957"/>
    <w:rsid w:val="001E6C19"/>
    <w:rsid w:val="001E76A4"/>
    <w:rsid w:val="001E7B07"/>
    <w:rsid w:val="001F016A"/>
    <w:rsid w:val="001F16CD"/>
    <w:rsid w:val="001F18F2"/>
    <w:rsid w:val="001F1CBC"/>
    <w:rsid w:val="001F2B98"/>
    <w:rsid w:val="001F37AF"/>
    <w:rsid w:val="001F39ED"/>
    <w:rsid w:val="001F3BC1"/>
    <w:rsid w:val="001F3C7C"/>
    <w:rsid w:val="001F402B"/>
    <w:rsid w:val="001F4845"/>
    <w:rsid w:val="001F4A1C"/>
    <w:rsid w:val="001F4FDF"/>
    <w:rsid w:val="001F508E"/>
    <w:rsid w:val="001F55D6"/>
    <w:rsid w:val="001F6098"/>
    <w:rsid w:val="001F716C"/>
    <w:rsid w:val="001F76F2"/>
    <w:rsid w:val="002001DC"/>
    <w:rsid w:val="002005D4"/>
    <w:rsid w:val="00201470"/>
    <w:rsid w:val="0020207F"/>
    <w:rsid w:val="00202A30"/>
    <w:rsid w:val="00204E46"/>
    <w:rsid w:val="00205E9D"/>
    <w:rsid w:val="0020639D"/>
    <w:rsid w:val="00206E2F"/>
    <w:rsid w:val="0020757D"/>
    <w:rsid w:val="00207B86"/>
    <w:rsid w:val="00210283"/>
    <w:rsid w:val="002109E7"/>
    <w:rsid w:val="002119D4"/>
    <w:rsid w:val="00212530"/>
    <w:rsid w:val="0021331F"/>
    <w:rsid w:val="00213504"/>
    <w:rsid w:val="00213741"/>
    <w:rsid w:val="00214BD5"/>
    <w:rsid w:val="00214EA7"/>
    <w:rsid w:val="00215A08"/>
    <w:rsid w:val="00215FC8"/>
    <w:rsid w:val="00216288"/>
    <w:rsid w:val="00216F88"/>
    <w:rsid w:val="00217082"/>
    <w:rsid w:val="002174DB"/>
    <w:rsid w:val="0022111F"/>
    <w:rsid w:val="00222603"/>
    <w:rsid w:val="0022390D"/>
    <w:rsid w:val="00224B8D"/>
    <w:rsid w:val="00225018"/>
    <w:rsid w:val="002254DC"/>
    <w:rsid w:val="002255B4"/>
    <w:rsid w:val="002260F3"/>
    <w:rsid w:val="0022663B"/>
    <w:rsid w:val="0022689D"/>
    <w:rsid w:val="00226983"/>
    <w:rsid w:val="00227769"/>
    <w:rsid w:val="00227FAD"/>
    <w:rsid w:val="00230997"/>
    <w:rsid w:val="00230D3B"/>
    <w:rsid w:val="00231368"/>
    <w:rsid w:val="00232402"/>
    <w:rsid w:val="0023258A"/>
    <w:rsid w:val="00232811"/>
    <w:rsid w:val="002331DD"/>
    <w:rsid w:val="00233480"/>
    <w:rsid w:val="00233CFF"/>
    <w:rsid w:val="00234AEA"/>
    <w:rsid w:val="00234E05"/>
    <w:rsid w:val="00234FB7"/>
    <w:rsid w:val="00235F70"/>
    <w:rsid w:val="00235F8C"/>
    <w:rsid w:val="002360BA"/>
    <w:rsid w:val="002362A4"/>
    <w:rsid w:val="00236B3F"/>
    <w:rsid w:val="00237434"/>
    <w:rsid w:val="002374E8"/>
    <w:rsid w:val="002378B3"/>
    <w:rsid w:val="00237CFC"/>
    <w:rsid w:val="00240415"/>
    <w:rsid w:val="00240EE0"/>
    <w:rsid w:val="002410E5"/>
    <w:rsid w:val="002411CF"/>
    <w:rsid w:val="00241982"/>
    <w:rsid w:val="00241FA7"/>
    <w:rsid w:val="002424B1"/>
    <w:rsid w:val="002428EB"/>
    <w:rsid w:val="002430F5"/>
    <w:rsid w:val="00244001"/>
    <w:rsid w:val="002443F6"/>
    <w:rsid w:val="002447BD"/>
    <w:rsid w:val="00245678"/>
    <w:rsid w:val="00245B4B"/>
    <w:rsid w:val="002460EF"/>
    <w:rsid w:val="002462D2"/>
    <w:rsid w:val="00246DB4"/>
    <w:rsid w:val="00246E11"/>
    <w:rsid w:val="002473DA"/>
    <w:rsid w:val="00247553"/>
    <w:rsid w:val="00247580"/>
    <w:rsid w:val="00255261"/>
    <w:rsid w:val="0025599D"/>
    <w:rsid w:val="0026046F"/>
    <w:rsid w:val="002606E1"/>
    <w:rsid w:val="00260DDA"/>
    <w:rsid w:val="00260F60"/>
    <w:rsid w:val="0026129F"/>
    <w:rsid w:val="002613FE"/>
    <w:rsid w:val="00261767"/>
    <w:rsid w:val="002618D5"/>
    <w:rsid w:val="00261A90"/>
    <w:rsid w:val="00263772"/>
    <w:rsid w:val="002646C7"/>
    <w:rsid w:val="002678A7"/>
    <w:rsid w:val="00267FE6"/>
    <w:rsid w:val="002700EC"/>
    <w:rsid w:val="002703FD"/>
    <w:rsid w:val="00270CB2"/>
    <w:rsid w:val="00270F84"/>
    <w:rsid w:val="002720E0"/>
    <w:rsid w:val="00272C69"/>
    <w:rsid w:val="00272FD8"/>
    <w:rsid w:val="002746F6"/>
    <w:rsid w:val="00276597"/>
    <w:rsid w:val="00276AEF"/>
    <w:rsid w:val="00276BBB"/>
    <w:rsid w:val="00277396"/>
    <w:rsid w:val="00277A2F"/>
    <w:rsid w:val="00277D53"/>
    <w:rsid w:val="00280098"/>
    <w:rsid w:val="002800C3"/>
    <w:rsid w:val="0028025F"/>
    <w:rsid w:val="00280560"/>
    <w:rsid w:val="00280A50"/>
    <w:rsid w:val="00281200"/>
    <w:rsid w:val="002817E5"/>
    <w:rsid w:val="00281B8E"/>
    <w:rsid w:val="00281CE7"/>
    <w:rsid w:val="00282EF0"/>
    <w:rsid w:val="00283199"/>
    <w:rsid w:val="002833E3"/>
    <w:rsid w:val="00284578"/>
    <w:rsid w:val="002845AF"/>
    <w:rsid w:val="00284E84"/>
    <w:rsid w:val="00284E9E"/>
    <w:rsid w:val="00285550"/>
    <w:rsid w:val="00285772"/>
    <w:rsid w:val="00286623"/>
    <w:rsid w:val="0028764F"/>
    <w:rsid w:val="00287AD9"/>
    <w:rsid w:val="00287C7F"/>
    <w:rsid w:val="0029123C"/>
    <w:rsid w:val="00292F96"/>
    <w:rsid w:val="002931B4"/>
    <w:rsid w:val="00294043"/>
    <w:rsid w:val="00294413"/>
    <w:rsid w:val="00294BF0"/>
    <w:rsid w:val="00294F82"/>
    <w:rsid w:val="0029538F"/>
    <w:rsid w:val="0029679B"/>
    <w:rsid w:val="002967BE"/>
    <w:rsid w:val="002978A7"/>
    <w:rsid w:val="002A06B7"/>
    <w:rsid w:val="002A1098"/>
    <w:rsid w:val="002A1D7F"/>
    <w:rsid w:val="002A1F3F"/>
    <w:rsid w:val="002A20F4"/>
    <w:rsid w:val="002A2190"/>
    <w:rsid w:val="002A2D5D"/>
    <w:rsid w:val="002A5269"/>
    <w:rsid w:val="002A564D"/>
    <w:rsid w:val="002A5F08"/>
    <w:rsid w:val="002A693B"/>
    <w:rsid w:val="002A7813"/>
    <w:rsid w:val="002B0104"/>
    <w:rsid w:val="002B0D6E"/>
    <w:rsid w:val="002B20B1"/>
    <w:rsid w:val="002B4DB3"/>
    <w:rsid w:val="002B651E"/>
    <w:rsid w:val="002B6601"/>
    <w:rsid w:val="002B705E"/>
    <w:rsid w:val="002B79F2"/>
    <w:rsid w:val="002B7AF8"/>
    <w:rsid w:val="002C0B48"/>
    <w:rsid w:val="002C0DFE"/>
    <w:rsid w:val="002C0EC1"/>
    <w:rsid w:val="002C1136"/>
    <w:rsid w:val="002C324A"/>
    <w:rsid w:val="002C34D5"/>
    <w:rsid w:val="002C3749"/>
    <w:rsid w:val="002C3B32"/>
    <w:rsid w:val="002C443A"/>
    <w:rsid w:val="002C4F8A"/>
    <w:rsid w:val="002C547D"/>
    <w:rsid w:val="002C593B"/>
    <w:rsid w:val="002C5CAB"/>
    <w:rsid w:val="002C5DF7"/>
    <w:rsid w:val="002C5FC9"/>
    <w:rsid w:val="002C642A"/>
    <w:rsid w:val="002D1706"/>
    <w:rsid w:val="002D1B0A"/>
    <w:rsid w:val="002D1E1E"/>
    <w:rsid w:val="002D591D"/>
    <w:rsid w:val="002D5980"/>
    <w:rsid w:val="002D5AA3"/>
    <w:rsid w:val="002D6554"/>
    <w:rsid w:val="002D6E24"/>
    <w:rsid w:val="002D7E9A"/>
    <w:rsid w:val="002E01CF"/>
    <w:rsid w:val="002E172E"/>
    <w:rsid w:val="002E224A"/>
    <w:rsid w:val="002E2E79"/>
    <w:rsid w:val="002E34C4"/>
    <w:rsid w:val="002E52FC"/>
    <w:rsid w:val="002E5AA0"/>
    <w:rsid w:val="002E746D"/>
    <w:rsid w:val="002E7478"/>
    <w:rsid w:val="002E76FF"/>
    <w:rsid w:val="002E7AC4"/>
    <w:rsid w:val="002F0C79"/>
    <w:rsid w:val="002F217A"/>
    <w:rsid w:val="002F2CE1"/>
    <w:rsid w:val="002F35DF"/>
    <w:rsid w:val="002F39FD"/>
    <w:rsid w:val="002F3DF2"/>
    <w:rsid w:val="002F455A"/>
    <w:rsid w:val="002F5491"/>
    <w:rsid w:val="002F5993"/>
    <w:rsid w:val="002F6257"/>
    <w:rsid w:val="002F6316"/>
    <w:rsid w:val="002F6F8F"/>
    <w:rsid w:val="002F7C5C"/>
    <w:rsid w:val="002F7F0F"/>
    <w:rsid w:val="003013D5"/>
    <w:rsid w:val="00301C19"/>
    <w:rsid w:val="0030244C"/>
    <w:rsid w:val="00302F60"/>
    <w:rsid w:val="003030A7"/>
    <w:rsid w:val="003034DF"/>
    <w:rsid w:val="0030372C"/>
    <w:rsid w:val="0030380E"/>
    <w:rsid w:val="003038A9"/>
    <w:rsid w:val="00304BCC"/>
    <w:rsid w:val="003050B9"/>
    <w:rsid w:val="00305345"/>
    <w:rsid w:val="003053FB"/>
    <w:rsid w:val="00305768"/>
    <w:rsid w:val="00305DFC"/>
    <w:rsid w:val="0030747B"/>
    <w:rsid w:val="00310425"/>
    <w:rsid w:val="0031084F"/>
    <w:rsid w:val="003115FD"/>
    <w:rsid w:val="00311735"/>
    <w:rsid w:val="003124D8"/>
    <w:rsid w:val="0031295B"/>
    <w:rsid w:val="0031572E"/>
    <w:rsid w:val="0031609F"/>
    <w:rsid w:val="003164EB"/>
    <w:rsid w:val="00317259"/>
    <w:rsid w:val="003208D1"/>
    <w:rsid w:val="003259F5"/>
    <w:rsid w:val="003261F0"/>
    <w:rsid w:val="003300AC"/>
    <w:rsid w:val="003303B3"/>
    <w:rsid w:val="00330865"/>
    <w:rsid w:val="00330EDD"/>
    <w:rsid w:val="00331023"/>
    <w:rsid w:val="00333314"/>
    <w:rsid w:val="00333A1D"/>
    <w:rsid w:val="00333B83"/>
    <w:rsid w:val="00333CC2"/>
    <w:rsid w:val="00333E6A"/>
    <w:rsid w:val="00333FCB"/>
    <w:rsid w:val="00334421"/>
    <w:rsid w:val="00335BEB"/>
    <w:rsid w:val="00335C3A"/>
    <w:rsid w:val="00336285"/>
    <w:rsid w:val="003369FF"/>
    <w:rsid w:val="00337C63"/>
    <w:rsid w:val="00337EF8"/>
    <w:rsid w:val="00342138"/>
    <w:rsid w:val="00343E99"/>
    <w:rsid w:val="00343FEC"/>
    <w:rsid w:val="00344066"/>
    <w:rsid w:val="00344A45"/>
    <w:rsid w:val="00344C94"/>
    <w:rsid w:val="0034570B"/>
    <w:rsid w:val="003503F9"/>
    <w:rsid w:val="0035061B"/>
    <w:rsid w:val="00350F5B"/>
    <w:rsid w:val="00351ACE"/>
    <w:rsid w:val="00351BCA"/>
    <w:rsid w:val="00352DD6"/>
    <w:rsid w:val="00353826"/>
    <w:rsid w:val="0035460D"/>
    <w:rsid w:val="00354AC6"/>
    <w:rsid w:val="00356186"/>
    <w:rsid w:val="0036078D"/>
    <w:rsid w:val="00360AC9"/>
    <w:rsid w:val="0036195D"/>
    <w:rsid w:val="00362576"/>
    <w:rsid w:val="00362821"/>
    <w:rsid w:val="003630BA"/>
    <w:rsid w:val="00365F85"/>
    <w:rsid w:val="00367639"/>
    <w:rsid w:val="003707C8"/>
    <w:rsid w:val="00371200"/>
    <w:rsid w:val="00371714"/>
    <w:rsid w:val="003720CF"/>
    <w:rsid w:val="00372772"/>
    <w:rsid w:val="003730D0"/>
    <w:rsid w:val="00373E5D"/>
    <w:rsid w:val="00374525"/>
    <w:rsid w:val="0037466B"/>
    <w:rsid w:val="00374EC0"/>
    <w:rsid w:val="00374EE1"/>
    <w:rsid w:val="00375819"/>
    <w:rsid w:val="00375ADA"/>
    <w:rsid w:val="00375CF9"/>
    <w:rsid w:val="00376242"/>
    <w:rsid w:val="00376271"/>
    <w:rsid w:val="00376DF7"/>
    <w:rsid w:val="00377414"/>
    <w:rsid w:val="00377428"/>
    <w:rsid w:val="00377437"/>
    <w:rsid w:val="00377C6F"/>
    <w:rsid w:val="00380875"/>
    <w:rsid w:val="00380C91"/>
    <w:rsid w:val="00381426"/>
    <w:rsid w:val="00381CF0"/>
    <w:rsid w:val="00382C10"/>
    <w:rsid w:val="00382DAD"/>
    <w:rsid w:val="00383C4E"/>
    <w:rsid w:val="003846E8"/>
    <w:rsid w:val="00384978"/>
    <w:rsid w:val="00384C8B"/>
    <w:rsid w:val="00384D1F"/>
    <w:rsid w:val="00385852"/>
    <w:rsid w:val="003860A9"/>
    <w:rsid w:val="00386775"/>
    <w:rsid w:val="0038699B"/>
    <w:rsid w:val="00387F70"/>
    <w:rsid w:val="00390782"/>
    <w:rsid w:val="003921AB"/>
    <w:rsid w:val="00393310"/>
    <w:rsid w:val="00394017"/>
    <w:rsid w:val="00394184"/>
    <w:rsid w:val="003948C3"/>
    <w:rsid w:val="0039524D"/>
    <w:rsid w:val="00395AE7"/>
    <w:rsid w:val="003962FA"/>
    <w:rsid w:val="00396456"/>
    <w:rsid w:val="00396735"/>
    <w:rsid w:val="00396D19"/>
    <w:rsid w:val="0039734B"/>
    <w:rsid w:val="003A032D"/>
    <w:rsid w:val="003A1A77"/>
    <w:rsid w:val="003A20D9"/>
    <w:rsid w:val="003A2F8F"/>
    <w:rsid w:val="003A35EA"/>
    <w:rsid w:val="003A43B6"/>
    <w:rsid w:val="003A5AB4"/>
    <w:rsid w:val="003A60C9"/>
    <w:rsid w:val="003A6648"/>
    <w:rsid w:val="003A71BE"/>
    <w:rsid w:val="003A7DD3"/>
    <w:rsid w:val="003B0FBF"/>
    <w:rsid w:val="003B13C6"/>
    <w:rsid w:val="003B1627"/>
    <w:rsid w:val="003B19AB"/>
    <w:rsid w:val="003B219A"/>
    <w:rsid w:val="003B3AF1"/>
    <w:rsid w:val="003B4159"/>
    <w:rsid w:val="003B4A90"/>
    <w:rsid w:val="003B4F22"/>
    <w:rsid w:val="003B59E4"/>
    <w:rsid w:val="003B5E50"/>
    <w:rsid w:val="003B5F91"/>
    <w:rsid w:val="003B6025"/>
    <w:rsid w:val="003B61F2"/>
    <w:rsid w:val="003B643E"/>
    <w:rsid w:val="003B65FA"/>
    <w:rsid w:val="003B6797"/>
    <w:rsid w:val="003C2153"/>
    <w:rsid w:val="003C2361"/>
    <w:rsid w:val="003C2625"/>
    <w:rsid w:val="003C38A5"/>
    <w:rsid w:val="003C3B1A"/>
    <w:rsid w:val="003C5032"/>
    <w:rsid w:val="003C56C8"/>
    <w:rsid w:val="003C573B"/>
    <w:rsid w:val="003C5B94"/>
    <w:rsid w:val="003C62B6"/>
    <w:rsid w:val="003C6367"/>
    <w:rsid w:val="003C6A53"/>
    <w:rsid w:val="003C6B83"/>
    <w:rsid w:val="003C74EA"/>
    <w:rsid w:val="003C7FC2"/>
    <w:rsid w:val="003D0D09"/>
    <w:rsid w:val="003D1C6F"/>
    <w:rsid w:val="003D3666"/>
    <w:rsid w:val="003D3A33"/>
    <w:rsid w:val="003D3A69"/>
    <w:rsid w:val="003D46E1"/>
    <w:rsid w:val="003D528E"/>
    <w:rsid w:val="003D56F2"/>
    <w:rsid w:val="003D5902"/>
    <w:rsid w:val="003D7231"/>
    <w:rsid w:val="003E02F4"/>
    <w:rsid w:val="003E038D"/>
    <w:rsid w:val="003E04D7"/>
    <w:rsid w:val="003E0BA4"/>
    <w:rsid w:val="003E12E4"/>
    <w:rsid w:val="003E1FF6"/>
    <w:rsid w:val="003E20B1"/>
    <w:rsid w:val="003E2930"/>
    <w:rsid w:val="003E2BC6"/>
    <w:rsid w:val="003E363B"/>
    <w:rsid w:val="003E464B"/>
    <w:rsid w:val="003E4B8B"/>
    <w:rsid w:val="003E5310"/>
    <w:rsid w:val="003E69D8"/>
    <w:rsid w:val="003E7967"/>
    <w:rsid w:val="003F0288"/>
    <w:rsid w:val="003F0E35"/>
    <w:rsid w:val="003F0E91"/>
    <w:rsid w:val="003F1828"/>
    <w:rsid w:val="003F1B11"/>
    <w:rsid w:val="003F1C0F"/>
    <w:rsid w:val="003F374A"/>
    <w:rsid w:val="003F45EE"/>
    <w:rsid w:val="003F5084"/>
    <w:rsid w:val="003F55B3"/>
    <w:rsid w:val="003F613E"/>
    <w:rsid w:val="003F6605"/>
    <w:rsid w:val="003F6B51"/>
    <w:rsid w:val="003F75DC"/>
    <w:rsid w:val="003F7BB5"/>
    <w:rsid w:val="00401746"/>
    <w:rsid w:val="00401A24"/>
    <w:rsid w:val="00401B5D"/>
    <w:rsid w:val="00402123"/>
    <w:rsid w:val="004021CD"/>
    <w:rsid w:val="00402AF1"/>
    <w:rsid w:val="00403340"/>
    <w:rsid w:val="0040343C"/>
    <w:rsid w:val="004049DE"/>
    <w:rsid w:val="00405C8D"/>
    <w:rsid w:val="004061A5"/>
    <w:rsid w:val="0040664D"/>
    <w:rsid w:val="004073AE"/>
    <w:rsid w:val="00407DC9"/>
    <w:rsid w:val="004101A7"/>
    <w:rsid w:val="00410F17"/>
    <w:rsid w:val="00411DFA"/>
    <w:rsid w:val="004127B5"/>
    <w:rsid w:val="00412CB5"/>
    <w:rsid w:val="00413672"/>
    <w:rsid w:val="00414597"/>
    <w:rsid w:val="00415915"/>
    <w:rsid w:val="00415C05"/>
    <w:rsid w:val="00416BAE"/>
    <w:rsid w:val="00417404"/>
    <w:rsid w:val="0041742B"/>
    <w:rsid w:val="004201C3"/>
    <w:rsid w:val="00420BA5"/>
    <w:rsid w:val="00420ED8"/>
    <w:rsid w:val="00421023"/>
    <w:rsid w:val="00421AA1"/>
    <w:rsid w:val="0042245B"/>
    <w:rsid w:val="00422B6A"/>
    <w:rsid w:val="00422E90"/>
    <w:rsid w:val="0042366A"/>
    <w:rsid w:val="0042400D"/>
    <w:rsid w:val="00424019"/>
    <w:rsid w:val="004243E2"/>
    <w:rsid w:val="00424496"/>
    <w:rsid w:val="00424772"/>
    <w:rsid w:val="00424D57"/>
    <w:rsid w:val="00425889"/>
    <w:rsid w:val="004266CF"/>
    <w:rsid w:val="00426894"/>
    <w:rsid w:val="004268AF"/>
    <w:rsid w:val="00427015"/>
    <w:rsid w:val="00427E4F"/>
    <w:rsid w:val="00430B2A"/>
    <w:rsid w:val="00430B5F"/>
    <w:rsid w:val="0043112F"/>
    <w:rsid w:val="00431ECB"/>
    <w:rsid w:val="004326DE"/>
    <w:rsid w:val="00434668"/>
    <w:rsid w:val="004347CF"/>
    <w:rsid w:val="00434946"/>
    <w:rsid w:val="00435A2C"/>
    <w:rsid w:val="0044006F"/>
    <w:rsid w:val="004419D3"/>
    <w:rsid w:val="00442443"/>
    <w:rsid w:val="00442806"/>
    <w:rsid w:val="00443644"/>
    <w:rsid w:val="00443BE8"/>
    <w:rsid w:val="00443F6F"/>
    <w:rsid w:val="00444D4C"/>
    <w:rsid w:val="004453F0"/>
    <w:rsid w:val="00445783"/>
    <w:rsid w:val="00445A08"/>
    <w:rsid w:val="00446B19"/>
    <w:rsid w:val="00446E10"/>
    <w:rsid w:val="004471B0"/>
    <w:rsid w:val="0044754F"/>
    <w:rsid w:val="00447723"/>
    <w:rsid w:val="0045127B"/>
    <w:rsid w:val="00451C83"/>
    <w:rsid w:val="00452C21"/>
    <w:rsid w:val="00452EDA"/>
    <w:rsid w:val="004535F6"/>
    <w:rsid w:val="0045657A"/>
    <w:rsid w:val="00456CD6"/>
    <w:rsid w:val="00456D33"/>
    <w:rsid w:val="00457074"/>
    <w:rsid w:val="00457EB6"/>
    <w:rsid w:val="0046080A"/>
    <w:rsid w:val="00461375"/>
    <w:rsid w:val="00461ACF"/>
    <w:rsid w:val="00462AE3"/>
    <w:rsid w:val="00462C66"/>
    <w:rsid w:val="004637EA"/>
    <w:rsid w:val="00463FD1"/>
    <w:rsid w:val="0046414A"/>
    <w:rsid w:val="00464294"/>
    <w:rsid w:val="00464B71"/>
    <w:rsid w:val="00465F1E"/>
    <w:rsid w:val="004662EB"/>
    <w:rsid w:val="0046723B"/>
    <w:rsid w:val="004674D9"/>
    <w:rsid w:val="00467556"/>
    <w:rsid w:val="00467716"/>
    <w:rsid w:val="00467FDC"/>
    <w:rsid w:val="004717A5"/>
    <w:rsid w:val="00471A25"/>
    <w:rsid w:val="00471EFD"/>
    <w:rsid w:val="004720F0"/>
    <w:rsid w:val="004722F7"/>
    <w:rsid w:val="00474E3C"/>
    <w:rsid w:val="0047502D"/>
    <w:rsid w:val="00475345"/>
    <w:rsid w:val="00475BE3"/>
    <w:rsid w:val="00475D80"/>
    <w:rsid w:val="004760EC"/>
    <w:rsid w:val="00476E50"/>
    <w:rsid w:val="004811C2"/>
    <w:rsid w:val="004814DE"/>
    <w:rsid w:val="004820F1"/>
    <w:rsid w:val="0048210B"/>
    <w:rsid w:val="00482AD6"/>
    <w:rsid w:val="004836C2"/>
    <w:rsid w:val="00483C50"/>
    <w:rsid w:val="00484583"/>
    <w:rsid w:val="00484754"/>
    <w:rsid w:val="004857EB"/>
    <w:rsid w:val="00485881"/>
    <w:rsid w:val="00486294"/>
    <w:rsid w:val="00486A1C"/>
    <w:rsid w:val="00486BA5"/>
    <w:rsid w:val="00487149"/>
    <w:rsid w:val="004872D8"/>
    <w:rsid w:val="00487872"/>
    <w:rsid w:val="00487E32"/>
    <w:rsid w:val="0049016A"/>
    <w:rsid w:val="004911CB"/>
    <w:rsid w:val="004923BA"/>
    <w:rsid w:val="00492F48"/>
    <w:rsid w:val="00493200"/>
    <w:rsid w:val="00493CB0"/>
    <w:rsid w:val="00495219"/>
    <w:rsid w:val="00495364"/>
    <w:rsid w:val="0049579E"/>
    <w:rsid w:val="00495B24"/>
    <w:rsid w:val="00495C1C"/>
    <w:rsid w:val="0049648C"/>
    <w:rsid w:val="00496963"/>
    <w:rsid w:val="0049756D"/>
    <w:rsid w:val="004A08A3"/>
    <w:rsid w:val="004A0CBC"/>
    <w:rsid w:val="004A0CFB"/>
    <w:rsid w:val="004A107C"/>
    <w:rsid w:val="004A1889"/>
    <w:rsid w:val="004A1C4A"/>
    <w:rsid w:val="004A28D5"/>
    <w:rsid w:val="004A2B69"/>
    <w:rsid w:val="004A2B72"/>
    <w:rsid w:val="004A37E8"/>
    <w:rsid w:val="004A4924"/>
    <w:rsid w:val="004A4C06"/>
    <w:rsid w:val="004A572E"/>
    <w:rsid w:val="004A5C2F"/>
    <w:rsid w:val="004A6E79"/>
    <w:rsid w:val="004A74F9"/>
    <w:rsid w:val="004B0889"/>
    <w:rsid w:val="004B08BD"/>
    <w:rsid w:val="004B1275"/>
    <w:rsid w:val="004B1981"/>
    <w:rsid w:val="004B3698"/>
    <w:rsid w:val="004B3C45"/>
    <w:rsid w:val="004B5DCF"/>
    <w:rsid w:val="004B5E43"/>
    <w:rsid w:val="004B7E7F"/>
    <w:rsid w:val="004B7F51"/>
    <w:rsid w:val="004C075B"/>
    <w:rsid w:val="004C0D70"/>
    <w:rsid w:val="004C2737"/>
    <w:rsid w:val="004C2A87"/>
    <w:rsid w:val="004C3D22"/>
    <w:rsid w:val="004C4EB5"/>
    <w:rsid w:val="004C6435"/>
    <w:rsid w:val="004C7323"/>
    <w:rsid w:val="004C7696"/>
    <w:rsid w:val="004D0148"/>
    <w:rsid w:val="004D04CF"/>
    <w:rsid w:val="004D1996"/>
    <w:rsid w:val="004D1BEF"/>
    <w:rsid w:val="004D1DFA"/>
    <w:rsid w:val="004D2772"/>
    <w:rsid w:val="004D4553"/>
    <w:rsid w:val="004D4976"/>
    <w:rsid w:val="004D4B4E"/>
    <w:rsid w:val="004D76BC"/>
    <w:rsid w:val="004D7D08"/>
    <w:rsid w:val="004E1177"/>
    <w:rsid w:val="004E1566"/>
    <w:rsid w:val="004E1BF1"/>
    <w:rsid w:val="004E2443"/>
    <w:rsid w:val="004E2C9D"/>
    <w:rsid w:val="004E2E80"/>
    <w:rsid w:val="004E4906"/>
    <w:rsid w:val="004E58F1"/>
    <w:rsid w:val="004E59E6"/>
    <w:rsid w:val="004E6050"/>
    <w:rsid w:val="004E60C1"/>
    <w:rsid w:val="004E693F"/>
    <w:rsid w:val="004E7A71"/>
    <w:rsid w:val="004E7F32"/>
    <w:rsid w:val="004F0182"/>
    <w:rsid w:val="004F1E9F"/>
    <w:rsid w:val="004F24F7"/>
    <w:rsid w:val="004F28D8"/>
    <w:rsid w:val="004F342F"/>
    <w:rsid w:val="004F4E31"/>
    <w:rsid w:val="004F5B5C"/>
    <w:rsid w:val="004F5EB3"/>
    <w:rsid w:val="004F60D2"/>
    <w:rsid w:val="004F6430"/>
    <w:rsid w:val="004F721B"/>
    <w:rsid w:val="004F75CE"/>
    <w:rsid w:val="00501259"/>
    <w:rsid w:val="0050156D"/>
    <w:rsid w:val="005021C3"/>
    <w:rsid w:val="00502C6D"/>
    <w:rsid w:val="0050315D"/>
    <w:rsid w:val="005037C5"/>
    <w:rsid w:val="005040EF"/>
    <w:rsid w:val="0050441A"/>
    <w:rsid w:val="005048DD"/>
    <w:rsid w:val="005048E9"/>
    <w:rsid w:val="005049BA"/>
    <w:rsid w:val="00505829"/>
    <w:rsid w:val="00505976"/>
    <w:rsid w:val="00506501"/>
    <w:rsid w:val="00506888"/>
    <w:rsid w:val="00507D89"/>
    <w:rsid w:val="00510318"/>
    <w:rsid w:val="005103CA"/>
    <w:rsid w:val="00510750"/>
    <w:rsid w:val="0051116C"/>
    <w:rsid w:val="005116CF"/>
    <w:rsid w:val="005119B9"/>
    <w:rsid w:val="00512510"/>
    <w:rsid w:val="00512F85"/>
    <w:rsid w:val="00513C6B"/>
    <w:rsid w:val="005153C3"/>
    <w:rsid w:val="005155A0"/>
    <w:rsid w:val="00515C56"/>
    <w:rsid w:val="00515FFC"/>
    <w:rsid w:val="005160B7"/>
    <w:rsid w:val="005178D4"/>
    <w:rsid w:val="005179CF"/>
    <w:rsid w:val="00517DD3"/>
    <w:rsid w:val="00520D37"/>
    <w:rsid w:val="00520FA1"/>
    <w:rsid w:val="00521890"/>
    <w:rsid w:val="005218DD"/>
    <w:rsid w:val="00521B67"/>
    <w:rsid w:val="00522FB2"/>
    <w:rsid w:val="0052363D"/>
    <w:rsid w:val="0052399A"/>
    <w:rsid w:val="00523AE7"/>
    <w:rsid w:val="00524B6C"/>
    <w:rsid w:val="00525131"/>
    <w:rsid w:val="005260D5"/>
    <w:rsid w:val="00526C09"/>
    <w:rsid w:val="00527C77"/>
    <w:rsid w:val="005307E2"/>
    <w:rsid w:val="00531764"/>
    <w:rsid w:val="00531CC2"/>
    <w:rsid w:val="00531FBA"/>
    <w:rsid w:val="0053213A"/>
    <w:rsid w:val="00532BA1"/>
    <w:rsid w:val="00533B03"/>
    <w:rsid w:val="00534241"/>
    <w:rsid w:val="00534AD9"/>
    <w:rsid w:val="00534F89"/>
    <w:rsid w:val="00535297"/>
    <w:rsid w:val="005363A9"/>
    <w:rsid w:val="00536D67"/>
    <w:rsid w:val="00536DC1"/>
    <w:rsid w:val="0053717E"/>
    <w:rsid w:val="00537AA7"/>
    <w:rsid w:val="00537EF3"/>
    <w:rsid w:val="0054023E"/>
    <w:rsid w:val="005410D2"/>
    <w:rsid w:val="0054138F"/>
    <w:rsid w:val="005413B5"/>
    <w:rsid w:val="005417C8"/>
    <w:rsid w:val="005417FC"/>
    <w:rsid w:val="0054210B"/>
    <w:rsid w:val="00542116"/>
    <w:rsid w:val="005422F7"/>
    <w:rsid w:val="005430CA"/>
    <w:rsid w:val="00543730"/>
    <w:rsid w:val="00543D37"/>
    <w:rsid w:val="005447CC"/>
    <w:rsid w:val="00544B44"/>
    <w:rsid w:val="00545366"/>
    <w:rsid w:val="005455B3"/>
    <w:rsid w:val="005462CF"/>
    <w:rsid w:val="00547082"/>
    <w:rsid w:val="0054773E"/>
    <w:rsid w:val="00551275"/>
    <w:rsid w:val="00551592"/>
    <w:rsid w:val="00552A61"/>
    <w:rsid w:val="00553379"/>
    <w:rsid w:val="00553972"/>
    <w:rsid w:val="005540B3"/>
    <w:rsid w:val="00554896"/>
    <w:rsid w:val="0055518C"/>
    <w:rsid w:val="0055664D"/>
    <w:rsid w:val="005574E1"/>
    <w:rsid w:val="00562AF4"/>
    <w:rsid w:val="005654CF"/>
    <w:rsid w:val="0056584B"/>
    <w:rsid w:val="00565EE6"/>
    <w:rsid w:val="0056605B"/>
    <w:rsid w:val="00566BB4"/>
    <w:rsid w:val="00566C77"/>
    <w:rsid w:val="00567985"/>
    <w:rsid w:val="005679DE"/>
    <w:rsid w:val="005724F5"/>
    <w:rsid w:val="00573D4F"/>
    <w:rsid w:val="005749EA"/>
    <w:rsid w:val="00574DB7"/>
    <w:rsid w:val="00575674"/>
    <w:rsid w:val="00575969"/>
    <w:rsid w:val="00576263"/>
    <w:rsid w:val="005767A5"/>
    <w:rsid w:val="00577AEC"/>
    <w:rsid w:val="00577AEE"/>
    <w:rsid w:val="00581863"/>
    <w:rsid w:val="00582601"/>
    <w:rsid w:val="005827A9"/>
    <w:rsid w:val="00583A93"/>
    <w:rsid w:val="005845FF"/>
    <w:rsid w:val="00584B5A"/>
    <w:rsid w:val="00585C21"/>
    <w:rsid w:val="005861DD"/>
    <w:rsid w:val="005864E8"/>
    <w:rsid w:val="00587538"/>
    <w:rsid w:val="00587CC5"/>
    <w:rsid w:val="00590379"/>
    <w:rsid w:val="00591015"/>
    <w:rsid w:val="00591556"/>
    <w:rsid w:val="00592381"/>
    <w:rsid w:val="005933B1"/>
    <w:rsid w:val="005936AE"/>
    <w:rsid w:val="00594D82"/>
    <w:rsid w:val="00594FB6"/>
    <w:rsid w:val="005957B9"/>
    <w:rsid w:val="005957C6"/>
    <w:rsid w:val="005962C7"/>
    <w:rsid w:val="00596527"/>
    <w:rsid w:val="0059662F"/>
    <w:rsid w:val="005975DA"/>
    <w:rsid w:val="00597E98"/>
    <w:rsid w:val="005A0A82"/>
    <w:rsid w:val="005A0B2B"/>
    <w:rsid w:val="005A1DCE"/>
    <w:rsid w:val="005A2D13"/>
    <w:rsid w:val="005A4145"/>
    <w:rsid w:val="005A6770"/>
    <w:rsid w:val="005A7E89"/>
    <w:rsid w:val="005B015D"/>
    <w:rsid w:val="005B027B"/>
    <w:rsid w:val="005B03DF"/>
    <w:rsid w:val="005B1317"/>
    <w:rsid w:val="005B1763"/>
    <w:rsid w:val="005B2113"/>
    <w:rsid w:val="005B2470"/>
    <w:rsid w:val="005B3950"/>
    <w:rsid w:val="005B3AE3"/>
    <w:rsid w:val="005B3D60"/>
    <w:rsid w:val="005B43D0"/>
    <w:rsid w:val="005B43FA"/>
    <w:rsid w:val="005B4A75"/>
    <w:rsid w:val="005B5F95"/>
    <w:rsid w:val="005B64DA"/>
    <w:rsid w:val="005B748E"/>
    <w:rsid w:val="005C0C96"/>
    <w:rsid w:val="005C14A0"/>
    <w:rsid w:val="005C1F5C"/>
    <w:rsid w:val="005C26BA"/>
    <w:rsid w:val="005C644F"/>
    <w:rsid w:val="005C6AC9"/>
    <w:rsid w:val="005C7094"/>
    <w:rsid w:val="005D0080"/>
    <w:rsid w:val="005D029B"/>
    <w:rsid w:val="005D0720"/>
    <w:rsid w:val="005D08AD"/>
    <w:rsid w:val="005D15EB"/>
    <w:rsid w:val="005D16E2"/>
    <w:rsid w:val="005D194A"/>
    <w:rsid w:val="005D234A"/>
    <w:rsid w:val="005D292E"/>
    <w:rsid w:val="005D2DF7"/>
    <w:rsid w:val="005D4D42"/>
    <w:rsid w:val="005D5AC7"/>
    <w:rsid w:val="005D5E3F"/>
    <w:rsid w:val="005D658A"/>
    <w:rsid w:val="005D67ED"/>
    <w:rsid w:val="005D6DB3"/>
    <w:rsid w:val="005D6EEE"/>
    <w:rsid w:val="005E07B3"/>
    <w:rsid w:val="005E0AF1"/>
    <w:rsid w:val="005E0E5D"/>
    <w:rsid w:val="005E113F"/>
    <w:rsid w:val="005E1CA7"/>
    <w:rsid w:val="005E2339"/>
    <w:rsid w:val="005E2793"/>
    <w:rsid w:val="005E33B2"/>
    <w:rsid w:val="005E3871"/>
    <w:rsid w:val="005E3C96"/>
    <w:rsid w:val="005E47CC"/>
    <w:rsid w:val="005E7EF6"/>
    <w:rsid w:val="005F021A"/>
    <w:rsid w:val="005F0A29"/>
    <w:rsid w:val="005F149F"/>
    <w:rsid w:val="005F2199"/>
    <w:rsid w:val="005F231B"/>
    <w:rsid w:val="005F2AA9"/>
    <w:rsid w:val="005F364C"/>
    <w:rsid w:val="005F3E59"/>
    <w:rsid w:val="005F424F"/>
    <w:rsid w:val="005F4387"/>
    <w:rsid w:val="005F4438"/>
    <w:rsid w:val="005F4886"/>
    <w:rsid w:val="005F53E9"/>
    <w:rsid w:val="005F5A83"/>
    <w:rsid w:val="005F7316"/>
    <w:rsid w:val="00600233"/>
    <w:rsid w:val="00603318"/>
    <w:rsid w:val="0060421C"/>
    <w:rsid w:val="006050D9"/>
    <w:rsid w:val="0060651F"/>
    <w:rsid w:val="00610535"/>
    <w:rsid w:val="006107E7"/>
    <w:rsid w:val="00610F21"/>
    <w:rsid w:val="006115E9"/>
    <w:rsid w:val="00611F07"/>
    <w:rsid w:val="00611FB3"/>
    <w:rsid w:val="00612744"/>
    <w:rsid w:val="0061286E"/>
    <w:rsid w:val="00612F02"/>
    <w:rsid w:val="00613D91"/>
    <w:rsid w:val="00615CC5"/>
    <w:rsid w:val="00616178"/>
    <w:rsid w:val="006178A2"/>
    <w:rsid w:val="00617DFD"/>
    <w:rsid w:val="00621F52"/>
    <w:rsid w:val="00621FD6"/>
    <w:rsid w:val="006232DC"/>
    <w:rsid w:val="006233C2"/>
    <w:rsid w:val="00623A26"/>
    <w:rsid w:val="00624C04"/>
    <w:rsid w:val="00624FD7"/>
    <w:rsid w:val="006253B3"/>
    <w:rsid w:val="006254D3"/>
    <w:rsid w:val="00630E22"/>
    <w:rsid w:val="00631415"/>
    <w:rsid w:val="00631C06"/>
    <w:rsid w:val="00632116"/>
    <w:rsid w:val="00632366"/>
    <w:rsid w:val="00635BB1"/>
    <w:rsid w:val="00635C6B"/>
    <w:rsid w:val="00635D72"/>
    <w:rsid w:val="00635E7A"/>
    <w:rsid w:val="0063761F"/>
    <w:rsid w:val="0063786F"/>
    <w:rsid w:val="006379FB"/>
    <w:rsid w:val="00644250"/>
    <w:rsid w:val="00647610"/>
    <w:rsid w:val="00647C00"/>
    <w:rsid w:val="0065072E"/>
    <w:rsid w:val="00651CA2"/>
    <w:rsid w:val="0065379C"/>
    <w:rsid w:val="00654009"/>
    <w:rsid w:val="0065516B"/>
    <w:rsid w:val="00655C8A"/>
    <w:rsid w:val="0065628F"/>
    <w:rsid w:val="0066247C"/>
    <w:rsid w:val="00662AE7"/>
    <w:rsid w:val="00663097"/>
    <w:rsid w:val="0066444F"/>
    <w:rsid w:val="0066486E"/>
    <w:rsid w:val="006648A4"/>
    <w:rsid w:val="00664CDE"/>
    <w:rsid w:val="00664F00"/>
    <w:rsid w:val="00665070"/>
    <w:rsid w:val="00665110"/>
    <w:rsid w:val="00665133"/>
    <w:rsid w:val="00665140"/>
    <w:rsid w:val="006662B3"/>
    <w:rsid w:val="006665E3"/>
    <w:rsid w:val="00666959"/>
    <w:rsid w:val="00667394"/>
    <w:rsid w:val="00670CCD"/>
    <w:rsid w:val="006716B9"/>
    <w:rsid w:val="00671BAE"/>
    <w:rsid w:val="00672242"/>
    <w:rsid w:val="0067242E"/>
    <w:rsid w:val="00673E6A"/>
    <w:rsid w:val="00674261"/>
    <w:rsid w:val="006742E3"/>
    <w:rsid w:val="0067478E"/>
    <w:rsid w:val="0067483E"/>
    <w:rsid w:val="00674A9B"/>
    <w:rsid w:val="00675797"/>
    <w:rsid w:val="0067586F"/>
    <w:rsid w:val="006758E3"/>
    <w:rsid w:val="00676219"/>
    <w:rsid w:val="00676968"/>
    <w:rsid w:val="006779C4"/>
    <w:rsid w:val="00677AB7"/>
    <w:rsid w:val="00680ED9"/>
    <w:rsid w:val="006825A8"/>
    <w:rsid w:val="00682749"/>
    <w:rsid w:val="00682EA2"/>
    <w:rsid w:val="0068376A"/>
    <w:rsid w:val="00683C58"/>
    <w:rsid w:val="006849E4"/>
    <w:rsid w:val="006857AF"/>
    <w:rsid w:val="0068603A"/>
    <w:rsid w:val="00686051"/>
    <w:rsid w:val="00686D1D"/>
    <w:rsid w:val="00686FB1"/>
    <w:rsid w:val="006902C7"/>
    <w:rsid w:val="006909D4"/>
    <w:rsid w:val="00690A0F"/>
    <w:rsid w:val="00691566"/>
    <w:rsid w:val="006916F3"/>
    <w:rsid w:val="0069209E"/>
    <w:rsid w:val="0069243E"/>
    <w:rsid w:val="006925C1"/>
    <w:rsid w:val="00692BAC"/>
    <w:rsid w:val="00693983"/>
    <w:rsid w:val="006939CC"/>
    <w:rsid w:val="00693B1B"/>
    <w:rsid w:val="00694188"/>
    <w:rsid w:val="00695E4A"/>
    <w:rsid w:val="00696C65"/>
    <w:rsid w:val="0069726E"/>
    <w:rsid w:val="006973ED"/>
    <w:rsid w:val="006A0136"/>
    <w:rsid w:val="006A075C"/>
    <w:rsid w:val="006A0F4A"/>
    <w:rsid w:val="006A10FA"/>
    <w:rsid w:val="006A1998"/>
    <w:rsid w:val="006A2E6D"/>
    <w:rsid w:val="006A3732"/>
    <w:rsid w:val="006A39A7"/>
    <w:rsid w:val="006A45D3"/>
    <w:rsid w:val="006A498A"/>
    <w:rsid w:val="006A4B7A"/>
    <w:rsid w:val="006A4BE4"/>
    <w:rsid w:val="006A50CB"/>
    <w:rsid w:val="006A5EAC"/>
    <w:rsid w:val="006A63CF"/>
    <w:rsid w:val="006A64FE"/>
    <w:rsid w:val="006A6FF3"/>
    <w:rsid w:val="006A70CD"/>
    <w:rsid w:val="006A75C8"/>
    <w:rsid w:val="006B0854"/>
    <w:rsid w:val="006B0860"/>
    <w:rsid w:val="006B10DD"/>
    <w:rsid w:val="006B11BC"/>
    <w:rsid w:val="006B1BE4"/>
    <w:rsid w:val="006B1CCB"/>
    <w:rsid w:val="006B1EB1"/>
    <w:rsid w:val="006B2037"/>
    <w:rsid w:val="006B2F89"/>
    <w:rsid w:val="006B3797"/>
    <w:rsid w:val="006B3E32"/>
    <w:rsid w:val="006B455A"/>
    <w:rsid w:val="006B4DCE"/>
    <w:rsid w:val="006B5400"/>
    <w:rsid w:val="006B5B6D"/>
    <w:rsid w:val="006B676A"/>
    <w:rsid w:val="006B7524"/>
    <w:rsid w:val="006B78B8"/>
    <w:rsid w:val="006B7C8E"/>
    <w:rsid w:val="006B7F2E"/>
    <w:rsid w:val="006C01CB"/>
    <w:rsid w:val="006C0B92"/>
    <w:rsid w:val="006C0D2E"/>
    <w:rsid w:val="006C12B9"/>
    <w:rsid w:val="006C1DCE"/>
    <w:rsid w:val="006C2691"/>
    <w:rsid w:val="006C2A70"/>
    <w:rsid w:val="006C2B78"/>
    <w:rsid w:val="006C2F23"/>
    <w:rsid w:val="006C2FDE"/>
    <w:rsid w:val="006C3151"/>
    <w:rsid w:val="006C3892"/>
    <w:rsid w:val="006C51F7"/>
    <w:rsid w:val="006C5855"/>
    <w:rsid w:val="006C65FE"/>
    <w:rsid w:val="006C6631"/>
    <w:rsid w:val="006C67B0"/>
    <w:rsid w:val="006C6EB0"/>
    <w:rsid w:val="006C7FF8"/>
    <w:rsid w:val="006D02A0"/>
    <w:rsid w:val="006D03DA"/>
    <w:rsid w:val="006D22C2"/>
    <w:rsid w:val="006D267C"/>
    <w:rsid w:val="006D3D81"/>
    <w:rsid w:val="006D4066"/>
    <w:rsid w:val="006D4161"/>
    <w:rsid w:val="006D479A"/>
    <w:rsid w:val="006D4C2D"/>
    <w:rsid w:val="006D63EA"/>
    <w:rsid w:val="006D7146"/>
    <w:rsid w:val="006E0C56"/>
    <w:rsid w:val="006E2097"/>
    <w:rsid w:val="006E2671"/>
    <w:rsid w:val="006E2C2D"/>
    <w:rsid w:val="006E31A9"/>
    <w:rsid w:val="006E38DE"/>
    <w:rsid w:val="006E3D7C"/>
    <w:rsid w:val="006E4A0D"/>
    <w:rsid w:val="006E5CEA"/>
    <w:rsid w:val="006E7295"/>
    <w:rsid w:val="006E77E9"/>
    <w:rsid w:val="006E798C"/>
    <w:rsid w:val="006F0149"/>
    <w:rsid w:val="006F138D"/>
    <w:rsid w:val="006F1A2C"/>
    <w:rsid w:val="006F1CDE"/>
    <w:rsid w:val="006F2CC0"/>
    <w:rsid w:val="006F2EE5"/>
    <w:rsid w:val="006F36C8"/>
    <w:rsid w:val="006F38F4"/>
    <w:rsid w:val="006F3E32"/>
    <w:rsid w:val="006F543F"/>
    <w:rsid w:val="006F5DAE"/>
    <w:rsid w:val="006F6568"/>
    <w:rsid w:val="006F6890"/>
    <w:rsid w:val="006F6C6D"/>
    <w:rsid w:val="006F74C3"/>
    <w:rsid w:val="006F75C6"/>
    <w:rsid w:val="006F765E"/>
    <w:rsid w:val="006F7924"/>
    <w:rsid w:val="00700F0C"/>
    <w:rsid w:val="0070102C"/>
    <w:rsid w:val="007016E4"/>
    <w:rsid w:val="007018F4"/>
    <w:rsid w:val="0070388E"/>
    <w:rsid w:val="00704A55"/>
    <w:rsid w:val="00704A86"/>
    <w:rsid w:val="007057CB"/>
    <w:rsid w:val="00706D64"/>
    <w:rsid w:val="0070733E"/>
    <w:rsid w:val="00710239"/>
    <w:rsid w:val="00710A24"/>
    <w:rsid w:val="00712FDC"/>
    <w:rsid w:val="0071307C"/>
    <w:rsid w:val="0071375D"/>
    <w:rsid w:val="00716C15"/>
    <w:rsid w:val="00716EF8"/>
    <w:rsid w:val="00717128"/>
    <w:rsid w:val="00717C12"/>
    <w:rsid w:val="00721124"/>
    <w:rsid w:val="007212B6"/>
    <w:rsid w:val="007226EF"/>
    <w:rsid w:val="007228EF"/>
    <w:rsid w:val="00723708"/>
    <w:rsid w:val="0072676D"/>
    <w:rsid w:val="00726E9E"/>
    <w:rsid w:val="0072754F"/>
    <w:rsid w:val="00727D9C"/>
    <w:rsid w:val="007301AD"/>
    <w:rsid w:val="007307AD"/>
    <w:rsid w:val="007311B1"/>
    <w:rsid w:val="00732BCC"/>
    <w:rsid w:val="00733631"/>
    <w:rsid w:val="007340AC"/>
    <w:rsid w:val="00734134"/>
    <w:rsid w:val="0073439F"/>
    <w:rsid w:val="00734613"/>
    <w:rsid w:val="00734BF6"/>
    <w:rsid w:val="00735017"/>
    <w:rsid w:val="00735A2D"/>
    <w:rsid w:val="00736030"/>
    <w:rsid w:val="007364E1"/>
    <w:rsid w:val="007372E4"/>
    <w:rsid w:val="007407C1"/>
    <w:rsid w:val="00742C11"/>
    <w:rsid w:val="0074341B"/>
    <w:rsid w:val="00743426"/>
    <w:rsid w:val="0074452B"/>
    <w:rsid w:val="007448C4"/>
    <w:rsid w:val="00745974"/>
    <w:rsid w:val="00745A63"/>
    <w:rsid w:val="00745F67"/>
    <w:rsid w:val="007464B9"/>
    <w:rsid w:val="0074700D"/>
    <w:rsid w:val="0074741D"/>
    <w:rsid w:val="007474C5"/>
    <w:rsid w:val="007504B9"/>
    <w:rsid w:val="00751464"/>
    <w:rsid w:val="0075162B"/>
    <w:rsid w:val="00751B39"/>
    <w:rsid w:val="00751E2F"/>
    <w:rsid w:val="00752FED"/>
    <w:rsid w:val="0075389D"/>
    <w:rsid w:val="00753C2F"/>
    <w:rsid w:val="00755AA8"/>
    <w:rsid w:val="00755C7F"/>
    <w:rsid w:val="00755F1C"/>
    <w:rsid w:val="007568FE"/>
    <w:rsid w:val="00756CC4"/>
    <w:rsid w:val="0076113B"/>
    <w:rsid w:val="007617D9"/>
    <w:rsid w:val="00761B6E"/>
    <w:rsid w:val="0076337C"/>
    <w:rsid w:val="00763744"/>
    <w:rsid w:val="007645A8"/>
    <w:rsid w:val="00765BF5"/>
    <w:rsid w:val="007664A2"/>
    <w:rsid w:val="00766521"/>
    <w:rsid w:val="00767678"/>
    <w:rsid w:val="007678A6"/>
    <w:rsid w:val="007678D8"/>
    <w:rsid w:val="0077102C"/>
    <w:rsid w:val="00771CD1"/>
    <w:rsid w:val="00771EAD"/>
    <w:rsid w:val="007725AD"/>
    <w:rsid w:val="007751F3"/>
    <w:rsid w:val="00775487"/>
    <w:rsid w:val="007762C6"/>
    <w:rsid w:val="0077767B"/>
    <w:rsid w:val="00777D3D"/>
    <w:rsid w:val="007800A6"/>
    <w:rsid w:val="00780BA1"/>
    <w:rsid w:val="00780F86"/>
    <w:rsid w:val="0078357C"/>
    <w:rsid w:val="00783AFE"/>
    <w:rsid w:val="00783EA5"/>
    <w:rsid w:val="0078484C"/>
    <w:rsid w:val="00784BD5"/>
    <w:rsid w:val="00787E50"/>
    <w:rsid w:val="00787F31"/>
    <w:rsid w:val="00790614"/>
    <w:rsid w:val="0079322E"/>
    <w:rsid w:val="00795AA3"/>
    <w:rsid w:val="007979E8"/>
    <w:rsid w:val="007A2649"/>
    <w:rsid w:val="007A3468"/>
    <w:rsid w:val="007A4389"/>
    <w:rsid w:val="007A438B"/>
    <w:rsid w:val="007A4661"/>
    <w:rsid w:val="007A5672"/>
    <w:rsid w:val="007A77EB"/>
    <w:rsid w:val="007B0882"/>
    <w:rsid w:val="007B1378"/>
    <w:rsid w:val="007B2402"/>
    <w:rsid w:val="007B276E"/>
    <w:rsid w:val="007B38A7"/>
    <w:rsid w:val="007B39E0"/>
    <w:rsid w:val="007B3DD0"/>
    <w:rsid w:val="007B4E70"/>
    <w:rsid w:val="007B516B"/>
    <w:rsid w:val="007B5C25"/>
    <w:rsid w:val="007B6548"/>
    <w:rsid w:val="007B7662"/>
    <w:rsid w:val="007B78F4"/>
    <w:rsid w:val="007B7FA2"/>
    <w:rsid w:val="007C08F7"/>
    <w:rsid w:val="007C1488"/>
    <w:rsid w:val="007C1675"/>
    <w:rsid w:val="007C25AE"/>
    <w:rsid w:val="007C2867"/>
    <w:rsid w:val="007C33A9"/>
    <w:rsid w:val="007C4023"/>
    <w:rsid w:val="007C42A3"/>
    <w:rsid w:val="007C4A04"/>
    <w:rsid w:val="007C4DE8"/>
    <w:rsid w:val="007C5E3D"/>
    <w:rsid w:val="007C6684"/>
    <w:rsid w:val="007C69B9"/>
    <w:rsid w:val="007C6A81"/>
    <w:rsid w:val="007C7F4B"/>
    <w:rsid w:val="007D03EE"/>
    <w:rsid w:val="007D0AD7"/>
    <w:rsid w:val="007D1D1E"/>
    <w:rsid w:val="007D3B10"/>
    <w:rsid w:val="007D3F14"/>
    <w:rsid w:val="007D462D"/>
    <w:rsid w:val="007D46FC"/>
    <w:rsid w:val="007D4903"/>
    <w:rsid w:val="007D5537"/>
    <w:rsid w:val="007D5963"/>
    <w:rsid w:val="007D5C66"/>
    <w:rsid w:val="007D5FE7"/>
    <w:rsid w:val="007D6B57"/>
    <w:rsid w:val="007D7772"/>
    <w:rsid w:val="007E01BC"/>
    <w:rsid w:val="007E05CA"/>
    <w:rsid w:val="007E0BDA"/>
    <w:rsid w:val="007E25AD"/>
    <w:rsid w:val="007E25EB"/>
    <w:rsid w:val="007E312D"/>
    <w:rsid w:val="007E3AF4"/>
    <w:rsid w:val="007E4880"/>
    <w:rsid w:val="007E4BEA"/>
    <w:rsid w:val="007E4EFC"/>
    <w:rsid w:val="007E5594"/>
    <w:rsid w:val="007E5BA9"/>
    <w:rsid w:val="007E637C"/>
    <w:rsid w:val="007E6918"/>
    <w:rsid w:val="007E6A18"/>
    <w:rsid w:val="007E6D5F"/>
    <w:rsid w:val="007E72DE"/>
    <w:rsid w:val="007E75D7"/>
    <w:rsid w:val="007F09F4"/>
    <w:rsid w:val="007F1364"/>
    <w:rsid w:val="007F29F6"/>
    <w:rsid w:val="007F3BAA"/>
    <w:rsid w:val="007F47C9"/>
    <w:rsid w:val="007F4A04"/>
    <w:rsid w:val="007F5BDF"/>
    <w:rsid w:val="007F6475"/>
    <w:rsid w:val="007F647C"/>
    <w:rsid w:val="007F693F"/>
    <w:rsid w:val="0080041B"/>
    <w:rsid w:val="00800A0B"/>
    <w:rsid w:val="00800B89"/>
    <w:rsid w:val="00802101"/>
    <w:rsid w:val="008025AC"/>
    <w:rsid w:val="00802BD8"/>
    <w:rsid w:val="00802F81"/>
    <w:rsid w:val="00803772"/>
    <w:rsid w:val="00803FAC"/>
    <w:rsid w:val="00804E3D"/>
    <w:rsid w:val="00804F0A"/>
    <w:rsid w:val="00804F0F"/>
    <w:rsid w:val="00805079"/>
    <w:rsid w:val="008062BE"/>
    <w:rsid w:val="0080689A"/>
    <w:rsid w:val="00806F39"/>
    <w:rsid w:val="00807661"/>
    <w:rsid w:val="00807C6E"/>
    <w:rsid w:val="00810F42"/>
    <w:rsid w:val="00810FD1"/>
    <w:rsid w:val="00811581"/>
    <w:rsid w:val="008126B7"/>
    <w:rsid w:val="00812759"/>
    <w:rsid w:val="00813446"/>
    <w:rsid w:val="008138A9"/>
    <w:rsid w:val="008141D7"/>
    <w:rsid w:val="00814574"/>
    <w:rsid w:val="0081496C"/>
    <w:rsid w:val="00815C91"/>
    <w:rsid w:val="00816211"/>
    <w:rsid w:val="0081640D"/>
    <w:rsid w:val="00820B23"/>
    <w:rsid w:val="008228B8"/>
    <w:rsid w:val="00824887"/>
    <w:rsid w:val="00825299"/>
    <w:rsid w:val="00826219"/>
    <w:rsid w:val="00827233"/>
    <w:rsid w:val="0082768B"/>
    <w:rsid w:val="0083084D"/>
    <w:rsid w:val="008310E9"/>
    <w:rsid w:val="0083222F"/>
    <w:rsid w:val="00832B43"/>
    <w:rsid w:val="008334C2"/>
    <w:rsid w:val="00834C65"/>
    <w:rsid w:val="0083541D"/>
    <w:rsid w:val="00835F09"/>
    <w:rsid w:val="0083634B"/>
    <w:rsid w:val="00840116"/>
    <w:rsid w:val="00840D3F"/>
    <w:rsid w:val="00844186"/>
    <w:rsid w:val="00844ECF"/>
    <w:rsid w:val="00845A92"/>
    <w:rsid w:val="00846541"/>
    <w:rsid w:val="00846DE6"/>
    <w:rsid w:val="00847523"/>
    <w:rsid w:val="00847652"/>
    <w:rsid w:val="0085005E"/>
    <w:rsid w:val="00850D45"/>
    <w:rsid w:val="00851384"/>
    <w:rsid w:val="0085217C"/>
    <w:rsid w:val="00852352"/>
    <w:rsid w:val="008523C2"/>
    <w:rsid w:val="0085269A"/>
    <w:rsid w:val="00852BA0"/>
    <w:rsid w:val="008536AD"/>
    <w:rsid w:val="008539A7"/>
    <w:rsid w:val="00854B44"/>
    <w:rsid w:val="00855077"/>
    <w:rsid w:val="00856069"/>
    <w:rsid w:val="00857B0A"/>
    <w:rsid w:val="00857B3D"/>
    <w:rsid w:val="008603AC"/>
    <w:rsid w:val="00862276"/>
    <w:rsid w:val="008623F8"/>
    <w:rsid w:val="00862BEF"/>
    <w:rsid w:val="00863576"/>
    <w:rsid w:val="00863FC5"/>
    <w:rsid w:val="00863FF7"/>
    <w:rsid w:val="00864E69"/>
    <w:rsid w:val="00865165"/>
    <w:rsid w:val="0086637F"/>
    <w:rsid w:val="0086662D"/>
    <w:rsid w:val="008667AA"/>
    <w:rsid w:val="008667C0"/>
    <w:rsid w:val="008669C1"/>
    <w:rsid w:val="00866B10"/>
    <w:rsid w:val="00866B98"/>
    <w:rsid w:val="0086787C"/>
    <w:rsid w:val="00867A76"/>
    <w:rsid w:val="00867DFC"/>
    <w:rsid w:val="008726A6"/>
    <w:rsid w:val="00872CFA"/>
    <w:rsid w:val="0087302C"/>
    <w:rsid w:val="0087367C"/>
    <w:rsid w:val="00874271"/>
    <w:rsid w:val="008742E2"/>
    <w:rsid w:val="0087527D"/>
    <w:rsid w:val="00875885"/>
    <w:rsid w:val="008759C7"/>
    <w:rsid w:val="00876BC7"/>
    <w:rsid w:val="008775A6"/>
    <w:rsid w:val="008776DA"/>
    <w:rsid w:val="00877A72"/>
    <w:rsid w:val="00877BBA"/>
    <w:rsid w:val="00877C31"/>
    <w:rsid w:val="00880D9A"/>
    <w:rsid w:val="008814CC"/>
    <w:rsid w:val="008849EF"/>
    <w:rsid w:val="00885A90"/>
    <w:rsid w:val="00885D68"/>
    <w:rsid w:val="00886773"/>
    <w:rsid w:val="00887103"/>
    <w:rsid w:val="00887597"/>
    <w:rsid w:val="00887959"/>
    <w:rsid w:val="0089090A"/>
    <w:rsid w:val="00891A92"/>
    <w:rsid w:val="00891DCE"/>
    <w:rsid w:val="008923B8"/>
    <w:rsid w:val="0089337C"/>
    <w:rsid w:val="00893528"/>
    <w:rsid w:val="008945F4"/>
    <w:rsid w:val="00895235"/>
    <w:rsid w:val="008966BC"/>
    <w:rsid w:val="008969AF"/>
    <w:rsid w:val="00896ADA"/>
    <w:rsid w:val="008A1575"/>
    <w:rsid w:val="008A175C"/>
    <w:rsid w:val="008A1920"/>
    <w:rsid w:val="008A1A4E"/>
    <w:rsid w:val="008A259A"/>
    <w:rsid w:val="008A3AF4"/>
    <w:rsid w:val="008A3F11"/>
    <w:rsid w:val="008A4131"/>
    <w:rsid w:val="008A4280"/>
    <w:rsid w:val="008A4ACD"/>
    <w:rsid w:val="008A4F3E"/>
    <w:rsid w:val="008A5BC6"/>
    <w:rsid w:val="008A7B33"/>
    <w:rsid w:val="008A7D7F"/>
    <w:rsid w:val="008B048D"/>
    <w:rsid w:val="008B1A04"/>
    <w:rsid w:val="008B3D24"/>
    <w:rsid w:val="008B4E45"/>
    <w:rsid w:val="008B5372"/>
    <w:rsid w:val="008B5BAF"/>
    <w:rsid w:val="008B6477"/>
    <w:rsid w:val="008B6E35"/>
    <w:rsid w:val="008B7F46"/>
    <w:rsid w:val="008C06BD"/>
    <w:rsid w:val="008C0C48"/>
    <w:rsid w:val="008C111A"/>
    <w:rsid w:val="008C11AE"/>
    <w:rsid w:val="008C1ECD"/>
    <w:rsid w:val="008C28E6"/>
    <w:rsid w:val="008C366B"/>
    <w:rsid w:val="008C3DCF"/>
    <w:rsid w:val="008C5B46"/>
    <w:rsid w:val="008C63D6"/>
    <w:rsid w:val="008C70A1"/>
    <w:rsid w:val="008D0705"/>
    <w:rsid w:val="008D0CE5"/>
    <w:rsid w:val="008D143A"/>
    <w:rsid w:val="008D230C"/>
    <w:rsid w:val="008D2DF1"/>
    <w:rsid w:val="008D32CB"/>
    <w:rsid w:val="008D4094"/>
    <w:rsid w:val="008D46D2"/>
    <w:rsid w:val="008D4B4F"/>
    <w:rsid w:val="008D7072"/>
    <w:rsid w:val="008D7304"/>
    <w:rsid w:val="008D7753"/>
    <w:rsid w:val="008D7F41"/>
    <w:rsid w:val="008E05B0"/>
    <w:rsid w:val="008E0C3D"/>
    <w:rsid w:val="008E0D8D"/>
    <w:rsid w:val="008E2295"/>
    <w:rsid w:val="008E24E4"/>
    <w:rsid w:val="008E2D1D"/>
    <w:rsid w:val="008E33D2"/>
    <w:rsid w:val="008E463A"/>
    <w:rsid w:val="008E4BF0"/>
    <w:rsid w:val="008E6109"/>
    <w:rsid w:val="008E667F"/>
    <w:rsid w:val="008E6D4B"/>
    <w:rsid w:val="008F0E80"/>
    <w:rsid w:val="008F1343"/>
    <w:rsid w:val="008F151F"/>
    <w:rsid w:val="008F1AA4"/>
    <w:rsid w:val="008F1C17"/>
    <w:rsid w:val="008F2C43"/>
    <w:rsid w:val="008F2D02"/>
    <w:rsid w:val="008F2F34"/>
    <w:rsid w:val="008F2FD6"/>
    <w:rsid w:val="008F31DC"/>
    <w:rsid w:val="008F435A"/>
    <w:rsid w:val="008F5353"/>
    <w:rsid w:val="008F6291"/>
    <w:rsid w:val="008F62C9"/>
    <w:rsid w:val="008F63B2"/>
    <w:rsid w:val="008F6CDF"/>
    <w:rsid w:val="008F6D39"/>
    <w:rsid w:val="008F7BF9"/>
    <w:rsid w:val="009006D0"/>
    <w:rsid w:val="0090084D"/>
    <w:rsid w:val="00900CDB"/>
    <w:rsid w:val="00900FCB"/>
    <w:rsid w:val="009023F1"/>
    <w:rsid w:val="00902719"/>
    <w:rsid w:val="00902DDB"/>
    <w:rsid w:val="009035A4"/>
    <w:rsid w:val="009044DD"/>
    <w:rsid w:val="00906159"/>
    <w:rsid w:val="0090769B"/>
    <w:rsid w:val="00907B98"/>
    <w:rsid w:val="00907C6B"/>
    <w:rsid w:val="00910195"/>
    <w:rsid w:val="009104C7"/>
    <w:rsid w:val="009106A5"/>
    <w:rsid w:val="0091302A"/>
    <w:rsid w:val="00913134"/>
    <w:rsid w:val="00913879"/>
    <w:rsid w:val="009140A9"/>
    <w:rsid w:val="009158EE"/>
    <w:rsid w:val="009164A3"/>
    <w:rsid w:val="00916646"/>
    <w:rsid w:val="0091664F"/>
    <w:rsid w:val="009167DC"/>
    <w:rsid w:val="0092008F"/>
    <w:rsid w:val="009217A2"/>
    <w:rsid w:val="009226DE"/>
    <w:rsid w:val="009233BF"/>
    <w:rsid w:val="009234A3"/>
    <w:rsid w:val="00923626"/>
    <w:rsid w:val="0092403D"/>
    <w:rsid w:val="009241D2"/>
    <w:rsid w:val="00924EBE"/>
    <w:rsid w:val="00925E64"/>
    <w:rsid w:val="009269C3"/>
    <w:rsid w:val="009276A6"/>
    <w:rsid w:val="00927A13"/>
    <w:rsid w:val="00931A53"/>
    <w:rsid w:val="00931B8F"/>
    <w:rsid w:val="009333AF"/>
    <w:rsid w:val="00933E07"/>
    <w:rsid w:val="00934204"/>
    <w:rsid w:val="009344AD"/>
    <w:rsid w:val="00934DDC"/>
    <w:rsid w:val="00935551"/>
    <w:rsid w:val="00936B1C"/>
    <w:rsid w:val="00936D98"/>
    <w:rsid w:val="00936F78"/>
    <w:rsid w:val="0093739E"/>
    <w:rsid w:val="00937DDC"/>
    <w:rsid w:val="00940A41"/>
    <w:rsid w:val="00940CEE"/>
    <w:rsid w:val="00941B7D"/>
    <w:rsid w:val="00941C8F"/>
    <w:rsid w:val="0094380E"/>
    <w:rsid w:val="009444D6"/>
    <w:rsid w:val="0094454B"/>
    <w:rsid w:val="00944B45"/>
    <w:rsid w:val="0094509E"/>
    <w:rsid w:val="009459BB"/>
    <w:rsid w:val="009464A1"/>
    <w:rsid w:val="00950233"/>
    <w:rsid w:val="009502F8"/>
    <w:rsid w:val="00950743"/>
    <w:rsid w:val="00953157"/>
    <w:rsid w:val="00953EE8"/>
    <w:rsid w:val="00954441"/>
    <w:rsid w:val="00954FF7"/>
    <w:rsid w:val="009550E9"/>
    <w:rsid w:val="009559AB"/>
    <w:rsid w:val="0095647F"/>
    <w:rsid w:val="0095677C"/>
    <w:rsid w:val="00956A94"/>
    <w:rsid w:val="00956F29"/>
    <w:rsid w:val="009572FF"/>
    <w:rsid w:val="009604D1"/>
    <w:rsid w:val="009604E3"/>
    <w:rsid w:val="00960550"/>
    <w:rsid w:val="00961197"/>
    <w:rsid w:val="0096179E"/>
    <w:rsid w:val="0096243C"/>
    <w:rsid w:val="00962A97"/>
    <w:rsid w:val="00962D26"/>
    <w:rsid w:val="009630EE"/>
    <w:rsid w:val="00963125"/>
    <w:rsid w:val="009637BF"/>
    <w:rsid w:val="009640EF"/>
    <w:rsid w:val="00967E39"/>
    <w:rsid w:val="0097190B"/>
    <w:rsid w:val="00971ABA"/>
    <w:rsid w:val="00971E05"/>
    <w:rsid w:val="00972103"/>
    <w:rsid w:val="00973A8C"/>
    <w:rsid w:val="009743BF"/>
    <w:rsid w:val="009749D5"/>
    <w:rsid w:val="00975937"/>
    <w:rsid w:val="00975A61"/>
    <w:rsid w:val="0097656D"/>
    <w:rsid w:val="009777FF"/>
    <w:rsid w:val="00977EAE"/>
    <w:rsid w:val="00980201"/>
    <w:rsid w:val="00981A96"/>
    <w:rsid w:val="0098315B"/>
    <w:rsid w:val="00983602"/>
    <w:rsid w:val="00983924"/>
    <w:rsid w:val="00983FC4"/>
    <w:rsid w:val="00984B96"/>
    <w:rsid w:val="00985175"/>
    <w:rsid w:val="00985EAF"/>
    <w:rsid w:val="00987176"/>
    <w:rsid w:val="00987544"/>
    <w:rsid w:val="0098755F"/>
    <w:rsid w:val="0099088E"/>
    <w:rsid w:val="00990C0A"/>
    <w:rsid w:val="009931D8"/>
    <w:rsid w:val="00993215"/>
    <w:rsid w:val="00993807"/>
    <w:rsid w:val="00993A28"/>
    <w:rsid w:val="0099434E"/>
    <w:rsid w:val="009950CF"/>
    <w:rsid w:val="00997A27"/>
    <w:rsid w:val="009A0F10"/>
    <w:rsid w:val="009A28D0"/>
    <w:rsid w:val="009A39B5"/>
    <w:rsid w:val="009A3EAE"/>
    <w:rsid w:val="009A418E"/>
    <w:rsid w:val="009A41E8"/>
    <w:rsid w:val="009A4801"/>
    <w:rsid w:val="009A498B"/>
    <w:rsid w:val="009A4BF3"/>
    <w:rsid w:val="009A50E4"/>
    <w:rsid w:val="009A523A"/>
    <w:rsid w:val="009A536A"/>
    <w:rsid w:val="009A5801"/>
    <w:rsid w:val="009A63F5"/>
    <w:rsid w:val="009A6543"/>
    <w:rsid w:val="009A6FCF"/>
    <w:rsid w:val="009A7778"/>
    <w:rsid w:val="009B2F77"/>
    <w:rsid w:val="009B3602"/>
    <w:rsid w:val="009B3BAA"/>
    <w:rsid w:val="009B5B49"/>
    <w:rsid w:val="009B6929"/>
    <w:rsid w:val="009B6ABE"/>
    <w:rsid w:val="009B6C92"/>
    <w:rsid w:val="009B6F24"/>
    <w:rsid w:val="009B712C"/>
    <w:rsid w:val="009B7F98"/>
    <w:rsid w:val="009C0FEB"/>
    <w:rsid w:val="009C1FEB"/>
    <w:rsid w:val="009C25D6"/>
    <w:rsid w:val="009C3F89"/>
    <w:rsid w:val="009C4BC7"/>
    <w:rsid w:val="009C5953"/>
    <w:rsid w:val="009C6439"/>
    <w:rsid w:val="009C6AF8"/>
    <w:rsid w:val="009D038D"/>
    <w:rsid w:val="009D0C54"/>
    <w:rsid w:val="009D0D05"/>
    <w:rsid w:val="009D132C"/>
    <w:rsid w:val="009D1745"/>
    <w:rsid w:val="009D1974"/>
    <w:rsid w:val="009D29B9"/>
    <w:rsid w:val="009D2B9C"/>
    <w:rsid w:val="009D2EFB"/>
    <w:rsid w:val="009D42CF"/>
    <w:rsid w:val="009D48F9"/>
    <w:rsid w:val="009D4986"/>
    <w:rsid w:val="009D5B3F"/>
    <w:rsid w:val="009E037F"/>
    <w:rsid w:val="009E0718"/>
    <w:rsid w:val="009E1007"/>
    <w:rsid w:val="009E11DA"/>
    <w:rsid w:val="009E12CD"/>
    <w:rsid w:val="009E18AD"/>
    <w:rsid w:val="009E1EBE"/>
    <w:rsid w:val="009E2156"/>
    <w:rsid w:val="009E25CE"/>
    <w:rsid w:val="009E2DFB"/>
    <w:rsid w:val="009E3139"/>
    <w:rsid w:val="009E31AF"/>
    <w:rsid w:val="009E4120"/>
    <w:rsid w:val="009E41DB"/>
    <w:rsid w:val="009E4425"/>
    <w:rsid w:val="009E488E"/>
    <w:rsid w:val="009E48B7"/>
    <w:rsid w:val="009E49E3"/>
    <w:rsid w:val="009E5914"/>
    <w:rsid w:val="009E5AAA"/>
    <w:rsid w:val="009E5CA4"/>
    <w:rsid w:val="009E5DA0"/>
    <w:rsid w:val="009E6377"/>
    <w:rsid w:val="009E6E7E"/>
    <w:rsid w:val="009E7A74"/>
    <w:rsid w:val="009F0D9B"/>
    <w:rsid w:val="009F2196"/>
    <w:rsid w:val="009F2CA0"/>
    <w:rsid w:val="009F33DE"/>
    <w:rsid w:val="009F366F"/>
    <w:rsid w:val="009F4647"/>
    <w:rsid w:val="009F4693"/>
    <w:rsid w:val="009F64B8"/>
    <w:rsid w:val="009F64F9"/>
    <w:rsid w:val="009F6C1F"/>
    <w:rsid w:val="009F6E24"/>
    <w:rsid w:val="009F71C4"/>
    <w:rsid w:val="009F7401"/>
    <w:rsid w:val="009F76FF"/>
    <w:rsid w:val="009F79E6"/>
    <w:rsid w:val="00A000DE"/>
    <w:rsid w:val="00A01109"/>
    <w:rsid w:val="00A021F9"/>
    <w:rsid w:val="00A032BE"/>
    <w:rsid w:val="00A03334"/>
    <w:rsid w:val="00A03FB6"/>
    <w:rsid w:val="00A05680"/>
    <w:rsid w:val="00A0793B"/>
    <w:rsid w:val="00A11891"/>
    <w:rsid w:val="00A119D5"/>
    <w:rsid w:val="00A11B1D"/>
    <w:rsid w:val="00A12A21"/>
    <w:rsid w:val="00A12AF1"/>
    <w:rsid w:val="00A13F42"/>
    <w:rsid w:val="00A14EFB"/>
    <w:rsid w:val="00A1528B"/>
    <w:rsid w:val="00A16520"/>
    <w:rsid w:val="00A17999"/>
    <w:rsid w:val="00A17AA6"/>
    <w:rsid w:val="00A17BA4"/>
    <w:rsid w:val="00A17C84"/>
    <w:rsid w:val="00A2190B"/>
    <w:rsid w:val="00A219D8"/>
    <w:rsid w:val="00A22DD2"/>
    <w:rsid w:val="00A22F99"/>
    <w:rsid w:val="00A2373F"/>
    <w:rsid w:val="00A24B31"/>
    <w:rsid w:val="00A25E39"/>
    <w:rsid w:val="00A26D12"/>
    <w:rsid w:val="00A27640"/>
    <w:rsid w:val="00A27C84"/>
    <w:rsid w:val="00A30001"/>
    <w:rsid w:val="00A309DB"/>
    <w:rsid w:val="00A31568"/>
    <w:rsid w:val="00A3199B"/>
    <w:rsid w:val="00A32E55"/>
    <w:rsid w:val="00A32F48"/>
    <w:rsid w:val="00A33464"/>
    <w:rsid w:val="00A3353B"/>
    <w:rsid w:val="00A33618"/>
    <w:rsid w:val="00A33B93"/>
    <w:rsid w:val="00A360C3"/>
    <w:rsid w:val="00A365DA"/>
    <w:rsid w:val="00A3663C"/>
    <w:rsid w:val="00A36A9D"/>
    <w:rsid w:val="00A36CA5"/>
    <w:rsid w:val="00A37309"/>
    <w:rsid w:val="00A37FCB"/>
    <w:rsid w:val="00A40060"/>
    <w:rsid w:val="00A40285"/>
    <w:rsid w:val="00A40E72"/>
    <w:rsid w:val="00A40FC6"/>
    <w:rsid w:val="00A41BBA"/>
    <w:rsid w:val="00A41C17"/>
    <w:rsid w:val="00A4212D"/>
    <w:rsid w:val="00A429F9"/>
    <w:rsid w:val="00A43442"/>
    <w:rsid w:val="00A43BF1"/>
    <w:rsid w:val="00A44689"/>
    <w:rsid w:val="00A44A41"/>
    <w:rsid w:val="00A456A8"/>
    <w:rsid w:val="00A4599A"/>
    <w:rsid w:val="00A45F71"/>
    <w:rsid w:val="00A46722"/>
    <w:rsid w:val="00A46FF9"/>
    <w:rsid w:val="00A5003F"/>
    <w:rsid w:val="00A5054F"/>
    <w:rsid w:val="00A507F9"/>
    <w:rsid w:val="00A50E1E"/>
    <w:rsid w:val="00A510D2"/>
    <w:rsid w:val="00A51141"/>
    <w:rsid w:val="00A51C69"/>
    <w:rsid w:val="00A51EA3"/>
    <w:rsid w:val="00A52D4B"/>
    <w:rsid w:val="00A5349B"/>
    <w:rsid w:val="00A53DED"/>
    <w:rsid w:val="00A54D2B"/>
    <w:rsid w:val="00A553A7"/>
    <w:rsid w:val="00A556E5"/>
    <w:rsid w:val="00A56B3D"/>
    <w:rsid w:val="00A600C3"/>
    <w:rsid w:val="00A60B37"/>
    <w:rsid w:val="00A61F9A"/>
    <w:rsid w:val="00A624D3"/>
    <w:rsid w:val="00A62C08"/>
    <w:rsid w:val="00A6347E"/>
    <w:rsid w:val="00A63B4C"/>
    <w:rsid w:val="00A63DF6"/>
    <w:rsid w:val="00A63E37"/>
    <w:rsid w:val="00A64AE7"/>
    <w:rsid w:val="00A651D4"/>
    <w:rsid w:val="00A65D6C"/>
    <w:rsid w:val="00A65FE6"/>
    <w:rsid w:val="00A66AF2"/>
    <w:rsid w:val="00A66D92"/>
    <w:rsid w:val="00A67352"/>
    <w:rsid w:val="00A6767D"/>
    <w:rsid w:val="00A67A1E"/>
    <w:rsid w:val="00A71C97"/>
    <w:rsid w:val="00A7291A"/>
    <w:rsid w:val="00A72EEA"/>
    <w:rsid w:val="00A73AAD"/>
    <w:rsid w:val="00A76468"/>
    <w:rsid w:val="00A80335"/>
    <w:rsid w:val="00A80373"/>
    <w:rsid w:val="00A82E1A"/>
    <w:rsid w:val="00A83B49"/>
    <w:rsid w:val="00A83BAF"/>
    <w:rsid w:val="00A83F0C"/>
    <w:rsid w:val="00A868DE"/>
    <w:rsid w:val="00A86E31"/>
    <w:rsid w:val="00A87808"/>
    <w:rsid w:val="00A90385"/>
    <w:rsid w:val="00A908D0"/>
    <w:rsid w:val="00A91406"/>
    <w:rsid w:val="00A918A4"/>
    <w:rsid w:val="00A92223"/>
    <w:rsid w:val="00A92F45"/>
    <w:rsid w:val="00A939EF"/>
    <w:rsid w:val="00A941BD"/>
    <w:rsid w:val="00A95AF7"/>
    <w:rsid w:val="00A9683D"/>
    <w:rsid w:val="00A96EE8"/>
    <w:rsid w:val="00A97A97"/>
    <w:rsid w:val="00AA1EF9"/>
    <w:rsid w:val="00AA34D3"/>
    <w:rsid w:val="00AA459C"/>
    <w:rsid w:val="00AA464B"/>
    <w:rsid w:val="00AA5D42"/>
    <w:rsid w:val="00AA5F1E"/>
    <w:rsid w:val="00AA6973"/>
    <w:rsid w:val="00AA6B04"/>
    <w:rsid w:val="00AA6B7F"/>
    <w:rsid w:val="00AB1140"/>
    <w:rsid w:val="00AB2819"/>
    <w:rsid w:val="00AB2B43"/>
    <w:rsid w:val="00AB367D"/>
    <w:rsid w:val="00AB3700"/>
    <w:rsid w:val="00AB4540"/>
    <w:rsid w:val="00AB4719"/>
    <w:rsid w:val="00AB4B6A"/>
    <w:rsid w:val="00AB52F4"/>
    <w:rsid w:val="00AB6AD0"/>
    <w:rsid w:val="00AB7A1E"/>
    <w:rsid w:val="00AC050E"/>
    <w:rsid w:val="00AC0C74"/>
    <w:rsid w:val="00AC0FAE"/>
    <w:rsid w:val="00AC1820"/>
    <w:rsid w:val="00AC194B"/>
    <w:rsid w:val="00AC1AA4"/>
    <w:rsid w:val="00AC21DD"/>
    <w:rsid w:val="00AC2EC1"/>
    <w:rsid w:val="00AC3D25"/>
    <w:rsid w:val="00AC40A3"/>
    <w:rsid w:val="00AC65AD"/>
    <w:rsid w:val="00AC6D83"/>
    <w:rsid w:val="00AC788C"/>
    <w:rsid w:val="00AC7FFB"/>
    <w:rsid w:val="00AD0135"/>
    <w:rsid w:val="00AD14FC"/>
    <w:rsid w:val="00AD1D64"/>
    <w:rsid w:val="00AD2601"/>
    <w:rsid w:val="00AD27B7"/>
    <w:rsid w:val="00AD332A"/>
    <w:rsid w:val="00AD4374"/>
    <w:rsid w:val="00AD4502"/>
    <w:rsid w:val="00AD4873"/>
    <w:rsid w:val="00AD5241"/>
    <w:rsid w:val="00AD6969"/>
    <w:rsid w:val="00AD6A00"/>
    <w:rsid w:val="00AD7963"/>
    <w:rsid w:val="00AD79D7"/>
    <w:rsid w:val="00AD7CC0"/>
    <w:rsid w:val="00AE0CE7"/>
    <w:rsid w:val="00AE0E34"/>
    <w:rsid w:val="00AE19DB"/>
    <w:rsid w:val="00AE346E"/>
    <w:rsid w:val="00AE410D"/>
    <w:rsid w:val="00AE45F6"/>
    <w:rsid w:val="00AE4968"/>
    <w:rsid w:val="00AE5B71"/>
    <w:rsid w:val="00AE6695"/>
    <w:rsid w:val="00AE7650"/>
    <w:rsid w:val="00AF085F"/>
    <w:rsid w:val="00AF098D"/>
    <w:rsid w:val="00AF1FDC"/>
    <w:rsid w:val="00AF2A76"/>
    <w:rsid w:val="00AF44FD"/>
    <w:rsid w:val="00AF4B41"/>
    <w:rsid w:val="00AF52A3"/>
    <w:rsid w:val="00AF6300"/>
    <w:rsid w:val="00AF6993"/>
    <w:rsid w:val="00AF6A60"/>
    <w:rsid w:val="00AF7386"/>
    <w:rsid w:val="00AF73F6"/>
    <w:rsid w:val="00AF7786"/>
    <w:rsid w:val="00B006B2"/>
    <w:rsid w:val="00B00CF7"/>
    <w:rsid w:val="00B02B42"/>
    <w:rsid w:val="00B041CF"/>
    <w:rsid w:val="00B04C0F"/>
    <w:rsid w:val="00B04FB1"/>
    <w:rsid w:val="00B05544"/>
    <w:rsid w:val="00B05C7C"/>
    <w:rsid w:val="00B05CC4"/>
    <w:rsid w:val="00B0687F"/>
    <w:rsid w:val="00B0724D"/>
    <w:rsid w:val="00B07ADD"/>
    <w:rsid w:val="00B10489"/>
    <w:rsid w:val="00B1127D"/>
    <w:rsid w:val="00B1130E"/>
    <w:rsid w:val="00B113EF"/>
    <w:rsid w:val="00B11706"/>
    <w:rsid w:val="00B11BB2"/>
    <w:rsid w:val="00B126ED"/>
    <w:rsid w:val="00B12792"/>
    <w:rsid w:val="00B12B40"/>
    <w:rsid w:val="00B13AC9"/>
    <w:rsid w:val="00B153C4"/>
    <w:rsid w:val="00B1568A"/>
    <w:rsid w:val="00B15789"/>
    <w:rsid w:val="00B161AB"/>
    <w:rsid w:val="00B163B9"/>
    <w:rsid w:val="00B16BB7"/>
    <w:rsid w:val="00B2003B"/>
    <w:rsid w:val="00B20A29"/>
    <w:rsid w:val="00B2156F"/>
    <w:rsid w:val="00B2192D"/>
    <w:rsid w:val="00B2196D"/>
    <w:rsid w:val="00B21EA8"/>
    <w:rsid w:val="00B223A3"/>
    <w:rsid w:val="00B257B5"/>
    <w:rsid w:val="00B268BF"/>
    <w:rsid w:val="00B26CA2"/>
    <w:rsid w:val="00B27EE6"/>
    <w:rsid w:val="00B3119D"/>
    <w:rsid w:val="00B311E5"/>
    <w:rsid w:val="00B31697"/>
    <w:rsid w:val="00B31ABA"/>
    <w:rsid w:val="00B32435"/>
    <w:rsid w:val="00B33D58"/>
    <w:rsid w:val="00B3419C"/>
    <w:rsid w:val="00B34B94"/>
    <w:rsid w:val="00B362BA"/>
    <w:rsid w:val="00B36F4E"/>
    <w:rsid w:val="00B401BC"/>
    <w:rsid w:val="00B4030F"/>
    <w:rsid w:val="00B404CC"/>
    <w:rsid w:val="00B4063E"/>
    <w:rsid w:val="00B41669"/>
    <w:rsid w:val="00B41AB2"/>
    <w:rsid w:val="00B41D02"/>
    <w:rsid w:val="00B4232A"/>
    <w:rsid w:val="00B43442"/>
    <w:rsid w:val="00B43F99"/>
    <w:rsid w:val="00B442D5"/>
    <w:rsid w:val="00B44F6C"/>
    <w:rsid w:val="00B45484"/>
    <w:rsid w:val="00B4594E"/>
    <w:rsid w:val="00B45E71"/>
    <w:rsid w:val="00B463CA"/>
    <w:rsid w:val="00B47B9C"/>
    <w:rsid w:val="00B47F5D"/>
    <w:rsid w:val="00B5114D"/>
    <w:rsid w:val="00B516C7"/>
    <w:rsid w:val="00B51CF6"/>
    <w:rsid w:val="00B52C06"/>
    <w:rsid w:val="00B53492"/>
    <w:rsid w:val="00B541A0"/>
    <w:rsid w:val="00B56438"/>
    <w:rsid w:val="00B569D7"/>
    <w:rsid w:val="00B56A44"/>
    <w:rsid w:val="00B57704"/>
    <w:rsid w:val="00B61EBD"/>
    <w:rsid w:val="00B62479"/>
    <w:rsid w:val="00B6349B"/>
    <w:rsid w:val="00B649BA"/>
    <w:rsid w:val="00B64DF8"/>
    <w:rsid w:val="00B66332"/>
    <w:rsid w:val="00B67BAF"/>
    <w:rsid w:val="00B67F1E"/>
    <w:rsid w:val="00B70F5A"/>
    <w:rsid w:val="00B711CC"/>
    <w:rsid w:val="00B714E2"/>
    <w:rsid w:val="00B7190C"/>
    <w:rsid w:val="00B71B55"/>
    <w:rsid w:val="00B71EB6"/>
    <w:rsid w:val="00B7238E"/>
    <w:rsid w:val="00B72458"/>
    <w:rsid w:val="00B72471"/>
    <w:rsid w:val="00B736EA"/>
    <w:rsid w:val="00B73C17"/>
    <w:rsid w:val="00B742B2"/>
    <w:rsid w:val="00B74328"/>
    <w:rsid w:val="00B744F1"/>
    <w:rsid w:val="00B74BC5"/>
    <w:rsid w:val="00B751AE"/>
    <w:rsid w:val="00B75242"/>
    <w:rsid w:val="00B75F07"/>
    <w:rsid w:val="00B75F5D"/>
    <w:rsid w:val="00B76E14"/>
    <w:rsid w:val="00B776E6"/>
    <w:rsid w:val="00B779C4"/>
    <w:rsid w:val="00B77CAC"/>
    <w:rsid w:val="00B77D16"/>
    <w:rsid w:val="00B8088D"/>
    <w:rsid w:val="00B81B8A"/>
    <w:rsid w:val="00B81C2E"/>
    <w:rsid w:val="00B81E14"/>
    <w:rsid w:val="00B822A1"/>
    <w:rsid w:val="00B82745"/>
    <w:rsid w:val="00B82CCB"/>
    <w:rsid w:val="00B82E1D"/>
    <w:rsid w:val="00B848F9"/>
    <w:rsid w:val="00B854AD"/>
    <w:rsid w:val="00B854E5"/>
    <w:rsid w:val="00B85BEE"/>
    <w:rsid w:val="00B864C2"/>
    <w:rsid w:val="00B86BA3"/>
    <w:rsid w:val="00B86E3B"/>
    <w:rsid w:val="00B87451"/>
    <w:rsid w:val="00B8750D"/>
    <w:rsid w:val="00B909C2"/>
    <w:rsid w:val="00B90BF6"/>
    <w:rsid w:val="00B91C95"/>
    <w:rsid w:val="00B922FB"/>
    <w:rsid w:val="00B92BE5"/>
    <w:rsid w:val="00B94447"/>
    <w:rsid w:val="00B948AA"/>
    <w:rsid w:val="00B950EB"/>
    <w:rsid w:val="00B951ED"/>
    <w:rsid w:val="00B953F0"/>
    <w:rsid w:val="00B95948"/>
    <w:rsid w:val="00B959A5"/>
    <w:rsid w:val="00B95AEA"/>
    <w:rsid w:val="00B96122"/>
    <w:rsid w:val="00B96458"/>
    <w:rsid w:val="00B97571"/>
    <w:rsid w:val="00BA18E3"/>
    <w:rsid w:val="00BA28EF"/>
    <w:rsid w:val="00BA3BAD"/>
    <w:rsid w:val="00BA425B"/>
    <w:rsid w:val="00BA4A7B"/>
    <w:rsid w:val="00BA5480"/>
    <w:rsid w:val="00BA6358"/>
    <w:rsid w:val="00BA6CF3"/>
    <w:rsid w:val="00BA6D32"/>
    <w:rsid w:val="00BA6FE7"/>
    <w:rsid w:val="00BA7510"/>
    <w:rsid w:val="00BA79D9"/>
    <w:rsid w:val="00BA7CD1"/>
    <w:rsid w:val="00BB08D8"/>
    <w:rsid w:val="00BB0BAC"/>
    <w:rsid w:val="00BB0FD7"/>
    <w:rsid w:val="00BB1536"/>
    <w:rsid w:val="00BB2BDC"/>
    <w:rsid w:val="00BB3F40"/>
    <w:rsid w:val="00BB407A"/>
    <w:rsid w:val="00BB4A9E"/>
    <w:rsid w:val="00BB58AF"/>
    <w:rsid w:val="00BB600E"/>
    <w:rsid w:val="00BB6B6F"/>
    <w:rsid w:val="00BB6DE8"/>
    <w:rsid w:val="00BB76D7"/>
    <w:rsid w:val="00BB7CA6"/>
    <w:rsid w:val="00BC0C9C"/>
    <w:rsid w:val="00BC179C"/>
    <w:rsid w:val="00BC187D"/>
    <w:rsid w:val="00BC1A32"/>
    <w:rsid w:val="00BC2C52"/>
    <w:rsid w:val="00BC34E2"/>
    <w:rsid w:val="00BC3C18"/>
    <w:rsid w:val="00BC3C52"/>
    <w:rsid w:val="00BC5313"/>
    <w:rsid w:val="00BC57BD"/>
    <w:rsid w:val="00BC6377"/>
    <w:rsid w:val="00BD034A"/>
    <w:rsid w:val="00BD0C21"/>
    <w:rsid w:val="00BD1B86"/>
    <w:rsid w:val="00BD2379"/>
    <w:rsid w:val="00BD2969"/>
    <w:rsid w:val="00BD2EBC"/>
    <w:rsid w:val="00BD3305"/>
    <w:rsid w:val="00BD34BD"/>
    <w:rsid w:val="00BD45C6"/>
    <w:rsid w:val="00BD4835"/>
    <w:rsid w:val="00BD52DD"/>
    <w:rsid w:val="00BD55B0"/>
    <w:rsid w:val="00BD74AE"/>
    <w:rsid w:val="00BD759C"/>
    <w:rsid w:val="00BD75F1"/>
    <w:rsid w:val="00BD77B2"/>
    <w:rsid w:val="00BD7BA9"/>
    <w:rsid w:val="00BD7C09"/>
    <w:rsid w:val="00BE05AE"/>
    <w:rsid w:val="00BE220D"/>
    <w:rsid w:val="00BE25FE"/>
    <w:rsid w:val="00BE345F"/>
    <w:rsid w:val="00BE3DE9"/>
    <w:rsid w:val="00BE4CA5"/>
    <w:rsid w:val="00BE4FEB"/>
    <w:rsid w:val="00BE561B"/>
    <w:rsid w:val="00BE596D"/>
    <w:rsid w:val="00BE5D64"/>
    <w:rsid w:val="00BE5EBB"/>
    <w:rsid w:val="00BF0092"/>
    <w:rsid w:val="00BF17F8"/>
    <w:rsid w:val="00BF3645"/>
    <w:rsid w:val="00BF37F3"/>
    <w:rsid w:val="00BF4517"/>
    <w:rsid w:val="00BF4C93"/>
    <w:rsid w:val="00BF4F29"/>
    <w:rsid w:val="00BF60C1"/>
    <w:rsid w:val="00BF7B07"/>
    <w:rsid w:val="00C002ED"/>
    <w:rsid w:val="00C00DC6"/>
    <w:rsid w:val="00C010DE"/>
    <w:rsid w:val="00C014E8"/>
    <w:rsid w:val="00C0234F"/>
    <w:rsid w:val="00C02C4A"/>
    <w:rsid w:val="00C031A9"/>
    <w:rsid w:val="00C03581"/>
    <w:rsid w:val="00C03EC5"/>
    <w:rsid w:val="00C0442A"/>
    <w:rsid w:val="00C04DCB"/>
    <w:rsid w:val="00C0560B"/>
    <w:rsid w:val="00C05D09"/>
    <w:rsid w:val="00C075CA"/>
    <w:rsid w:val="00C104FE"/>
    <w:rsid w:val="00C10660"/>
    <w:rsid w:val="00C1084D"/>
    <w:rsid w:val="00C10A0A"/>
    <w:rsid w:val="00C10DF0"/>
    <w:rsid w:val="00C119BD"/>
    <w:rsid w:val="00C1358B"/>
    <w:rsid w:val="00C1451D"/>
    <w:rsid w:val="00C14780"/>
    <w:rsid w:val="00C16769"/>
    <w:rsid w:val="00C174C9"/>
    <w:rsid w:val="00C177EF"/>
    <w:rsid w:val="00C17C7C"/>
    <w:rsid w:val="00C201C3"/>
    <w:rsid w:val="00C2081A"/>
    <w:rsid w:val="00C208AD"/>
    <w:rsid w:val="00C21383"/>
    <w:rsid w:val="00C230C3"/>
    <w:rsid w:val="00C23E95"/>
    <w:rsid w:val="00C24B14"/>
    <w:rsid w:val="00C25640"/>
    <w:rsid w:val="00C26F53"/>
    <w:rsid w:val="00C270EA"/>
    <w:rsid w:val="00C30551"/>
    <w:rsid w:val="00C30D37"/>
    <w:rsid w:val="00C312CF"/>
    <w:rsid w:val="00C328C1"/>
    <w:rsid w:val="00C32A3F"/>
    <w:rsid w:val="00C33352"/>
    <w:rsid w:val="00C34525"/>
    <w:rsid w:val="00C35ED8"/>
    <w:rsid w:val="00C36AE4"/>
    <w:rsid w:val="00C372B5"/>
    <w:rsid w:val="00C379C2"/>
    <w:rsid w:val="00C37BF0"/>
    <w:rsid w:val="00C40F6F"/>
    <w:rsid w:val="00C413F3"/>
    <w:rsid w:val="00C429D1"/>
    <w:rsid w:val="00C44497"/>
    <w:rsid w:val="00C44580"/>
    <w:rsid w:val="00C45690"/>
    <w:rsid w:val="00C47B08"/>
    <w:rsid w:val="00C51481"/>
    <w:rsid w:val="00C51DAA"/>
    <w:rsid w:val="00C528E3"/>
    <w:rsid w:val="00C52D45"/>
    <w:rsid w:val="00C53438"/>
    <w:rsid w:val="00C53A1D"/>
    <w:rsid w:val="00C53E6A"/>
    <w:rsid w:val="00C5449F"/>
    <w:rsid w:val="00C5512A"/>
    <w:rsid w:val="00C55D37"/>
    <w:rsid w:val="00C561D9"/>
    <w:rsid w:val="00C5733B"/>
    <w:rsid w:val="00C600E3"/>
    <w:rsid w:val="00C61283"/>
    <w:rsid w:val="00C61AF3"/>
    <w:rsid w:val="00C6262C"/>
    <w:rsid w:val="00C638E1"/>
    <w:rsid w:val="00C645F2"/>
    <w:rsid w:val="00C6575B"/>
    <w:rsid w:val="00C66A06"/>
    <w:rsid w:val="00C6723F"/>
    <w:rsid w:val="00C67B3B"/>
    <w:rsid w:val="00C7087E"/>
    <w:rsid w:val="00C71215"/>
    <w:rsid w:val="00C7151E"/>
    <w:rsid w:val="00C718A1"/>
    <w:rsid w:val="00C71F96"/>
    <w:rsid w:val="00C72295"/>
    <w:rsid w:val="00C725FC"/>
    <w:rsid w:val="00C74651"/>
    <w:rsid w:val="00C751C5"/>
    <w:rsid w:val="00C755C9"/>
    <w:rsid w:val="00C756F4"/>
    <w:rsid w:val="00C75848"/>
    <w:rsid w:val="00C771AB"/>
    <w:rsid w:val="00C77792"/>
    <w:rsid w:val="00C77A60"/>
    <w:rsid w:val="00C77ED0"/>
    <w:rsid w:val="00C81769"/>
    <w:rsid w:val="00C824B0"/>
    <w:rsid w:val="00C82791"/>
    <w:rsid w:val="00C85027"/>
    <w:rsid w:val="00C8612B"/>
    <w:rsid w:val="00C874C1"/>
    <w:rsid w:val="00C911A3"/>
    <w:rsid w:val="00C91AEB"/>
    <w:rsid w:val="00C91C52"/>
    <w:rsid w:val="00C923B6"/>
    <w:rsid w:val="00C932AB"/>
    <w:rsid w:val="00C93A69"/>
    <w:rsid w:val="00C93BBC"/>
    <w:rsid w:val="00C9546A"/>
    <w:rsid w:val="00C954E7"/>
    <w:rsid w:val="00C96E04"/>
    <w:rsid w:val="00C97109"/>
    <w:rsid w:val="00CA003F"/>
    <w:rsid w:val="00CA1CFE"/>
    <w:rsid w:val="00CA2733"/>
    <w:rsid w:val="00CA2950"/>
    <w:rsid w:val="00CA4CF8"/>
    <w:rsid w:val="00CA4EF2"/>
    <w:rsid w:val="00CA699C"/>
    <w:rsid w:val="00CA6A31"/>
    <w:rsid w:val="00CA7378"/>
    <w:rsid w:val="00CB1F4E"/>
    <w:rsid w:val="00CB441B"/>
    <w:rsid w:val="00CB471C"/>
    <w:rsid w:val="00CB4B08"/>
    <w:rsid w:val="00CB510E"/>
    <w:rsid w:val="00CB6202"/>
    <w:rsid w:val="00CB73F4"/>
    <w:rsid w:val="00CB7F75"/>
    <w:rsid w:val="00CB7FF8"/>
    <w:rsid w:val="00CC0060"/>
    <w:rsid w:val="00CC2EE1"/>
    <w:rsid w:val="00CC311D"/>
    <w:rsid w:val="00CC3647"/>
    <w:rsid w:val="00CC3CA9"/>
    <w:rsid w:val="00CC43DE"/>
    <w:rsid w:val="00CC50BF"/>
    <w:rsid w:val="00CC552A"/>
    <w:rsid w:val="00CC6599"/>
    <w:rsid w:val="00CC7316"/>
    <w:rsid w:val="00CC760E"/>
    <w:rsid w:val="00CC79EB"/>
    <w:rsid w:val="00CC7A2C"/>
    <w:rsid w:val="00CC7B47"/>
    <w:rsid w:val="00CC7E85"/>
    <w:rsid w:val="00CD2079"/>
    <w:rsid w:val="00CD2165"/>
    <w:rsid w:val="00CD2605"/>
    <w:rsid w:val="00CD3BFB"/>
    <w:rsid w:val="00CD477B"/>
    <w:rsid w:val="00CD4EC7"/>
    <w:rsid w:val="00CD5782"/>
    <w:rsid w:val="00CD687F"/>
    <w:rsid w:val="00CD7BD4"/>
    <w:rsid w:val="00CD7D6B"/>
    <w:rsid w:val="00CE1B4E"/>
    <w:rsid w:val="00CE1B72"/>
    <w:rsid w:val="00CE1EDD"/>
    <w:rsid w:val="00CE228A"/>
    <w:rsid w:val="00CE2D82"/>
    <w:rsid w:val="00CE564E"/>
    <w:rsid w:val="00CE5880"/>
    <w:rsid w:val="00CE654A"/>
    <w:rsid w:val="00CE7433"/>
    <w:rsid w:val="00CF158E"/>
    <w:rsid w:val="00CF1732"/>
    <w:rsid w:val="00CF1B54"/>
    <w:rsid w:val="00CF338D"/>
    <w:rsid w:val="00CF3B6B"/>
    <w:rsid w:val="00CF4A00"/>
    <w:rsid w:val="00CF4A7D"/>
    <w:rsid w:val="00CF4BA0"/>
    <w:rsid w:val="00CF51B3"/>
    <w:rsid w:val="00CF52F3"/>
    <w:rsid w:val="00CF582C"/>
    <w:rsid w:val="00CF5F97"/>
    <w:rsid w:val="00CF6256"/>
    <w:rsid w:val="00CF78D3"/>
    <w:rsid w:val="00CF7C76"/>
    <w:rsid w:val="00CF7E95"/>
    <w:rsid w:val="00CF7F2F"/>
    <w:rsid w:val="00CF7F4C"/>
    <w:rsid w:val="00CF7F7A"/>
    <w:rsid w:val="00D00674"/>
    <w:rsid w:val="00D00F9C"/>
    <w:rsid w:val="00D012F1"/>
    <w:rsid w:val="00D0161D"/>
    <w:rsid w:val="00D018E0"/>
    <w:rsid w:val="00D01A43"/>
    <w:rsid w:val="00D01B57"/>
    <w:rsid w:val="00D01EC7"/>
    <w:rsid w:val="00D029DA"/>
    <w:rsid w:val="00D02C50"/>
    <w:rsid w:val="00D02E33"/>
    <w:rsid w:val="00D03C60"/>
    <w:rsid w:val="00D04115"/>
    <w:rsid w:val="00D056F8"/>
    <w:rsid w:val="00D05CE4"/>
    <w:rsid w:val="00D06490"/>
    <w:rsid w:val="00D06744"/>
    <w:rsid w:val="00D0676B"/>
    <w:rsid w:val="00D06FF7"/>
    <w:rsid w:val="00D106C0"/>
    <w:rsid w:val="00D12488"/>
    <w:rsid w:val="00D1390E"/>
    <w:rsid w:val="00D14950"/>
    <w:rsid w:val="00D1530E"/>
    <w:rsid w:val="00D15F99"/>
    <w:rsid w:val="00D175C6"/>
    <w:rsid w:val="00D1781D"/>
    <w:rsid w:val="00D17A5D"/>
    <w:rsid w:val="00D17E05"/>
    <w:rsid w:val="00D20594"/>
    <w:rsid w:val="00D21319"/>
    <w:rsid w:val="00D21322"/>
    <w:rsid w:val="00D2133A"/>
    <w:rsid w:val="00D2186E"/>
    <w:rsid w:val="00D22398"/>
    <w:rsid w:val="00D226F8"/>
    <w:rsid w:val="00D23114"/>
    <w:rsid w:val="00D23945"/>
    <w:rsid w:val="00D242F3"/>
    <w:rsid w:val="00D245A1"/>
    <w:rsid w:val="00D24C1F"/>
    <w:rsid w:val="00D25F0E"/>
    <w:rsid w:val="00D25F14"/>
    <w:rsid w:val="00D2611D"/>
    <w:rsid w:val="00D26EFC"/>
    <w:rsid w:val="00D27A83"/>
    <w:rsid w:val="00D300E6"/>
    <w:rsid w:val="00D30E1F"/>
    <w:rsid w:val="00D30EA9"/>
    <w:rsid w:val="00D312DD"/>
    <w:rsid w:val="00D31500"/>
    <w:rsid w:val="00D31980"/>
    <w:rsid w:val="00D32CF5"/>
    <w:rsid w:val="00D3308E"/>
    <w:rsid w:val="00D33A18"/>
    <w:rsid w:val="00D3477A"/>
    <w:rsid w:val="00D3487D"/>
    <w:rsid w:val="00D34EF6"/>
    <w:rsid w:val="00D351C2"/>
    <w:rsid w:val="00D359D2"/>
    <w:rsid w:val="00D3676F"/>
    <w:rsid w:val="00D36A56"/>
    <w:rsid w:val="00D36E3E"/>
    <w:rsid w:val="00D3739F"/>
    <w:rsid w:val="00D37E87"/>
    <w:rsid w:val="00D4183D"/>
    <w:rsid w:val="00D41C3A"/>
    <w:rsid w:val="00D42730"/>
    <w:rsid w:val="00D43095"/>
    <w:rsid w:val="00D4313D"/>
    <w:rsid w:val="00D43803"/>
    <w:rsid w:val="00D43BE8"/>
    <w:rsid w:val="00D44ADA"/>
    <w:rsid w:val="00D4532D"/>
    <w:rsid w:val="00D45518"/>
    <w:rsid w:val="00D45C86"/>
    <w:rsid w:val="00D46C2D"/>
    <w:rsid w:val="00D47509"/>
    <w:rsid w:val="00D476F6"/>
    <w:rsid w:val="00D47840"/>
    <w:rsid w:val="00D5106F"/>
    <w:rsid w:val="00D51BEA"/>
    <w:rsid w:val="00D51D4A"/>
    <w:rsid w:val="00D52515"/>
    <w:rsid w:val="00D52705"/>
    <w:rsid w:val="00D53B4F"/>
    <w:rsid w:val="00D53FCD"/>
    <w:rsid w:val="00D54688"/>
    <w:rsid w:val="00D5503C"/>
    <w:rsid w:val="00D550F3"/>
    <w:rsid w:val="00D55221"/>
    <w:rsid w:val="00D55DD7"/>
    <w:rsid w:val="00D5622B"/>
    <w:rsid w:val="00D56736"/>
    <w:rsid w:val="00D56D26"/>
    <w:rsid w:val="00D56E7F"/>
    <w:rsid w:val="00D56FF7"/>
    <w:rsid w:val="00D57A18"/>
    <w:rsid w:val="00D57B09"/>
    <w:rsid w:val="00D6039E"/>
    <w:rsid w:val="00D60C5A"/>
    <w:rsid w:val="00D60EC2"/>
    <w:rsid w:val="00D614EC"/>
    <w:rsid w:val="00D61892"/>
    <w:rsid w:val="00D62199"/>
    <w:rsid w:val="00D6227C"/>
    <w:rsid w:val="00D639EA"/>
    <w:rsid w:val="00D63AAD"/>
    <w:rsid w:val="00D64E40"/>
    <w:rsid w:val="00D66284"/>
    <w:rsid w:val="00D66ACF"/>
    <w:rsid w:val="00D66AEB"/>
    <w:rsid w:val="00D67C70"/>
    <w:rsid w:val="00D700D5"/>
    <w:rsid w:val="00D70279"/>
    <w:rsid w:val="00D709F7"/>
    <w:rsid w:val="00D70DA7"/>
    <w:rsid w:val="00D7113C"/>
    <w:rsid w:val="00D714A5"/>
    <w:rsid w:val="00D7279E"/>
    <w:rsid w:val="00D73548"/>
    <w:rsid w:val="00D73849"/>
    <w:rsid w:val="00D739F2"/>
    <w:rsid w:val="00D73EA7"/>
    <w:rsid w:val="00D73F3B"/>
    <w:rsid w:val="00D7410E"/>
    <w:rsid w:val="00D7468D"/>
    <w:rsid w:val="00D75387"/>
    <w:rsid w:val="00D762DF"/>
    <w:rsid w:val="00D77774"/>
    <w:rsid w:val="00D77941"/>
    <w:rsid w:val="00D77B62"/>
    <w:rsid w:val="00D77B8F"/>
    <w:rsid w:val="00D80551"/>
    <w:rsid w:val="00D81612"/>
    <w:rsid w:val="00D818D4"/>
    <w:rsid w:val="00D81D51"/>
    <w:rsid w:val="00D82F31"/>
    <w:rsid w:val="00D8323F"/>
    <w:rsid w:val="00D83C2C"/>
    <w:rsid w:val="00D851EB"/>
    <w:rsid w:val="00D8654D"/>
    <w:rsid w:val="00D86666"/>
    <w:rsid w:val="00D86FE9"/>
    <w:rsid w:val="00D8799F"/>
    <w:rsid w:val="00D87AAD"/>
    <w:rsid w:val="00D902F1"/>
    <w:rsid w:val="00D90B98"/>
    <w:rsid w:val="00D90F52"/>
    <w:rsid w:val="00D91777"/>
    <w:rsid w:val="00D91AE0"/>
    <w:rsid w:val="00D9216D"/>
    <w:rsid w:val="00D92402"/>
    <w:rsid w:val="00D9244F"/>
    <w:rsid w:val="00D92984"/>
    <w:rsid w:val="00D92A54"/>
    <w:rsid w:val="00D933D4"/>
    <w:rsid w:val="00D936A3"/>
    <w:rsid w:val="00D93948"/>
    <w:rsid w:val="00D93AA7"/>
    <w:rsid w:val="00D943D6"/>
    <w:rsid w:val="00D9479B"/>
    <w:rsid w:val="00D9529F"/>
    <w:rsid w:val="00D9549C"/>
    <w:rsid w:val="00D956F0"/>
    <w:rsid w:val="00D963BF"/>
    <w:rsid w:val="00DA076E"/>
    <w:rsid w:val="00DA0EC0"/>
    <w:rsid w:val="00DA1A54"/>
    <w:rsid w:val="00DA2122"/>
    <w:rsid w:val="00DA2135"/>
    <w:rsid w:val="00DA2A5C"/>
    <w:rsid w:val="00DA3171"/>
    <w:rsid w:val="00DA319B"/>
    <w:rsid w:val="00DA3C29"/>
    <w:rsid w:val="00DA60E8"/>
    <w:rsid w:val="00DA62BB"/>
    <w:rsid w:val="00DA72A3"/>
    <w:rsid w:val="00DB0DE8"/>
    <w:rsid w:val="00DB13E1"/>
    <w:rsid w:val="00DB1A2D"/>
    <w:rsid w:val="00DB1B67"/>
    <w:rsid w:val="00DB233E"/>
    <w:rsid w:val="00DB4C92"/>
    <w:rsid w:val="00DB5D20"/>
    <w:rsid w:val="00DB5D3D"/>
    <w:rsid w:val="00DB5E62"/>
    <w:rsid w:val="00DC1202"/>
    <w:rsid w:val="00DC172A"/>
    <w:rsid w:val="00DC290A"/>
    <w:rsid w:val="00DC2A6C"/>
    <w:rsid w:val="00DC3F3B"/>
    <w:rsid w:val="00DC6E6F"/>
    <w:rsid w:val="00DC7810"/>
    <w:rsid w:val="00DD080A"/>
    <w:rsid w:val="00DD0E5E"/>
    <w:rsid w:val="00DD0EFC"/>
    <w:rsid w:val="00DD1A4A"/>
    <w:rsid w:val="00DD1C46"/>
    <w:rsid w:val="00DD1F8F"/>
    <w:rsid w:val="00DD2CDD"/>
    <w:rsid w:val="00DD3001"/>
    <w:rsid w:val="00DD52B1"/>
    <w:rsid w:val="00DD6602"/>
    <w:rsid w:val="00DD7E60"/>
    <w:rsid w:val="00DE212A"/>
    <w:rsid w:val="00DE267B"/>
    <w:rsid w:val="00DE2818"/>
    <w:rsid w:val="00DE32B4"/>
    <w:rsid w:val="00DE376A"/>
    <w:rsid w:val="00DE3D1D"/>
    <w:rsid w:val="00DE45F4"/>
    <w:rsid w:val="00DE5146"/>
    <w:rsid w:val="00DE5A6D"/>
    <w:rsid w:val="00DE703B"/>
    <w:rsid w:val="00DF02F2"/>
    <w:rsid w:val="00DF0D76"/>
    <w:rsid w:val="00DF2612"/>
    <w:rsid w:val="00DF28B3"/>
    <w:rsid w:val="00DF2EB7"/>
    <w:rsid w:val="00DF32FA"/>
    <w:rsid w:val="00DF3355"/>
    <w:rsid w:val="00DF385E"/>
    <w:rsid w:val="00DF39FB"/>
    <w:rsid w:val="00DF4AC5"/>
    <w:rsid w:val="00DF50CC"/>
    <w:rsid w:val="00DF7787"/>
    <w:rsid w:val="00E01736"/>
    <w:rsid w:val="00E01C22"/>
    <w:rsid w:val="00E020D3"/>
    <w:rsid w:val="00E0406B"/>
    <w:rsid w:val="00E049E7"/>
    <w:rsid w:val="00E05038"/>
    <w:rsid w:val="00E052A6"/>
    <w:rsid w:val="00E06119"/>
    <w:rsid w:val="00E068CD"/>
    <w:rsid w:val="00E06A32"/>
    <w:rsid w:val="00E06B22"/>
    <w:rsid w:val="00E07D5A"/>
    <w:rsid w:val="00E107ED"/>
    <w:rsid w:val="00E11596"/>
    <w:rsid w:val="00E11CB6"/>
    <w:rsid w:val="00E11DA4"/>
    <w:rsid w:val="00E147B4"/>
    <w:rsid w:val="00E15863"/>
    <w:rsid w:val="00E159FC"/>
    <w:rsid w:val="00E164FE"/>
    <w:rsid w:val="00E17B74"/>
    <w:rsid w:val="00E20CC0"/>
    <w:rsid w:val="00E227DB"/>
    <w:rsid w:val="00E22AEF"/>
    <w:rsid w:val="00E23E85"/>
    <w:rsid w:val="00E24520"/>
    <w:rsid w:val="00E254DD"/>
    <w:rsid w:val="00E26CC4"/>
    <w:rsid w:val="00E2740F"/>
    <w:rsid w:val="00E277F9"/>
    <w:rsid w:val="00E30119"/>
    <w:rsid w:val="00E3063E"/>
    <w:rsid w:val="00E3075A"/>
    <w:rsid w:val="00E32717"/>
    <w:rsid w:val="00E32BA5"/>
    <w:rsid w:val="00E33659"/>
    <w:rsid w:val="00E33832"/>
    <w:rsid w:val="00E3521D"/>
    <w:rsid w:val="00E35D59"/>
    <w:rsid w:val="00E40895"/>
    <w:rsid w:val="00E40D28"/>
    <w:rsid w:val="00E41A08"/>
    <w:rsid w:val="00E42F89"/>
    <w:rsid w:val="00E4320F"/>
    <w:rsid w:val="00E4380A"/>
    <w:rsid w:val="00E4394E"/>
    <w:rsid w:val="00E442D9"/>
    <w:rsid w:val="00E4559F"/>
    <w:rsid w:val="00E456F5"/>
    <w:rsid w:val="00E46295"/>
    <w:rsid w:val="00E46EEB"/>
    <w:rsid w:val="00E5049E"/>
    <w:rsid w:val="00E515C7"/>
    <w:rsid w:val="00E53674"/>
    <w:rsid w:val="00E53CF4"/>
    <w:rsid w:val="00E53EF8"/>
    <w:rsid w:val="00E54FB7"/>
    <w:rsid w:val="00E56312"/>
    <w:rsid w:val="00E569BD"/>
    <w:rsid w:val="00E56B92"/>
    <w:rsid w:val="00E56E28"/>
    <w:rsid w:val="00E5730F"/>
    <w:rsid w:val="00E60391"/>
    <w:rsid w:val="00E60622"/>
    <w:rsid w:val="00E60806"/>
    <w:rsid w:val="00E6323B"/>
    <w:rsid w:val="00E63B16"/>
    <w:rsid w:val="00E63E66"/>
    <w:rsid w:val="00E64236"/>
    <w:rsid w:val="00E64BC1"/>
    <w:rsid w:val="00E64DEC"/>
    <w:rsid w:val="00E65288"/>
    <w:rsid w:val="00E656DB"/>
    <w:rsid w:val="00E6647B"/>
    <w:rsid w:val="00E67593"/>
    <w:rsid w:val="00E6793A"/>
    <w:rsid w:val="00E706A5"/>
    <w:rsid w:val="00E71187"/>
    <w:rsid w:val="00E716DD"/>
    <w:rsid w:val="00E71D2C"/>
    <w:rsid w:val="00E731FA"/>
    <w:rsid w:val="00E7325E"/>
    <w:rsid w:val="00E7423E"/>
    <w:rsid w:val="00E744C7"/>
    <w:rsid w:val="00E75DAE"/>
    <w:rsid w:val="00E764BA"/>
    <w:rsid w:val="00E76815"/>
    <w:rsid w:val="00E76DD8"/>
    <w:rsid w:val="00E77633"/>
    <w:rsid w:val="00E80E34"/>
    <w:rsid w:val="00E81A95"/>
    <w:rsid w:val="00E81AC8"/>
    <w:rsid w:val="00E831E8"/>
    <w:rsid w:val="00E83A34"/>
    <w:rsid w:val="00E83D63"/>
    <w:rsid w:val="00E8529A"/>
    <w:rsid w:val="00E85CCA"/>
    <w:rsid w:val="00E8686C"/>
    <w:rsid w:val="00E90836"/>
    <w:rsid w:val="00E90C17"/>
    <w:rsid w:val="00E91787"/>
    <w:rsid w:val="00E91994"/>
    <w:rsid w:val="00E91E0E"/>
    <w:rsid w:val="00E935A4"/>
    <w:rsid w:val="00E93FD4"/>
    <w:rsid w:val="00E949C1"/>
    <w:rsid w:val="00E94A80"/>
    <w:rsid w:val="00E95BB4"/>
    <w:rsid w:val="00E95C55"/>
    <w:rsid w:val="00E95D8A"/>
    <w:rsid w:val="00E96D55"/>
    <w:rsid w:val="00E97FF4"/>
    <w:rsid w:val="00EA03BA"/>
    <w:rsid w:val="00EA1942"/>
    <w:rsid w:val="00EA1C09"/>
    <w:rsid w:val="00EA2709"/>
    <w:rsid w:val="00EA2E1A"/>
    <w:rsid w:val="00EA430E"/>
    <w:rsid w:val="00EA48C6"/>
    <w:rsid w:val="00EA5CEC"/>
    <w:rsid w:val="00EA608D"/>
    <w:rsid w:val="00EA6146"/>
    <w:rsid w:val="00EA7AD2"/>
    <w:rsid w:val="00EA7F0C"/>
    <w:rsid w:val="00EB0179"/>
    <w:rsid w:val="00EB030A"/>
    <w:rsid w:val="00EB0424"/>
    <w:rsid w:val="00EB070C"/>
    <w:rsid w:val="00EB136E"/>
    <w:rsid w:val="00EB164A"/>
    <w:rsid w:val="00EB1B16"/>
    <w:rsid w:val="00EB229B"/>
    <w:rsid w:val="00EB2FF4"/>
    <w:rsid w:val="00EB370E"/>
    <w:rsid w:val="00EB3F3E"/>
    <w:rsid w:val="00EB4DED"/>
    <w:rsid w:val="00EB558C"/>
    <w:rsid w:val="00EB5ED1"/>
    <w:rsid w:val="00EB6051"/>
    <w:rsid w:val="00EB65B6"/>
    <w:rsid w:val="00EB69CD"/>
    <w:rsid w:val="00EB75CD"/>
    <w:rsid w:val="00EC0611"/>
    <w:rsid w:val="00EC0980"/>
    <w:rsid w:val="00EC0A0E"/>
    <w:rsid w:val="00EC2904"/>
    <w:rsid w:val="00EC2A4E"/>
    <w:rsid w:val="00EC42CC"/>
    <w:rsid w:val="00EC42E9"/>
    <w:rsid w:val="00EC46CB"/>
    <w:rsid w:val="00EC5A3D"/>
    <w:rsid w:val="00EC6AAE"/>
    <w:rsid w:val="00EC706B"/>
    <w:rsid w:val="00EC78D4"/>
    <w:rsid w:val="00ED0031"/>
    <w:rsid w:val="00ED08FC"/>
    <w:rsid w:val="00ED0C59"/>
    <w:rsid w:val="00ED1011"/>
    <w:rsid w:val="00ED1418"/>
    <w:rsid w:val="00ED19DB"/>
    <w:rsid w:val="00ED29E1"/>
    <w:rsid w:val="00ED507A"/>
    <w:rsid w:val="00ED52C3"/>
    <w:rsid w:val="00ED6747"/>
    <w:rsid w:val="00ED702E"/>
    <w:rsid w:val="00ED7A58"/>
    <w:rsid w:val="00EE00F4"/>
    <w:rsid w:val="00EE0497"/>
    <w:rsid w:val="00EE11BE"/>
    <w:rsid w:val="00EE13BE"/>
    <w:rsid w:val="00EE1C4D"/>
    <w:rsid w:val="00EE2103"/>
    <w:rsid w:val="00EE2A58"/>
    <w:rsid w:val="00EE3ADF"/>
    <w:rsid w:val="00EE3EB3"/>
    <w:rsid w:val="00EE44A2"/>
    <w:rsid w:val="00EE4558"/>
    <w:rsid w:val="00EE4827"/>
    <w:rsid w:val="00EE490B"/>
    <w:rsid w:val="00EE534F"/>
    <w:rsid w:val="00EE57CB"/>
    <w:rsid w:val="00EE62DC"/>
    <w:rsid w:val="00EE6A7D"/>
    <w:rsid w:val="00EF040C"/>
    <w:rsid w:val="00EF0AA3"/>
    <w:rsid w:val="00EF1114"/>
    <w:rsid w:val="00EF246D"/>
    <w:rsid w:val="00EF2957"/>
    <w:rsid w:val="00EF4597"/>
    <w:rsid w:val="00EF5501"/>
    <w:rsid w:val="00EF5D27"/>
    <w:rsid w:val="00EF64DB"/>
    <w:rsid w:val="00EF650A"/>
    <w:rsid w:val="00EF6556"/>
    <w:rsid w:val="00F000F0"/>
    <w:rsid w:val="00F01A5A"/>
    <w:rsid w:val="00F0248A"/>
    <w:rsid w:val="00F02EF7"/>
    <w:rsid w:val="00F03236"/>
    <w:rsid w:val="00F03AB0"/>
    <w:rsid w:val="00F04E4D"/>
    <w:rsid w:val="00F05A60"/>
    <w:rsid w:val="00F069A7"/>
    <w:rsid w:val="00F06F1A"/>
    <w:rsid w:val="00F075D5"/>
    <w:rsid w:val="00F1015A"/>
    <w:rsid w:val="00F101A8"/>
    <w:rsid w:val="00F1068B"/>
    <w:rsid w:val="00F11132"/>
    <w:rsid w:val="00F120ED"/>
    <w:rsid w:val="00F125A7"/>
    <w:rsid w:val="00F12C70"/>
    <w:rsid w:val="00F15BAC"/>
    <w:rsid w:val="00F16BDA"/>
    <w:rsid w:val="00F16C58"/>
    <w:rsid w:val="00F16C7A"/>
    <w:rsid w:val="00F16E73"/>
    <w:rsid w:val="00F1701D"/>
    <w:rsid w:val="00F17380"/>
    <w:rsid w:val="00F20B33"/>
    <w:rsid w:val="00F211A2"/>
    <w:rsid w:val="00F213F7"/>
    <w:rsid w:val="00F214EA"/>
    <w:rsid w:val="00F2173E"/>
    <w:rsid w:val="00F22398"/>
    <w:rsid w:val="00F223C1"/>
    <w:rsid w:val="00F2270B"/>
    <w:rsid w:val="00F22D55"/>
    <w:rsid w:val="00F2379B"/>
    <w:rsid w:val="00F259F0"/>
    <w:rsid w:val="00F26301"/>
    <w:rsid w:val="00F27120"/>
    <w:rsid w:val="00F2744C"/>
    <w:rsid w:val="00F27C69"/>
    <w:rsid w:val="00F301D2"/>
    <w:rsid w:val="00F303B9"/>
    <w:rsid w:val="00F315FA"/>
    <w:rsid w:val="00F320FC"/>
    <w:rsid w:val="00F326BB"/>
    <w:rsid w:val="00F33045"/>
    <w:rsid w:val="00F33D25"/>
    <w:rsid w:val="00F344E2"/>
    <w:rsid w:val="00F3474A"/>
    <w:rsid w:val="00F359E0"/>
    <w:rsid w:val="00F35C58"/>
    <w:rsid w:val="00F36554"/>
    <w:rsid w:val="00F370B3"/>
    <w:rsid w:val="00F375F3"/>
    <w:rsid w:val="00F41304"/>
    <w:rsid w:val="00F4137D"/>
    <w:rsid w:val="00F41416"/>
    <w:rsid w:val="00F42848"/>
    <w:rsid w:val="00F42E45"/>
    <w:rsid w:val="00F43ADC"/>
    <w:rsid w:val="00F44893"/>
    <w:rsid w:val="00F44AA4"/>
    <w:rsid w:val="00F44B76"/>
    <w:rsid w:val="00F44BF8"/>
    <w:rsid w:val="00F453BB"/>
    <w:rsid w:val="00F468F1"/>
    <w:rsid w:val="00F47060"/>
    <w:rsid w:val="00F4759B"/>
    <w:rsid w:val="00F50892"/>
    <w:rsid w:val="00F50DBF"/>
    <w:rsid w:val="00F50EFF"/>
    <w:rsid w:val="00F5190C"/>
    <w:rsid w:val="00F5215C"/>
    <w:rsid w:val="00F526B4"/>
    <w:rsid w:val="00F5427A"/>
    <w:rsid w:val="00F54BB3"/>
    <w:rsid w:val="00F56874"/>
    <w:rsid w:val="00F569C6"/>
    <w:rsid w:val="00F573D2"/>
    <w:rsid w:val="00F612CA"/>
    <w:rsid w:val="00F6165C"/>
    <w:rsid w:val="00F61B21"/>
    <w:rsid w:val="00F636ED"/>
    <w:rsid w:val="00F63D80"/>
    <w:rsid w:val="00F643EB"/>
    <w:rsid w:val="00F64885"/>
    <w:rsid w:val="00F649AE"/>
    <w:rsid w:val="00F652B2"/>
    <w:rsid w:val="00F65584"/>
    <w:rsid w:val="00F655BE"/>
    <w:rsid w:val="00F659BB"/>
    <w:rsid w:val="00F673B1"/>
    <w:rsid w:val="00F7100F"/>
    <w:rsid w:val="00F72B6E"/>
    <w:rsid w:val="00F74820"/>
    <w:rsid w:val="00F75436"/>
    <w:rsid w:val="00F761CC"/>
    <w:rsid w:val="00F768BD"/>
    <w:rsid w:val="00F76AC5"/>
    <w:rsid w:val="00F76E04"/>
    <w:rsid w:val="00F76E3C"/>
    <w:rsid w:val="00F770ED"/>
    <w:rsid w:val="00F8007A"/>
    <w:rsid w:val="00F80261"/>
    <w:rsid w:val="00F80EA3"/>
    <w:rsid w:val="00F824C9"/>
    <w:rsid w:val="00F831EC"/>
    <w:rsid w:val="00F83730"/>
    <w:rsid w:val="00F84478"/>
    <w:rsid w:val="00F8580A"/>
    <w:rsid w:val="00F85B3B"/>
    <w:rsid w:val="00F86375"/>
    <w:rsid w:val="00F86382"/>
    <w:rsid w:val="00F864A0"/>
    <w:rsid w:val="00F86F11"/>
    <w:rsid w:val="00F9065D"/>
    <w:rsid w:val="00F90B1B"/>
    <w:rsid w:val="00F93FC8"/>
    <w:rsid w:val="00F95340"/>
    <w:rsid w:val="00F95C35"/>
    <w:rsid w:val="00F96330"/>
    <w:rsid w:val="00F96696"/>
    <w:rsid w:val="00F96841"/>
    <w:rsid w:val="00F96FD0"/>
    <w:rsid w:val="00FA0706"/>
    <w:rsid w:val="00FA070F"/>
    <w:rsid w:val="00FA12E7"/>
    <w:rsid w:val="00FA1AB1"/>
    <w:rsid w:val="00FA1C54"/>
    <w:rsid w:val="00FA26DF"/>
    <w:rsid w:val="00FA2DFE"/>
    <w:rsid w:val="00FA30F9"/>
    <w:rsid w:val="00FA37E2"/>
    <w:rsid w:val="00FA481A"/>
    <w:rsid w:val="00FA5DEC"/>
    <w:rsid w:val="00FA624A"/>
    <w:rsid w:val="00FA730C"/>
    <w:rsid w:val="00FA76D6"/>
    <w:rsid w:val="00FB033E"/>
    <w:rsid w:val="00FB050B"/>
    <w:rsid w:val="00FB12B5"/>
    <w:rsid w:val="00FB17FE"/>
    <w:rsid w:val="00FB1824"/>
    <w:rsid w:val="00FB19AD"/>
    <w:rsid w:val="00FB219C"/>
    <w:rsid w:val="00FB2294"/>
    <w:rsid w:val="00FB3418"/>
    <w:rsid w:val="00FB3694"/>
    <w:rsid w:val="00FB4FA0"/>
    <w:rsid w:val="00FB50EF"/>
    <w:rsid w:val="00FB5527"/>
    <w:rsid w:val="00FB5740"/>
    <w:rsid w:val="00FB7D06"/>
    <w:rsid w:val="00FC064D"/>
    <w:rsid w:val="00FC2DF1"/>
    <w:rsid w:val="00FC3A8F"/>
    <w:rsid w:val="00FC402E"/>
    <w:rsid w:val="00FC4AD5"/>
    <w:rsid w:val="00FC4BF0"/>
    <w:rsid w:val="00FC5078"/>
    <w:rsid w:val="00FC5C7F"/>
    <w:rsid w:val="00FC707A"/>
    <w:rsid w:val="00FC76B9"/>
    <w:rsid w:val="00FD0B17"/>
    <w:rsid w:val="00FD1435"/>
    <w:rsid w:val="00FD1A63"/>
    <w:rsid w:val="00FD3097"/>
    <w:rsid w:val="00FD5FDF"/>
    <w:rsid w:val="00FD6428"/>
    <w:rsid w:val="00FE08E3"/>
    <w:rsid w:val="00FE08FA"/>
    <w:rsid w:val="00FE09FD"/>
    <w:rsid w:val="00FE1482"/>
    <w:rsid w:val="00FE271C"/>
    <w:rsid w:val="00FE4275"/>
    <w:rsid w:val="00FE49E0"/>
    <w:rsid w:val="00FE598E"/>
    <w:rsid w:val="00FE5C76"/>
    <w:rsid w:val="00FE71B2"/>
    <w:rsid w:val="00FF03D2"/>
    <w:rsid w:val="00FF1F90"/>
    <w:rsid w:val="00FF215B"/>
    <w:rsid w:val="00FF2C47"/>
    <w:rsid w:val="00FF2F0D"/>
    <w:rsid w:val="00FF46C4"/>
    <w:rsid w:val="00FF4A50"/>
    <w:rsid w:val="00FF59EB"/>
    <w:rsid w:val="00FF5EE6"/>
    <w:rsid w:val="00FF5FBD"/>
    <w:rsid w:val="00FF626A"/>
    <w:rsid w:val="00FF734C"/>
    <w:rsid w:val="00FF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27ED56"/>
  <w15:chartTrackingRefBased/>
  <w15:docId w15:val="{744FE904-E845-4190-8DBF-62A9E757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68"/>
    <w:rPr>
      <w:rFonts w:ascii="Times New Roman" w:eastAsia="Times New Roman" w:hAnsi="Times New Roman"/>
      <w:sz w:val="28"/>
      <w:szCs w:val="28"/>
      <w:lang w:val="en-US" w:eastAsia="en-US"/>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semiHidden/>
    <w:unhideWhenUsed/>
    <w:qFormat/>
    <w:locked/>
    <w:rsid w:val="005936A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sz w:val="24"/>
      <w:szCs w:val="24"/>
      <w:lang w:val="x-none" w:eastAsia="x-none"/>
    </w:rPr>
  </w:style>
  <w:style w:type="character" w:customStyle="1" w:styleId="BodyTextChar">
    <w:name w:val="Body Text Char"/>
    <w:uiPriority w:val="99"/>
    <w:semiHidden/>
    <w:locked/>
    <w:rsid w:val="008D4094"/>
    <w:rPr>
      <w:rFonts w:ascii="Times New Roman" w:hAnsi="Times New Roman" w:cs="Times New Roman"/>
      <w:sz w:val="28"/>
      <w:szCs w:val="28"/>
    </w:rPr>
  </w:style>
  <w:style w:type="character" w:styleId="Strong">
    <w:name w:val="Strong"/>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link w:val="CharChar1CharCharCharChar1CharCharCharCharCharCharCharChar"/>
    <w:uiPriority w:val="99"/>
    <w:qFormat/>
    <w:rsid w:val="001A07A9"/>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B90BF6"/>
    <w:pPr>
      <w:spacing w:before="100" w:beforeAutospacing="1" w:after="100" w:afterAutospacing="1"/>
    </w:pPr>
    <w:rPr>
      <w:rFonts w:eastAsia="Calibri"/>
      <w:sz w:val="24"/>
      <w:szCs w:val="24"/>
      <w:lang w:val="x-none" w:eastAsia="x-none"/>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rPr>
      <w:rFonts w:eastAsia="Calibri"/>
      <w:lang w:val="x-none" w:eastAsia="x-none"/>
    </w:rPr>
  </w:style>
  <w:style w:type="character" w:customStyle="1" w:styleId="HeaderChar">
    <w:name w:val="Header Char"/>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rPr>
      <w:rFonts w:eastAsia="Calibri"/>
      <w:lang w:val="x-none" w:eastAsia="x-none"/>
    </w:rPr>
  </w:style>
  <w:style w:type="character" w:customStyle="1" w:styleId="FooterChar">
    <w:name w:val="Footer Char"/>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rFonts w:eastAsia="Calibri"/>
      <w:b/>
      <w:bCs/>
      <w:lang w:val="nl-NL" w:eastAsia="x-none"/>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eastAsia="Calibri"/>
      <w:sz w:val="2"/>
      <w:szCs w:val="2"/>
      <w:lang w:val="x-none" w:eastAsia="x-none"/>
    </w:rPr>
  </w:style>
  <w:style w:type="character" w:customStyle="1" w:styleId="BalloonTextChar">
    <w:name w:val="Balloon Text Char"/>
    <w:link w:val="BalloonText"/>
    <w:uiPriority w:val="99"/>
    <w:semiHidden/>
    <w:locked/>
    <w:rsid w:val="00B44F6C"/>
    <w:rPr>
      <w:rFonts w:ascii="Times New Roman" w:hAnsi="Times New Roman" w:cs="Times New Roman"/>
      <w:sz w:val="2"/>
      <w:szCs w:val="2"/>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lang w:val="x-none" w:eastAsia="x-none"/>
    </w:rPr>
  </w:style>
  <w:style w:type="character" w:customStyle="1" w:styleId="TitleChar">
    <w:name w:val="Title Char"/>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rPr>
      <w:lang w:val="x-none" w:eastAsia="x-none"/>
    </w:rPr>
  </w:style>
  <w:style w:type="character" w:customStyle="1" w:styleId="BodyTextIndentChar">
    <w:name w:val="Body Text Indent Char"/>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BB4A9E"/>
    <w:rPr>
      <w:rFonts w:ascii="Times New Roman" w:eastAsia="Times New Roman" w:hAnsi="Times New Roman"/>
      <w:sz w:val="28"/>
      <w:szCs w:val="28"/>
    </w:rPr>
  </w:style>
  <w:style w:type="character" w:styleId="Emphasis">
    <w:name w:val="Emphasis"/>
    <w:uiPriority w:val="20"/>
    <w:qFormat/>
    <w:locked/>
    <w:rsid w:val="00C372B5"/>
    <w:rPr>
      <w:i/>
      <w:iCs/>
    </w:rPr>
  </w:style>
  <w:style w:type="character" w:customStyle="1" w:styleId="body0020textchar">
    <w:name w:val="body_0020text__char"/>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lang w:val="x-none" w:eastAsia="x-none"/>
    </w:rPr>
  </w:style>
  <w:style w:type="character" w:customStyle="1" w:styleId="EndnoteTextChar">
    <w:name w:val="Endnote Text Char"/>
    <w:link w:val="EndnoteText"/>
    <w:uiPriority w:val="99"/>
    <w:semiHidden/>
    <w:rsid w:val="00416BAE"/>
    <w:rPr>
      <w:rFonts w:ascii="Calibri" w:eastAsia="Calibri" w:hAnsi="Calibri" w:cs="Times New Roman"/>
    </w:rPr>
  </w:style>
  <w:style w:type="character" w:styleId="EndnoteReference">
    <w:name w:val="endnote reference"/>
    <w:uiPriority w:val="99"/>
    <w:semiHidden/>
    <w:unhideWhenUsed/>
    <w:rsid w:val="00416BAE"/>
    <w:rPr>
      <w:vertAlign w:val="superscript"/>
    </w:rPr>
  </w:style>
  <w:style w:type="character" w:customStyle="1" w:styleId="Heading1Char">
    <w:name w:val="Heading 1 Char"/>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0D6E"/>
    <w:pPr>
      <w:spacing w:after="160" w:line="240" w:lineRule="exact"/>
    </w:pPr>
    <w:rPr>
      <w:rFonts w:ascii="Calibri" w:eastAsia="Calibri" w:hAnsi="Calibri"/>
      <w:sz w:val="20"/>
      <w:szCs w:val="20"/>
      <w:vertAlign w:val="superscript"/>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B0687F"/>
    <w:rPr>
      <w:rFonts w:ascii="Times New Roman" w:hAnsi="Times New Roman"/>
      <w:sz w:val="24"/>
      <w:szCs w:val="24"/>
    </w:rPr>
  </w:style>
  <w:style w:type="table" w:styleId="TableGrid">
    <w:name w:val="Table Grid"/>
    <w:basedOn w:val="TableNormal"/>
    <w:uiPriority w:val="39"/>
    <w:locked/>
    <w:rsid w:val="00DC7810"/>
    <w:rPr>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BF3645"/>
    <w:rPr>
      <w:rFonts w:ascii="Times New Roman" w:hAnsi="Times New Roman"/>
      <w:sz w:val="28"/>
      <w:szCs w:val="28"/>
      <w:lang w:val="en-US" w:eastAsia="en-US"/>
    </w:rPr>
  </w:style>
  <w:style w:type="character" w:customStyle="1" w:styleId="fontstyle01">
    <w:name w:val="fontstyle01"/>
    <w:rsid w:val="00130947"/>
    <w:rPr>
      <w:rFonts w:ascii="Times New Roman" w:hAnsi="Times New Roman"/>
      <w:color w:val="000000"/>
      <w:sz w:val="28"/>
    </w:rPr>
  </w:style>
  <w:style w:type="character" w:styleId="CommentReference">
    <w:name w:val="annotation reference"/>
    <w:uiPriority w:val="99"/>
    <w:semiHidden/>
    <w:unhideWhenUsed/>
    <w:rsid w:val="001F18F2"/>
    <w:rPr>
      <w:sz w:val="16"/>
      <w:szCs w:val="16"/>
    </w:rPr>
  </w:style>
  <w:style w:type="paragraph" w:styleId="CommentText">
    <w:name w:val="annotation text"/>
    <w:basedOn w:val="Normal"/>
    <w:link w:val="CommentTextChar"/>
    <w:uiPriority w:val="99"/>
    <w:unhideWhenUsed/>
    <w:rsid w:val="001F18F2"/>
    <w:pPr>
      <w:spacing w:after="200"/>
    </w:pPr>
    <w:rPr>
      <w:rFonts w:ascii="Calibri" w:hAnsi="Calibri" w:cs="Calibri"/>
      <w:sz w:val="20"/>
      <w:szCs w:val="20"/>
      <w:lang w:val="en-GB"/>
    </w:rPr>
  </w:style>
  <w:style w:type="character" w:customStyle="1" w:styleId="CommentTextChar">
    <w:name w:val="Comment Text Char"/>
    <w:link w:val="CommentText"/>
    <w:uiPriority w:val="99"/>
    <w:rsid w:val="001F18F2"/>
    <w:rPr>
      <w:rFonts w:eastAsia="Times New Roman" w:cs="Calibri"/>
      <w:lang w:eastAsia="en-US"/>
    </w:rPr>
  </w:style>
  <w:style w:type="character" w:customStyle="1" w:styleId="Heading2Char">
    <w:name w:val="Heading 2 Char"/>
    <w:basedOn w:val="DefaultParagraphFont"/>
    <w:link w:val="Heading2"/>
    <w:semiHidden/>
    <w:rsid w:val="005936AE"/>
    <w:rPr>
      <w:rFonts w:asciiTheme="majorHAnsi" w:eastAsiaTheme="majorEastAsia" w:hAnsiTheme="majorHAnsi" w:cstheme="majorBidi"/>
      <w:color w:val="2E74B5" w:themeColor="accent1" w:themeShade="BF"/>
      <w:sz w:val="26"/>
      <w:szCs w:val="26"/>
      <w:lang w:val="en-US" w:eastAsia="en-US"/>
    </w:rPr>
  </w:style>
  <w:style w:type="character" w:customStyle="1" w:styleId="y2iqfc">
    <w:name w:val="y2iqfc"/>
    <w:basedOn w:val="DefaultParagraphFont"/>
    <w:rsid w:val="00302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29898">
      <w:bodyDiv w:val="1"/>
      <w:marLeft w:val="0"/>
      <w:marRight w:val="0"/>
      <w:marTop w:val="0"/>
      <w:marBottom w:val="0"/>
      <w:divBdr>
        <w:top w:val="none" w:sz="0" w:space="0" w:color="auto"/>
        <w:left w:val="none" w:sz="0" w:space="0" w:color="auto"/>
        <w:bottom w:val="none" w:sz="0" w:space="0" w:color="auto"/>
        <w:right w:val="none" w:sz="0" w:space="0" w:color="auto"/>
      </w:divBdr>
    </w:div>
    <w:div w:id="233975849">
      <w:bodyDiv w:val="1"/>
      <w:marLeft w:val="0"/>
      <w:marRight w:val="0"/>
      <w:marTop w:val="0"/>
      <w:marBottom w:val="0"/>
      <w:divBdr>
        <w:top w:val="none" w:sz="0" w:space="0" w:color="auto"/>
        <w:left w:val="none" w:sz="0" w:space="0" w:color="auto"/>
        <w:bottom w:val="none" w:sz="0" w:space="0" w:color="auto"/>
        <w:right w:val="none" w:sz="0" w:space="0" w:color="auto"/>
      </w:divBdr>
    </w:div>
    <w:div w:id="300692531">
      <w:bodyDiv w:val="1"/>
      <w:marLeft w:val="0"/>
      <w:marRight w:val="0"/>
      <w:marTop w:val="0"/>
      <w:marBottom w:val="0"/>
      <w:divBdr>
        <w:top w:val="none" w:sz="0" w:space="0" w:color="auto"/>
        <w:left w:val="none" w:sz="0" w:space="0" w:color="auto"/>
        <w:bottom w:val="none" w:sz="0" w:space="0" w:color="auto"/>
        <w:right w:val="none" w:sz="0" w:space="0" w:color="auto"/>
      </w:divBdr>
    </w:div>
    <w:div w:id="305551373">
      <w:bodyDiv w:val="1"/>
      <w:marLeft w:val="0"/>
      <w:marRight w:val="0"/>
      <w:marTop w:val="0"/>
      <w:marBottom w:val="0"/>
      <w:divBdr>
        <w:top w:val="none" w:sz="0" w:space="0" w:color="auto"/>
        <w:left w:val="none" w:sz="0" w:space="0" w:color="auto"/>
        <w:bottom w:val="none" w:sz="0" w:space="0" w:color="auto"/>
        <w:right w:val="none" w:sz="0" w:space="0" w:color="auto"/>
      </w:divBdr>
    </w:div>
    <w:div w:id="389691082">
      <w:bodyDiv w:val="1"/>
      <w:marLeft w:val="0"/>
      <w:marRight w:val="0"/>
      <w:marTop w:val="0"/>
      <w:marBottom w:val="0"/>
      <w:divBdr>
        <w:top w:val="none" w:sz="0" w:space="0" w:color="auto"/>
        <w:left w:val="none" w:sz="0" w:space="0" w:color="auto"/>
        <w:bottom w:val="none" w:sz="0" w:space="0" w:color="auto"/>
        <w:right w:val="none" w:sz="0" w:space="0" w:color="auto"/>
      </w:divBdr>
      <w:divsChild>
        <w:div w:id="1985163468">
          <w:marLeft w:val="0"/>
          <w:marRight w:val="0"/>
          <w:marTop w:val="0"/>
          <w:marBottom w:val="0"/>
          <w:divBdr>
            <w:top w:val="none" w:sz="0" w:space="0" w:color="auto"/>
            <w:left w:val="none" w:sz="0" w:space="0" w:color="auto"/>
            <w:bottom w:val="none" w:sz="0" w:space="0" w:color="auto"/>
            <w:right w:val="none" w:sz="0" w:space="0" w:color="auto"/>
          </w:divBdr>
          <w:divsChild>
            <w:div w:id="296224985">
              <w:marLeft w:val="0"/>
              <w:marRight w:val="0"/>
              <w:marTop w:val="0"/>
              <w:marBottom w:val="0"/>
              <w:divBdr>
                <w:top w:val="none" w:sz="0" w:space="0" w:color="auto"/>
                <w:left w:val="none" w:sz="0" w:space="0" w:color="auto"/>
                <w:bottom w:val="none" w:sz="0" w:space="0" w:color="auto"/>
                <w:right w:val="none" w:sz="0" w:space="0" w:color="auto"/>
              </w:divBdr>
              <w:divsChild>
                <w:div w:id="1316570461">
                  <w:marLeft w:val="0"/>
                  <w:marRight w:val="0"/>
                  <w:marTop w:val="0"/>
                  <w:marBottom w:val="60"/>
                  <w:divBdr>
                    <w:top w:val="none" w:sz="0" w:space="0" w:color="auto"/>
                    <w:left w:val="none" w:sz="0" w:space="0" w:color="auto"/>
                    <w:bottom w:val="none" w:sz="0" w:space="0" w:color="auto"/>
                    <w:right w:val="none" w:sz="0" w:space="0" w:color="auto"/>
                  </w:divBdr>
                  <w:divsChild>
                    <w:div w:id="519127647">
                      <w:marLeft w:val="0"/>
                      <w:marRight w:val="0"/>
                      <w:marTop w:val="0"/>
                      <w:marBottom w:val="0"/>
                      <w:divBdr>
                        <w:top w:val="none" w:sz="0" w:space="0" w:color="auto"/>
                        <w:left w:val="none" w:sz="0" w:space="0" w:color="auto"/>
                        <w:bottom w:val="none" w:sz="0" w:space="0" w:color="auto"/>
                        <w:right w:val="none" w:sz="0" w:space="0" w:color="auto"/>
                      </w:divBdr>
                      <w:divsChild>
                        <w:div w:id="30351161">
                          <w:marLeft w:val="75"/>
                          <w:marRight w:val="75"/>
                          <w:marTop w:val="0"/>
                          <w:marBottom w:val="0"/>
                          <w:divBdr>
                            <w:top w:val="none" w:sz="0" w:space="0" w:color="auto"/>
                            <w:left w:val="none" w:sz="0" w:space="0" w:color="auto"/>
                            <w:bottom w:val="none" w:sz="0" w:space="0" w:color="auto"/>
                            <w:right w:val="none" w:sz="0" w:space="0" w:color="auto"/>
                          </w:divBdr>
                          <w:divsChild>
                            <w:div w:id="34817465">
                              <w:marLeft w:val="0"/>
                              <w:marRight w:val="0"/>
                              <w:marTop w:val="100"/>
                              <w:marBottom w:val="100"/>
                              <w:divBdr>
                                <w:top w:val="none" w:sz="0" w:space="0" w:color="auto"/>
                                <w:left w:val="none" w:sz="0" w:space="0" w:color="auto"/>
                                <w:bottom w:val="none" w:sz="0" w:space="0" w:color="auto"/>
                                <w:right w:val="none" w:sz="0" w:space="0" w:color="auto"/>
                              </w:divBdr>
                              <w:divsChild>
                                <w:div w:id="537933634">
                                  <w:marLeft w:val="30"/>
                                  <w:marRight w:val="30"/>
                                  <w:marTop w:val="0"/>
                                  <w:marBottom w:val="0"/>
                                  <w:divBdr>
                                    <w:top w:val="none" w:sz="0" w:space="0" w:color="auto"/>
                                    <w:left w:val="none" w:sz="0" w:space="0" w:color="auto"/>
                                    <w:bottom w:val="none" w:sz="0" w:space="0" w:color="auto"/>
                                    <w:right w:val="none" w:sz="0" w:space="0" w:color="auto"/>
                                  </w:divBdr>
                                </w:div>
                              </w:divsChild>
                            </w:div>
                            <w:div w:id="1774781587">
                              <w:marLeft w:val="45"/>
                              <w:marRight w:val="0"/>
                              <w:marTop w:val="15"/>
                              <w:marBottom w:val="30"/>
                              <w:divBdr>
                                <w:top w:val="none" w:sz="0" w:space="0" w:color="auto"/>
                                <w:left w:val="none" w:sz="0" w:space="0" w:color="auto"/>
                                <w:bottom w:val="none" w:sz="0" w:space="0" w:color="auto"/>
                                <w:right w:val="none" w:sz="0" w:space="0" w:color="auto"/>
                              </w:divBdr>
                            </w:div>
                          </w:divsChild>
                        </w:div>
                        <w:div w:id="1577089594">
                          <w:marLeft w:val="0"/>
                          <w:marRight w:val="0"/>
                          <w:marTop w:val="0"/>
                          <w:marBottom w:val="0"/>
                          <w:divBdr>
                            <w:top w:val="none" w:sz="0" w:space="0" w:color="auto"/>
                            <w:left w:val="none" w:sz="0" w:space="0" w:color="auto"/>
                            <w:bottom w:val="none" w:sz="0" w:space="0" w:color="auto"/>
                            <w:right w:val="none" w:sz="0" w:space="0" w:color="auto"/>
                          </w:divBdr>
                        </w:div>
                      </w:divsChild>
                    </w:div>
                    <w:div w:id="8358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65802">
      <w:bodyDiv w:val="1"/>
      <w:marLeft w:val="0"/>
      <w:marRight w:val="0"/>
      <w:marTop w:val="0"/>
      <w:marBottom w:val="0"/>
      <w:divBdr>
        <w:top w:val="none" w:sz="0" w:space="0" w:color="auto"/>
        <w:left w:val="none" w:sz="0" w:space="0" w:color="auto"/>
        <w:bottom w:val="none" w:sz="0" w:space="0" w:color="auto"/>
        <w:right w:val="none" w:sz="0" w:space="0" w:color="auto"/>
      </w:divBdr>
      <w:divsChild>
        <w:div w:id="1471558600">
          <w:marLeft w:val="0"/>
          <w:marRight w:val="0"/>
          <w:marTop w:val="280"/>
          <w:marBottom w:val="280"/>
          <w:divBdr>
            <w:top w:val="none" w:sz="0" w:space="0" w:color="auto"/>
            <w:left w:val="none" w:sz="0" w:space="0" w:color="auto"/>
            <w:bottom w:val="none" w:sz="0" w:space="0" w:color="auto"/>
            <w:right w:val="none" w:sz="0" w:space="0" w:color="auto"/>
          </w:divBdr>
        </w:div>
        <w:div w:id="2028411194">
          <w:marLeft w:val="0"/>
          <w:marRight w:val="0"/>
          <w:marTop w:val="280"/>
          <w:marBottom w:val="280"/>
          <w:divBdr>
            <w:top w:val="none" w:sz="0" w:space="0" w:color="auto"/>
            <w:left w:val="none" w:sz="0" w:space="0" w:color="auto"/>
            <w:bottom w:val="none" w:sz="0" w:space="0" w:color="auto"/>
            <w:right w:val="none" w:sz="0" w:space="0" w:color="auto"/>
          </w:divBdr>
        </w:div>
      </w:divsChild>
    </w:div>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960920856">
      <w:bodyDiv w:val="1"/>
      <w:marLeft w:val="0"/>
      <w:marRight w:val="0"/>
      <w:marTop w:val="0"/>
      <w:marBottom w:val="0"/>
      <w:divBdr>
        <w:top w:val="none" w:sz="0" w:space="0" w:color="auto"/>
        <w:left w:val="none" w:sz="0" w:space="0" w:color="auto"/>
        <w:bottom w:val="none" w:sz="0" w:space="0" w:color="auto"/>
        <w:right w:val="none" w:sz="0" w:space="0" w:color="auto"/>
      </w:divBdr>
    </w:div>
    <w:div w:id="1403914989">
      <w:bodyDiv w:val="1"/>
      <w:marLeft w:val="0"/>
      <w:marRight w:val="0"/>
      <w:marTop w:val="0"/>
      <w:marBottom w:val="0"/>
      <w:divBdr>
        <w:top w:val="none" w:sz="0" w:space="0" w:color="auto"/>
        <w:left w:val="none" w:sz="0" w:space="0" w:color="auto"/>
        <w:bottom w:val="none" w:sz="0" w:space="0" w:color="auto"/>
        <w:right w:val="none" w:sz="0" w:space="0" w:color="auto"/>
      </w:divBdr>
      <w:divsChild>
        <w:div w:id="742262723">
          <w:marLeft w:val="0"/>
          <w:marRight w:val="0"/>
          <w:marTop w:val="280"/>
          <w:marBottom w:val="280"/>
          <w:divBdr>
            <w:top w:val="none" w:sz="0" w:space="0" w:color="auto"/>
            <w:left w:val="none" w:sz="0" w:space="0" w:color="auto"/>
            <w:bottom w:val="none" w:sz="0" w:space="0" w:color="auto"/>
            <w:right w:val="none" w:sz="0" w:space="0" w:color="auto"/>
          </w:divBdr>
        </w:div>
        <w:div w:id="1116951390">
          <w:marLeft w:val="0"/>
          <w:marRight w:val="0"/>
          <w:marTop w:val="280"/>
          <w:marBottom w:val="280"/>
          <w:divBdr>
            <w:top w:val="none" w:sz="0" w:space="0" w:color="auto"/>
            <w:left w:val="none" w:sz="0" w:space="0" w:color="auto"/>
            <w:bottom w:val="none" w:sz="0" w:space="0" w:color="auto"/>
            <w:right w:val="none" w:sz="0" w:space="0" w:color="auto"/>
          </w:divBdr>
        </w:div>
      </w:divsChild>
    </w:div>
    <w:div w:id="1702391121">
      <w:bodyDiv w:val="1"/>
      <w:marLeft w:val="0"/>
      <w:marRight w:val="0"/>
      <w:marTop w:val="0"/>
      <w:marBottom w:val="0"/>
      <w:divBdr>
        <w:top w:val="none" w:sz="0" w:space="0" w:color="auto"/>
        <w:left w:val="none" w:sz="0" w:space="0" w:color="auto"/>
        <w:bottom w:val="none" w:sz="0" w:space="0" w:color="auto"/>
        <w:right w:val="none" w:sz="0" w:space="0" w:color="auto"/>
      </w:divBdr>
    </w:div>
    <w:div w:id="1780757870">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chart" Target="charts/chart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30.emf"/><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btphuong\Desktop\BAO%20CAO%20THANG%2011%202021\Thang%201%20nam%202022\01.%20FDI+%20DTRNN%2001.2022%20(24-01-2022)%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02%20BAO%20CAO\NAM2022\THANG01.2022\VU%20TH\23.12\Bi&#7875;u%20&#273;&#7891;%20XNK%2023.1.2022.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02%20BAO%20CAO\NAM2022\THANG01.2022\VU%20TH\23.12\Bi&#7875;u%20&#273;&#7891;%20XNK%2023.1.202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oleObject" Target="file:///D:\1.%20Giang-TCTK-Cong%20viec\1.%20Bao%20cao\2021\T9\Bi&#7875;u%20&#273;&#7891;%20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'04. FDI SO SANH '!$C$31</c:f>
              <c:strCache>
                <c:ptCount val="1"/>
                <c:pt idx="0">
                  <c:v>VĐT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'04. FDI SO SANH '!$D$29:$H$30</c:f>
              <c:strCache>
                <c:ptCount val="5"/>
                <c:pt idx="0">
                  <c:v>2018</c:v>
                </c:pt>
                <c:pt idx="1">
                  <c:v>2019</c:v>
                </c:pt>
                <c:pt idx="2">
                  <c:v>2020</c:v>
                </c:pt>
                <c:pt idx="3">
                  <c:v>2021</c:v>
                </c:pt>
                <c:pt idx="4">
                  <c:v>2022</c:v>
                </c:pt>
              </c:strCache>
            </c:strRef>
          </c:cat>
          <c:val>
            <c:numRef>
              <c:f>'04. FDI SO SANH '!$D$31:$H$31</c:f>
              <c:numCache>
                <c:formatCode>0.00</c:formatCode>
                <c:ptCount val="5"/>
                <c:pt idx="0">
                  <c:v>1.42</c:v>
                </c:pt>
                <c:pt idx="1">
                  <c:v>1.55</c:v>
                </c:pt>
                <c:pt idx="2">
                  <c:v>1.45</c:v>
                </c:pt>
                <c:pt idx="3">
                  <c:v>1.51</c:v>
                </c:pt>
                <c:pt idx="4">
                  <c:v>1.61</c:v>
                </c:pt>
              </c:numCache>
            </c:numRef>
          </c:val>
          <c:extLst>
            <c:ext xmlns:c16="http://schemas.microsoft.com/office/drawing/2014/chart" uri="{C3380CC4-5D6E-409C-BE32-E72D297353CC}">
              <c16:uniqueId val="{00000000-0331-468D-B296-41236189BBFA}"/>
            </c:ext>
          </c:extLst>
        </c:ser>
        <c:dLbls>
          <c:showLegendKey val="0"/>
          <c:showVal val="0"/>
          <c:showCatName val="0"/>
          <c:showSerName val="0"/>
          <c:showPercent val="0"/>
          <c:showBubbleSize val="0"/>
        </c:dLbls>
        <c:gapWidth val="150"/>
        <c:axId val="-743824304"/>
        <c:axId val="-743816688"/>
      </c:barChart>
      <c:catAx>
        <c:axId val="-743824304"/>
        <c:scaling>
          <c:orientation val="minMax"/>
        </c:scaling>
        <c:delete val="0"/>
        <c:axPos val="b"/>
        <c:numFmt formatCode="General" sourceLinked="0"/>
        <c:majorTickMark val="out"/>
        <c:minorTickMark val="none"/>
        <c:tickLblPos val="nextTo"/>
        <c:crossAx val="-743816688"/>
        <c:crosses val="autoZero"/>
        <c:auto val="1"/>
        <c:lblAlgn val="ctr"/>
        <c:lblOffset val="100"/>
        <c:noMultiLvlLbl val="0"/>
      </c:catAx>
      <c:valAx>
        <c:axId val="-743816688"/>
        <c:scaling>
          <c:orientation val="minMax"/>
        </c:scaling>
        <c:delete val="0"/>
        <c:axPos val="l"/>
        <c:majorGridlines/>
        <c:numFmt formatCode="0.00" sourceLinked="1"/>
        <c:majorTickMark val="out"/>
        <c:minorTickMark val="none"/>
        <c:tickLblPos val="nextTo"/>
        <c:crossAx val="-7438243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Export and import turnover of goods</a:t>
            </a:r>
          </a:p>
          <a:p>
            <a:pPr>
              <a:defRPr sz="1050">
                <a:latin typeface="Arial" panose="020B0604020202020204" pitchFamily="34" charset="0"/>
                <a:cs typeface="Arial" panose="020B0604020202020204" pitchFamily="34" charset="0"/>
              </a:defRPr>
            </a:pPr>
            <a:r>
              <a:rPr lang="en-US" sz="900" b="1" i="0" baseline="0">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7123712901271957E-2"/>
          <c:y val="0.17614718614718614"/>
          <c:w val="0.85877372299616395"/>
          <c:h val="0.67587312949517675"/>
        </c:manualLayout>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5.2</c:v>
                </c:pt>
                <c:pt idx="1">
                  <c:v>9</c:v>
                </c:pt>
                <c:pt idx="2" formatCode="General">
                  <c:v>1.8</c:v>
                </c:pt>
                <c:pt idx="3" formatCode="General">
                  <c:v>2.5</c:v>
                </c:pt>
                <c:pt idx="4" formatCode="General">
                  <c:v>3.6</c:v>
                </c:pt>
                <c:pt idx="5" formatCode="General">
                  <c:v>1.7</c:v>
                </c:pt>
              </c:numCache>
            </c:numRef>
          </c:val>
          <c:extLst>
            <c:ext xmlns:c16="http://schemas.microsoft.com/office/drawing/2014/chart" uri="{C3380CC4-5D6E-409C-BE32-E72D297353CC}">
              <c16:uniqueId val="{00000000-7D18-491A-8AB9-B1E980F1CFE5}"/>
            </c:ext>
          </c:extLst>
        </c:ser>
        <c:ser>
          <c:idx val="1"/>
          <c:order val="1"/>
          <c:tx>
            <c:v>Nhập khẩu hàng hóa</c:v>
          </c:tx>
          <c:spPr>
            <a:solidFill>
              <a:srgbClr val="FFFF00"/>
            </a:solidFill>
            <a:ln w="3175">
              <a:solidFill>
                <a:schemeClr val="tx1"/>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18-491A-8AB9-B1E980F1CFE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General</c:formatCode>
                <c:ptCount val="6"/>
                <c:pt idx="0">
                  <c:v>10.199999999999999</c:v>
                </c:pt>
                <c:pt idx="1">
                  <c:v>1.1000000000000001</c:v>
                </c:pt>
                <c:pt idx="2">
                  <c:v>5.6</c:v>
                </c:pt>
                <c:pt idx="3">
                  <c:v>3.7</c:v>
                </c:pt>
                <c:pt idx="4">
                  <c:v>1.5</c:v>
                </c:pt>
                <c:pt idx="5">
                  <c:v>2.2999999999999998</c:v>
                </c:pt>
              </c:numCache>
            </c:numRef>
          </c:val>
          <c:extLst>
            <c:ext xmlns:c16="http://schemas.microsoft.com/office/drawing/2014/chart" uri="{C3380CC4-5D6E-409C-BE32-E72D297353CC}">
              <c16:uniqueId val="{00000002-7D18-491A-8AB9-B1E980F1CFE5}"/>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mn-lt"/>
                <a:ea typeface="+mn-ea"/>
                <a:cs typeface="+mn-cs"/>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25000"/>
                  </a:schemeClr>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n-US" sz="900" b="1" i="0" baseline="0">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8.5470085470085375E-3"/>
                  <c:y val="9.98751560549313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5C-4DC5-BA2A-1E374D413F95}"/>
                </c:ext>
              </c:extLst>
            </c:dLbl>
            <c:dLbl>
              <c:idx val="2"/>
              <c:layout>
                <c:manualLayout>
                  <c:x val="-1.282051282051282E-2"/>
                  <c:y val="0.10486891385767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5C-4DC5-BA2A-1E374D413F95}"/>
                </c:ext>
              </c:extLst>
            </c:dLbl>
            <c:dLbl>
              <c:idx val="3"/>
              <c:layout>
                <c:manualLayout>
                  <c:x val="-8.5470085470086259E-3"/>
                  <c:y val="1.4981273408239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5C-4DC5-BA2A-1E374D413F95}"/>
                </c:ext>
              </c:extLst>
            </c:dLbl>
            <c:dLbl>
              <c:idx val="4"/>
              <c:layout>
                <c:manualLayout>
                  <c:x val="-1.7094017094017096E-2"/>
                  <c:y val="8.9887640449438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5C-4DC5-BA2A-1E374D413F9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0.11799999999999999</c:v>
                </c:pt>
                <c:pt idx="1">
                  <c:v>0.10299999999999999</c:v>
                </c:pt>
                <c:pt idx="2">
                  <c:v>-0.02</c:v>
                </c:pt>
                <c:pt idx="3">
                  <c:v>2.4E-2</c:v>
                </c:pt>
                <c:pt idx="4">
                  <c:v>-5.0000000000000001E-3</c:v>
                </c:pt>
                <c:pt idx="5">
                  <c:v>-0.05</c:v>
                </c:pt>
              </c:numCache>
            </c:numRef>
          </c:val>
          <c:extLst>
            <c:ext xmlns:c16="http://schemas.microsoft.com/office/drawing/2014/chart" uri="{C3380CC4-5D6E-409C-BE32-E72D297353CC}">
              <c16:uniqueId val="{00000004-3D5C-4DC5-BA2A-1E374D413F95}"/>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1.282051282051282E-2"/>
                  <c:y val="-2.9962546816479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5C-4DC5-BA2A-1E374D413F9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0.11700000000000001</c:v>
                </c:pt>
                <c:pt idx="1">
                  <c:v>-7.3999999999999996E-2</c:v>
                </c:pt>
                <c:pt idx="2">
                  <c:v>0.17</c:v>
                </c:pt>
                <c:pt idx="3">
                  <c:v>0.18</c:v>
                </c:pt>
                <c:pt idx="4">
                  <c:v>9.7000000000000003E-2</c:v>
                </c:pt>
                <c:pt idx="5">
                  <c:v>0.34</c:v>
                </c:pt>
              </c:numCache>
            </c:numRef>
          </c:val>
          <c:extLst>
            <c:ext xmlns:c16="http://schemas.microsoft.com/office/drawing/2014/chart" uri="{C3380CC4-5D6E-409C-BE32-E72D297353CC}">
              <c16:uniqueId val="{00000006-3D5C-4DC5-BA2A-1E374D413F95}"/>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bg2">
                    <a:lumMod val="25000"/>
                  </a:schemeClr>
                </a:solidFill>
                <a:latin typeface="+mn-lt"/>
                <a:ea typeface="+mn-ea"/>
                <a:cs typeface="+mn-cs"/>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bg2">
                    <a:lumMod val="25000"/>
                  </a:schemeClr>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Sheet1!$A$3</c:f>
              <c:strCache>
                <c:ptCount val="1"/>
                <c:pt idx="0">
                  <c:v>January compared to the same period last year
</c:v>
                </c:pt>
              </c:strCache>
            </c:strRef>
          </c:tx>
          <c:dLbls>
            <c:dLbl>
              <c:idx val="3"/>
              <c:layout>
                <c:manualLayout>
                  <c:x val="3.092436974789834E-3"/>
                  <c:y val="1.4587437020533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9F-4B60-91F4-2B9DBEDA135F}"/>
                </c:ext>
              </c:extLst>
            </c:dLbl>
            <c:spPr>
              <a:noFill/>
              <a:ln>
                <a:noFill/>
              </a:ln>
              <a:effectLst/>
            </c:spPr>
            <c:txPr>
              <a:bodyPr wrap="square" lIns="38100" tIns="19050" rIns="38100" bIns="19050" anchor="ctr">
                <a:spAutoFit/>
              </a:bodyPr>
              <a:lstStyle/>
              <a:p>
                <a:pPr>
                  <a:defRPr sz="800" b="1">
                    <a:solidFill>
                      <a:srgbClr val="C00000"/>
                    </a:solidFill>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2018</c:v>
                </c:pt>
                <c:pt idx="1">
                  <c:v>2019</c:v>
                </c:pt>
                <c:pt idx="2">
                  <c:v>2020</c:v>
                </c:pt>
                <c:pt idx="3">
                  <c:v>2021</c:v>
                </c:pt>
                <c:pt idx="4">
                  <c:v>2022</c:v>
                </c:pt>
              </c:numCache>
            </c:numRef>
          </c:cat>
          <c:val>
            <c:numRef>
              <c:f>Sheet1!$B$3:$F$3</c:f>
              <c:numCache>
                <c:formatCode>General</c:formatCode>
                <c:ptCount val="5"/>
                <c:pt idx="0">
                  <c:v>2.65</c:v>
                </c:pt>
                <c:pt idx="1">
                  <c:v>2.56</c:v>
                </c:pt>
                <c:pt idx="2">
                  <c:v>6.43</c:v>
                </c:pt>
                <c:pt idx="3">
                  <c:v>-0.97</c:v>
                </c:pt>
                <c:pt idx="4">
                  <c:v>1.94</c:v>
                </c:pt>
              </c:numCache>
            </c:numRef>
          </c:val>
          <c:smooth val="0"/>
          <c:extLst>
            <c:ext xmlns:c16="http://schemas.microsoft.com/office/drawing/2014/chart" uri="{C3380CC4-5D6E-409C-BE32-E72D297353CC}">
              <c16:uniqueId val="{00000001-F59F-4B60-91F4-2B9DBEDA135F}"/>
            </c:ext>
          </c:extLst>
        </c:ser>
        <c:ser>
          <c:idx val="2"/>
          <c:order val="1"/>
          <c:tx>
            <c:strRef>
              <c:f>Sheet1!$A$2</c:f>
              <c:strCache>
                <c:ptCount val="1"/>
                <c:pt idx="0">
                  <c:v>January compared to the previous month</c:v>
                </c:pt>
              </c:strCache>
            </c:strRef>
          </c:tx>
          <c:dLbls>
            <c:spPr>
              <a:noFill/>
              <a:ln>
                <a:noFill/>
              </a:ln>
              <a:effectLst/>
            </c:spPr>
            <c:txPr>
              <a:bodyPr wrap="square" lIns="38100" tIns="19050" rIns="38100" bIns="19050" anchor="ctr">
                <a:spAutoFit/>
              </a:bodyPr>
              <a:lstStyle/>
              <a:p>
                <a:pPr>
                  <a:defRPr sz="900" b="1">
                    <a:solidFill>
                      <a:srgbClr val="92D050"/>
                    </a:solidFill>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2018</c:v>
                </c:pt>
                <c:pt idx="1">
                  <c:v>2019</c:v>
                </c:pt>
                <c:pt idx="2">
                  <c:v>2020</c:v>
                </c:pt>
                <c:pt idx="3">
                  <c:v>2021</c:v>
                </c:pt>
                <c:pt idx="4">
                  <c:v>2022</c:v>
                </c:pt>
              </c:numCache>
            </c:numRef>
          </c:cat>
          <c:val>
            <c:numRef>
              <c:f>Sheet1!$B$2:$F$2</c:f>
              <c:numCache>
                <c:formatCode>0.00</c:formatCode>
                <c:ptCount val="5"/>
                <c:pt idx="0">
                  <c:v>0.51</c:v>
                </c:pt>
                <c:pt idx="1">
                  <c:v>0.1</c:v>
                </c:pt>
                <c:pt idx="2">
                  <c:v>1.23</c:v>
                </c:pt>
                <c:pt idx="3">
                  <c:v>0.06</c:v>
                </c:pt>
                <c:pt idx="4">
                  <c:v>0.19</c:v>
                </c:pt>
              </c:numCache>
            </c:numRef>
          </c:val>
          <c:smooth val="0"/>
          <c:extLst>
            <c:ext xmlns:c16="http://schemas.microsoft.com/office/drawing/2014/chart" uri="{C3380CC4-5D6E-409C-BE32-E72D297353CC}">
              <c16:uniqueId val="{00000002-F59F-4B60-91F4-2B9DBEDA135F}"/>
            </c:ext>
          </c:extLst>
        </c:ser>
        <c:dLbls>
          <c:showLegendKey val="0"/>
          <c:showVal val="0"/>
          <c:showCatName val="0"/>
          <c:showSerName val="0"/>
          <c:showPercent val="0"/>
          <c:showBubbleSize val="0"/>
        </c:dLbls>
        <c:marker val="1"/>
        <c:smooth val="0"/>
        <c:axId val="307258496"/>
        <c:axId val="147809408"/>
      </c:lineChart>
      <c:catAx>
        <c:axId val="307258496"/>
        <c:scaling>
          <c:orientation val="minMax"/>
        </c:scaling>
        <c:delete val="0"/>
        <c:axPos val="b"/>
        <c:numFmt formatCode="General" sourceLinked="1"/>
        <c:majorTickMark val="none"/>
        <c:minorTickMark val="none"/>
        <c:tickLblPos val="low"/>
        <c:txPr>
          <a:bodyPr rot="0" anchor="b" anchorCtr="0"/>
          <a:lstStyle/>
          <a:p>
            <a:pPr>
              <a:defRPr b="1"/>
            </a:pPr>
            <a:endParaRPr lang="en-US"/>
          </a:p>
        </c:txPr>
        <c:crossAx val="147809408"/>
        <c:crosses val="autoZero"/>
        <c:auto val="1"/>
        <c:lblAlgn val="ctr"/>
        <c:lblOffset val="100"/>
        <c:noMultiLvlLbl val="0"/>
      </c:catAx>
      <c:valAx>
        <c:axId val="147809408"/>
        <c:scaling>
          <c:orientation val="minMax"/>
        </c:scaling>
        <c:delete val="1"/>
        <c:axPos val="l"/>
        <c:majorGridlines/>
        <c:numFmt formatCode="#,##0" sourceLinked="0"/>
        <c:majorTickMark val="none"/>
        <c:minorTickMark val="none"/>
        <c:tickLblPos val="nextTo"/>
        <c:crossAx val="307258496"/>
        <c:crosses val="autoZero"/>
        <c:crossBetween val="between"/>
      </c:valAx>
    </c:plotArea>
    <c:legend>
      <c:legendPos val="b"/>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BC943-4DE4-49C0-936D-F23FA8C7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26</Pages>
  <Words>6747</Words>
  <Characters>38462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45119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dtthuy</dc:creator>
  <cp:keywords/>
  <cp:lastModifiedBy>user1843</cp:lastModifiedBy>
  <cp:revision>472</cp:revision>
  <cp:lastPrinted>2022-01-28T00:54:00Z</cp:lastPrinted>
  <dcterms:created xsi:type="dcterms:W3CDTF">2022-01-26T07:35:00Z</dcterms:created>
  <dcterms:modified xsi:type="dcterms:W3CDTF">2022-02-07T06:42:00Z</dcterms:modified>
</cp:coreProperties>
</file>