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2"/>
        <w:tblW w:w="10710" w:type="dxa"/>
        <w:tblLayout w:type="fixed"/>
        <w:tblLook w:val="04A0" w:firstRow="1" w:lastRow="0" w:firstColumn="1" w:lastColumn="0" w:noHBand="0" w:noVBand="1"/>
      </w:tblPr>
      <w:tblGrid>
        <w:gridCol w:w="5490"/>
        <w:gridCol w:w="5220"/>
      </w:tblGrid>
      <w:tr w:rsidR="00D54602" w14:paraId="56829373" w14:textId="77777777" w:rsidTr="00D54602">
        <w:trPr>
          <w:trHeight w:val="1026"/>
        </w:trPr>
        <w:tc>
          <w:tcPr>
            <w:tcW w:w="5490" w:type="dxa"/>
          </w:tcPr>
          <w:p w14:paraId="5432A69C" w14:textId="77777777" w:rsidR="00D54602" w:rsidRDefault="00D54602">
            <w:pPr>
              <w:ind w:left="72" w:right="-115"/>
              <w:jc w:val="center"/>
              <w:rPr>
                <w:spacing w:val="-6"/>
                <w:sz w:val="24"/>
                <w:szCs w:val="24"/>
                <w:lang w:val="en-GB" w:eastAsia="en-GB"/>
              </w:rPr>
            </w:pPr>
            <w:r>
              <w:rPr>
                <w:spacing w:val="-6"/>
                <w:sz w:val="24"/>
                <w:szCs w:val="24"/>
                <w:lang w:val="en-GB" w:eastAsia="en-GB"/>
              </w:rPr>
              <w:softHyphen/>
            </w:r>
            <w:r>
              <w:rPr>
                <w:spacing w:val="-6"/>
                <w:sz w:val="24"/>
                <w:szCs w:val="24"/>
                <w:lang w:val="en-GB" w:eastAsia="en-GB"/>
              </w:rPr>
              <w:softHyphen/>
            </w:r>
            <w:r>
              <w:rPr>
                <w:spacing w:val="-6"/>
                <w:sz w:val="24"/>
                <w:szCs w:val="24"/>
                <w:lang w:val="en-GB" w:eastAsia="en-GB"/>
              </w:rPr>
              <w:softHyphen/>
            </w:r>
            <w:r>
              <w:rPr>
                <w:spacing w:val="-6"/>
                <w:sz w:val="24"/>
                <w:szCs w:val="24"/>
                <w:lang w:val="en-GB" w:eastAsia="en-GB"/>
              </w:rPr>
              <w:softHyphen/>
              <w:t>MINISTRY OF PLANNING AND INVESTMENT</w:t>
            </w:r>
          </w:p>
          <w:p w14:paraId="362E8092" w14:textId="35EBF360" w:rsidR="00D54602" w:rsidRDefault="00D54602">
            <w:pPr>
              <w:ind w:left="72" w:right="-115"/>
              <w:jc w:val="center"/>
              <w:rPr>
                <w:b/>
                <w:bCs/>
                <w:spacing w:val="-6"/>
                <w:sz w:val="24"/>
                <w:szCs w:val="24"/>
                <w:lang w:val="en-GB" w:eastAsia="en-GB"/>
              </w:rPr>
            </w:pPr>
            <w:r>
              <w:rPr>
                <w:noProof/>
                <w:lang w:val="en-GB" w:eastAsia="en-GB"/>
              </w:rPr>
              <mc:AlternateContent>
                <mc:Choice Requires="wps">
                  <w:drawing>
                    <wp:anchor distT="4294967292" distB="4294967292" distL="114300" distR="114300" simplePos="0" relativeHeight="251669504" behindDoc="0" locked="0" layoutInCell="1" allowOverlap="1" wp14:anchorId="66598D7D" wp14:editId="3F68E37C">
                      <wp:simplePos x="0" y="0"/>
                      <wp:positionH relativeFrom="column">
                        <wp:posOffset>1145540</wp:posOffset>
                      </wp:positionH>
                      <wp:positionV relativeFrom="paragraph">
                        <wp:posOffset>203200</wp:posOffset>
                      </wp:positionV>
                      <wp:extent cx="971550" cy="0"/>
                      <wp:effectExtent l="0" t="0" r="0"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F9B6DD" id="Straight Connector 30" o:spid="_x0000_s1026" style="position:absolute;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0.2pt,16pt" to="16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" strokeweight="1pt"/>
                  </w:pict>
                </mc:Fallback>
              </mc:AlternateContent>
            </w:r>
            <w:r>
              <w:rPr>
                <w:b/>
                <w:bCs/>
                <w:spacing w:val="-6"/>
                <w:sz w:val="24"/>
                <w:szCs w:val="24"/>
                <w:lang w:val="en-GB" w:eastAsia="en-GB"/>
              </w:rPr>
              <w:t>GENERAL STATISTICS OFFICE</w:t>
            </w:r>
          </w:p>
          <w:p w14:paraId="310728F9" w14:textId="77777777" w:rsidR="00D54602" w:rsidRDefault="00D54602">
            <w:pPr>
              <w:spacing w:before="120"/>
              <w:ind w:left="16" w:right="-18"/>
              <w:jc w:val="center"/>
              <w:rPr>
                <w:sz w:val="26"/>
                <w:szCs w:val="26"/>
                <w:lang w:val="en-GB" w:eastAsia="en-GB"/>
              </w:rPr>
            </w:pPr>
          </w:p>
          <w:p w14:paraId="7ABB9A51" w14:textId="77777777" w:rsidR="00D54602" w:rsidRDefault="00D54602">
            <w:pPr>
              <w:spacing w:before="120"/>
              <w:ind w:left="16" w:right="-18"/>
              <w:jc w:val="center"/>
              <w:rPr>
                <w:sz w:val="26"/>
                <w:szCs w:val="26"/>
                <w:lang w:val="vi-VN" w:eastAsia="en-GB"/>
              </w:rPr>
            </w:pPr>
            <w:r>
              <w:rPr>
                <w:sz w:val="26"/>
                <w:szCs w:val="26"/>
                <w:lang w:val="en-GB" w:eastAsia="en-GB"/>
              </w:rPr>
              <w:t>No: 36/BC-TCT</w:t>
            </w:r>
            <w:r>
              <w:rPr>
                <w:sz w:val="26"/>
                <w:szCs w:val="26"/>
                <w:lang w:val="vi-VN" w:eastAsia="en-GB"/>
              </w:rPr>
              <w:t>K</w:t>
            </w:r>
          </w:p>
        </w:tc>
        <w:tc>
          <w:tcPr>
            <w:tcW w:w="5220" w:type="dxa"/>
          </w:tcPr>
          <w:p w14:paraId="0A1C08AB" w14:textId="77777777" w:rsidR="00D54602" w:rsidRDefault="00D54602">
            <w:pPr>
              <w:rPr>
                <w:b/>
                <w:bCs/>
                <w:sz w:val="24"/>
                <w:szCs w:val="24"/>
                <w:lang w:val="en-GB" w:eastAsia="en-GB"/>
              </w:rPr>
            </w:pPr>
            <w:r>
              <w:rPr>
                <w:b/>
                <w:bCs/>
                <w:sz w:val="24"/>
                <w:szCs w:val="24"/>
                <w:lang w:val="en-GB" w:eastAsia="en-GB"/>
              </w:rPr>
              <w:t>SOCIALIST REPUBLIC OF VIET NAM</w:t>
            </w:r>
          </w:p>
          <w:p w14:paraId="708549AE" w14:textId="3097F0DB" w:rsidR="00D54602" w:rsidRDefault="00D54602">
            <w:pPr>
              <w:rPr>
                <w:b/>
                <w:bCs/>
                <w:sz w:val="24"/>
                <w:szCs w:val="24"/>
                <w:lang w:val="en-GB" w:eastAsia="en-GB"/>
              </w:rPr>
            </w:pPr>
            <w:r>
              <w:rPr>
                <w:noProof/>
                <w:lang w:val="en-GB" w:eastAsia="en-GB"/>
              </w:rPr>
              <mc:AlternateContent>
                <mc:Choice Requires="wps">
                  <w:drawing>
                    <wp:anchor distT="4294967292" distB="4294967292" distL="114300" distR="114300" simplePos="0" relativeHeight="251670528" behindDoc="0" locked="0" layoutInCell="1" allowOverlap="1" wp14:anchorId="1495DC57" wp14:editId="787EB94E">
                      <wp:simplePos x="0" y="0"/>
                      <wp:positionH relativeFrom="column">
                        <wp:posOffset>336550</wp:posOffset>
                      </wp:positionH>
                      <wp:positionV relativeFrom="paragraph">
                        <wp:posOffset>203200</wp:posOffset>
                      </wp:positionV>
                      <wp:extent cx="1884045" cy="0"/>
                      <wp:effectExtent l="0" t="0" r="0" b="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04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0768E13" id="Straight Connector 27" o:spid="_x0000_s1026" style="position:absolute;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5pt,16pt" to="174.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" strokeweight="1pt"/>
                  </w:pict>
                </mc:Fallback>
              </mc:AlternateContent>
            </w:r>
            <w:r>
              <w:rPr>
                <w:b/>
                <w:bCs/>
                <w:sz w:val="24"/>
                <w:szCs w:val="24"/>
                <w:lang w:val="en-GB" w:eastAsia="en-GB"/>
              </w:rPr>
              <w:t>Independence-Freedom-Happiness</w:t>
            </w:r>
          </w:p>
          <w:p w14:paraId="446895F1" w14:textId="77777777" w:rsidR="00D54602" w:rsidRDefault="00D54602">
            <w:pPr>
              <w:ind w:left="72"/>
              <w:jc w:val="center"/>
              <w:rPr>
                <w:i/>
                <w:iCs/>
                <w:sz w:val="26"/>
                <w:szCs w:val="26"/>
                <w:lang w:val="en-GB" w:eastAsia="en-GB"/>
              </w:rPr>
            </w:pPr>
          </w:p>
          <w:p w14:paraId="7B4D1098" w14:textId="77777777" w:rsidR="00D54602" w:rsidRDefault="00D54602">
            <w:pPr>
              <w:ind w:left="72" w:right="849"/>
              <w:jc w:val="center"/>
              <w:rPr>
                <w:b/>
                <w:bCs/>
                <w:i/>
                <w:iCs/>
                <w:sz w:val="26"/>
                <w:szCs w:val="26"/>
                <w:lang w:val="en-GB" w:eastAsia="en-GB"/>
              </w:rPr>
            </w:pPr>
            <w:r>
              <w:rPr>
                <w:i/>
                <w:iCs/>
                <w:sz w:val="26"/>
                <w:szCs w:val="26"/>
                <w:lang w:val="en-GB" w:eastAsia="en-GB"/>
              </w:rPr>
              <w:t>Ha Noi, 28</w:t>
            </w:r>
            <w:r>
              <w:rPr>
                <w:i/>
                <w:iCs/>
                <w:sz w:val="26"/>
                <w:szCs w:val="26"/>
                <w:vertAlign w:val="superscript"/>
                <w:lang w:val="en-GB" w:eastAsia="en-GB"/>
              </w:rPr>
              <w:t>th</w:t>
            </w:r>
            <w:r>
              <w:rPr>
                <w:i/>
                <w:iCs/>
                <w:sz w:val="26"/>
                <w:szCs w:val="26"/>
                <w:lang w:val="en-GB" w:eastAsia="en-GB"/>
              </w:rPr>
              <w:t xml:space="preserve"> February 2022</w:t>
            </w:r>
          </w:p>
        </w:tc>
      </w:tr>
    </w:tbl>
    <w:p w14:paraId="425DAE06" w14:textId="77777777" w:rsidR="003A35EA" w:rsidRPr="000169D6" w:rsidRDefault="003A35EA" w:rsidP="0016207C">
      <w:pPr>
        <w:spacing w:line="276" w:lineRule="auto"/>
        <w:jc w:val="center"/>
        <w:rPr>
          <w:rFonts w:ascii=".VnArialH" w:hAnsi=".VnArialH" w:cs=".VnArialH"/>
          <w:b/>
          <w:bCs/>
          <w:sz w:val="2"/>
          <w:szCs w:val="2"/>
        </w:rPr>
      </w:pPr>
    </w:p>
    <w:p w14:paraId="32B32AE5" w14:textId="1E8173ED" w:rsidR="00D54602" w:rsidRDefault="00D54602" w:rsidP="0016207C">
      <w:pPr>
        <w:spacing w:before="20"/>
        <w:jc w:val="center"/>
        <w:rPr>
          <w:b/>
          <w:bCs/>
          <w:sz w:val="40"/>
          <w:szCs w:val="40"/>
        </w:rPr>
      </w:pPr>
    </w:p>
    <w:p w14:paraId="16432E51" w14:textId="73AF4362" w:rsidR="00D54602" w:rsidRDefault="00D54602" w:rsidP="00D54602">
      <w:pPr>
        <w:spacing w:line="244" w:lineRule="auto"/>
        <w:jc w:val="center"/>
        <w:rPr>
          <w:b/>
          <w:bCs/>
          <w:sz w:val="32"/>
          <w:szCs w:val="32"/>
          <w:lang w:val="pt-BR"/>
        </w:rPr>
      </w:pPr>
      <w:r>
        <w:rPr>
          <w:noProof/>
        </w:rPr>
        <mc:AlternateContent>
          <mc:Choice Requires="wpg">
            <w:drawing>
              <wp:anchor distT="0" distB="0" distL="114300" distR="114300" simplePos="0" relativeHeight="251672576" behindDoc="1" locked="0" layoutInCell="1" allowOverlap="1" wp14:anchorId="46BE86B8" wp14:editId="133858B1">
                <wp:simplePos x="0" y="0"/>
                <wp:positionH relativeFrom="page">
                  <wp:posOffset>3277235</wp:posOffset>
                </wp:positionH>
                <wp:positionV relativeFrom="paragraph">
                  <wp:posOffset>280670</wp:posOffset>
                </wp:positionV>
                <wp:extent cx="1412875" cy="1270"/>
                <wp:effectExtent l="0" t="0" r="0" b="0"/>
                <wp:wrapNone/>
                <wp:docPr id="4" name="Group 4"/>
                <wp:cNvGraphicFramePr/>
                <a:graphic xmlns:a="http://schemas.openxmlformats.org/drawingml/2006/main">
                  <a:graphicData uri="http://schemas.microsoft.com/office/word/2010/wordprocessingGroup">
                    <wpg:wgp>
                      <wpg:cNvGrpSpPr/>
                      <wpg:grpSpPr bwMode="auto">
                        <a:xfrm>
                          <a:off x="0" y="0"/>
                          <a:ext cx="1412875" cy="1270"/>
                          <a:chOff x="0" y="0"/>
                          <a:chExt cx="2225" cy="2"/>
                        </a:xfrm>
                      </wpg:grpSpPr>
                      <wps:wsp>
                        <wps:cNvPr id="32" name="Freeform 7"/>
                        <wps:cNvSpPr>
                          <a:spLocks/>
                        </wps:cNvSpPr>
                        <wps:spPr bwMode="auto">
                          <a:xfrm>
                            <a:off x="0" y="0"/>
                            <a:ext cx="2225" cy="2"/>
                          </a:xfrm>
                          <a:custGeom>
                            <a:avLst/>
                            <a:gdLst>
                              <a:gd name="T0" fmla="+- 0 5161 5161"/>
                              <a:gd name="T1" fmla="*/ T0 w 2225"/>
                              <a:gd name="T2" fmla="+- 0 7386 5161"/>
                              <a:gd name="T3" fmla="*/ T2 w 2225"/>
                            </a:gdLst>
                            <a:ahLst/>
                            <a:cxnLst>
                              <a:cxn ang="0">
                                <a:pos x="T1" y="0"/>
                              </a:cxn>
                              <a:cxn ang="0">
                                <a:pos x="T3" y="0"/>
                              </a:cxn>
                            </a:cxnLst>
                            <a:rect l="0" t="0" r="r" b="b"/>
                            <a:pathLst>
                              <a:path w="2225">
                                <a:moveTo>
                                  <a:pt x="0" y="0"/>
                                </a:moveTo>
                                <a:lnTo>
                                  <a:pt x="222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9CD632" id="Group 4" o:spid="_x0000_s1026" style="position:absolute;margin-left:258.05pt;margin-top:22.1pt;width:111.25pt;height:.1pt;z-index:-251643904;mso-position-horizontal-relative:page"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">
                <v:shape id="Freeform 7" o:spid="_x0000_s1027" style="position:absolute;width:2225;height:2;visibility:visible;mso-wrap-style:square;v-text-anchor:top" coordsize="2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" path="m,l2225,e" filled="f">
                  <v:path arrowok="t" o:connecttype="custom" o:connectlocs="0,0;2225,0" o:connectangles="0,0"/>
                </v:shape>
                <w10:wrap anchorx="page"/>
              </v:group>
            </w:pict>
          </mc:Fallback>
        </mc:AlternateContent>
      </w:r>
      <w:bookmarkStart w:id="0" w:name="_Hlk97191354"/>
      <w:r>
        <w:rPr>
          <w:b/>
          <w:bCs/>
          <w:sz w:val="32"/>
          <w:szCs w:val="32"/>
          <w:lang w:val="pt-BR"/>
        </w:rPr>
        <w:t xml:space="preserve"> Socio-economic situation report in February 2022</w:t>
      </w:r>
    </w:p>
    <w:bookmarkEnd w:id="0"/>
    <w:p w14:paraId="2A549B5D" w14:textId="77777777" w:rsidR="00D54602" w:rsidRDefault="00D54602" w:rsidP="00D54602">
      <w:pPr>
        <w:spacing w:before="7"/>
        <w:ind w:right="172"/>
        <w:jc w:val="center"/>
        <w:rPr>
          <w:b/>
          <w:bCs/>
          <w:sz w:val="34"/>
          <w:szCs w:val="34"/>
        </w:rPr>
      </w:pPr>
    </w:p>
    <w:p w14:paraId="674911AE" w14:textId="77777777" w:rsidR="00D54602" w:rsidRPr="000169D6" w:rsidRDefault="00D54602" w:rsidP="0016207C">
      <w:pPr>
        <w:spacing w:before="20"/>
        <w:jc w:val="center"/>
        <w:rPr>
          <w:rFonts w:ascii="Arial" w:hAnsi="Arial" w:cs="Arial"/>
          <w:b/>
          <w:bCs/>
          <w:sz w:val="38"/>
          <w:szCs w:val="52"/>
        </w:rPr>
      </w:pPr>
    </w:p>
    <w:p w14:paraId="7325CD52" w14:textId="345DF7E5" w:rsidR="00857754" w:rsidRPr="00531A9B" w:rsidRDefault="00857754" w:rsidP="00857754">
      <w:pPr>
        <w:spacing w:before="40" w:after="40" w:line="269" w:lineRule="auto"/>
        <w:ind w:firstLine="567"/>
        <w:jc w:val="both"/>
        <w:rPr>
          <w:b/>
          <w:bCs/>
          <w:lang w:val="pt-BR"/>
        </w:rPr>
      </w:pPr>
      <w:r w:rsidRPr="00531A9B">
        <w:rPr>
          <w:b/>
          <w:bCs/>
          <w:lang w:val="pt-BR"/>
        </w:rPr>
        <w:t xml:space="preserve">1. </w:t>
      </w:r>
      <w:r w:rsidR="00103D49">
        <w:rPr>
          <w:b/>
          <w:bCs/>
        </w:rPr>
        <w:t>Agriculture, forestry</w:t>
      </w:r>
      <w:r w:rsidR="00481458">
        <w:rPr>
          <w:b/>
          <w:bCs/>
        </w:rPr>
        <w:t>,</w:t>
      </w:r>
      <w:r w:rsidR="00103D49">
        <w:rPr>
          <w:b/>
          <w:bCs/>
        </w:rPr>
        <w:t xml:space="preserve"> and fishery</w:t>
      </w:r>
    </w:p>
    <w:p w14:paraId="0B378E44" w14:textId="50BECC90" w:rsidR="00FB701C" w:rsidRPr="008935F3" w:rsidRDefault="00FB701C" w:rsidP="00857754">
      <w:pPr>
        <w:spacing w:before="40" w:after="40" w:line="269" w:lineRule="auto"/>
        <w:ind w:right="1" w:firstLine="567"/>
        <w:jc w:val="both"/>
        <w:rPr>
          <w:rFonts w:ascii="Times New Roman Italic" w:hAnsi="Times New Roman Italic"/>
          <w:b/>
          <w:i/>
          <w:spacing w:val="-2"/>
          <w:lang w:val="sv-SE"/>
        </w:rPr>
      </w:pPr>
      <w:r w:rsidRPr="00FB701C">
        <w:rPr>
          <w:rFonts w:ascii="Times New Roman Italic" w:hAnsi="Times New Roman Italic"/>
          <w:i/>
          <w:iCs/>
          <w:spacing w:val="-2"/>
          <w:lang w:val="de-DE"/>
        </w:rPr>
        <w:t>Agricultural production in February 2022 took place in severe cold weather conditions in the northern provinces, which affected the growth and development of plants and animals. Livestock production face</w:t>
      </w:r>
      <w:r>
        <w:rPr>
          <w:rFonts w:ascii="Times New Roman Italic" w:hAnsi="Times New Roman Italic"/>
          <w:i/>
          <w:iCs/>
          <w:spacing w:val="-2"/>
          <w:lang w:val="de-DE"/>
        </w:rPr>
        <w:t>d</w:t>
      </w:r>
      <w:r w:rsidRPr="00FB701C">
        <w:rPr>
          <w:rFonts w:ascii="Times New Roman Italic" w:hAnsi="Times New Roman Italic"/>
          <w:i/>
          <w:iCs/>
          <w:spacing w:val="-2"/>
          <w:lang w:val="de-DE"/>
        </w:rPr>
        <w:t xml:space="preserve"> difficulties due to rising feed prices and the risk of a re-emergence of African swine fever. Forestry production focuse</w:t>
      </w:r>
      <w:r>
        <w:rPr>
          <w:rFonts w:ascii="Times New Roman Italic" w:hAnsi="Times New Roman Italic"/>
          <w:i/>
          <w:iCs/>
          <w:spacing w:val="-2"/>
          <w:lang w:val="de-DE"/>
        </w:rPr>
        <w:t>d</w:t>
      </w:r>
      <w:r w:rsidRPr="00FB701C">
        <w:rPr>
          <w:rFonts w:ascii="Times New Roman Italic" w:hAnsi="Times New Roman Italic"/>
          <w:i/>
          <w:iCs/>
          <w:spacing w:val="-2"/>
          <w:lang w:val="de-DE"/>
        </w:rPr>
        <w:t xml:space="preserve"> on implementing the movement of planting trees and planting forests in the Spring crop; taking care and protecting forests, fight forest fires in the dry season in the southern region. Aquaculture has grown steadily, pangasius prices </w:t>
      </w:r>
      <w:r w:rsidR="00D525A8">
        <w:rPr>
          <w:rFonts w:ascii="Times New Roman Italic" w:hAnsi="Times New Roman Italic"/>
          <w:i/>
          <w:iCs/>
          <w:spacing w:val="-2"/>
          <w:lang w:val="de-DE"/>
        </w:rPr>
        <w:t>were</w:t>
      </w:r>
      <w:r w:rsidRPr="00FB701C">
        <w:rPr>
          <w:rFonts w:ascii="Times New Roman Italic" w:hAnsi="Times New Roman Italic"/>
          <w:i/>
          <w:iCs/>
          <w:spacing w:val="-2"/>
          <w:lang w:val="de-DE"/>
        </w:rPr>
        <w:t xml:space="preserve"> at a high level due to a strong increase in export demand after the Lunar New Year while the supply of raw materials for export </w:t>
      </w:r>
      <w:r w:rsidR="00363BC2">
        <w:rPr>
          <w:rFonts w:ascii="Times New Roman Italic" w:hAnsi="Times New Roman Italic"/>
          <w:i/>
          <w:iCs/>
          <w:spacing w:val="-2"/>
          <w:lang w:val="de-DE"/>
        </w:rPr>
        <w:t>was</w:t>
      </w:r>
      <w:r w:rsidRPr="00FB701C">
        <w:rPr>
          <w:rFonts w:ascii="Times New Roman Italic" w:hAnsi="Times New Roman Italic"/>
          <w:i/>
          <w:iCs/>
          <w:spacing w:val="-2"/>
          <w:lang w:val="de-DE"/>
        </w:rPr>
        <w:t xml:space="preserve"> scarce; Farmed shrimp gr</w:t>
      </w:r>
      <w:r w:rsidR="00363BC2">
        <w:rPr>
          <w:rFonts w:ascii="Times New Roman Italic" w:hAnsi="Times New Roman Italic"/>
          <w:i/>
          <w:iCs/>
          <w:spacing w:val="-2"/>
          <w:lang w:val="de-DE"/>
        </w:rPr>
        <w:t>ew</w:t>
      </w:r>
      <w:r w:rsidRPr="00FB701C">
        <w:rPr>
          <w:rFonts w:ascii="Times New Roman Italic" w:hAnsi="Times New Roman Italic"/>
          <w:i/>
          <w:iCs/>
          <w:spacing w:val="-2"/>
          <w:lang w:val="de-DE"/>
        </w:rPr>
        <w:t xml:space="preserve"> stably and ha</w:t>
      </w:r>
      <w:r w:rsidR="00363BC2">
        <w:rPr>
          <w:rFonts w:ascii="Times New Roman Italic" w:hAnsi="Times New Roman Italic"/>
          <w:i/>
          <w:iCs/>
          <w:spacing w:val="-2"/>
          <w:lang w:val="de-DE"/>
        </w:rPr>
        <w:t>d</w:t>
      </w:r>
      <w:r w:rsidRPr="00FB701C">
        <w:rPr>
          <w:rFonts w:ascii="Times New Roman Italic" w:hAnsi="Times New Roman Italic"/>
          <w:i/>
          <w:iCs/>
          <w:spacing w:val="-2"/>
          <w:lang w:val="de-DE"/>
        </w:rPr>
        <w:t xml:space="preserve"> few diseases.</w:t>
      </w:r>
    </w:p>
    <w:p w14:paraId="39C41757" w14:textId="77777777" w:rsidR="00BB17C4" w:rsidRDefault="00857754" w:rsidP="00BB17C4">
      <w:pPr>
        <w:pStyle w:val="ListParagraph"/>
        <w:tabs>
          <w:tab w:val="left" w:pos="1080"/>
          <w:tab w:val="left" w:pos="1134"/>
        </w:tabs>
        <w:spacing w:before="40" w:after="40" w:line="288" w:lineRule="auto"/>
        <w:ind w:left="0" w:firstLine="567"/>
        <w:jc w:val="both"/>
        <w:rPr>
          <w:b/>
          <w:bCs/>
          <w:i/>
          <w:iCs/>
        </w:rPr>
      </w:pPr>
      <w:r w:rsidRPr="00531A9B">
        <w:rPr>
          <w:b/>
          <w:bCs/>
          <w:i/>
          <w:iCs/>
          <w:lang w:val="pt-BR"/>
        </w:rPr>
        <w:t xml:space="preserve">a) </w:t>
      </w:r>
      <w:r w:rsidR="00BB17C4">
        <w:rPr>
          <w:b/>
          <w:bCs/>
          <w:i/>
          <w:iCs/>
        </w:rPr>
        <w:t>Agriculture</w:t>
      </w:r>
    </w:p>
    <w:p w14:paraId="2C6526A4" w14:textId="77777777" w:rsidR="00332E64" w:rsidRDefault="00332E64" w:rsidP="00857754">
      <w:pPr>
        <w:spacing w:before="40" w:after="40" w:line="269" w:lineRule="auto"/>
        <w:ind w:firstLine="567"/>
        <w:jc w:val="both"/>
        <w:rPr>
          <w:lang w:val="pl-PL"/>
        </w:rPr>
      </w:pPr>
      <w:r w:rsidRPr="00332E64">
        <w:rPr>
          <w:lang w:val="pl-PL"/>
        </w:rPr>
        <w:t>As of mid-February, the whole country cultivated 2,638.7 thousand hectares of spring rice, equaling 101.2% the same period last year, of which: Northern localities planted 740.5 thousand hectares, equaling 105, 6%; the southern localities planted 1,898.1 thousand hectares, equaling 99.6%; particularly the Mekong Delta provinces alone planted 1,501.8 thousand hectares, equaling 98.8%.</w:t>
      </w:r>
    </w:p>
    <w:p w14:paraId="3016330E" w14:textId="77777777" w:rsidR="00A61B29" w:rsidRDefault="00A61B29" w:rsidP="00857754">
      <w:pPr>
        <w:spacing w:before="40" w:after="40" w:line="269" w:lineRule="auto"/>
        <w:ind w:firstLine="567"/>
        <w:jc w:val="both"/>
        <w:rPr>
          <w:lang w:val="pl-PL"/>
        </w:rPr>
      </w:pPr>
      <w:r w:rsidRPr="00A61B29">
        <w:rPr>
          <w:lang w:val="pl-PL"/>
        </w:rPr>
        <w:t>In the Northern provinces, the progress of spring rice planting this year was higher than that of the same period last year mainly due to the rain at the beginning of the crop, and the localities have actively collected and stored enough water for planting. Some localities have had high progress in planting spring rice such as Thai Binh reached 21.5 thousand hectares, equaling 303.3% the same period last year; Hanoi reached 34.3 thousand hectares, equaling 172.7%; Hai Phong reached 17 thousand hectares, equaling 154.5%; Ninh Binh reached 34.8 thousand hectares, equaling 133.4%. To ensure the good growth and development of rice plants, it is necessary to closely monitor the weather and disease situation, promptly handle arising disease outbreaks so as not to affect the growth of rice.</w:t>
      </w:r>
    </w:p>
    <w:p w14:paraId="1B8441DB" w14:textId="2213C8EE" w:rsidR="005D1BCE" w:rsidRDefault="005D1BCE" w:rsidP="00857754">
      <w:pPr>
        <w:spacing w:before="40" w:after="40" w:line="269" w:lineRule="auto"/>
        <w:ind w:firstLine="567"/>
        <w:jc w:val="both"/>
        <w:rPr>
          <w:lang w:val="pl-PL"/>
        </w:rPr>
      </w:pPr>
      <w:r w:rsidRPr="005D1BCE">
        <w:rPr>
          <w:lang w:val="pl-PL"/>
        </w:rPr>
        <w:t xml:space="preserve">The southern localities have completed the planting of spring rice and started harvesting some early rice. The area of ​​spring rice decreased by 8.4 </w:t>
      </w:r>
      <w:r w:rsidRPr="005D1BCE">
        <w:rPr>
          <w:lang w:val="pl-PL"/>
        </w:rPr>
        <w:lastRenderedPageBreak/>
        <w:t>thousand hectares compared to the same period last year, the Mekong River Delta decreased by 17.8 thousand hectares because some localities actively reduced the area for sowing or converted other areas inefficient rice to dry crops, using less water.</w:t>
      </w:r>
    </w:p>
    <w:p w14:paraId="28E7F5AB" w14:textId="77777777" w:rsidR="000576E3" w:rsidRDefault="000576E3" w:rsidP="00857754">
      <w:pPr>
        <w:spacing w:before="40" w:after="40" w:line="269" w:lineRule="auto"/>
        <w:ind w:firstLine="567"/>
        <w:jc w:val="both"/>
        <w:rPr>
          <w:lang w:val="pl-PL"/>
        </w:rPr>
      </w:pPr>
      <w:r w:rsidRPr="000576E3">
        <w:rPr>
          <w:lang w:val="pl-PL"/>
        </w:rPr>
        <w:t>Currently, spring rice is developing well, the main rice crops are in the tillering stage, some are in the milking stage, preparing to flower, of which the Mekong Delta with 300.2 thousand hectares of spring rice for harvest, accounting for 20% of the region's cultivated area and equaling 109.5% the same period last year.</w:t>
      </w:r>
    </w:p>
    <w:p w14:paraId="19078A1E" w14:textId="6C101AFD" w:rsidR="00E929EE" w:rsidRDefault="00E929EE" w:rsidP="00E929EE">
      <w:pPr>
        <w:spacing w:before="40" w:after="40" w:line="269" w:lineRule="auto"/>
        <w:ind w:firstLine="567"/>
        <w:jc w:val="both"/>
        <w:rPr>
          <w:lang w:val="pl-PL"/>
        </w:rPr>
      </w:pPr>
      <w:r w:rsidRPr="00E929EE">
        <w:rPr>
          <w:lang w:val="pl-PL"/>
        </w:rPr>
        <w:t>Along with planting spring rice, localities across the country are planting other crops. The area of ​​sweet potatoes, soybeans, and peanuts decreased compared to the same period last year, mainly due to low economic efficiency and difficulties in consumption, so farmers tend to switch to growing maize and vegetable, legumes type.</w:t>
      </w:r>
    </w:p>
    <w:p w14:paraId="40E85585" w14:textId="77777777" w:rsidR="0027131E" w:rsidRPr="00E929EE" w:rsidRDefault="0027131E" w:rsidP="00E929EE">
      <w:pPr>
        <w:spacing w:before="40" w:after="40" w:line="269" w:lineRule="auto"/>
        <w:ind w:firstLine="567"/>
        <w:jc w:val="both"/>
        <w:rPr>
          <w:lang w:val="pl-PL"/>
        </w:rPr>
      </w:pPr>
    </w:p>
    <w:p w14:paraId="4E06A517" w14:textId="77777777" w:rsidR="00A1539D" w:rsidRPr="008907B5" w:rsidRDefault="00A1539D" w:rsidP="00A1539D">
      <w:pPr>
        <w:spacing w:before="40" w:after="40" w:line="271" w:lineRule="auto"/>
        <w:jc w:val="center"/>
        <w:rPr>
          <w:rFonts w:ascii="Arial" w:hAnsi="Arial" w:cs="Arial"/>
          <w:sz w:val="24"/>
          <w:szCs w:val="24"/>
          <w:lang w:val="de-DE"/>
        </w:rPr>
      </w:pPr>
      <w:r>
        <w:rPr>
          <w:rFonts w:ascii="Arial" w:hAnsi="Arial" w:cs="Arial"/>
          <w:b/>
          <w:sz w:val="24"/>
          <w:szCs w:val="24"/>
          <w:lang w:val="de-DE"/>
        </w:rPr>
        <w:t>Figure</w:t>
      </w:r>
      <w:r w:rsidRPr="009F297E">
        <w:rPr>
          <w:rFonts w:ascii="Arial" w:hAnsi="Arial" w:cs="Arial"/>
          <w:b/>
          <w:sz w:val="24"/>
          <w:szCs w:val="24"/>
          <w:lang w:val="de-DE"/>
        </w:rPr>
        <w:t xml:space="preserve"> </w:t>
      </w:r>
      <w:r>
        <w:rPr>
          <w:rFonts w:ascii="Arial" w:hAnsi="Arial" w:cs="Arial"/>
          <w:b/>
          <w:sz w:val="24"/>
          <w:szCs w:val="24"/>
          <w:lang w:val="de-DE"/>
        </w:rPr>
        <w:t>1: Cultivation of main annual crops</w:t>
      </w:r>
    </w:p>
    <w:p w14:paraId="00D01214" w14:textId="77777777" w:rsidR="00A1539D" w:rsidRPr="008907B5" w:rsidRDefault="00A1539D" w:rsidP="00A1539D">
      <w:pPr>
        <w:spacing w:before="40" w:after="40" w:line="271" w:lineRule="auto"/>
        <w:jc w:val="center"/>
        <w:rPr>
          <w:rFonts w:ascii="Arial" w:hAnsi="Arial" w:cs="Arial"/>
          <w:sz w:val="24"/>
          <w:szCs w:val="24"/>
          <w:lang w:val="de-DE"/>
        </w:rPr>
      </w:pPr>
      <w:r w:rsidRPr="008907B5">
        <w:rPr>
          <w:rFonts w:ascii="Arial" w:hAnsi="Arial" w:cs="Arial"/>
          <w:sz w:val="24"/>
          <w:szCs w:val="24"/>
          <w:lang w:val="de-DE"/>
        </w:rPr>
        <w:t>(As of 15/0</w:t>
      </w:r>
      <w:r>
        <w:rPr>
          <w:rFonts w:ascii="Arial" w:hAnsi="Arial" w:cs="Arial"/>
          <w:sz w:val="24"/>
          <w:szCs w:val="24"/>
          <w:lang w:val="de-DE"/>
        </w:rPr>
        <w:t>2</w:t>
      </w:r>
      <w:r w:rsidRPr="008907B5">
        <w:rPr>
          <w:rFonts w:ascii="Arial" w:hAnsi="Arial" w:cs="Arial"/>
          <w:sz w:val="24"/>
          <w:szCs w:val="24"/>
          <w:lang w:val="de-DE"/>
        </w:rPr>
        <w:t>/2022)</w:t>
      </w:r>
    </w:p>
    <w:p w14:paraId="6BC8E924" w14:textId="18693C50" w:rsidR="00857754" w:rsidRPr="00052095" w:rsidRDefault="007C42FC" w:rsidP="007C42FC">
      <w:pPr>
        <w:spacing w:before="40" w:after="40" w:line="264" w:lineRule="auto"/>
        <w:rPr>
          <w:color w:val="000000"/>
          <w:spacing w:val="-2"/>
          <w:lang w:val="pl-PL"/>
        </w:rPr>
      </w:pPr>
      <w:r w:rsidRPr="00F14C01">
        <w:rPr>
          <w:noProof/>
        </w:rPr>
        <w:drawing>
          <wp:inline distT="0" distB="0" distL="0" distR="0" wp14:anchorId="183B7C51" wp14:editId="19461143">
            <wp:extent cx="5699760" cy="22439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9760" cy="2243976"/>
                    </a:xfrm>
                    <a:prstGeom prst="rect">
                      <a:avLst/>
                    </a:prstGeom>
                    <a:noFill/>
                    <a:ln>
                      <a:noFill/>
                    </a:ln>
                  </pic:spPr>
                </pic:pic>
              </a:graphicData>
            </a:graphic>
          </wp:inline>
        </w:drawing>
      </w:r>
    </w:p>
    <w:p w14:paraId="3AB7C223" w14:textId="77777777" w:rsidR="0027131E" w:rsidRDefault="00A404CD" w:rsidP="00A404CD">
      <w:pPr>
        <w:jc w:val="both"/>
      </w:pPr>
      <w:r>
        <w:tab/>
      </w:r>
    </w:p>
    <w:p w14:paraId="134AFB91" w14:textId="369F8837" w:rsidR="00A404CD" w:rsidRDefault="0027131E" w:rsidP="00A404CD">
      <w:pPr>
        <w:jc w:val="both"/>
      </w:pPr>
      <w:r>
        <w:tab/>
      </w:r>
      <w:r w:rsidR="00A404CD" w:rsidRPr="00CC7D3E">
        <w:t>Buffaloes and cows' husbandry during the month was affected by severe and harmful colds</w:t>
      </w:r>
      <w:r w:rsidR="00A404CD" w:rsidRPr="008A4E16">
        <w:rPr>
          <w:rStyle w:val="FootnoteReference"/>
          <w:bCs/>
          <w:spacing w:val="-2"/>
          <w:lang w:val="pt-BR"/>
        </w:rPr>
        <w:footnoteReference w:id="1"/>
      </w:r>
      <w:r w:rsidR="00A404CD" w:rsidRPr="00CC7D3E">
        <w:t xml:space="preserve">. </w:t>
      </w:r>
      <w:r w:rsidR="00A404CD" w:rsidRPr="00A404CD">
        <w:rPr>
          <w:lang w:val="pl-PL"/>
        </w:rPr>
        <w:t>Pig farming is gradually stabilizing because businesses, farms, and raising households were proactive in breeding stock, linking consumption of output products, and ensuring hygiene and biosecurity. However, the livestock industry is still facing difficulties due to high feed prices, the high risk of African swine fever reoccurrence, and pig farmers, as well as local authorities, still have to take preventive measures against the epidemic for livestock.</w:t>
      </w:r>
    </w:p>
    <w:p w14:paraId="344E5F75" w14:textId="77777777" w:rsidR="0027131E" w:rsidRDefault="0027131E" w:rsidP="00A404CD">
      <w:pPr>
        <w:spacing w:before="40" w:after="40" w:line="276" w:lineRule="auto"/>
        <w:ind w:firstLine="567"/>
        <w:jc w:val="center"/>
        <w:rPr>
          <w:rFonts w:ascii="Arial" w:hAnsi="Arial" w:cs="Arial"/>
          <w:b/>
          <w:sz w:val="24"/>
          <w:szCs w:val="24"/>
        </w:rPr>
      </w:pPr>
    </w:p>
    <w:p w14:paraId="429DFDB5" w14:textId="77777777" w:rsidR="0027131E" w:rsidRDefault="0027131E" w:rsidP="00A404CD">
      <w:pPr>
        <w:spacing w:before="40" w:after="40" w:line="276" w:lineRule="auto"/>
        <w:ind w:firstLine="567"/>
        <w:jc w:val="center"/>
        <w:rPr>
          <w:rFonts w:ascii="Arial" w:hAnsi="Arial" w:cs="Arial"/>
          <w:b/>
          <w:sz w:val="24"/>
          <w:szCs w:val="24"/>
        </w:rPr>
      </w:pPr>
    </w:p>
    <w:p w14:paraId="3C69851D" w14:textId="3DB0CC64" w:rsidR="00A404CD" w:rsidRDefault="00A404CD" w:rsidP="00A404CD">
      <w:pPr>
        <w:spacing w:before="40" w:after="40" w:line="276" w:lineRule="auto"/>
        <w:ind w:firstLine="567"/>
        <w:jc w:val="center"/>
        <w:rPr>
          <w:rFonts w:ascii="Arial" w:hAnsi="Arial" w:cs="Arial"/>
          <w:b/>
          <w:sz w:val="24"/>
          <w:szCs w:val="24"/>
        </w:rPr>
      </w:pPr>
      <w:r>
        <w:rPr>
          <w:rFonts w:ascii="Arial" w:hAnsi="Arial" w:cs="Arial"/>
          <w:b/>
          <w:sz w:val="24"/>
          <w:szCs w:val="24"/>
        </w:rPr>
        <w:lastRenderedPageBreak/>
        <w:t>Figure 2</w:t>
      </w:r>
      <w:r w:rsidRPr="007B7F4A">
        <w:rPr>
          <w:rFonts w:ascii="Arial" w:hAnsi="Arial" w:cs="Arial"/>
          <w:b/>
          <w:sz w:val="24"/>
          <w:szCs w:val="24"/>
        </w:rPr>
        <w:t>. Livestock population</w:t>
      </w:r>
    </w:p>
    <w:p w14:paraId="1365CF8D" w14:textId="640C9E4B" w:rsidR="00857754" w:rsidRPr="00052095" w:rsidRDefault="008955AF" w:rsidP="00857754">
      <w:pPr>
        <w:spacing w:before="40" w:after="40" w:line="269" w:lineRule="auto"/>
        <w:jc w:val="center"/>
        <w:rPr>
          <w:lang w:val="pt-BR"/>
        </w:rPr>
      </w:pPr>
      <w:r w:rsidRPr="00CC7D3E">
        <w:rPr>
          <w:noProof/>
        </w:rPr>
        <w:drawing>
          <wp:inline distT="0" distB="0" distL="0" distR="0" wp14:anchorId="53219117" wp14:editId="5BA294AE">
            <wp:extent cx="5699760" cy="2004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9760" cy="2004050"/>
                    </a:xfrm>
                    <a:prstGeom prst="rect">
                      <a:avLst/>
                    </a:prstGeom>
                    <a:noFill/>
                    <a:ln>
                      <a:noFill/>
                    </a:ln>
                  </pic:spPr>
                </pic:pic>
              </a:graphicData>
            </a:graphic>
          </wp:inline>
        </w:drawing>
      </w:r>
    </w:p>
    <w:p w14:paraId="37F4870F" w14:textId="46B5088B" w:rsidR="00EF7EF0" w:rsidRDefault="00EF7EF0" w:rsidP="00EC2B6C">
      <w:pPr>
        <w:widowControl w:val="0"/>
        <w:spacing w:before="40" w:after="40" w:line="283" w:lineRule="auto"/>
        <w:ind w:firstLine="567"/>
        <w:jc w:val="both"/>
        <w:rPr>
          <w:bCs/>
          <w:spacing w:val="-2"/>
        </w:rPr>
      </w:pPr>
      <w:r w:rsidRPr="00EF7EF0">
        <w:rPr>
          <w:bCs/>
          <w:spacing w:val="-2"/>
        </w:rPr>
        <w:t>As of February 24, 2022, the whole country has no longer blue-ear disease and foot-and-mouth disease; avian flu was still only in Ha Noi, Quang Binh, Quang Nam, Dong Nai; LSD was still in Quang Binh, Quang Ngai, Tien Giang, and African swine fever were reported in 29 localities for less than 21 days.</w:t>
      </w:r>
    </w:p>
    <w:p w14:paraId="75358B6F" w14:textId="6D38D29B" w:rsidR="00400EFE" w:rsidRPr="0033017B" w:rsidRDefault="00400EFE" w:rsidP="00EC2B6C">
      <w:pPr>
        <w:widowControl w:val="0"/>
        <w:spacing w:before="40" w:after="40" w:line="283" w:lineRule="auto"/>
        <w:ind w:firstLine="567"/>
        <w:jc w:val="both"/>
        <w:rPr>
          <w:b/>
          <w:i/>
          <w:lang w:val="sv-SE"/>
        </w:rPr>
      </w:pPr>
      <w:r w:rsidRPr="0033017B">
        <w:rPr>
          <w:b/>
          <w:i/>
          <w:lang w:val="sv-SE"/>
        </w:rPr>
        <w:t xml:space="preserve">b) </w:t>
      </w:r>
      <w:r w:rsidR="00730E8E">
        <w:rPr>
          <w:b/>
          <w:bCs/>
          <w:i/>
          <w:iCs/>
          <w:lang w:val="pl-PL"/>
        </w:rPr>
        <w:t>Forestry</w:t>
      </w:r>
    </w:p>
    <w:p w14:paraId="7312D7D6" w14:textId="7FC6C156" w:rsidR="00F12929" w:rsidRPr="008935F3" w:rsidRDefault="001337D5" w:rsidP="00EC2B6C">
      <w:pPr>
        <w:widowControl w:val="0"/>
        <w:spacing w:before="40" w:after="40" w:line="283" w:lineRule="auto"/>
        <w:ind w:firstLine="567"/>
        <w:jc w:val="both"/>
      </w:pPr>
      <w:r>
        <w:t>The</w:t>
      </w:r>
      <w:r w:rsidR="00F12929">
        <w:t xml:space="preserve"> newly concentrated planted forest area </w:t>
      </w:r>
      <w:r w:rsidR="00F12929">
        <w:rPr>
          <w:shd w:val="clear" w:color="auto" w:fill="FFFFFF"/>
          <w:lang w:val="vi-VN"/>
        </w:rPr>
        <w:t>nationwide</w:t>
      </w:r>
      <w:r w:rsidR="00F12929">
        <w:t xml:space="preserve"> </w:t>
      </w:r>
      <w:r w:rsidR="00F12929" w:rsidRPr="00F12929">
        <w:t xml:space="preserve">in February 2022 was estimated at 9.5 thousand hectares, up 6.7% over the same period last year. The weather in the month was favorable, so localities actively planted spring forests, some localities had high afforestation </w:t>
      </w:r>
      <w:r w:rsidR="00B47630">
        <w:t>like</w:t>
      </w:r>
      <w:r w:rsidR="00F12929" w:rsidRPr="00F12929">
        <w:t xml:space="preserve"> Quang Ngai 2,863 ha, an increase of 47.7% over the same period last year, Yen Bai 1,680 ha, up 76.8%, Phu Tho 995 ha, 2.5 times </w:t>
      </w:r>
      <w:r w:rsidR="006D51A2">
        <w:t>higher</w:t>
      </w:r>
      <w:r w:rsidR="00F12929" w:rsidRPr="00F12929">
        <w:t xml:space="preserve">. The </w:t>
      </w:r>
      <w:r w:rsidR="002F6AF1">
        <w:t>number of scattered forest trees</w:t>
      </w:r>
      <w:r w:rsidR="0036658C">
        <w:t xml:space="preserve"> </w:t>
      </w:r>
      <w:r w:rsidR="00F12929" w:rsidRPr="00F12929">
        <w:t>in February was estimated at 9.7 million trees, up 5.4% over the same period last year; timber production reached 982.8 thousand m</w:t>
      </w:r>
      <w:r w:rsidR="00F12929" w:rsidRPr="009A35BF">
        <w:rPr>
          <w:vertAlign w:val="superscript"/>
        </w:rPr>
        <w:t>3</w:t>
      </w:r>
      <w:r w:rsidR="00F12929" w:rsidRPr="00F12929">
        <w:t>, an increase of 4%; firewood production reached 1.5 million ste, equal</w:t>
      </w:r>
      <w:r w:rsidR="009A35BF">
        <w:t>ing</w:t>
      </w:r>
      <w:r w:rsidR="00F12929" w:rsidRPr="00F12929">
        <w:t xml:space="preserve"> the same period last year. Localities with high timber output in the month such as Quang Ngai 88.2 thousand m</w:t>
      </w:r>
      <w:r w:rsidR="00F12929" w:rsidRPr="009A35BF">
        <w:rPr>
          <w:vertAlign w:val="superscript"/>
        </w:rPr>
        <w:t>3</w:t>
      </w:r>
      <w:r w:rsidR="00F12929" w:rsidRPr="00F12929">
        <w:t>, up 3.4% over the same period last year, Thanh Hoa 66.5 thousand m</w:t>
      </w:r>
      <w:r w:rsidR="00F12929" w:rsidRPr="009A35BF">
        <w:rPr>
          <w:vertAlign w:val="superscript"/>
        </w:rPr>
        <w:t>3</w:t>
      </w:r>
      <w:r w:rsidR="00F12929" w:rsidRPr="00F12929">
        <w:t>, up 6.6%, Quang Ninh 32</w:t>
      </w:r>
      <w:r w:rsidR="009A35BF">
        <w:t>.</w:t>
      </w:r>
      <w:r w:rsidR="00F12929" w:rsidRPr="00F12929">
        <w:t>2 thousand m</w:t>
      </w:r>
      <w:r w:rsidR="00F12929" w:rsidRPr="009A35BF">
        <w:rPr>
          <w:vertAlign w:val="superscript"/>
        </w:rPr>
        <w:t>3</w:t>
      </w:r>
      <w:r w:rsidR="00F12929" w:rsidRPr="00F12929">
        <w:t>, an increase of 20%.</w:t>
      </w:r>
    </w:p>
    <w:p w14:paraId="320E12D6" w14:textId="7BB4FA0B" w:rsidR="004907EA" w:rsidRDefault="004907EA" w:rsidP="00EC2B6C">
      <w:pPr>
        <w:widowControl w:val="0"/>
        <w:tabs>
          <w:tab w:val="left" w:pos="360"/>
          <w:tab w:val="left" w:pos="1134"/>
        </w:tabs>
        <w:spacing w:before="40" w:after="40" w:line="283" w:lineRule="auto"/>
        <w:ind w:right="156" w:firstLine="567"/>
        <w:jc w:val="both"/>
      </w:pPr>
      <w:r w:rsidRPr="004907EA">
        <w:t xml:space="preserve">Generally, in the first two months of 2022, the </w:t>
      </w:r>
      <w:r>
        <w:t>newly concentrated planted forest area wa</w:t>
      </w:r>
      <w:r w:rsidRPr="004907EA">
        <w:t>s estimated at 16.8 thousand hectares, up 6.3% over the same period last year; the number of scattered forestry trees reached 13.6 million trees, up 4.6%; timber production gained 1,923.3 thousand m</w:t>
      </w:r>
      <w:r w:rsidRPr="004907EA">
        <w:rPr>
          <w:vertAlign w:val="superscript"/>
        </w:rPr>
        <w:t>3</w:t>
      </w:r>
      <w:r w:rsidRPr="004907EA">
        <w:t>, up 4.2%; firewood production was 3 million ste, down 0.3% over the same period last year.</w:t>
      </w:r>
    </w:p>
    <w:p w14:paraId="4818AFBA" w14:textId="6EBDD937" w:rsidR="002F1DE2" w:rsidRPr="008935F3" w:rsidRDefault="002F1DE2" w:rsidP="00EC2B6C">
      <w:pPr>
        <w:widowControl w:val="0"/>
        <w:tabs>
          <w:tab w:val="left" w:pos="360"/>
          <w:tab w:val="left" w:pos="1134"/>
        </w:tabs>
        <w:spacing w:before="40" w:after="40" w:line="283" w:lineRule="auto"/>
        <w:ind w:right="156" w:firstLine="567"/>
        <w:jc w:val="both"/>
        <w:rPr>
          <w:shd w:val="clear" w:color="auto" w:fill="FFFFFF"/>
        </w:rPr>
      </w:pPr>
      <w:r w:rsidRPr="002F1DE2">
        <w:rPr>
          <w:shd w:val="clear" w:color="auto" w:fill="FFFFFF"/>
        </w:rPr>
        <w:t>The estimated damaged forest area</w:t>
      </w:r>
      <w:r w:rsidR="004A2F61">
        <w:rPr>
          <w:rStyle w:val="FootnoteReference"/>
        </w:rPr>
        <w:footnoteReference w:id="2"/>
      </w:r>
      <w:r w:rsidR="004A2F61" w:rsidRPr="008935F3">
        <w:rPr>
          <w:lang w:val="en-GB"/>
        </w:rPr>
        <w:t xml:space="preserve"> </w:t>
      </w:r>
      <w:r w:rsidRPr="002F1DE2">
        <w:rPr>
          <w:shd w:val="clear" w:color="auto" w:fill="FFFFFF"/>
        </w:rPr>
        <w:t xml:space="preserve">in February was 68 hectares, down 48.7% over the same period last year, of which: The </w:t>
      </w:r>
      <w:r w:rsidR="004A2F61">
        <w:t xml:space="preserve">burnt forest </w:t>
      </w:r>
      <w:r w:rsidR="004A2F61">
        <w:rPr>
          <w:lang w:val="vi-VN"/>
        </w:rPr>
        <w:t>area</w:t>
      </w:r>
      <w:r w:rsidR="004A2F61">
        <w:t xml:space="preserve"> </w:t>
      </w:r>
      <w:r w:rsidRPr="002F1DE2">
        <w:rPr>
          <w:shd w:val="clear" w:color="auto" w:fill="FFFFFF"/>
        </w:rPr>
        <w:t xml:space="preserve">was 0.7 hectares, down 97.3%; </w:t>
      </w:r>
      <w:r w:rsidR="00024472">
        <w:t>the deforested forest area</w:t>
      </w:r>
      <w:r w:rsidR="00024472">
        <w:rPr>
          <w:lang w:val="pt-BR"/>
        </w:rPr>
        <w:t xml:space="preserve"> </w:t>
      </w:r>
      <w:r w:rsidRPr="002F1DE2">
        <w:rPr>
          <w:shd w:val="clear" w:color="auto" w:fill="FFFFFF"/>
        </w:rPr>
        <w:t xml:space="preserve">was 67.3 ha, down 36.8%. </w:t>
      </w:r>
      <w:r w:rsidRPr="002F1DE2">
        <w:rPr>
          <w:shd w:val="clear" w:color="auto" w:fill="FFFFFF"/>
        </w:rPr>
        <w:lastRenderedPageBreak/>
        <w:t>Provinces with high areas of deforestation in the month: Dien Bien 15.1 ha, Lang Son 14.2 ha, Phu Yen 5.4 ha, Ha Giang 4.9 ha. Generally, in the first two months of 2022, the whole country has 137.6 hectares of damaged forest, a decrease of 47.8% over the same period last year, of which: Burn</w:t>
      </w:r>
      <w:r w:rsidR="0053191F">
        <w:rPr>
          <w:shd w:val="clear" w:color="auto" w:fill="FFFFFF"/>
        </w:rPr>
        <w:t>t</w:t>
      </w:r>
      <w:r w:rsidRPr="002F1DE2">
        <w:rPr>
          <w:shd w:val="clear" w:color="auto" w:fill="FFFFFF"/>
        </w:rPr>
        <w:t xml:space="preserve"> forest area </w:t>
      </w:r>
      <w:r w:rsidR="0053191F">
        <w:rPr>
          <w:shd w:val="clear" w:color="auto" w:fill="FFFFFF"/>
        </w:rPr>
        <w:t>wa</w:t>
      </w:r>
      <w:r w:rsidRPr="002F1DE2">
        <w:rPr>
          <w:shd w:val="clear" w:color="auto" w:fill="FFFFFF"/>
        </w:rPr>
        <w:t xml:space="preserve">s 1.6 hectares, a decrease of 98 .3%; </w:t>
      </w:r>
      <w:r w:rsidR="0053191F">
        <w:t>the deforested forest area</w:t>
      </w:r>
      <w:r w:rsidR="0053191F">
        <w:rPr>
          <w:lang w:val="pt-BR"/>
        </w:rPr>
        <w:t xml:space="preserve"> </w:t>
      </w:r>
      <w:r w:rsidRPr="002F1DE2">
        <w:rPr>
          <w:shd w:val="clear" w:color="auto" w:fill="FFFFFF"/>
        </w:rPr>
        <w:t>was 136 ha, down 19.5%.</w:t>
      </w:r>
    </w:p>
    <w:p w14:paraId="2D87A61E" w14:textId="151A2A29" w:rsidR="005545B9" w:rsidRPr="0033017B" w:rsidRDefault="005545B9" w:rsidP="00EC2B6C">
      <w:pPr>
        <w:widowControl w:val="0"/>
        <w:spacing w:before="40" w:after="40" w:line="283" w:lineRule="auto"/>
        <w:ind w:firstLine="567"/>
        <w:jc w:val="both"/>
        <w:rPr>
          <w:b/>
          <w:i/>
          <w:lang w:val="sv-SE"/>
        </w:rPr>
      </w:pPr>
      <w:r w:rsidRPr="0033017B">
        <w:rPr>
          <w:b/>
          <w:i/>
          <w:lang w:val="sv-SE"/>
        </w:rPr>
        <w:t xml:space="preserve">c) </w:t>
      </w:r>
      <w:r w:rsidR="00AB3414">
        <w:rPr>
          <w:b/>
          <w:i/>
          <w:lang w:val="pl-PL"/>
        </w:rPr>
        <w:t>Fishery</w:t>
      </w:r>
    </w:p>
    <w:p w14:paraId="70D472EE" w14:textId="75F93403" w:rsidR="00CA21E7" w:rsidRDefault="00CA21E7" w:rsidP="00EC2B6C">
      <w:pPr>
        <w:widowControl w:val="0"/>
        <w:shd w:val="clear" w:color="auto" w:fill="FFFFFF"/>
        <w:tabs>
          <w:tab w:val="left" w:pos="9360"/>
        </w:tabs>
        <w:spacing w:before="40" w:after="40" w:line="283" w:lineRule="auto"/>
        <w:ind w:firstLine="567"/>
        <w:jc w:val="both"/>
        <w:rPr>
          <w:lang w:val="de-DE"/>
        </w:rPr>
      </w:pPr>
      <w:r>
        <w:rPr>
          <w:i/>
          <w:iCs/>
          <w:lang w:val="de-DE"/>
        </w:rPr>
        <w:t>Fishery output</w:t>
      </w:r>
      <w:r>
        <w:rPr>
          <w:lang w:val="de-DE"/>
        </w:rPr>
        <w:t xml:space="preserve"> </w:t>
      </w:r>
      <w:r w:rsidRPr="00CA21E7">
        <w:rPr>
          <w:lang w:val="de-DE"/>
        </w:rPr>
        <w:t>in February was estimated at 578.5 thousand tons, up 2.3% over the same period last year, including Fish reaching 434.7 thousand tons, up 2.1%; shrimp 53.8 thousand tons, up 3.3%; other aquatic products 90 thousand tons, up 2.6%.</w:t>
      </w:r>
    </w:p>
    <w:p w14:paraId="7377E3EC" w14:textId="77777777" w:rsidR="00E513CF" w:rsidRDefault="00E513CF" w:rsidP="00012590">
      <w:pPr>
        <w:shd w:val="clear" w:color="auto" w:fill="FFFFFF"/>
        <w:tabs>
          <w:tab w:val="left" w:pos="9360"/>
        </w:tabs>
        <w:spacing w:before="40" w:after="40" w:line="295" w:lineRule="auto"/>
        <w:ind w:firstLine="567"/>
        <w:jc w:val="both"/>
        <w:rPr>
          <w:iCs/>
        </w:rPr>
      </w:pPr>
      <w:r w:rsidRPr="00E513CF">
        <w:rPr>
          <w:iCs/>
        </w:rPr>
        <w:t>Aquaculture production in the month was estimated at 297.9 thousand tons, up 4.5% over the same period last year, of which: Fish reached 215.1 thousand tons, up 4.4%; shrimp reached 43.8 thousand tons, up 4.0%.</w:t>
      </w:r>
    </w:p>
    <w:p w14:paraId="6D3DFE08" w14:textId="04FCA4C2" w:rsidR="005545B9" w:rsidRPr="009F794B" w:rsidRDefault="001E2FF7" w:rsidP="00012590">
      <w:pPr>
        <w:shd w:val="clear" w:color="auto" w:fill="FFFFFF"/>
        <w:tabs>
          <w:tab w:val="left" w:pos="9360"/>
        </w:tabs>
        <w:spacing w:before="40" w:after="40" w:line="295" w:lineRule="auto"/>
        <w:ind w:firstLine="567"/>
        <w:jc w:val="both"/>
      </w:pPr>
      <w:r w:rsidRPr="001E2FF7">
        <w:rPr>
          <w:bCs/>
          <w:spacing w:val="2"/>
          <w:lang w:val="pt-BR"/>
        </w:rPr>
        <w:t>The price of raw pangasius in the Mekong Delta increased sharply after a long time at a low level due to increased export demand while the supply of raw pangasius for export was scarce. Specifically, the price of 0.8 - 1.1 kg/head ranged from 27,500 to 29,000 VND/kg</w:t>
      </w:r>
      <w:r w:rsidR="005545B9" w:rsidRPr="002E43D4">
        <w:rPr>
          <w:rStyle w:val="FootnoteReference"/>
        </w:rPr>
        <w:footnoteReference w:id="3"/>
      </w:r>
      <w:r w:rsidR="005545B9" w:rsidRPr="001C548F">
        <w:rPr>
          <w:bCs/>
          <w:spacing w:val="2"/>
          <w:lang w:val="pt-BR"/>
        </w:rPr>
        <w:t>,</w:t>
      </w:r>
      <w:r w:rsidR="005545B9" w:rsidRPr="001C548F">
        <w:t xml:space="preserve"> </w:t>
      </w:r>
      <w:r w:rsidR="00E5721E" w:rsidRPr="00E5721E">
        <w:t>an increase of 7,500 - 9,000 VND/kg over the same period last year and an increase of more than 4,000 VND/kg compared to the previous time of the Lunar New Year. With the current price of pangasius, farmers will have high profits. Pangasius production in February 2022 was estimated at 94.9 thousand tons, up 4.9% over the same period last year.</w:t>
      </w:r>
    </w:p>
    <w:p w14:paraId="7E4777D5" w14:textId="3A1B01F0" w:rsidR="005545B9" w:rsidRPr="002E43D4" w:rsidRDefault="00A641BD" w:rsidP="00012590">
      <w:pPr>
        <w:shd w:val="clear" w:color="auto" w:fill="FFFFFF"/>
        <w:tabs>
          <w:tab w:val="left" w:pos="9360"/>
        </w:tabs>
        <w:spacing w:before="40" w:after="40" w:line="295" w:lineRule="auto"/>
        <w:ind w:firstLine="567"/>
        <w:jc w:val="both"/>
      </w:pPr>
      <w:r w:rsidRPr="00A641BD">
        <w:t>Farmed shrimp has developed quite well and has few diseases, and the price of raw shrimp has been stable</w:t>
      </w:r>
      <w:r w:rsidR="005545B9" w:rsidRPr="002E43D4">
        <w:rPr>
          <w:rStyle w:val="FootnoteReference"/>
        </w:rPr>
        <w:footnoteReference w:id="4"/>
      </w:r>
      <w:r w:rsidR="005545B9" w:rsidRPr="001C548F">
        <w:t xml:space="preserve">. </w:t>
      </w:r>
      <w:r w:rsidR="00A60659" w:rsidRPr="00A60659">
        <w:t>Localities continue to develop high-tech, semi-intensive vannamei shrimp in parallel with new farming processes and lined ponds, taking the initiative in controlling the environment better and better. Vannamei shrimp production in February 2022 was estimated at 25.5 thousand tons, up 6.3% over the same period last year; Black tiger shrimp reached 14.2 thousand tons, equal to the same period last year.</w:t>
      </w:r>
    </w:p>
    <w:p w14:paraId="6972F02B" w14:textId="7A0BECBC" w:rsidR="009B0AAF" w:rsidRDefault="0016354C" w:rsidP="00012590">
      <w:pPr>
        <w:shd w:val="clear" w:color="auto" w:fill="FFFFFF"/>
        <w:tabs>
          <w:tab w:val="left" w:pos="9360"/>
        </w:tabs>
        <w:spacing w:before="40" w:after="40" w:line="295" w:lineRule="auto"/>
        <w:ind w:firstLine="567"/>
        <w:jc w:val="both"/>
        <w:rPr>
          <w:iCs/>
          <w:spacing w:val="-2"/>
        </w:rPr>
      </w:pPr>
      <w:r>
        <w:rPr>
          <w:lang w:val="pl-PL"/>
        </w:rPr>
        <w:t xml:space="preserve">Catch Fishery production </w:t>
      </w:r>
      <w:r w:rsidR="009B0AAF" w:rsidRPr="009B0AAF">
        <w:rPr>
          <w:iCs/>
          <w:spacing w:val="-2"/>
        </w:rPr>
        <w:t xml:space="preserve">in February 2022 was estimated at 280.6 thousand tons, up 0.1% over the same period last year, including fish 219.6 thousand tons, shrimp 10 thousand tons (both fish and shrimp equaled to the same period in 2021); other aquatic products reached 51 thousand tons, up 0.6%. In the early days </w:t>
      </w:r>
      <w:r w:rsidR="009B0AAF" w:rsidRPr="009B0AAF">
        <w:rPr>
          <w:iCs/>
          <w:spacing w:val="-2"/>
        </w:rPr>
        <w:lastRenderedPageBreak/>
        <w:t>of February, although the weather in the fishing ground was favorable for fishing and fishing, the increase in gasoline and oil prices directly affected fishermen, causing the number of fishing trips to decrease. The output of marine fisheries in February was estimated at 266.7 thousand tons, equaling the same period in 2021.</w:t>
      </w:r>
    </w:p>
    <w:p w14:paraId="6AC2D95A" w14:textId="25CFB501" w:rsidR="005545B9" w:rsidRDefault="00EA58B4" w:rsidP="00EA58B4">
      <w:pPr>
        <w:shd w:val="clear" w:color="auto" w:fill="FFFFFF"/>
        <w:tabs>
          <w:tab w:val="left" w:pos="9360"/>
        </w:tabs>
        <w:spacing w:before="40" w:after="40" w:line="288" w:lineRule="auto"/>
        <w:ind w:firstLine="567"/>
        <w:jc w:val="center"/>
        <w:rPr>
          <w:iCs/>
          <w:spacing w:val="-2"/>
        </w:rPr>
      </w:pPr>
      <w:r>
        <w:rPr>
          <w:rFonts w:ascii="Arial" w:hAnsi="Arial" w:cs="Arial"/>
          <w:b/>
          <w:bCs/>
          <w:sz w:val="24"/>
          <w:szCs w:val="24"/>
          <w:lang w:val="de-DE"/>
        </w:rPr>
        <w:t>Figure 3. Aquaculture and catch fishery production</w:t>
      </w:r>
    </w:p>
    <w:p w14:paraId="50192F94" w14:textId="50363103" w:rsidR="005545B9" w:rsidRDefault="00E62A57" w:rsidP="00BE6A53">
      <w:pPr>
        <w:shd w:val="clear" w:color="auto" w:fill="FFFFFF"/>
        <w:tabs>
          <w:tab w:val="left" w:pos="9360"/>
        </w:tabs>
        <w:spacing w:before="40" w:after="40" w:line="288" w:lineRule="auto"/>
        <w:jc w:val="center"/>
        <w:rPr>
          <w:lang w:val="de-DE"/>
        </w:rPr>
      </w:pPr>
      <w:r>
        <w:rPr>
          <w:noProof/>
        </w:rPr>
        <w:drawing>
          <wp:inline distT="0" distB="0" distL="0" distR="0" wp14:anchorId="02156F14" wp14:editId="50B471D8">
            <wp:extent cx="4665345" cy="1981200"/>
            <wp:effectExtent l="0" t="0" r="1905"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5345" cy="1981200"/>
                    </a:xfrm>
                    <a:prstGeom prst="rect">
                      <a:avLst/>
                    </a:prstGeom>
                    <a:noFill/>
                    <a:ln>
                      <a:noFill/>
                    </a:ln>
                  </pic:spPr>
                </pic:pic>
              </a:graphicData>
            </a:graphic>
          </wp:inline>
        </w:drawing>
      </w:r>
    </w:p>
    <w:p w14:paraId="68334EA7" w14:textId="59B0D51E" w:rsidR="00B5331B" w:rsidRDefault="00B5331B" w:rsidP="002A58CB">
      <w:pPr>
        <w:widowControl w:val="0"/>
        <w:spacing w:before="40" w:after="40" w:line="286" w:lineRule="auto"/>
        <w:ind w:firstLine="567"/>
        <w:jc w:val="both"/>
        <w:rPr>
          <w:lang w:val="de-DE"/>
        </w:rPr>
      </w:pPr>
      <w:r w:rsidRPr="00B5331B">
        <w:rPr>
          <w:lang w:val="de-DE"/>
        </w:rPr>
        <w:t xml:space="preserve">Generally, in the first two months of 2022, fishery output was estimated at 1,168.4 thousand tons, up 1.9% over the same period last year, including Aquaculture production reached 619.2 thousand tons, up 3 .4%; </w:t>
      </w:r>
      <w:r w:rsidR="00F72398">
        <w:rPr>
          <w:lang w:val="pl-PL"/>
        </w:rPr>
        <w:t xml:space="preserve">Catch Fishery production </w:t>
      </w:r>
      <w:r w:rsidRPr="00B5331B">
        <w:rPr>
          <w:lang w:val="de-DE"/>
        </w:rPr>
        <w:t xml:space="preserve">reached 549.2 thousand tons, up 0.3% (the </w:t>
      </w:r>
      <w:r w:rsidR="00F72398">
        <w:rPr>
          <w:lang w:val="pl-PL"/>
        </w:rPr>
        <w:t xml:space="preserve">output of marine fishing </w:t>
      </w:r>
      <w:r w:rsidRPr="00B5331B">
        <w:rPr>
          <w:lang w:val="de-DE"/>
        </w:rPr>
        <w:t>reached 521.8 thousand tons, up 0.3%).</w:t>
      </w:r>
    </w:p>
    <w:p w14:paraId="0BAB7BBD" w14:textId="501D7E4A" w:rsidR="006D3FDB" w:rsidRPr="0033017B" w:rsidRDefault="006D3FDB" w:rsidP="002A58CB">
      <w:pPr>
        <w:widowControl w:val="0"/>
        <w:spacing w:before="40" w:after="40" w:line="286" w:lineRule="auto"/>
        <w:ind w:firstLine="567"/>
        <w:jc w:val="both"/>
        <w:rPr>
          <w:b/>
          <w:bCs/>
          <w:lang w:val="pl-PL"/>
        </w:rPr>
      </w:pPr>
      <w:r w:rsidRPr="0033017B">
        <w:rPr>
          <w:b/>
          <w:bCs/>
          <w:lang w:val="pl-PL"/>
        </w:rPr>
        <w:t xml:space="preserve">2. </w:t>
      </w:r>
      <w:r w:rsidR="0019794A">
        <w:rPr>
          <w:b/>
          <w:lang w:val="sv-SE"/>
        </w:rPr>
        <w:t>Industrial production</w:t>
      </w:r>
    </w:p>
    <w:p w14:paraId="4CB6B6A2" w14:textId="3DA4CFA8" w:rsidR="006D3FDB" w:rsidRPr="00B11228" w:rsidRDefault="00EB07C1" w:rsidP="002A58CB">
      <w:pPr>
        <w:widowControl w:val="0"/>
        <w:shd w:val="clear" w:color="auto" w:fill="FFFFFF"/>
        <w:spacing w:before="40" w:after="40" w:line="286" w:lineRule="auto"/>
        <w:ind w:firstLine="567"/>
        <w:jc w:val="both"/>
        <w:rPr>
          <w:i/>
          <w:lang w:val="sv-SE"/>
        </w:rPr>
      </w:pPr>
      <w:r>
        <w:rPr>
          <w:rStyle w:val="Emphasis"/>
          <w:color w:val="0E101A"/>
        </w:rPr>
        <w:t>Industrial production in February 2022 was estimated to decrease by 12.4% compared to the previous month because the Lunar New Year holiday was mostly concentrated in this month. However, compared to the same period last year</w:t>
      </w:r>
      <w:r w:rsidR="00462431" w:rsidRPr="00462431">
        <w:rPr>
          <w:rStyle w:val="FootnoteReference"/>
          <w:i/>
          <w:lang w:val="vi-VN"/>
        </w:rPr>
        <w:footnoteReference w:id="5"/>
      </w:r>
      <w:r w:rsidR="00462431" w:rsidRPr="00462431">
        <w:rPr>
          <w:i/>
          <w:lang w:val="sv-SE"/>
        </w:rPr>
        <w:t xml:space="preserve">, </w:t>
      </w:r>
      <w:r w:rsidR="007D5BD9">
        <w:rPr>
          <w:rStyle w:val="Emphasis"/>
          <w:color w:val="0E101A"/>
        </w:rPr>
        <w:t>industrial production in February 2022 continued to prosper with an increase of 8.5%; In general, in the first 02 months of 2022, the industrial production index increased by 5.4% compared to the first 02 months last year.</w:t>
      </w:r>
    </w:p>
    <w:p w14:paraId="18894ECE" w14:textId="728C8C9F" w:rsidR="006D3FDB" w:rsidRPr="00DF748E" w:rsidRDefault="00FB45AC" w:rsidP="002A58CB">
      <w:pPr>
        <w:widowControl w:val="0"/>
        <w:shd w:val="clear" w:color="auto" w:fill="FFFFFF"/>
        <w:tabs>
          <w:tab w:val="left" w:pos="8931"/>
        </w:tabs>
        <w:spacing w:before="40" w:after="40" w:line="286" w:lineRule="auto"/>
        <w:ind w:firstLine="567"/>
        <w:jc w:val="both"/>
        <w:rPr>
          <w:spacing w:val="2"/>
          <w:lang w:val="pl-PL"/>
        </w:rPr>
      </w:pPr>
      <w:r w:rsidRPr="00FB45AC">
        <w:rPr>
          <w:spacing w:val="2"/>
          <w:lang w:val="pl-PL"/>
        </w:rPr>
        <w:t>The index of industrial production (IIP) of 02/2022 was estimated to decrease by 12.4% over the previous last month</w:t>
      </w:r>
      <w:r w:rsidR="006D3FDB" w:rsidRPr="00DF748E">
        <w:rPr>
          <w:rStyle w:val="FootnoteReference"/>
          <w:spacing w:val="2"/>
          <w:lang w:val="pl-PL"/>
        </w:rPr>
        <w:footnoteReference w:id="6"/>
      </w:r>
      <w:r w:rsidR="006D3FDB" w:rsidRPr="00DF748E">
        <w:rPr>
          <w:spacing w:val="2"/>
          <w:lang w:val="pl-PL"/>
        </w:rPr>
        <w:t xml:space="preserve"> </w:t>
      </w:r>
      <w:r w:rsidRPr="00FB45AC">
        <w:rPr>
          <w:spacing w:val="2"/>
          <w:lang w:val="pl-PL"/>
        </w:rPr>
        <w:t>and increased by 8.5% over the same period last year. Of which, compared to the same period last year, the mining and quarrying declined by 4.1%; the manufacturing rose by 10%; electricity production and distribution went up by 8%; water supply, waste and wastewater management, and treatment peaked up 0.8%.</w:t>
      </w:r>
    </w:p>
    <w:p w14:paraId="66A0E22A" w14:textId="7222A41C" w:rsidR="006D3FDB" w:rsidRDefault="00995BB2" w:rsidP="002A58CB">
      <w:pPr>
        <w:widowControl w:val="0"/>
        <w:shd w:val="clear" w:color="auto" w:fill="FFFFFF"/>
        <w:tabs>
          <w:tab w:val="left" w:pos="8931"/>
        </w:tabs>
        <w:spacing w:before="40" w:after="40" w:line="286" w:lineRule="auto"/>
        <w:ind w:firstLine="567"/>
        <w:jc w:val="both"/>
        <w:rPr>
          <w:spacing w:val="-2"/>
          <w:lang w:val="pl-PL"/>
        </w:rPr>
      </w:pPr>
      <w:r w:rsidRPr="00995BB2">
        <w:rPr>
          <w:spacing w:val="-2"/>
          <w:lang w:val="pl-PL"/>
        </w:rPr>
        <w:t xml:space="preserve">Overall, in the first 02 months of 2021, the IIP was estimated to increase by </w:t>
      </w:r>
      <w:r w:rsidRPr="00995BB2">
        <w:rPr>
          <w:spacing w:val="-2"/>
          <w:lang w:val="pl-PL"/>
        </w:rPr>
        <w:lastRenderedPageBreak/>
        <w:t>5.4% over the same period last year (the same period in 2021 was 6.8%). Of which, the manufacturing rose by 6.1% (the same period last year up 9.4%), contributing 5.2 percentage points to the general growth; electricity production and distribution went up by 6.5%, contributing 0.6 percentage points; water supply, waste and wastewater management, and treatment peaked up by 2.5%, contributing 0.04 percentage points; the mining industry alone shrank by 2.8%, down by 0.44 percentage points in the general growth rate.</w:t>
      </w:r>
    </w:p>
    <w:p w14:paraId="11E321A2" w14:textId="020F9A03" w:rsidR="00226121" w:rsidRDefault="00226121" w:rsidP="002A58CB">
      <w:pPr>
        <w:widowControl w:val="0"/>
        <w:shd w:val="clear" w:color="auto" w:fill="FFFFFF"/>
        <w:tabs>
          <w:tab w:val="left" w:pos="8931"/>
        </w:tabs>
        <w:spacing w:before="40" w:after="40" w:line="286" w:lineRule="auto"/>
        <w:ind w:firstLine="567"/>
        <w:jc w:val="both"/>
      </w:pPr>
      <w:r>
        <w:rPr>
          <w:rStyle w:val="Emphasis"/>
          <w:color w:val="0E101A"/>
        </w:rPr>
        <w:t>The index of production in the first 02 months of 2022 belonging to 2-digit industrial activities </w:t>
      </w:r>
      <w:r>
        <w:t>significantly increased compared to the same period last year: Manufacture of electrical equipment (27.9%); Manufacture of machinery and equipment n.e.c (21.2%); Manufacture of wearing apparel (20.1%); Manufacture of pharmaceuticals, medicinal chemical and botanical products (15%); Printing and reproduction of recorded media (11%); Manufacture of motor vehicles; trailers and semi-trailers (10.8%); Manufacture of leather and related products (10.6%); Manufacture of other transport equipment (10.2%); Manufacture of chemicals and chemical products (9.7%). On the opposite side, the IIP of some industries decreased: Manufacture of rubber and plastics products (-11.8%); Repair and installation of machinery and equipment (-11.4%); Manufacture of coke and refined petroleum products (-10.8%); Mining of metal ores (-9.6%); Extraction of crude petroleum and natural gas (-8.6%).</w:t>
      </w:r>
    </w:p>
    <w:p w14:paraId="0A53467F" w14:textId="77777777" w:rsidR="00CA189B" w:rsidRDefault="00CA189B" w:rsidP="00CA189B">
      <w:pPr>
        <w:shd w:val="clear" w:color="auto" w:fill="FFFFFF"/>
        <w:tabs>
          <w:tab w:val="left" w:pos="8931"/>
        </w:tabs>
        <w:spacing w:before="60"/>
        <w:jc w:val="center"/>
        <w:rPr>
          <w:b/>
          <w:spacing w:val="-2"/>
          <w:lang w:val="pl-PL"/>
        </w:rPr>
      </w:pPr>
      <w:r w:rsidRPr="00387E47">
        <w:rPr>
          <w:b/>
          <w:spacing w:val="-2"/>
          <w:lang w:val="en-GB"/>
        </w:rPr>
        <w:t>Table 1. The i</w:t>
      </w:r>
      <w:r w:rsidRPr="00387E47">
        <w:rPr>
          <w:b/>
          <w:spacing w:val="-2"/>
          <w:lang w:val="pl-PL"/>
        </w:rPr>
        <w:t>ncrease</w:t>
      </w:r>
      <w:r w:rsidRPr="00387E47">
        <w:rPr>
          <w:b/>
          <w:spacing w:val="-2"/>
        </w:rPr>
        <w:t>/</w:t>
      </w:r>
      <w:r w:rsidRPr="00387E47">
        <w:rPr>
          <w:b/>
          <w:spacing w:val="-2"/>
          <w:lang w:val="pl-PL"/>
        </w:rPr>
        <w:t xml:space="preserve">decrease </w:t>
      </w:r>
      <w:r w:rsidRPr="00387E47">
        <w:rPr>
          <w:b/>
          <w:spacing w:val="-2"/>
        </w:rPr>
        <w:t>g</w:t>
      </w:r>
      <w:r w:rsidRPr="00387E47">
        <w:rPr>
          <w:b/>
          <w:spacing w:val="-2"/>
          <w:lang w:val="pl-PL"/>
        </w:rPr>
        <w:t xml:space="preserve">rowth rate of every </w:t>
      </w:r>
      <w:r>
        <w:rPr>
          <w:b/>
          <w:spacing w:val="-2"/>
          <w:lang w:val="pl-PL"/>
        </w:rPr>
        <w:t>2</w:t>
      </w:r>
      <w:r w:rsidRPr="00387E47">
        <w:rPr>
          <w:b/>
          <w:spacing w:val="-2"/>
          <w:lang w:val="pl-PL"/>
        </w:rPr>
        <w:t>-month IIP</w:t>
      </w:r>
    </w:p>
    <w:p w14:paraId="37C422F2" w14:textId="63AC219F" w:rsidR="00CA189B" w:rsidRPr="00387E47" w:rsidRDefault="00CA189B" w:rsidP="00CA189B">
      <w:pPr>
        <w:shd w:val="clear" w:color="auto" w:fill="FFFFFF"/>
        <w:tabs>
          <w:tab w:val="left" w:pos="8931"/>
        </w:tabs>
        <w:spacing w:before="60"/>
        <w:jc w:val="center"/>
        <w:rPr>
          <w:b/>
          <w:spacing w:val="-2"/>
          <w:lang w:val="pl-PL"/>
        </w:rPr>
      </w:pPr>
      <w:r w:rsidRPr="00387E47">
        <w:rPr>
          <w:b/>
          <w:spacing w:val="-2"/>
          <w:lang w:val="pl-PL"/>
        </w:rPr>
        <w:t xml:space="preserve"> in 201</w:t>
      </w:r>
      <w:r>
        <w:rPr>
          <w:b/>
          <w:spacing w:val="-2"/>
          <w:lang w:val="pl-PL"/>
        </w:rPr>
        <w:t>8</w:t>
      </w:r>
      <w:r w:rsidRPr="00387E47">
        <w:rPr>
          <w:b/>
          <w:spacing w:val="-2"/>
          <w:lang w:val="pl-PL"/>
        </w:rPr>
        <w:t>-202</w:t>
      </w:r>
      <w:r>
        <w:rPr>
          <w:b/>
          <w:spacing w:val="-2"/>
          <w:lang w:val="pl-PL"/>
        </w:rPr>
        <w:t>2</w:t>
      </w:r>
      <w:r w:rsidRPr="00387E47">
        <w:rPr>
          <w:b/>
          <w:spacing w:val="-2"/>
          <w:lang w:val="pl-PL"/>
        </w:rPr>
        <w:t xml:space="preserve"> </w:t>
      </w:r>
      <w:r w:rsidR="002C1D59">
        <w:rPr>
          <w:b/>
          <w:spacing w:val="-2"/>
          <w:lang w:val="pl-PL"/>
        </w:rPr>
        <w:t xml:space="preserve">by </w:t>
      </w:r>
      <w:r w:rsidRPr="00387E47">
        <w:rPr>
          <w:b/>
          <w:spacing w:val="-2"/>
          <w:lang w:val="pl-PL"/>
        </w:rPr>
        <w:t>some key industries</w:t>
      </w:r>
    </w:p>
    <w:p w14:paraId="39A52BC1" w14:textId="77777777" w:rsidR="006D3FDB" w:rsidRPr="00961B19" w:rsidRDefault="006D3FDB" w:rsidP="006D3FDB">
      <w:pPr>
        <w:shd w:val="clear" w:color="auto" w:fill="FFFFFF"/>
        <w:tabs>
          <w:tab w:val="left" w:pos="8931"/>
        </w:tabs>
        <w:spacing w:line="252" w:lineRule="auto"/>
        <w:jc w:val="center"/>
        <w:rPr>
          <w:rFonts w:ascii="Arial" w:hAnsi="Arial" w:cs="Arial"/>
          <w:b/>
          <w:spacing w:val="-2"/>
          <w:sz w:val="22"/>
          <w:szCs w:val="22"/>
          <w:lang w:val="pl-PL"/>
        </w:rPr>
      </w:pPr>
    </w:p>
    <w:p w14:paraId="108C58BE" w14:textId="77777777" w:rsidR="006D3FDB" w:rsidRDefault="006D3FDB" w:rsidP="006D3FDB">
      <w:pPr>
        <w:shd w:val="clear" w:color="auto" w:fill="FFFFFF"/>
        <w:tabs>
          <w:tab w:val="left" w:pos="8931"/>
        </w:tabs>
        <w:spacing w:before="60"/>
        <w:jc w:val="right"/>
        <w:rPr>
          <w:rFonts w:ascii="Arial" w:hAnsi="Arial" w:cs="Arial"/>
          <w:spacing w:val="-2"/>
          <w:sz w:val="20"/>
          <w:szCs w:val="20"/>
          <w:lang w:val="pl-PL"/>
        </w:rPr>
      </w:pPr>
      <w:r w:rsidRPr="001C3C67">
        <w:rPr>
          <w:rFonts w:ascii="Arial" w:hAnsi="Arial" w:cs="Arial"/>
          <w:spacing w:val="-2"/>
          <w:sz w:val="20"/>
          <w:szCs w:val="20"/>
          <w:lang w:val="pl-PL"/>
        </w:rPr>
        <w:t xml:space="preserve">   %</w:t>
      </w:r>
    </w:p>
    <w:tbl>
      <w:tblPr>
        <w:tblW w:w="5000" w:type="pct"/>
        <w:jc w:val="center"/>
        <w:tblBorders>
          <w:top w:val="single" w:sz="4" w:space="0" w:color="auto"/>
        </w:tblBorders>
        <w:tblLook w:val="04A0" w:firstRow="1" w:lastRow="0" w:firstColumn="1" w:lastColumn="0" w:noHBand="0" w:noVBand="1"/>
      </w:tblPr>
      <w:tblGrid>
        <w:gridCol w:w="5638"/>
        <w:gridCol w:w="661"/>
        <w:gridCol w:w="661"/>
        <w:gridCol w:w="672"/>
        <w:gridCol w:w="672"/>
        <w:gridCol w:w="672"/>
      </w:tblGrid>
      <w:tr w:rsidR="002C1D59" w:rsidRPr="00135C4D" w14:paraId="7A321011" w14:textId="77777777" w:rsidTr="002C1D59">
        <w:trPr>
          <w:trHeight w:val="408"/>
          <w:jc w:val="center"/>
        </w:trPr>
        <w:tc>
          <w:tcPr>
            <w:tcW w:w="3146" w:type="pct"/>
            <w:shd w:val="clear" w:color="auto" w:fill="auto"/>
            <w:noWrap/>
            <w:vAlign w:val="center"/>
            <w:hideMark/>
          </w:tcPr>
          <w:p w14:paraId="521510F6" w14:textId="77777777" w:rsidR="002C1D59" w:rsidRPr="00462431" w:rsidRDefault="002C1D59" w:rsidP="005F76AF">
            <w:pPr>
              <w:rPr>
                <w:rFonts w:ascii="Arial" w:hAnsi="Arial" w:cs="Arial"/>
                <w:sz w:val="20"/>
                <w:szCs w:val="20"/>
              </w:rPr>
            </w:pPr>
          </w:p>
        </w:tc>
        <w:tc>
          <w:tcPr>
            <w:tcW w:w="367" w:type="pct"/>
            <w:tcBorders>
              <w:top w:val="single" w:sz="4" w:space="0" w:color="auto"/>
              <w:bottom w:val="single" w:sz="4" w:space="0" w:color="auto"/>
            </w:tcBorders>
            <w:shd w:val="clear" w:color="auto" w:fill="auto"/>
            <w:noWrap/>
            <w:vAlign w:val="center"/>
            <w:hideMark/>
          </w:tcPr>
          <w:p w14:paraId="0D3888EF" w14:textId="77777777" w:rsidR="002C1D59" w:rsidRPr="00462431" w:rsidRDefault="002C1D59" w:rsidP="005F76AF">
            <w:pPr>
              <w:jc w:val="right"/>
              <w:rPr>
                <w:rFonts w:ascii="Arial" w:hAnsi="Arial" w:cs="Arial"/>
                <w:color w:val="000000"/>
                <w:sz w:val="20"/>
                <w:szCs w:val="20"/>
              </w:rPr>
            </w:pPr>
            <w:r w:rsidRPr="00462431">
              <w:rPr>
                <w:rFonts w:ascii="Arial" w:hAnsi="Arial" w:cs="Arial"/>
                <w:color w:val="000000"/>
                <w:sz w:val="20"/>
                <w:szCs w:val="20"/>
              </w:rPr>
              <w:t>2018</w:t>
            </w:r>
          </w:p>
        </w:tc>
        <w:tc>
          <w:tcPr>
            <w:tcW w:w="367" w:type="pct"/>
            <w:tcBorders>
              <w:top w:val="single" w:sz="4" w:space="0" w:color="auto"/>
              <w:bottom w:val="single" w:sz="4" w:space="0" w:color="auto"/>
            </w:tcBorders>
            <w:shd w:val="clear" w:color="auto" w:fill="auto"/>
            <w:noWrap/>
            <w:vAlign w:val="center"/>
            <w:hideMark/>
          </w:tcPr>
          <w:p w14:paraId="4CE9EAF3" w14:textId="77777777" w:rsidR="002C1D59" w:rsidRPr="00462431" w:rsidRDefault="002C1D59" w:rsidP="005F76AF">
            <w:pPr>
              <w:jc w:val="right"/>
              <w:rPr>
                <w:rFonts w:ascii="Arial" w:hAnsi="Arial" w:cs="Arial"/>
                <w:color w:val="000000"/>
                <w:sz w:val="20"/>
                <w:szCs w:val="20"/>
              </w:rPr>
            </w:pPr>
            <w:r w:rsidRPr="00462431">
              <w:rPr>
                <w:rFonts w:ascii="Arial" w:hAnsi="Arial" w:cs="Arial"/>
                <w:color w:val="000000"/>
                <w:sz w:val="20"/>
                <w:szCs w:val="20"/>
              </w:rPr>
              <w:t>2019</w:t>
            </w:r>
          </w:p>
        </w:tc>
        <w:tc>
          <w:tcPr>
            <w:tcW w:w="373" w:type="pct"/>
            <w:tcBorders>
              <w:top w:val="single" w:sz="4" w:space="0" w:color="auto"/>
              <w:bottom w:val="single" w:sz="4" w:space="0" w:color="auto"/>
            </w:tcBorders>
            <w:shd w:val="clear" w:color="auto" w:fill="auto"/>
            <w:noWrap/>
            <w:vAlign w:val="center"/>
            <w:hideMark/>
          </w:tcPr>
          <w:p w14:paraId="44E759F9" w14:textId="77777777" w:rsidR="002C1D59" w:rsidRPr="00462431" w:rsidRDefault="002C1D59" w:rsidP="005F76AF">
            <w:pPr>
              <w:jc w:val="right"/>
              <w:rPr>
                <w:rFonts w:ascii="Arial" w:hAnsi="Arial" w:cs="Arial"/>
                <w:color w:val="000000"/>
                <w:sz w:val="20"/>
                <w:szCs w:val="20"/>
              </w:rPr>
            </w:pPr>
            <w:r w:rsidRPr="00462431">
              <w:rPr>
                <w:rFonts w:ascii="Arial" w:hAnsi="Arial" w:cs="Arial"/>
                <w:color w:val="000000"/>
                <w:sz w:val="20"/>
                <w:szCs w:val="20"/>
              </w:rPr>
              <w:t>2020</w:t>
            </w:r>
          </w:p>
        </w:tc>
        <w:tc>
          <w:tcPr>
            <w:tcW w:w="373" w:type="pct"/>
            <w:tcBorders>
              <w:top w:val="single" w:sz="4" w:space="0" w:color="auto"/>
              <w:bottom w:val="single" w:sz="4" w:space="0" w:color="auto"/>
            </w:tcBorders>
            <w:shd w:val="clear" w:color="auto" w:fill="auto"/>
            <w:noWrap/>
            <w:vAlign w:val="center"/>
            <w:hideMark/>
          </w:tcPr>
          <w:p w14:paraId="7A737C4C" w14:textId="77777777" w:rsidR="002C1D59" w:rsidRPr="00462431" w:rsidRDefault="002C1D59" w:rsidP="005F76AF">
            <w:pPr>
              <w:jc w:val="right"/>
              <w:rPr>
                <w:rFonts w:ascii="Arial" w:hAnsi="Arial" w:cs="Arial"/>
                <w:color w:val="000000"/>
                <w:sz w:val="20"/>
                <w:szCs w:val="20"/>
              </w:rPr>
            </w:pPr>
            <w:r w:rsidRPr="00462431">
              <w:rPr>
                <w:rFonts w:ascii="Arial" w:hAnsi="Arial" w:cs="Arial"/>
                <w:color w:val="000000"/>
                <w:sz w:val="20"/>
                <w:szCs w:val="20"/>
              </w:rPr>
              <w:t>2021</w:t>
            </w:r>
          </w:p>
        </w:tc>
        <w:tc>
          <w:tcPr>
            <w:tcW w:w="373" w:type="pct"/>
            <w:tcBorders>
              <w:top w:val="single" w:sz="4" w:space="0" w:color="auto"/>
              <w:bottom w:val="single" w:sz="4" w:space="0" w:color="auto"/>
            </w:tcBorders>
            <w:shd w:val="clear" w:color="auto" w:fill="auto"/>
            <w:noWrap/>
            <w:vAlign w:val="center"/>
            <w:hideMark/>
          </w:tcPr>
          <w:p w14:paraId="3B745D74" w14:textId="77777777" w:rsidR="002C1D59" w:rsidRPr="00462431" w:rsidRDefault="002C1D59" w:rsidP="005F76AF">
            <w:pPr>
              <w:jc w:val="right"/>
              <w:rPr>
                <w:rFonts w:ascii="Arial" w:hAnsi="Arial" w:cs="Arial"/>
                <w:color w:val="000000"/>
                <w:sz w:val="20"/>
                <w:szCs w:val="20"/>
              </w:rPr>
            </w:pPr>
            <w:r w:rsidRPr="00462431">
              <w:rPr>
                <w:rFonts w:ascii="Arial" w:hAnsi="Arial" w:cs="Arial"/>
                <w:color w:val="000000"/>
                <w:sz w:val="20"/>
                <w:szCs w:val="20"/>
              </w:rPr>
              <w:t>2022</w:t>
            </w:r>
          </w:p>
        </w:tc>
      </w:tr>
      <w:tr w:rsidR="002C1D59" w:rsidRPr="00135C4D" w14:paraId="7C9160CB" w14:textId="77777777" w:rsidTr="002C1D59">
        <w:trPr>
          <w:trHeight w:val="582"/>
          <w:jc w:val="center"/>
        </w:trPr>
        <w:tc>
          <w:tcPr>
            <w:tcW w:w="3146" w:type="pct"/>
            <w:shd w:val="clear" w:color="auto" w:fill="auto"/>
            <w:noWrap/>
            <w:vAlign w:val="bottom"/>
            <w:hideMark/>
          </w:tcPr>
          <w:p w14:paraId="6D9F4FB6" w14:textId="77777777" w:rsidR="002C1D59" w:rsidRPr="00462431" w:rsidRDefault="002C1D59" w:rsidP="005F76AF">
            <w:pPr>
              <w:spacing w:before="120" w:after="60"/>
              <w:rPr>
                <w:rFonts w:ascii="Arial" w:hAnsi="Arial" w:cs="Arial"/>
                <w:color w:val="000000"/>
                <w:sz w:val="20"/>
                <w:szCs w:val="20"/>
              </w:rPr>
            </w:pPr>
            <w:r w:rsidRPr="00187E56">
              <w:rPr>
                <w:rFonts w:ascii="Arial" w:hAnsi="Arial" w:cs="Arial"/>
                <w:sz w:val="20"/>
                <w:szCs w:val="20"/>
              </w:rPr>
              <w:t>Manufacture of electrical equipment</w:t>
            </w:r>
          </w:p>
        </w:tc>
        <w:tc>
          <w:tcPr>
            <w:tcW w:w="367" w:type="pct"/>
            <w:tcBorders>
              <w:top w:val="single" w:sz="4" w:space="0" w:color="auto"/>
            </w:tcBorders>
            <w:shd w:val="clear" w:color="auto" w:fill="auto"/>
            <w:noWrap/>
            <w:vAlign w:val="bottom"/>
            <w:hideMark/>
          </w:tcPr>
          <w:p w14:paraId="13C1FCEB" w14:textId="77777777" w:rsidR="002C1D59" w:rsidRPr="00462431" w:rsidRDefault="002C1D59" w:rsidP="005F76AF">
            <w:pPr>
              <w:spacing w:before="120" w:after="60"/>
              <w:jc w:val="right"/>
              <w:rPr>
                <w:rFonts w:ascii="Arial" w:hAnsi="Arial" w:cs="Arial"/>
                <w:color w:val="000000"/>
                <w:sz w:val="20"/>
                <w:szCs w:val="20"/>
              </w:rPr>
            </w:pPr>
            <w:r w:rsidRPr="00462431">
              <w:rPr>
                <w:rFonts w:ascii="Arial" w:hAnsi="Arial" w:cs="Arial"/>
                <w:sz w:val="20"/>
                <w:szCs w:val="20"/>
              </w:rPr>
              <w:t>18</w:t>
            </w:r>
            <w:r>
              <w:rPr>
                <w:rFonts w:ascii="Arial" w:hAnsi="Arial" w:cs="Arial"/>
                <w:sz w:val="20"/>
                <w:szCs w:val="20"/>
              </w:rPr>
              <w:t>.</w:t>
            </w:r>
            <w:r w:rsidRPr="00462431">
              <w:rPr>
                <w:rFonts w:ascii="Arial" w:hAnsi="Arial" w:cs="Arial"/>
                <w:sz w:val="20"/>
                <w:szCs w:val="20"/>
              </w:rPr>
              <w:t>3</w:t>
            </w:r>
          </w:p>
        </w:tc>
        <w:tc>
          <w:tcPr>
            <w:tcW w:w="367" w:type="pct"/>
            <w:tcBorders>
              <w:top w:val="single" w:sz="4" w:space="0" w:color="auto"/>
            </w:tcBorders>
            <w:shd w:val="clear" w:color="auto" w:fill="auto"/>
            <w:noWrap/>
            <w:vAlign w:val="bottom"/>
            <w:hideMark/>
          </w:tcPr>
          <w:p w14:paraId="14108A55" w14:textId="77777777" w:rsidR="002C1D59" w:rsidRPr="00462431" w:rsidRDefault="002C1D59" w:rsidP="005F76AF">
            <w:pPr>
              <w:spacing w:before="120" w:after="60"/>
              <w:jc w:val="right"/>
              <w:rPr>
                <w:rFonts w:ascii="Arial" w:hAnsi="Arial" w:cs="Arial"/>
                <w:color w:val="000000"/>
                <w:sz w:val="20"/>
                <w:szCs w:val="20"/>
              </w:rPr>
            </w:pPr>
            <w:r w:rsidRPr="00462431">
              <w:rPr>
                <w:rFonts w:ascii="Arial" w:hAnsi="Arial" w:cs="Arial"/>
                <w:sz w:val="20"/>
                <w:szCs w:val="20"/>
              </w:rPr>
              <w:t>5</w:t>
            </w:r>
            <w:r>
              <w:rPr>
                <w:rFonts w:ascii="Arial" w:hAnsi="Arial" w:cs="Arial"/>
                <w:sz w:val="20"/>
                <w:szCs w:val="20"/>
              </w:rPr>
              <w:t>.</w:t>
            </w:r>
            <w:r w:rsidRPr="00462431">
              <w:rPr>
                <w:rFonts w:ascii="Arial" w:hAnsi="Arial" w:cs="Arial"/>
                <w:sz w:val="20"/>
                <w:szCs w:val="20"/>
              </w:rPr>
              <w:t>7</w:t>
            </w:r>
          </w:p>
        </w:tc>
        <w:tc>
          <w:tcPr>
            <w:tcW w:w="373" w:type="pct"/>
            <w:tcBorders>
              <w:top w:val="single" w:sz="4" w:space="0" w:color="auto"/>
            </w:tcBorders>
            <w:shd w:val="clear" w:color="auto" w:fill="auto"/>
            <w:noWrap/>
            <w:vAlign w:val="bottom"/>
            <w:hideMark/>
          </w:tcPr>
          <w:p w14:paraId="599792E1" w14:textId="77777777" w:rsidR="002C1D59" w:rsidRPr="00462431" w:rsidRDefault="002C1D59" w:rsidP="005F76AF">
            <w:pPr>
              <w:spacing w:before="120" w:after="60"/>
              <w:jc w:val="right"/>
              <w:rPr>
                <w:rFonts w:ascii="Arial" w:hAnsi="Arial" w:cs="Arial"/>
                <w:color w:val="000000"/>
                <w:sz w:val="20"/>
                <w:szCs w:val="20"/>
              </w:rPr>
            </w:pPr>
            <w:r w:rsidRPr="00462431">
              <w:rPr>
                <w:rFonts w:ascii="Arial" w:hAnsi="Arial" w:cs="Arial"/>
                <w:sz w:val="20"/>
                <w:szCs w:val="20"/>
              </w:rPr>
              <w:t>-2</w:t>
            </w:r>
            <w:r>
              <w:rPr>
                <w:rFonts w:ascii="Arial" w:hAnsi="Arial" w:cs="Arial"/>
                <w:sz w:val="20"/>
                <w:szCs w:val="20"/>
              </w:rPr>
              <w:t>.</w:t>
            </w:r>
            <w:r w:rsidRPr="00462431">
              <w:rPr>
                <w:rFonts w:ascii="Arial" w:hAnsi="Arial" w:cs="Arial"/>
                <w:sz w:val="20"/>
                <w:szCs w:val="20"/>
              </w:rPr>
              <w:t>7</w:t>
            </w:r>
          </w:p>
        </w:tc>
        <w:tc>
          <w:tcPr>
            <w:tcW w:w="373" w:type="pct"/>
            <w:tcBorders>
              <w:top w:val="single" w:sz="4" w:space="0" w:color="auto"/>
            </w:tcBorders>
            <w:shd w:val="clear" w:color="auto" w:fill="auto"/>
            <w:noWrap/>
            <w:vAlign w:val="bottom"/>
            <w:hideMark/>
          </w:tcPr>
          <w:p w14:paraId="26EA9DD4" w14:textId="77777777" w:rsidR="002C1D59" w:rsidRPr="00462431" w:rsidRDefault="002C1D59" w:rsidP="005F76AF">
            <w:pPr>
              <w:spacing w:before="120" w:after="60"/>
              <w:jc w:val="right"/>
              <w:rPr>
                <w:rFonts w:ascii="Arial" w:hAnsi="Arial" w:cs="Arial"/>
                <w:color w:val="000000"/>
                <w:sz w:val="20"/>
                <w:szCs w:val="20"/>
              </w:rPr>
            </w:pPr>
            <w:r w:rsidRPr="00462431">
              <w:rPr>
                <w:rFonts w:ascii="Arial" w:hAnsi="Arial" w:cs="Arial"/>
                <w:sz w:val="20"/>
                <w:szCs w:val="20"/>
              </w:rPr>
              <w:t>14</w:t>
            </w:r>
            <w:r>
              <w:rPr>
                <w:rFonts w:ascii="Arial" w:hAnsi="Arial" w:cs="Arial"/>
                <w:sz w:val="20"/>
                <w:szCs w:val="20"/>
              </w:rPr>
              <w:t>.</w:t>
            </w:r>
            <w:r w:rsidRPr="00462431">
              <w:rPr>
                <w:rFonts w:ascii="Arial" w:hAnsi="Arial" w:cs="Arial"/>
                <w:sz w:val="20"/>
                <w:szCs w:val="20"/>
              </w:rPr>
              <w:t>3</w:t>
            </w:r>
          </w:p>
        </w:tc>
        <w:tc>
          <w:tcPr>
            <w:tcW w:w="373" w:type="pct"/>
            <w:tcBorders>
              <w:top w:val="single" w:sz="4" w:space="0" w:color="auto"/>
            </w:tcBorders>
            <w:shd w:val="clear" w:color="auto" w:fill="auto"/>
            <w:noWrap/>
            <w:vAlign w:val="bottom"/>
            <w:hideMark/>
          </w:tcPr>
          <w:p w14:paraId="11B58A90" w14:textId="77777777" w:rsidR="002C1D59" w:rsidRPr="00462431" w:rsidRDefault="002C1D59" w:rsidP="005F76AF">
            <w:pPr>
              <w:spacing w:before="120" w:after="60"/>
              <w:jc w:val="right"/>
              <w:rPr>
                <w:rFonts w:ascii="Arial" w:hAnsi="Arial" w:cs="Arial"/>
                <w:color w:val="000000"/>
                <w:sz w:val="20"/>
                <w:szCs w:val="20"/>
              </w:rPr>
            </w:pPr>
            <w:r w:rsidRPr="00462431">
              <w:rPr>
                <w:rFonts w:ascii="Arial" w:hAnsi="Arial" w:cs="Arial"/>
                <w:sz w:val="20"/>
                <w:szCs w:val="20"/>
              </w:rPr>
              <w:t>27</w:t>
            </w:r>
            <w:r>
              <w:rPr>
                <w:rFonts w:ascii="Arial" w:hAnsi="Arial" w:cs="Arial"/>
                <w:sz w:val="20"/>
                <w:szCs w:val="20"/>
              </w:rPr>
              <w:t>.</w:t>
            </w:r>
            <w:r w:rsidRPr="00462431">
              <w:rPr>
                <w:rFonts w:ascii="Arial" w:hAnsi="Arial" w:cs="Arial"/>
                <w:sz w:val="20"/>
                <w:szCs w:val="20"/>
              </w:rPr>
              <w:t>9</w:t>
            </w:r>
          </w:p>
        </w:tc>
      </w:tr>
      <w:tr w:rsidR="002C1D59" w:rsidRPr="00135C4D" w14:paraId="7524532A" w14:textId="77777777" w:rsidTr="002C1D59">
        <w:trPr>
          <w:trHeight w:val="288"/>
          <w:jc w:val="center"/>
        </w:trPr>
        <w:tc>
          <w:tcPr>
            <w:tcW w:w="3146" w:type="pct"/>
            <w:shd w:val="clear" w:color="auto" w:fill="auto"/>
            <w:noWrap/>
            <w:vAlign w:val="center"/>
            <w:hideMark/>
          </w:tcPr>
          <w:p w14:paraId="703B4B92" w14:textId="77777777" w:rsidR="002C1D59" w:rsidRPr="00462431" w:rsidRDefault="002C1D59" w:rsidP="005F76AF">
            <w:pPr>
              <w:spacing w:before="120" w:after="80"/>
              <w:rPr>
                <w:rFonts w:ascii="Arial" w:hAnsi="Arial" w:cs="Arial"/>
                <w:color w:val="000000"/>
                <w:sz w:val="20"/>
                <w:szCs w:val="20"/>
              </w:rPr>
            </w:pPr>
            <w:r w:rsidRPr="00187E56">
              <w:rPr>
                <w:rFonts w:ascii="Arial" w:hAnsi="Arial" w:cs="Arial"/>
                <w:sz w:val="20"/>
                <w:szCs w:val="20"/>
              </w:rPr>
              <w:t>Manufacture of machinery and equipment n.e.c</w:t>
            </w:r>
          </w:p>
        </w:tc>
        <w:tc>
          <w:tcPr>
            <w:tcW w:w="367" w:type="pct"/>
            <w:shd w:val="clear" w:color="auto" w:fill="auto"/>
            <w:noWrap/>
            <w:vAlign w:val="center"/>
            <w:hideMark/>
          </w:tcPr>
          <w:p w14:paraId="2DCF1BBF"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9</w:t>
            </w:r>
            <w:r>
              <w:rPr>
                <w:rFonts w:ascii="Arial" w:hAnsi="Arial" w:cs="Arial"/>
                <w:sz w:val="20"/>
                <w:szCs w:val="20"/>
              </w:rPr>
              <w:t>.</w:t>
            </w:r>
            <w:r w:rsidRPr="00462431">
              <w:rPr>
                <w:rFonts w:ascii="Arial" w:hAnsi="Arial" w:cs="Arial"/>
                <w:sz w:val="20"/>
                <w:szCs w:val="20"/>
              </w:rPr>
              <w:t>3</w:t>
            </w:r>
          </w:p>
        </w:tc>
        <w:tc>
          <w:tcPr>
            <w:tcW w:w="367" w:type="pct"/>
            <w:shd w:val="clear" w:color="auto" w:fill="auto"/>
            <w:noWrap/>
            <w:vAlign w:val="center"/>
            <w:hideMark/>
          </w:tcPr>
          <w:p w14:paraId="7D684407"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11</w:t>
            </w:r>
            <w:r>
              <w:rPr>
                <w:rFonts w:ascii="Arial" w:hAnsi="Arial" w:cs="Arial"/>
                <w:sz w:val="20"/>
                <w:szCs w:val="20"/>
              </w:rPr>
              <w:t>.</w:t>
            </w:r>
            <w:r w:rsidRPr="00462431">
              <w:rPr>
                <w:rFonts w:ascii="Arial" w:hAnsi="Arial" w:cs="Arial"/>
                <w:sz w:val="20"/>
                <w:szCs w:val="20"/>
              </w:rPr>
              <w:t>5</w:t>
            </w:r>
          </w:p>
        </w:tc>
        <w:tc>
          <w:tcPr>
            <w:tcW w:w="373" w:type="pct"/>
            <w:shd w:val="clear" w:color="auto" w:fill="auto"/>
            <w:noWrap/>
            <w:vAlign w:val="center"/>
            <w:hideMark/>
          </w:tcPr>
          <w:p w14:paraId="2406B1FD"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-16</w:t>
            </w:r>
            <w:r>
              <w:rPr>
                <w:rFonts w:ascii="Arial" w:hAnsi="Arial" w:cs="Arial"/>
                <w:sz w:val="20"/>
                <w:szCs w:val="20"/>
              </w:rPr>
              <w:t>.</w:t>
            </w:r>
            <w:r w:rsidRPr="00462431">
              <w:rPr>
                <w:rFonts w:ascii="Arial" w:hAnsi="Arial" w:cs="Arial"/>
                <w:sz w:val="20"/>
                <w:szCs w:val="20"/>
              </w:rPr>
              <w:t>1</w:t>
            </w:r>
          </w:p>
        </w:tc>
        <w:tc>
          <w:tcPr>
            <w:tcW w:w="373" w:type="pct"/>
            <w:shd w:val="clear" w:color="auto" w:fill="auto"/>
            <w:noWrap/>
            <w:vAlign w:val="center"/>
            <w:hideMark/>
          </w:tcPr>
          <w:p w14:paraId="2FE6EAB0"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6</w:t>
            </w:r>
            <w:r>
              <w:rPr>
                <w:rFonts w:ascii="Arial" w:hAnsi="Arial" w:cs="Arial"/>
                <w:sz w:val="20"/>
                <w:szCs w:val="20"/>
              </w:rPr>
              <w:t>.</w:t>
            </w:r>
            <w:r w:rsidRPr="00462431">
              <w:rPr>
                <w:rFonts w:ascii="Arial" w:hAnsi="Arial" w:cs="Arial"/>
                <w:sz w:val="20"/>
                <w:szCs w:val="20"/>
              </w:rPr>
              <w:t>0</w:t>
            </w:r>
          </w:p>
        </w:tc>
        <w:tc>
          <w:tcPr>
            <w:tcW w:w="373" w:type="pct"/>
            <w:shd w:val="clear" w:color="auto" w:fill="auto"/>
            <w:noWrap/>
            <w:vAlign w:val="center"/>
            <w:hideMark/>
          </w:tcPr>
          <w:p w14:paraId="48C6291F"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21</w:t>
            </w:r>
            <w:r>
              <w:rPr>
                <w:rFonts w:ascii="Arial" w:hAnsi="Arial" w:cs="Arial"/>
                <w:sz w:val="20"/>
                <w:szCs w:val="20"/>
              </w:rPr>
              <w:t>.</w:t>
            </w:r>
            <w:r w:rsidRPr="00462431">
              <w:rPr>
                <w:rFonts w:ascii="Arial" w:hAnsi="Arial" w:cs="Arial"/>
                <w:sz w:val="20"/>
                <w:szCs w:val="20"/>
              </w:rPr>
              <w:t>2</w:t>
            </w:r>
          </w:p>
        </w:tc>
      </w:tr>
      <w:tr w:rsidR="002C1D59" w:rsidRPr="00135C4D" w14:paraId="23F9C0EB" w14:textId="77777777" w:rsidTr="002C1D59">
        <w:trPr>
          <w:trHeight w:val="288"/>
          <w:jc w:val="center"/>
        </w:trPr>
        <w:tc>
          <w:tcPr>
            <w:tcW w:w="3146" w:type="pct"/>
            <w:shd w:val="clear" w:color="auto" w:fill="auto"/>
            <w:noWrap/>
            <w:vAlign w:val="bottom"/>
            <w:hideMark/>
          </w:tcPr>
          <w:p w14:paraId="0D976859" w14:textId="77777777" w:rsidR="002C1D59" w:rsidRPr="00462431" w:rsidRDefault="002C1D59" w:rsidP="005F76AF">
            <w:pPr>
              <w:spacing w:before="120" w:after="80"/>
              <w:rPr>
                <w:rFonts w:ascii="Arial" w:hAnsi="Arial" w:cs="Arial"/>
                <w:color w:val="000000"/>
                <w:sz w:val="20"/>
                <w:szCs w:val="20"/>
              </w:rPr>
            </w:pPr>
            <w:r w:rsidRPr="00187E56">
              <w:rPr>
                <w:rFonts w:ascii="Arial" w:hAnsi="Arial" w:cs="Arial"/>
                <w:sz w:val="20"/>
                <w:szCs w:val="20"/>
              </w:rPr>
              <w:t>Manufacture of wearing apparel</w:t>
            </w:r>
          </w:p>
        </w:tc>
        <w:tc>
          <w:tcPr>
            <w:tcW w:w="367" w:type="pct"/>
            <w:shd w:val="clear" w:color="auto" w:fill="auto"/>
            <w:noWrap/>
            <w:vAlign w:val="center"/>
            <w:hideMark/>
          </w:tcPr>
          <w:p w14:paraId="048ADC01"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6</w:t>
            </w:r>
            <w:r>
              <w:rPr>
                <w:rFonts w:ascii="Arial" w:hAnsi="Arial" w:cs="Arial"/>
                <w:sz w:val="20"/>
                <w:szCs w:val="20"/>
              </w:rPr>
              <w:t>.</w:t>
            </w:r>
            <w:r w:rsidRPr="00462431">
              <w:rPr>
                <w:rFonts w:ascii="Arial" w:hAnsi="Arial" w:cs="Arial"/>
                <w:sz w:val="20"/>
                <w:szCs w:val="20"/>
              </w:rPr>
              <w:t>9</w:t>
            </w:r>
          </w:p>
        </w:tc>
        <w:tc>
          <w:tcPr>
            <w:tcW w:w="367" w:type="pct"/>
            <w:shd w:val="clear" w:color="auto" w:fill="auto"/>
            <w:noWrap/>
            <w:vAlign w:val="center"/>
            <w:hideMark/>
          </w:tcPr>
          <w:p w14:paraId="5E26B248"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10</w:t>
            </w:r>
            <w:r>
              <w:rPr>
                <w:rFonts w:ascii="Arial" w:hAnsi="Arial" w:cs="Arial"/>
                <w:sz w:val="20"/>
                <w:szCs w:val="20"/>
              </w:rPr>
              <w:t>.</w:t>
            </w:r>
            <w:r w:rsidRPr="00462431">
              <w:rPr>
                <w:rFonts w:ascii="Arial" w:hAnsi="Arial" w:cs="Arial"/>
                <w:sz w:val="20"/>
                <w:szCs w:val="20"/>
              </w:rPr>
              <w:t>6</w:t>
            </w:r>
          </w:p>
        </w:tc>
        <w:tc>
          <w:tcPr>
            <w:tcW w:w="373" w:type="pct"/>
            <w:shd w:val="clear" w:color="auto" w:fill="auto"/>
            <w:noWrap/>
            <w:vAlign w:val="center"/>
            <w:hideMark/>
          </w:tcPr>
          <w:p w14:paraId="0D925C89"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-2</w:t>
            </w:r>
            <w:r>
              <w:rPr>
                <w:rFonts w:ascii="Arial" w:hAnsi="Arial" w:cs="Arial"/>
                <w:sz w:val="20"/>
                <w:szCs w:val="20"/>
              </w:rPr>
              <w:t>.</w:t>
            </w:r>
            <w:r w:rsidRPr="00462431">
              <w:rPr>
                <w:rFonts w:ascii="Arial" w:hAnsi="Arial" w:cs="Arial"/>
                <w:sz w:val="20"/>
                <w:szCs w:val="20"/>
              </w:rPr>
              <w:t>4</w:t>
            </w:r>
          </w:p>
        </w:tc>
        <w:tc>
          <w:tcPr>
            <w:tcW w:w="373" w:type="pct"/>
            <w:shd w:val="clear" w:color="auto" w:fill="auto"/>
            <w:noWrap/>
            <w:vAlign w:val="center"/>
            <w:hideMark/>
          </w:tcPr>
          <w:p w14:paraId="42F4A838"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2</w:t>
            </w:r>
            <w:r>
              <w:rPr>
                <w:rFonts w:ascii="Arial" w:hAnsi="Arial" w:cs="Arial"/>
                <w:sz w:val="20"/>
                <w:szCs w:val="20"/>
              </w:rPr>
              <w:t>.</w:t>
            </w:r>
            <w:r w:rsidRPr="00462431">
              <w:rPr>
                <w:rFonts w:ascii="Arial" w:hAnsi="Arial" w:cs="Arial"/>
                <w:sz w:val="20"/>
                <w:szCs w:val="20"/>
              </w:rPr>
              <w:t>1</w:t>
            </w:r>
          </w:p>
        </w:tc>
        <w:tc>
          <w:tcPr>
            <w:tcW w:w="373" w:type="pct"/>
            <w:shd w:val="clear" w:color="auto" w:fill="auto"/>
            <w:noWrap/>
            <w:vAlign w:val="center"/>
            <w:hideMark/>
          </w:tcPr>
          <w:p w14:paraId="3EE64BE1"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20</w:t>
            </w:r>
            <w:r>
              <w:rPr>
                <w:rFonts w:ascii="Arial" w:hAnsi="Arial" w:cs="Arial"/>
                <w:sz w:val="20"/>
                <w:szCs w:val="20"/>
              </w:rPr>
              <w:t>.</w:t>
            </w:r>
            <w:r w:rsidRPr="00462431">
              <w:rPr>
                <w:rFonts w:ascii="Arial" w:hAnsi="Arial" w:cs="Arial"/>
                <w:sz w:val="20"/>
                <w:szCs w:val="20"/>
              </w:rPr>
              <w:t>1</w:t>
            </w:r>
          </w:p>
        </w:tc>
      </w:tr>
      <w:tr w:rsidR="002C1D59" w:rsidRPr="00135C4D" w14:paraId="1E4C18D3" w14:textId="77777777" w:rsidTr="002C1D59">
        <w:trPr>
          <w:trHeight w:val="288"/>
          <w:jc w:val="center"/>
        </w:trPr>
        <w:tc>
          <w:tcPr>
            <w:tcW w:w="3146" w:type="pct"/>
            <w:shd w:val="clear" w:color="auto" w:fill="auto"/>
            <w:noWrap/>
            <w:vAlign w:val="bottom"/>
            <w:hideMark/>
          </w:tcPr>
          <w:p w14:paraId="3F6ACA78" w14:textId="77777777" w:rsidR="002C1D59" w:rsidRPr="00462431" w:rsidRDefault="002C1D59" w:rsidP="005F76AF">
            <w:pPr>
              <w:spacing w:before="120" w:after="80"/>
              <w:rPr>
                <w:rFonts w:ascii="Arial" w:hAnsi="Arial" w:cs="Arial"/>
                <w:color w:val="000000"/>
                <w:sz w:val="20"/>
                <w:szCs w:val="20"/>
              </w:rPr>
            </w:pPr>
            <w:r w:rsidRPr="00187E56">
              <w:rPr>
                <w:rFonts w:ascii="Arial" w:hAnsi="Arial" w:cs="Arial"/>
                <w:sz w:val="20"/>
                <w:szCs w:val="20"/>
              </w:rPr>
              <w:t>Manufacture of pharmaceuticals, medicinal chemical</w:t>
            </w:r>
            <w:r>
              <w:rPr>
                <w:rFonts w:ascii="Arial" w:hAnsi="Arial" w:cs="Arial"/>
                <w:sz w:val="20"/>
                <w:szCs w:val="20"/>
              </w:rPr>
              <w:br/>
            </w:r>
            <w:r w:rsidRPr="00187E56">
              <w:rPr>
                <w:rFonts w:ascii="Arial" w:hAnsi="Arial" w:cs="Arial"/>
                <w:sz w:val="20"/>
                <w:szCs w:val="20"/>
              </w:rPr>
              <w:t>and botanical products</w:t>
            </w:r>
          </w:p>
        </w:tc>
        <w:tc>
          <w:tcPr>
            <w:tcW w:w="367" w:type="pct"/>
            <w:shd w:val="clear" w:color="auto" w:fill="auto"/>
            <w:noWrap/>
            <w:vAlign w:val="center"/>
            <w:hideMark/>
          </w:tcPr>
          <w:p w14:paraId="7EE621ED"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11</w:t>
            </w:r>
            <w:r>
              <w:rPr>
                <w:rFonts w:ascii="Arial" w:hAnsi="Arial" w:cs="Arial"/>
                <w:sz w:val="20"/>
                <w:szCs w:val="20"/>
              </w:rPr>
              <w:t>.</w:t>
            </w:r>
            <w:r w:rsidRPr="00462431">
              <w:rPr>
                <w:rFonts w:ascii="Arial" w:hAnsi="Arial" w:cs="Arial"/>
                <w:sz w:val="20"/>
                <w:szCs w:val="20"/>
              </w:rPr>
              <w:t>1</w:t>
            </w:r>
          </w:p>
        </w:tc>
        <w:tc>
          <w:tcPr>
            <w:tcW w:w="367" w:type="pct"/>
            <w:shd w:val="clear" w:color="auto" w:fill="auto"/>
            <w:noWrap/>
            <w:vAlign w:val="center"/>
            <w:hideMark/>
          </w:tcPr>
          <w:p w14:paraId="5DB0741C"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-5</w:t>
            </w:r>
            <w:r>
              <w:rPr>
                <w:rFonts w:ascii="Arial" w:hAnsi="Arial" w:cs="Arial"/>
                <w:sz w:val="20"/>
                <w:szCs w:val="20"/>
              </w:rPr>
              <w:t>.</w:t>
            </w:r>
            <w:r w:rsidRPr="00462431">
              <w:rPr>
                <w:rFonts w:ascii="Arial" w:hAnsi="Arial" w:cs="Arial"/>
                <w:sz w:val="20"/>
                <w:szCs w:val="20"/>
              </w:rPr>
              <w:t>6</w:t>
            </w:r>
          </w:p>
        </w:tc>
        <w:tc>
          <w:tcPr>
            <w:tcW w:w="373" w:type="pct"/>
            <w:shd w:val="clear" w:color="auto" w:fill="auto"/>
            <w:noWrap/>
            <w:vAlign w:val="center"/>
            <w:hideMark/>
          </w:tcPr>
          <w:p w14:paraId="55634F7B"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19</w:t>
            </w:r>
            <w:r>
              <w:rPr>
                <w:rFonts w:ascii="Arial" w:hAnsi="Arial" w:cs="Arial"/>
                <w:sz w:val="20"/>
                <w:szCs w:val="20"/>
              </w:rPr>
              <w:t>.</w:t>
            </w:r>
            <w:r w:rsidRPr="00462431">
              <w:rPr>
                <w:rFonts w:ascii="Arial" w:hAnsi="Arial" w:cs="Arial"/>
                <w:sz w:val="20"/>
                <w:szCs w:val="20"/>
              </w:rPr>
              <w:t>8</w:t>
            </w:r>
          </w:p>
        </w:tc>
        <w:tc>
          <w:tcPr>
            <w:tcW w:w="373" w:type="pct"/>
            <w:shd w:val="clear" w:color="auto" w:fill="auto"/>
            <w:noWrap/>
            <w:vAlign w:val="center"/>
            <w:hideMark/>
          </w:tcPr>
          <w:p w14:paraId="5DECFE71"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4</w:t>
            </w:r>
            <w:r>
              <w:rPr>
                <w:rFonts w:ascii="Arial" w:hAnsi="Arial" w:cs="Arial"/>
                <w:sz w:val="20"/>
                <w:szCs w:val="20"/>
              </w:rPr>
              <w:t>.</w:t>
            </w:r>
            <w:r w:rsidRPr="00462431">
              <w:rPr>
                <w:rFonts w:ascii="Arial" w:hAnsi="Arial" w:cs="Arial"/>
                <w:sz w:val="20"/>
                <w:szCs w:val="20"/>
              </w:rPr>
              <w:t>9</w:t>
            </w:r>
          </w:p>
        </w:tc>
        <w:tc>
          <w:tcPr>
            <w:tcW w:w="373" w:type="pct"/>
            <w:shd w:val="clear" w:color="auto" w:fill="auto"/>
            <w:noWrap/>
            <w:vAlign w:val="center"/>
            <w:hideMark/>
          </w:tcPr>
          <w:p w14:paraId="67EA304E"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15</w:t>
            </w:r>
            <w:r>
              <w:rPr>
                <w:rFonts w:ascii="Arial" w:hAnsi="Arial" w:cs="Arial"/>
                <w:sz w:val="20"/>
                <w:szCs w:val="20"/>
              </w:rPr>
              <w:t>.</w:t>
            </w:r>
            <w:r w:rsidRPr="00462431">
              <w:rPr>
                <w:rFonts w:ascii="Arial" w:hAnsi="Arial" w:cs="Arial"/>
                <w:sz w:val="20"/>
                <w:szCs w:val="20"/>
              </w:rPr>
              <w:t>0</w:t>
            </w:r>
          </w:p>
        </w:tc>
      </w:tr>
      <w:tr w:rsidR="002C1D59" w:rsidRPr="00135C4D" w14:paraId="03372BDA" w14:textId="77777777" w:rsidTr="002C1D59">
        <w:trPr>
          <w:trHeight w:val="347"/>
          <w:jc w:val="center"/>
        </w:trPr>
        <w:tc>
          <w:tcPr>
            <w:tcW w:w="3146" w:type="pct"/>
            <w:shd w:val="clear" w:color="auto" w:fill="auto"/>
            <w:noWrap/>
            <w:vAlign w:val="bottom"/>
            <w:hideMark/>
          </w:tcPr>
          <w:p w14:paraId="68610D20" w14:textId="77777777" w:rsidR="002C1D59" w:rsidRPr="00462431" w:rsidRDefault="002C1D59" w:rsidP="005F76AF">
            <w:pPr>
              <w:spacing w:before="120" w:after="80"/>
              <w:rPr>
                <w:rFonts w:ascii="Arial" w:hAnsi="Arial" w:cs="Arial"/>
                <w:color w:val="000000"/>
                <w:sz w:val="20"/>
                <w:szCs w:val="20"/>
              </w:rPr>
            </w:pPr>
            <w:r w:rsidRPr="00620078">
              <w:rPr>
                <w:rFonts w:ascii="Arial" w:hAnsi="Arial" w:cs="Arial"/>
                <w:sz w:val="20"/>
                <w:szCs w:val="20"/>
              </w:rPr>
              <w:t>Printing and reproduction of recorded media</w:t>
            </w:r>
          </w:p>
        </w:tc>
        <w:tc>
          <w:tcPr>
            <w:tcW w:w="367" w:type="pct"/>
            <w:shd w:val="clear" w:color="auto" w:fill="auto"/>
            <w:noWrap/>
            <w:vAlign w:val="center"/>
            <w:hideMark/>
          </w:tcPr>
          <w:p w14:paraId="6E41607C"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6</w:t>
            </w:r>
            <w:r>
              <w:rPr>
                <w:rFonts w:ascii="Arial" w:hAnsi="Arial" w:cs="Arial"/>
                <w:sz w:val="20"/>
                <w:szCs w:val="20"/>
              </w:rPr>
              <w:t>.</w:t>
            </w:r>
            <w:r w:rsidRPr="00462431">
              <w:rPr>
                <w:rFonts w:ascii="Arial" w:hAnsi="Arial" w:cs="Arial"/>
                <w:sz w:val="20"/>
                <w:szCs w:val="20"/>
              </w:rPr>
              <w:t>7</w:t>
            </w:r>
          </w:p>
        </w:tc>
        <w:tc>
          <w:tcPr>
            <w:tcW w:w="367" w:type="pct"/>
            <w:shd w:val="clear" w:color="auto" w:fill="auto"/>
            <w:noWrap/>
            <w:vAlign w:val="center"/>
            <w:hideMark/>
          </w:tcPr>
          <w:p w14:paraId="5D1F6969"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11</w:t>
            </w:r>
            <w:r>
              <w:rPr>
                <w:rFonts w:ascii="Arial" w:hAnsi="Arial" w:cs="Arial"/>
                <w:sz w:val="20"/>
                <w:szCs w:val="20"/>
              </w:rPr>
              <w:t>.</w:t>
            </w:r>
            <w:r w:rsidRPr="00462431">
              <w:rPr>
                <w:rFonts w:ascii="Arial" w:hAnsi="Arial" w:cs="Arial"/>
                <w:sz w:val="20"/>
                <w:szCs w:val="20"/>
              </w:rPr>
              <w:t>2</w:t>
            </w:r>
          </w:p>
        </w:tc>
        <w:tc>
          <w:tcPr>
            <w:tcW w:w="373" w:type="pct"/>
            <w:shd w:val="clear" w:color="auto" w:fill="auto"/>
            <w:noWrap/>
            <w:vAlign w:val="center"/>
            <w:hideMark/>
          </w:tcPr>
          <w:p w14:paraId="191BBE6F"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14</w:t>
            </w:r>
            <w:r>
              <w:rPr>
                <w:rFonts w:ascii="Arial" w:hAnsi="Arial" w:cs="Arial"/>
                <w:sz w:val="20"/>
                <w:szCs w:val="20"/>
              </w:rPr>
              <w:t>.</w:t>
            </w:r>
            <w:r w:rsidRPr="00462431">
              <w:rPr>
                <w:rFonts w:ascii="Arial" w:hAnsi="Arial" w:cs="Arial"/>
                <w:sz w:val="20"/>
                <w:szCs w:val="20"/>
              </w:rPr>
              <w:t>5</w:t>
            </w:r>
          </w:p>
        </w:tc>
        <w:tc>
          <w:tcPr>
            <w:tcW w:w="373" w:type="pct"/>
            <w:shd w:val="clear" w:color="auto" w:fill="auto"/>
            <w:noWrap/>
            <w:vAlign w:val="center"/>
            <w:hideMark/>
          </w:tcPr>
          <w:p w14:paraId="58656145"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-14</w:t>
            </w:r>
            <w:r>
              <w:rPr>
                <w:rFonts w:ascii="Arial" w:hAnsi="Arial" w:cs="Arial"/>
                <w:sz w:val="20"/>
                <w:szCs w:val="20"/>
              </w:rPr>
              <w:t>.</w:t>
            </w:r>
            <w:r w:rsidRPr="00462431">
              <w:rPr>
                <w:rFonts w:ascii="Arial" w:hAnsi="Arial" w:cs="Arial"/>
                <w:sz w:val="20"/>
                <w:szCs w:val="20"/>
              </w:rPr>
              <w:t>4</w:t>
            </w:r>
          </w:p>
        </w:tc>
        <w:tc>
          <w:tcPr>
            <w:tcW w:w="373" w:type="pct"/>
            <w:shd w:val="clear" w:color="auto" w:fill="auto"/>
            <w:noWrap/>
            <w:vAlign w:val="center"/>
            <w:hideMark/>
          </w:tcPr>
          <w:p w14:paraId="44516FB4"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11</w:t>
            </w:r>
            <w:r>
              <w:rPr>
                <w:rFonts w:ascii="Arial" w:hAnsi="Arial" w:cs="Arial"/>
                <w:sz w:val="20"/>
                <w:szCs w:val="20"/>
              </w:rPr>
              <w:t>.</w:t>
            </w:r>
            <w:r w:rsidRPr="00462431">
              <w:rPr>
                <w:rFonts w:ascii="Arial" w:hAnsi="Arial" w:cs="Arial"/>
                <w:sz w:val="20"/>
                <w:szCs w:val="20"/>
              </w:rPr>
              <w:t>0</w:t>
            </w:r>
          </w:p>
        </w:tc>
      </w:tr>
      <w:tr w:rsidR="002C1D59" w:rsidRPr="00135C4D" w14:paraId="29DD4C21" w14:textId="77777777" w:rsidTr="002C1D59">
        <w:trPr>
          <w:trHeight w:val="288"/>
          <w:jc w:val="center"/>
        </w:trPr>
        <w:tc>
          <w:tcPr>
            <w:tcW w:w="3146" w:type="pct"/>
            <w:shd w:val="clear" w:color="auto" w:fill="auto"/>
            <w:noWrap/>
            <w:vAlign w:val="bottom"/>
            <w:hideMark/>
          </w:tcPr>
          <w:p w14:paraId="769A0D67" w14:textId="77777777" w:rsidR="002C1D59" w:rsidRPr="00462431" w:rsidRDefault="002C1D59" w:rsidP="005F76AF">
            <w:pPr>
              <w:spacing w:before="120" w:after="80"/>
              <w:rPr>
                <w:rFonts w:ascii="Arial" w:hAnsi="Arial" w:cs="Arial"/>
                <w:color w:val="000000"/>
                <w:sz w:val="20"/>
                <w:szCs w:val="20"/>
              </w:rPr>
            </w:pPr>
            <w:r w:rsidRPr="00620078">
              <w:rPr>
                <w:rFonts w:ascii="Arial" w:hAnsi="Arial" w:cs="Arial"/>
                <w:sz w:val="20"/>
                <w:szCs w:val="20"/>
              </w:rPr>
              <w:t>Manufacture of motor vehicles; trailers and semi-trailers</w:t>
            </w:r>
          </w:p>
        </w:tc>
        <w:tc>
          <w:tcPr>
            <w:tcW w:w="367" w:type="pct"/>
            <w:shd w:val="clear" w:color="auto" w:fill="auto"/>
            <w:noWrap/>
            <w:vAlign w:val="center"/>
            <w:hideMark/>
          </w:tcPr>
          <w:p w14:paraId="0F012601"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7</w:t>
            </w:r>
            <w:r>
              <w:rPr>
                <w:rFonts w:ascii="Arial" w:hAnsi="Arial" w:cs="Arial"/>
                <w:sz w:val="20"/>
                <w:szCs w:val="20"/>
              </w:rPr>
              <w:t>.</w:t>
            </w:r>
            <w:r w:rsidRPr="00462431">
              <w:rPr>
                <w:rFonts w:ascii="Arial" w:hAnsi="Arial" w:cs="Arial"/>
                <w:sz w:val="20"/>
                <w:szCs w:val="20"/>
              </w:rPr>
              <w:t>3</w:t>
            </w:r>
          </w:p>
        </w:tc>
        <w:tc>
          <w:tcPr>
            <w:tcW w:w="367" w:type="pct"/>
            <w:shd w:val="clear" w:color="auto" w:fill="auto"/>
            <w:noWrap/>
            <w:vAlign w:val="center"/>
            <w:hideMark/>
          </w:tcPr>
          <w:p w14:paraId="3A1BA90A"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20</w:t>
            </w:r>
            <w:r>
              <w:rPr>
                <w:rFonts w:ascii="Arial" w:hAnsi="Arial" w:cs="Arial"/>
                <w:sz w:val="20"/>
                <w:szCs w:val="20"/>
              </w:rPr>
              <w:t>.</w:t>
            </w:r>
            <w:r w:rsidRPr="00462431">
              <w:rPr>
                <w:rFonts w:ascii="Arial" w:hAnsi="Arial" w:cs="Arial"/>
                <w:sz w:val="20"/>
                <w:szCs w:val="20"/>
              </w:rPr>
              <w:t>2</w:t>
            </w:r>
          </w:p>
        </w:tc>
        <w:tc>
          <w:tcPr>
            <w:tcW w:w="373" w:type="pct"/>
            <w:shd w:val="clear" w:color="auto" w:fill="auto"/>
            <w:noWrap/>
            <w:vAlign w:val="center"/>
            <w:hideMark/>
          </w:tcPr>
          <w:p w14:paraId="5230B2B5"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-5</w:t>
            </w:r>
            <w:r>
              <w:rPr>
                <w:rFonts w:ascii="Arial" w:hAnsi="Arial" w:cs="Arial"/>
                <w:sz w:val="20"/>
                <w:szCs w:val="20"/>
              </w:rPr>
              <w:t>.</w:t>
            </w:r>
            <w:r w:rsidRPr="00462431">
              <w:rPr>
                <w:rFonts w:ascii="Arial" w:hAnsi="Arial" w:cs="Arial"/>
                <w:sz w:val="20"/>
                <w:szCs w:val="20"/>
              </w:rPr>
              <w:t>6</w:t>
            </w:r>
          </w:p>
        </w:tc>
        <w:tc>
          <w:tcPr>
            <w:tcW w:w="373" w:type="pct"/>
            <w:shd w:val="clear" w:color="auto" w:fill="auto"/>
            <w:noWrap/>
            <w:vAlign w:val="center"/>
            <w:hideMark/>
          </w:tcPr>
          <w:p w14:paraId="3144ADEF"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7</w:t>
            </w:r>
            <w:r>
              <w:rPr>
                <w:rFonts w:ascii="Arial" w:hAnsi="Arial" w:cs="Arial"/>
                <w:sz w:val="20"/>
                <w:szCs w:val="20"/>
              </w:rPr>
              <w:t>.</w:t>
            </w:r>
            <w:r w:rsidRPr="00462431">
              <w:rPr>
                <w:rFonts w:ascii="Arial" w:hAnsi="Arial" w:cs="Arial"/>
                <w:sz w:val="20"/>
                <w:szCs w:val="20"/>
              </w:rPr>
              <w:t>2</w:t>
            </w:r>
          </w:p>
        </w:tc>
        <w:tc>
          <w:tcPr>
            <w:tcW w:w="373" w:type="pct"/>
            <w:shd w:val="clear" w:color="auto" w:fill="auto"/>
            <w:noWrap/>
            <w:vAlign w:val="center"/>
            <w:hideMark/>
          </w:tcPr>
          <w:p w14:paraId="32D17E0B"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10</w:t>
            </w:r>
            <w:r>
              <w:rPr>
                <w:rFonts w:ascii="Arial" w:hAnsi="Arial" w:cs="Arial"/>
                <w:sz w:val="20"/>
                <w:szCs w:val="20"/>
              </w:rPr>
              <w:t>.</w:t>
            </w:r>
            <w:r w:rsidRPr="00462431">
              <w:rPr>
                <w:rFonts w:ascii="Arial" w:hAnsi="Arial" w:cs="Arial"/>
                <w:sz w:val="20"/>
                <w:szCs w:val="20"/>
              </w:rPr>
              <w:t>8</w:t>
            </w:r>
          </w:p>
        </w:tc>
      </w:tr>
      <w:tr w:rsidR="002C1D59" w:rsidRPr="00135C4D" w14:paraId="63C8AF80" w14:textId="77777777" w:rsidTr="002C1D59">
        <w:trPr>
          <w:trHeight w:val="288"/>
          <w:jc w:val="center"/>
        </w:trPr>
        <w:tc>
          <w:tcPr>
            <w:tcW w:w="3146" w:type="pct"/>
            <w:shd w:val="clear" w:color="auto" w:fill="auto"/>
            <w:noWrap/>
            <w:vAlign w:val="center"/>
            <w:hideMark/>
          </w:tcPr>
          <w:p w14:paraId="29BE698D" w14:textId="77777777" w:rsidR="002C1D59" w:rsidRPr="00462431" w:rsidRDefault="002C1D59" w:rsidP="005F76AF">
            <w:pPr>
              <w:spacing w:before="120" w:after="80"/>
              <w:rPr>
                <w:rFonts w:ascii="Arial" w:hAnsi="Arial" w:cs="Arial"/>
                <w:color w:val="000000"/>
                <w:sz w:val="20"/>
                <w:szCs w:val="20"/>
              </w:rPr>
            </w:pPr>
            <w:r w:rsidRPr="00620078">
              <w:rPr>
                <w:rFonts w:ascii="Arial" w:hAnsi="Arial" w:cs="Arial"/>
                <w:color w:val="000000"/>
                <w:sz w:val="20"/>
                <w:szCs w:val="20"/>
              </w:rPr>
              <w:t>Manufacture of leather and related products</w:t>
            </w:r>
          </w:p>
        </w:tc>
        <w:tc>
          <w:tcPr>
            <w:tcW w:w="367" w:type="pct"/>
            <w:shd w:val="clear" w:color="auto" w:fill="auto"/>
            <w:noWrap/>
            <w:vAlign w:val="bottom"/>
            <w:hideMark/>
          </w:tcPr>
          <w:p w14:paraId="08E41EB7"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color w:val="000000"/>
                <w:sz w:val="20"/>
                <w:szCs w:val="20"/>
              </w:rPr>
              <w:t>8</w:t>
            </w:r>
            <w:r>
              <w:rPr>
                <w:rFonts w:ascii="Arial" w:hAnsi="Arial" w:cs="Arial"/>
                <w:color w:val="000000"/>
                <w:sz w:val="20"/>
                <w:szCs w:val="20"/>
              </w:rPr>
              <w:t>.</w:t>
            </w:r>
            <w:r w:rsidRPr="00462431">
              <w:rPr>
                <w:rFonts w:ascii="Arial" w:hAnsi="Arial" w:cs="Arial"/>
                <w:color w:val="000000"/>
                <w:sz w:val="20"/>
                <w:szCs w:val="20"/>
              </w:rPr>
              <w:t>0</w:t>
            </w:r>
          </w:p>
        </w:tc>
        <w:tc>
          <w:tcPr>
            <w:tcW w:w="367" w:type="pct"/>
            <w:shd w:val="clear" w:color="auto" w:fill="auto"/>
            <w:noWrap/>
            <w:vAlign w:val="bottom"/>
            <w:hideMark/>
          </w:tcPr>
          <w:p w14:paraId="327B19D0"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color w:val="000000"/>
                <w:sz w:val="20"/>
                <w:szCs w:val="20"/>
              </w:rPr>
              <w:t>8</w:t>
            </w:r>
            <w:r>
              <w:rPr>
                <w:rFonts w:ascii="Arial" w:hAnsi="Arial" w:cs="Arial"/>
                <w:color w:val="000000"/>
                <w:sz w:val="20"/>
                <w:szCs w:val="20"/>
              </w:rPr>
              <w:t>.</w:t>
            </w:r>
            <w:r w:rsidRPr="00462431">
              <w:rPr>
                <w:rFonts w:ascii="Arial" w:hAnsi="Arial" w:cs="Arial"/>
                <w:color w:val="000000"/>
                <w:sz w:val="20"/>
                <w:szCs w:val="20"/>
              </w:rPr>
              <w:t>9</w:t>
            </w:r>
          </w:p>
        </w:tc>
        <w:tc>
          <w:tcPr>
            <w:tcW w:w="373" w:type="pct"/>
            <w:shd w:val="clear" w:color="auto" w:fill="auto"/>
            <w:noWrap/>
            <w:vAlign w:val="bottom"/>
            <w:hideMark/>
          </w:tcPr>
          <w:p w14:paraId="379A1768"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color w:val="000000"/>
                <w:sz w:val="20"/>
                <w:szCs w:val="20"/>
              </w:rPr>
              <w:t>9</w:t>
            </w:r>
            <w:r>
              <w:rPr>
                <w:rFonts w:ascii="Arial" w:hAnsi="Arial" w:cs="Arial"/>
                <w:color w:val="000000"/>
                <w:sz w:val="20"/>
                <w:szCs w:val="20"/>
              </w:rPr>
              <w:t>.</w:t>
            </w:r>
            <w:r w:rsidRPr="00462431">
              <w:rPr>
                <w:rFonts w:ascii="Arial" w:hAnsi="Arial" w:cs="Arial"/>
                <w:color w:val="000000"/>
                <w:sz w:val="20"/>
                <w:szCs w:val="20"/>
              </w:rPr>
              <w:t>5</w:t>
            </w:r>
          </w:p>
        </w:tc>
        <w:tc>
          <w:tcPr>
            <w:tcW w:w="373" w:type="pct"/>
            <w:shd w:val="clear" w:color="auto" w:fill="auto"/>
            <w:noWrap/>
            <w:vAlign w:val="bottom"/>
            <w:hideMark/>
          </w:tcPr>
          <w:p w14:paraId="2D80B844"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color w:val="000000"/>
                <w:sz w:val="20"/>
                <w:szCs w:val="20"/>
              </w:rPr>
              <w:t>2</w:t>
            </w:r>
            <w:r>
              <w:rPr>
                <w:rFonts w:ascii="Arial" w:hAnsi="Arial" w:cs="Arial"/>
                <w:color w:val="000000"/>
                <w:sz w:val="20"/>
                <w:szCs w:val="20"/>
              </w:rPr>
              <w:t>.</w:t>
            </w:r>
            <w:r w:rsidRPr="00462431">
              <w:rPr>
                <w:rFonts w:ascii="Arial" w:hAnsi="Arial" w:cs="Arial"/>
                <w:color w:val="000000"/>
                <w:sz w:val="20"/>
                <w:szCs w:val="20"/>
              </w:rPr>
              <w:t>3</w:t>
            </w:r>
          </w:p>
        </w:tc>
        <w:tc>
          <w:tcPr>
            <w:tcW w:w="373" w:type="pct"/>
            <w:shd w:val="clear" w:color="auto" w:fill="auto"/>
            <w:noWrap/>
            <w:vAlign w:val="bottom"/>
            <w:hideMark/>
          </w:tcPr>
          <w:p w14:paraId="3E29C71E"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color w:val="000000"/>
                <w:sz w:val="20"/>
                <w:szCs w:val="20"/>
              </w:rPr>
              <w:t>10</w:t>
            </w:r>
            <w:r>
              <w:rPr>
                <w:rFonts w:ascii="Arial" w:hAnsi="Arial" w:cs="Arial"/>
                <w:color w:val="000000"/>
                <w:sz w:val="20"/>
                <w:szCs w:val="20"/>
              </w:rPr>
              <w:t>.</w:t>
            </w:r>
            <w:r w:rsidRPr="00462431">
              <w:rPr>
                <w:rFonts w:ascii="Arial" w:hAnsi="Arial" w:cs="Arial"/>
                <w:color w:val="000000"/>
                <w:sz w:val="20"/>
                <w:szCs w:val="20"/>
              </w:rPr>
              <w:t>6</w:t>
            </w:r>
          </w:p>
        </w:tc>
      </w:tr>
      <w:tr w:rsidR="002C1D59" w:rsidRPr="00135C4D" w14:paraId="200CDBB6" w14:textId="77777777" w:rsidTr="002C1D59">
        <w:trPr>
          <w:trHeight w:val="288"/>
          <w:jc w:val="center"/>
        </w:trPr>
        <w:tc>
          <w:tcPr>
            <w:tcW w:w="3146" w:type="pct"/>
            <w:shd w:val="clear" w:color="auto" w:fill="auto"/>
            <w:noWrap/>
            <w:vAlign w:val="center"/>
            <w:hideMark/>
          </w:tcPr>
          <w:p w14:paraId="2501A708" w14:textId="77777777" w:rsidR="002C1D59" w:rsidRPr="00462431" w:rsidRDefault="002C1D59" w:rsidP="005F76AF">
            <w:pPr>
              <w:spacing w:before="120" w:after="80"/>
              <w:rPr>
                <w:rFonts w:ascii="Arial" w:hAnsi="Arial" w:cs="Arial"/>
                <w:color w:val="000000"/>
                <w:sz w:val="20"/>
                <w:szCs w:val="20"/>
              </w:rPr>
            </w:pPr>
            <w:r w:rsidRPr="00620078">
              <w:rPr>
                <w:rFonts w:ascii="Arial" w:hAnsi="Arial" w:cs="Arial"/>
                <w:color w:val="000000"/>
                <w:sz w:val="20"/>
                <w:szCs w:val="20"/>
              </w:rPr>
              <w:t>Manufacture of other transport equipment</w:t>
            </w:r>
          </w:p>
        </w:tc>
        <w:tc>
          <w:tcPr>
            <w:tcW w:w="367" w:type="pct"/>
            <w:shd w:val="clear" w:color="auto" w:fill="auto"/>
            <w:noWrap/>
            <w:vAlign w:val="bottom"/>
            <w:hideMark/>
          </w:tcPr>
          <w:p w14:paraId="4B71961A"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color w:val="000000"/>
                <w:sz w:val="20"/>
                <w:szCs w:val="20"/>
              </w:rPr>
              <w:t>6</w:t>
            </w:r>
            <w:r>
              <w:rPr>
                <w:rFonts w:ascii="Arial" w:hAnsi="Arial" w:cs="Arial"/>
                <w:color w:val="000000"/>
                <w:sz w:val="20"/>
                <w:szCs w:val="20"/>
              </w:rPr>
              <w:t>.</w:t>
            </w:r>
            <w:r w:rsidRPr="00462431">
              <w:rPr>
                <w:rFonts w:ascii="Arial" w:hAnsi="Arial" w:cs="Arial"/>
                <w:color w:val="000000"/>
                <w:sz w:val="20"/>
                <w:szCs w:val="20"/>
              </w:rPr>
              <w:t>3</w:t>
            </w:r>
          </w:p>
        </w:tc>
        <w:tc>
          <w:tcPr>
            <w:tcW w:w="367" w:type="pct"/>
            <w:shd w:val="clear" w:color="auto" w:fill="auto"/>
            <w:noWrap/>
            <w:vAlign w:val="bottom"/>
            <w:hideMark/>
          </w:tcPr>
          <w:p w14:paraId="5F984620"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color w:val="000000"/>
                <w:sz w:val="20"/>
                <w:szCs w:val="20"/>
              </w:rPr>
              <w:t>6</w:t>
            </w:r>
            <w:r>
              <w:rPr>
                <w:rFonts w:ascii="Arial" w:hAnsi="Arial" w:cs="Arial"/>
                <w:color w:val="000000"/>
                <w:sz w:val="20"/>
                <w:szCs w:val="20"/>
              </w:rPr>
              <w:t>.</w:t>
            </w:r>
            <w:r w:rsidRPr="00462431">
              <w:rPr>
                <w:rFonts w:ascii="Arial" w:hAnsi="Arial" w:cs="Arial"/>
                <w:color w:val="000000"/>
                <w:sz w:val="20"/>
                <w:szCs w:val="20"/>
              </w:rPr>
              <w:t>8</w:t>
            </w:r>
          </w:p>
        </w:tc>
        <w:tc>
          <w:tcPr>
            <w:tcW w:w="373" w:type="pct"/>
            <w:shd w:val="clear" w:color="auto" w:fill="auto"/>
            <w:noWrap/>
            <w:vAlign w:val="bottom"/>
            <w:hideMark/>
          </w:tcPr>
          <w:p w14:paraId="6FC71BEE"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color w:val="000000"/>
                <w:sz w:val="20"/>
                <w:szCs w:val="20"/>
              </w:rPr>
              <w:t>-1</w:t>
            </w:r>
            <w:r>
              <w:rPr>
                <w:rFonts w:ascii="Arial" w:hAnsi="Arial" w:cs="Arial"/>
                <w:color w:val="000000"/>
                <w:sz w:val="20"/>
                <w:szCs w:val="20"/>
              </w:rPr>
              <w:t>.</w:t>
            </w:r>
            <w:r w:rsidRPr="00462431">
              <w:rPr>
                <w:rFonts w:ascii="Arial" w:hAnsi="Arial" w:cs="Arial"/>
                <w:color w:val="000000"/>
                <w:sz w:val="20"/>
                <w:szCs w:val="20"/>
              </w:rPr>
              <w:t>2</w:t>
            </w:r>
          </w:p>
        </w:tc>
        <w:tc>
          <w:tcPr>
            <w:tcW w:w="373" w:type="pct"/>
            <w:shd w:val="clear" w:color="auto" w:fill="auto"/>
            <w:noWrap/>
            <w:vAlign w:val="bottom"/>
            <w:hideMark/>
          </w:tcPr>
          <w:p w14:paraId="44875F4A"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color w:val="000000"/>
                <w:sz w:val="20"/>
                <w:szCs w:val="20"/>
              </w:rPr>
              <w:t>-4</w:t>
            </w:r>
            <w:r>
              <w:rPr>
                <w:rFonts w:ascii="Arial" w:hAnsi="Arial" w:cs="Arial"/>
                <w:color w:val="000000"/>
                <w:sz w:val="20"/>
                <w:szCs w:val="20"/>
              </w:rPr>
              <w:t>.</w:t>
            </w:r>
            <w:r w:rsidRPr="00462431">
              <w:rPr>
                <w:rFonts w:ascii="Arial" w:hAnsi="Arial" w:cs="Arial"/>
                <w:color w:val="000000"/>
                <w:sz w:val="20"/>
                <w:szCs w:val="20"/>
              </w:rPr>
              <w:t>2</w:t>
            </w:r>
          </w:p>
        </w:tc>
        <w:tc>
          <w:tcPr>
            <w:tcW w:w="373" w:type="pct"/>
            <w:shd w:val="clear" w:color="auto" w:fill="auto"/>
            <w:noWrap/>
            <w:vAlign w:val="bottom"/>
            <w:hideMark/>
          </w:tcPr>
          <w:p w14:paraId="185F6E08"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color w:val="000000"/>
                <w:sz w:val="20"/>
                <w:szCs w:val="20"/>
              </w:rPr>
              <w:t>10</w:t>
            </w:r>
            <w:r>
              <w:rPr>
                <w:rFonts w:ascii="Arial" w:hAnsi="Arial" w:cs="Arial"/>
                <w:color w:val="000000"/>
                <w:sz w:val="20"/>
                <w:szCs w:val="20"/>
              </w:rPr>
              <w:t>.</w:t>
            </w:r>
            <w:r w:rsidRPr="00462431">
              <w:rPr>
                <w:rFonts w:ascii="Arial" w:hAnsi="Arial" w:cs="Arial"/>
                <w:color w:val="000000"/>
                <w:sz w:val="20"/>
                <w:szCs w:val="20"/>
              </w:rPr>
              <w:t>2</w:t>
            </w:r>
          </w:p>
        </w:tc>
      </w:tr>
      <w:tr w:rsidR="002C1D59" w:rsidRPr="00135C4D" w14:paraId="35BFBB57" w14:textId="77777777" w:rsidTr="002C1D59">
        <w:trPr>
          <w:trHeight w:val="288"/>
          <w:jc w:val="center"/>
        </w:trPr>
        <w:tc>
          <w:tcPr>
            <w:tcW w:w="3146" w:type="pct"/>
            <w:shd w:val="clear" w:color="auto" w:fill="auto"/>
            <w:noWrap/>
            <w:vAlign w:val="center"/>
            <w:hideMark/>
          </w:tcPr>
          <w:p w14:paraId="28558E70" w14:textId="77777777" w:rsidR="002C1D59" w:rsidRPr="00462431" w:rsidRDefault="002C1D59" w:rsidP="005F76AF">
            <w:pPr>
              <w:spacing w:before="120" w:after="80"/>
              <w:rPr>
                <w:rFonts w:ascii="Arial" w:hAnsi="Arial" w:cs="Arial"/>
                <w:color w:val="000000"/>
                <w:sz w:val="20"/>
                <w:szCs w:val="20"/>
              </w:rPr>
            </w:pPr>
            <w:r w:rsidRPr="00620078">
              <w:rPr>
                <w:rFonts w:ascii="Arial" w:hAnsi="Arial" w:cs="Arial"/>
                <w:color w:val="000000"/>
                <w:sz w:val="20"/>
                <w:szCs w:val="20"/>
              </w:rPr>
              <w:t>Manufacture of chemicals and chemical products</w:t>
            </w:r>
          </w:p>
        </w:tc>
        <w:tc>
          <w:tcPr>
            <w:tcW w:w="367" w:type="pct"/>
            <w:shd w:val="clear" w:color="auto" w:fill="auto"/>
            <w:noWrap/>
            <w:vAlign w:val="bottom"/>
            <w:hideMark/>
          </w:tcPr>
          <w:p w14:paraId="754636CD"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color w:val="000000"/>
                <w:sz w:val="20"/>
                <w:szCs w:val="20"/>
              </w:rPr>
              <w:t>4</w:t>
            </w:r>
            <w:r>
              <w:rPr>
                <w:rFonts w:ascii="Arial" w:hAnsi="Arial" w:cs="Arial"/>
                <w:color w:val="000000"/>
                <w:sz w:val="20"/>
                <w:szCs w:val="20"/>
              </w:rPr>
              <w:t>.</w:t>
            </w:r>
            <w:r w:rsidRPr="00462431">
              <w:rPr>
                <w:rFonts w:ascii="Arial" w:hAnsi="Arial" w:cs="Arial"/>
                <w:color w:val="000000"/>
                <w:sz w:val="20"/>
                <w:szCs w:val="20"/>
              </w:rPr>
              <w:t>1</w:t>
            </w:r>
          </w:p>
        </w:tc>
        <w:tc>
          <w:tcPr>
            <w:tcW w:w="367" w:type="pct"/>
            <w:shd w:val="clear" w:color="auto" w:fill="auto"/>
            <w:noWrap/>
            <w:vAlign w:val="bottom"/>
            <w:hideMark/>
          </w:tcPr>
          <w:p w14:paraId="21B147B1"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color w:val="000000"/>
                <w:sz w:val="20"/>
                <w:szCs w:val="20"/>
              </w:rPr>
              <w:t>12</w:t>
            </w:r>
            <w:r>
              <w:rPr>
                <w:rFonts w:ascii="Arial" w:hAnsi="Arial" w:cs="Arial"/>
                <w:color w:val="000000"/>
                <w:sz w:val="20"/>
                <w:szCs w:val="20"/>
              </w:rPr>
              <w:t>.</w:t>
            </w:r>
            <w:r w:rsidRPr="00462431">
              <w:rPr>
                <w:rFonts w:ascii="Arial" w:hAnsi="Arial" w:cs="Arial"/>
                <w:color w:val="000000"/>
                <w:sz w:val="20"/>
                <w:szCs w:val="20"/>
              </w:rPr>
              <w:t>6</w:t>
            </w:r>
          </w:p>
        </w:tc>
        <w:tc>
          <w:tcPr>
            <w:tcW w:w="373" w:type="pct"/>
            <w:shd w:val="clear" w:color="auto" w:fill="auto"/>
            <w:noWrap/>
            <w:vAlign w:val="bottom"/>
            <w:hideMark/>
          </w:tcPr>
          <w:p w14:paraId="29181676"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color w:val="000000"/>
                <w:sz w:val="20"/>
                <w:szCs w:val="20"/>
              </w:rPr>
              <w:t>4</w:t>
            </w:r>
            <w:r>
              <w:rPr>
                <w:rFonts w:ascii="Arial" w:hAnsi="Arial" w:cs="Arial"/>
                <w:color w:val="000000"/>
                <w:sz w:val="20"/>
                <w:szCs w:val="20"/>
              </w:rPr>
              <w:t>.</w:t>
            </w:r>
            <w:r w:rsidRPr="00462431">
              <w:rPr>
                <w:rFonts w:ascii="Arial" w:hAnsi="Arial" w:cs="Arial"/>
                <w:color w:val="000000"/>
                <w:sz w:val="20"/>
                <w:szCs w:val="20"/>
              </w:rPr>
              <w:t>1</w:t>
            </w:r>
          </w:p>
        </w:tc>
        <w:tc>
          <w:tcPr>
            <w:tcW w:w="373" w:type="pct"/>
            <w:shd w:val="clear" w:color="auto" w:fill="auto"/>
            <w:noWrap/>
            <w:vAlign w:val="bottom"/>
            <w:hideMark/>
          </w:tcPr>
          <w:p w14:paraId="1C227972"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color w:val="000000"/>
                <w:sz w:val="20"/>
                <w:szCs w:val="20"/>
              </w:rPr>
              <w:t>5</w:t>
            </w:r>
            <w:r>
              <w:rPr>
                <w:rFonts w:ascii="Arial" w:hAnsi="Arial" w:cs="Arial"/>
                <w:color w:val="000000"/>
                <w:sz w:val="20"/>
                <w:szCs w:val="20"/>
              </w:rPr>
              <w:t>.</w:t>
            </w:r>
            <w:r w:rsidRPr="00462431">
              <w:rPr>
                <w:rFonts w:ascii="Arial" w:hAnsi="Arial" w:cs="Arial"/>
                <w:color w:val="000000"/>
                <w:sz w:val="20"/>
                <w:szCs w:val="20"/>
              </w:rPr>
              <w:t>1</w:t>
            </w:r>
          </w:p>
        </w:tc>
        <w:tc>
          <w:tcPr>
            <w:tcW w:w="373" w:type="pct"/>
            <w:shd w:val="clear" w:color="auto" w:fill="auto"/>
            <w:noWrap/>
            <w:vAlign w:val="bottom"/>
            <w:hideMark/>
          </w:tcPr>
          <w:p w14:paraId="7199D650"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color w:val="000000"/>
                <w:sz w:val="20"/>
                <w:szCs w:val="20"/>
              </w:rPr>
              <w:t>9</w:t>
            </w:r>
            <w:r>
              <w:rPr>
                <w:rFonts w:ascii="Arial" w:hAnsi="Arial" w:cs="Arial"/>
                <w:color w:val="000000"/>
                <w:sz w:val="20"/>
                <w:szCs w:val="20"/>
              </w:rPr>
              <w:t>.</w:t>
            </w:r>
            <w:r w:rsidRPr="00462431">
              <w:rPr>
                <w:rFonts w:ascii="Arial" w:hAnsi="Arial" w:cs="Arial"/>
                <w:color w:val="000000"/>
                <w:sz w:val="20"/>
                <w:szCs w:val="20"/>
              </w:rPr>
              <w:t>7</w:t>
            </w:r>
          </w:p>
        </w:tc>
      </w:tr>
      <w:tr w:rsidR="002C1D59" w:rsidRPr="00135C4D" w14:paraId="3E8432E8" w14:textId="77777777" w:rsidTr="002C1D59">
        <w:trPr>
          <w:trHeight w:val="288"/>
          <w:jc w:val="center"/>
        </w:trPr>
        <w:tc>
          <w:tcPr>
            <w:tcW w:w="3146" w:type="pct"/>
            <w:shd w:val="clear" w:color="auto" w:fill="auto"/>
            <w:noWrap/>
            <w:vAlign w:val="center"/>
            <w:hideMark/>
          </w:tcPr>
          <w:p w14:paraId="1782D140" w14:textId="77777777" w:rsidR="002C1D59" w:rsidRPr="00462431" w:rsidRDefault="002C1D59" w:rsidP="005F76AF">
            <w:pPr>
              <w:spacing w:before="120" w:after="80"/>
              <w:rPr>
                <w:rFonts w:ascii="Arial" w:hAnsi="Arial" w:cs="Arial"/>
                <w:color w:val="000000"/>
                <w:sz w:val="20"/>
                <w:szCs w:val="20"/>
              </w:rPr>
            </w:pPr>
            <w:r w:rsidRPr="00620078">
              <w:rPr>
                <w:rFonts w:ascii="Arial" w:hAnsi="Arial" w:cs="Arial"/>
                <w:sz w:val="20"/>
                <w:szCs w:val="20"/>
              </w:rPr>
              <w:t xml:space="preserve">Extraction of crude petroleum and </w:t>
            </w:r>
            <w:r>
              <w:rPr>
                <w:rFonts w:ascii="Arial" w:hAnsi="Arial" w:cs="Arial"/>
                <w:sz w:val="20"/>
                <w:szCs w:val="20"/>
              </w:rPr>
              <w:t>natural</w:t>
            </w:r>
            <w:r w:rsidRPr="00620078">
              <w:rPr>
                <w:rFonts w:ascii="Arial" w:hAnsi="Arial" w:cs="Arial"/>
                <w:sz w:val="20"/>
                <w:szCs w:val="20"/>
              </w:rPr>
              <w:t xml:space="preserve"> gas</w:t>
            </w:r>
          </w:p>
        </w:tc>
        <w:tc>
          <w:tcPr>
            <w:tcW w:w="367" w:type="pct"/>
            <w:shd w:val="clear" w:color="auto" w:fill="auto"/>
            <w:noWrap/>
            <w:vAlign w:val="center"/>
            <w:hideMark/>
          </w:tcPr>
          <w:p w14:paraId="10A23329"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2</w:t>
            </w:r>
            <w:r>
              <w:rPr>
                <w:rFonts w:ascii="Arial" w:hAnsi="Arial" w:cs="Arial"/>
                <w:sz w:val="20"/>
                <w:szCs w:val="20"/>
              </w:rPr>
              <w:t>.</w:t>
            </w:r>
            <w:r w:rsidRPr="00462431">
              <w:rPr>
                <w:rFonts w:ascii="Arial" w:hAnsi="Arial" w:cs="Arial"/>
                <w:sz w:val="20"/>
                <w:szCs w:val="20"/>
              </w:rPr>
              <w:t>3</w:t>
            </w:r>
          </w:p>
        </w:tc>
        <w:tc>
          <w:tcPr>
            <w:tcW w:w="367" w:type="pct"/>
            <w:shd w:val="clear" w:color="auto" w:fill="auto"/>
            <w:noWrap/>
            <w:vAlign w:val="center"/>
            <w:hideMark/>
          </w:tcPr>
          <w:p w14:paraId="39915422"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-7</w:t>
            </w:r>
            <w:r>
              <w:rPr>
                <w:rFonts w:ascii="Arial" w:hAnsi="Arial" w:cs="Arial"/>
                <w:sz w:val="20"/>
                <w:szCs w:val="20"/>
              </w:rPr>
              <w:t>.</w:t>
            </w:r>
            <w:r w:rsidRPr="00462431">
              <w:rPr>
                <w:rFonts w:ascii="Arial" w:hAnsi="Arial" w:cs="Arial"/>
                <w:sz w:val="20"/>
                <w:szCs w:val="20"/>
              </w:rPr>
              <w:t>9</w:t>
            </w:r>
          </w:p>
        </w:tc>
        <w:tc>
          <w:tcPr>
            <w:tcW w:w="373" w:type="pct"/>
            <w:shd w:val="clear" w:color="auto" w:fill="auto"/>
            <w:noWrap/>
            <w:vAlign w:val="center"/>
            <w:hideMark/>
          </w:tcPr>
          <w:p w14:paraId="17556496"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-7</w:t>
            </w:r>
            <w:r>
              <w:rPr>
                <w:rFonts w:ascii="Arial" w:hAnsi="Arial" w:cs="Arial"/>
                <w:sz w:val="20"/>
                <w:szCs w:val="20"/>
              </w:rPr>
              <w:t>.</w:t>
            </w:r>
            <w:r w:rsidRPr="00462431">
              <w:rPr>
                <w:rFonts w:ascii="Arial" w:hAnsi="Arial" w:cs="Arial"/>
                <w:sz w:val="20"/>
                <w:szCs w:val="20"/>
              </w:rPr>
              <w:t>8</w:t>
            </w:r>
          </w:p>
        </w:tc>
        <w:tc>
          <w:tcPr>
            <w:tcW w:w="373" w:type="pct"/>
            <w:shd w:val="clear" w:color="auto" w:fill="auto"/>
            <w:noWrap/>
            <w:vAlign w:val="center"/>
            <w:hideMark/>
          </w:tcPr>
          <w:p w14:paraId="420085DD"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-9</w:t>
            </w:r>
            <w:r>
              <w:rPr>
                <w:rFonts w:ascii="Arial" w:hAnsi="Arial" w:cs="Arial"/>
                <w:sz w:val="20"/>
                <w:szCs w:val="20"/>
              </w:rPr>
              <w:t>.</w:t>
            </w:r>
            <w:r w:rsidRPr="00462431">
              <w:rPr>
                <w:rFonts w:ascii="Arial" w:hAnsi="Arial" w:cs="Arial"/>
                <w:sz w:val="20"/>
                <w:szCs w:val="20"/>
              </w:rPr>
              <w:t>9</w:t>
            </w:r>
          </w:p>
        </w:tc>
        <w:tc>
          <w:tcPr>
            <w:tcW w:w="373" w:type="pct"/>
            <w:shd w:val="clear" w:color="auto" w:fill="auto"/>
            <w:noWrap/>
            <w:vAlign w:val="center"/>
            <w:hideMark/>
          </w:tcPr>
          <w:p w14:paraId="291C520B"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-8</w:t>
            </w:r>
            <w:r>
              <w:rPr>
                <w:rFonts w:ascii="Arial" w:hAnsi="Arial" w:cs="Arial"/>
                <w:sz w:val="20"/>
                <w:szCs w:val="20"/>
              </w:rPr>
              <w:t>.</w:t>
            </w:r>
            <w:r w:rsidRPr="00462431">
              <w:rPr>
                <w:rFonts w:ascii="Arial" w:hAnsi="Arial" w:cs="Arial"/>
                <w:sz w:val="20"/>
                <w:szCs w:val="20"/>
              </w:rPr>
              <w:t>6</w:t>
            </w:r>
          </w:p>
        </w:tc>
      </w:tr>
      <w:tr w:rsidR="002C1D59" w:rsidRPr="00135C4D" w14:paraId="4C776ADC" w14:textId="77777777" w:rsidTr="002C1D59">
        <w:trPr>
          <w:trHeight w:val="288"/>
          <w:jc w:val="center"/>
        </w:trPr>
        <w:tc>
          <w:tcPr>
            <w:tcW w:w="3146" w:type="pct"/>
            <w:shd w:val="clear" w:color="auto" w:fill="auto"/>
            <w:noWrap/>
            <w:vAlign w:val="bottom"/>
            <w:hideMark/>
          </w:tcPr>
          <w:p w14:paraId="70A1CFFC" w14:textId="77777777" w:rsidR="002C1D59" w:rsidRPr="00462431" w:rsidRDefault="002C1D59" w:rsidP="005F76AF">
            <w:pPr>
              <w:spacing w:before="120" w:after="80"/>
              <w:rPr>
                <w:rFonts w:ascii="Arial" w:hAnsi="Arial" w:cs="Arial"/>
                <w:color w:val="000000"/>
                <w:sz w:val="20"/>
                <w:szCs w:val="20"/>
              </w:rPr>
            </w:pPr>
            <w:r w:rsidRPr="00620078">
              <w:rPr>
                <w:rFonts w:ascii="Arial" w:hAnsi="Arial" w:cs="Arial"/>
                <w:sz w:val="20"/>
                <w:szCs w:val="20"/>
              </w:rPr>
              <w:t>Mining of metal ores</w:t>
            </w:r>
          </w:p>
        </w:tc>
        <w:tc>
          <w:tcPr>
            <w:tcW w:w="367" w:type="pct"/>
            <w:shd w:val="clear" w:color="auto" w:fill="auto"/>
            <w:noWrap/>
            <w:vAlign w:val="center"/>
            <w:hideMark/>
          </w:tcPr>
          <w:p w14:paraId="0AB4F15C"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11</w:t>
            </w:r>
            <w:r>
              <w:rPr>
                <w:rFonts w:ascii="Arial" w:hAnsi="Arial" w:cs="Arial"/>
                <w:sz w:val="20"/>
                <w:szCs w:val="20"/>
              </w:rPr>
              <w:t>.</w:t>
            </w:r>
            <w:r w:rsidRPr="00462431">
              <w:rPr>
                <w:rFonts w:ascii="Arial" w:hAnsi="Arial" w:cs="Arial"/>
                <w:sz w:val="20"/>
                <w:szCs w:val="20"/>
              </w:rPr>
              <w:t>7</w:t>
            </w:r>
          </w:p>
        </w:tc>
        <w:tc>
          <w:tcPr>
            <w:tcW w:w="367" w:type="pct"/>
            <w:shd w:val="clear" w:color="auto" w:fill="auto"/>
            <w:noWrap/>
            <w:vAlign w:val="center"/>
            <w:hideMark/>
          </w:tcPr>
          <w:p w14:paraId="5A9BFECF"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3</w:t>
            </w:r>
            <w:r>
              <w:rPr>
                <w:rFonts w:ascii="Arial" w:hAnsi="Arial" w:cs="Arial"/>
                <w:sz w:val="20"/>
                <w:szCs w:val="20"/>
              </w:rPr>
              <w:t>.</w:t>
            </w:r>
            <w:r w:rsidRPr="00462431">
              <w:rPr>
                <w:rFonts w:ascii="Arial" w:hAnsi="Arial" w:cs="Arial"/>
                <w:sz w:val="20"/>
                <w:szCs w:val="20"/>
              </w:rPr>
              <w:t>2</w:t>
            </w:r>
          </w:p>
        </w:tc>
        <w:tc>
          <w:tcPr>
            <w:tcW w:w="373" w:type="pct"/>
            <w:shd w:val="clear" w:color="auto" w:fill="auto"/>
            <w:noWrap/>
            <w:vAlign w:val="center"/>
            <w:hideMark/>
          </w:tcPr>
          <w:p w14:paraId="2D8B215E"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28</w:t>
            </w:r>
            <w:r>
              <w:rPr>
                <w:rFonts w:ascii="Arial" w:hAnsi="Arial" w:cs="Arial"/>
                <w:sz w:val="20"/>
                <w:szCs w:val="20"/>
              </w:rPr>
              <w:t>.</w:t>
            </w:r>
            <w:r w:rsidRPr="00462431">
              <w:rPr>
                <w:rFonts w:ascii="Arial" w:hAnsi="Arial" w:cs="Arial"/>
                <w:sz w:val="20"/>
                <w:szCs w:val="20"/>
              </w:rPr>
              <w:t>0</w:t>
            </w:r>
          </w:p>
        </w:tc>
        <w:tc>
          <w:tcPr>
            <w:tcW w:w="373" w:type="pct"/>
            <w:shd w:val="clear" w:color="auto" w:fill="auto"/>
            <w:noWrap/>
            <w:vAlign w:val="center"/>
            <w:hideMark/>
          </w:tcPr>
          <w:p w14:paraId="4D8BE8A4"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13</w:t>
            </w:r>
            <w:r>
              <w:rPr>
                <w:rFonts w:ascii="Arial" w:hAnsi="Arial" w:cs="Arial"/>
                <w:sz w:val="20"/>
                <w:szCs w:val="20"/>
              </w:rPr>
              <w:t>.</w:t>
            </w:r>
            <w:r w:rsidRPr="00462431">
              <w:rPr>
                <w:rFonts w:ascii="Arial" w:hAnsi="Arial" w:cs="Arial"/>
                <w:sz w:val="20"/>
                <w:szCs w:val="20"/>
              </w:rPr>
              <w:t>5</w:t>
            </w:r>
          </w:p>
        </w:tc>
        <w:tc>
          <w:tcPr>
            <w:tcW w:w="373" w:type="pct"/>
            <w:shd w:val="clear" w:color="auto" w:fill="auto"/>
            <w:noWrap/>
            <w:vAlign w:val="center"/>
            <w:hideMark/>
          </w:tcPr>
          <w:p w14:paraId="0B68BF16"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-9</w:t>
            </w:r>
            <w:r>
              <w:rPr>
                <w:rFonts w:ascii="Arial" w:hAnsi="Arial" w:cs="Arial"/>
                <w:sz w:val="20"/>
                <w:szCs w:val="20"/>
              </w:rPr>
              <w:t>.</w:t>
            </w:r>
            <w:r w:rsidRPr="00462431">
              <w:rPr>
                <w:rFonts w:ascii="Arial" w:hAnsi="Arial" w:cs="Arial"/>
                <w:sz w:val="20"/>
                <w:szCs w:val="20"/>
              </w:rPr>
              <w:t>6</w:t>
            </w:r>
          </w:p>
        </w:tc>
      </w:tr>
      <w:tr w:rsidR="002C1D59" w:rsidRPr="00135C4D" w14:paraId="41F9F0A3" w14:textId="77777777" w:rsidTr="002C1D59">
        <w:trPr>
          <w:trHeight w:val="288"/>
          <w:jc w:val="center"/>
        </w:trPr>
        <w:tc>
          <w:tcPr>
            <w:tcW w:w="3146" w:type="pct"/>
            <w:tcBorders>
              <w:bottom w:val="nil"/>
            </w:tcBorders>
            <w:shd w:val="clear" w:color="auto" w:fill="auto"/>
            <w:noWrap/>
            <w:vAlign w:val="center"/>
            <w:hideMark/>
          </w:tcPr>
          <w:p w14:paraId="1C4B58C9" w14:textId="77777777" w:rsidR="002C1D59" w:rsidRPr="00462431" w:rsidRDefault="002C1D59" w:rsidP="005F76AF">
            <w:pPr>
              <w:spacing w:before="120" w:after="80"/>
              <w:rPr>
                <w:rFonts w:ascii="Arial" w:hAnsi="Arial" w:cs="Arial"/>
                <w:color w:val="000000"/>
                <w:sz w:val="20"/>
                <w:szCs w:val="20"/>
              </w:rPr>
            </w:pPr>
            <w:r w:rsidRPr="00D0387F">
              <w:rPr>
                <w:rFonts w:ascii="Arial" w:hAnsi="Arial" w:cs="Arial"/>
                <w:sz w:val="20"/>
                <w:szCs w:val="20"/>
              </w:rPr>
              <w:lastRenderedPageBreak/>
              <w:t>Manufacture of coke and refined petroleum products</w:t>
            </w:r>
          </w:p>
        </w:tc>
        <w:tc>
          <w:tcPr>
            <w:tcW w:w="367" w:type="pct"/>
            <w:tcBorders>
              <w:bottom w:val="nil"/>
            </w:tcBorders>
            <w:shd w:val="clear" w:color="auto" w:fill="auto"/>
            <w:noWrap/>
            <w:vAlign w:val="center"/>
            <w:hideMark/>
          </w:tcPr>
          <w:p w14:paraId="1199C8DA"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3</w:t>
            </w:r>
            <w:r>
              <w:rPr>
                <w:rFonts w:ascii="Arial" w:hAnsi="Arial" w:cs="Arial"/>
                <w:sz w:val="20"/>
                <w:szCs w:val="20"/>
              </w:rPr>
              <w:t>.</w:t>
            </w:r>
            <w:r w:rsidRPr="00462431">
              <w:rPr>
                <w:rFonts w:ascii="Arial" w:hAnsi="Arial" w:cs="Arial"/>
                <w:sz w:val="20"/>
                <w:szCs w:val="20"/>
              </w:rPr>
              <w:t>6</w:t>
            </w:r>
          </w:p>
        </w:tc>
        <w:tc>
          <w:tcPr>
            <w:tcW w:w="367" w:type="pct"/>
            <w:tcBorders>
              <w:bottom w:val="nil"/>
            </w:tcBorders>
            <w:shd w:val="clear" w:color="auto" w:fill="auto"/>
            <w:noWrap/>
            <w:vAlign w:val="center"/>
            <w:hideMark/>
          </w:tcPr>
          <w:p w14:paraId="53BAFEA7"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95</w:t>
            </w:r>
            <w:r>
              <w:rPr>
                <w:rFonts w:ascii="Arial" w:hAnsi="Arial" w:cs="Arial"/>
                <w:sz w:val="20"/>
                <w:szCs w:val="20"/>
              </w:rPr>
              <w:t>.</w:t>
            </w:r>
            <w:r w:rsidRPr="00462431">
              <w:rPr>
                <w:rFonts w:ascii="Arial" w:hAnsi="Arial" w:cs="Arial"/>
                <w:sz w:val="20"/>
                <w:szCs w:val="20"/>
              </w:rPr>
              <w:t>1</w:t>
            </w:r>
          </w:p>
        </w:tc>
        <w:tc>
          <w:tcPr>
            <w:tcW w:w="373" w:type="pct"/>
            <w:tcBorders>
              <w:bottom w:val="nil"/>
            </w:tcBorders>
            <w:shd w:val="clear" w:color="auto" w:fill="auto"/>
            <w:noWrap/>
            <w:vAlign w:val="center"/>
            <w:hideMark/>
          </w:tcPr>
          <w:p w14:paraId="47C833FE"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10</w:t>
            </w:r>
            <w:r>
              <w:rPr>
                <w:rFonts w:ascii="Arial" w:hAnsi="Arial" w:cs="Arial"/>
                <w:sz w:val="20"/>
                <w:szCs w:val="20"/>
              </w:rPr>
              <w:t>.</w:t>
            </w:r>
            <w:r w:rsidRPr="00462431">
              <w:rPr>
                <w:rFonts w:ascii="Arial" w:hAnsi="Arial" w:cs="Arial"/>
                <w:sz w:val="20"/>
                <w:szCs w:val="20"/>
              </w:rPr>
              <w:t>8</w:t>
            </w:r>
          </w:p>
        </w:tc>
        <w:tc>
          <w:tcPr>
            <w:tcW w:w="373" w:type="pct"/>
            <w:tcBorders>
              <w:bottom w:val="nil"/>
            </w:tcBorders>
            <w:shd w:val="clear" w:color="auto" w:fill="auto"/>
            <w:noWrap/>
            <w:vAlign w:val="center"/>
            <w:hideMark/>
          </w:tcPr>
          <w:p w14:paraId="667F839E"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-3</w:t>
            </w:r>
            <w:r>
              <w:rPr>
                <w:rFonts w:ascii="Arial" w:hAnsi="Arial" w:cs="Arial"/>
                <w:sz w:val="20"/>
                <w:szCs w:val="20"/>
              </w:rPr>
              <w:t>.</w:t>
            </w:r>
            <w:r w:rsidRPr="00462431">
              <w:rPr>
                <w:rFonts w:ascii="Arial" w:hAnsi="Arial" w:cs="Arial"/>
                <w:sz w:val="20"/>
                <w:szCs w:val="20"/>
              </w:rPr>
              <w:t>7</w:t>
            </w:r>
          </w:p>
        </w:tc>
        <w:tc>
          <w:tcPr>
            <w:tcW w:w="373" w:type="pct"/>
            <w:tcBorders>
              <w:bottom w:val="nil"/>
            </w:tcBorders>
            <w:shd w:val="clear" w:color="auto" w:fill="auto"/>
            <w:noWrap/>
            <w:vAlign w:val="center"/>
            <w:hideMark/>
          </w:tcPr>
          <w:p w14:paraId="44E93743"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-10</w:t>
            </w:r>
            <w:r>
              <w:rPr>
                <w:rFonts w:ascii="Arial" w:hAnsi="Arial" w:cs="Arial"/>
                <w:sz w:val="20"/>
                <w:szCs w:val="20"/>
              </w:rPr>
              <w:t>.</w:t>
            </w:r>
            <w:r w:rsidRPr="00462431">
              <w:rPr>
                <w:rFonts w:ascii="Arial" w:hAnsi="Arial" w:cs="Arial"/>
                <w:sz w:val="20"/>
                <w:szCs w:val="20"/>
              </w:rPr>
              <w:t>8</w:t>
            </w:r>
          </w:p>
        </w:tc>
      </w:tr>
      <w:tr w:rsidR="002C1D59" w:rsidRPr="00135C4D" w14:paraId="25931144" w14:textId="77777777" w:rsidTr="002C1D59">
        <w:trPr>
          <w:trHeight w:val="376"/>
          <w:jc w:val="center"/>
        </w:trPr>
        <w:tc>
          <w:tcPr>
            <w:tcW w:w="3146" w:type="pct"/>
            <w:tcBorders>
              <w:top w:val="nil"/>
              <w:bottom w:val="single" w:sz="4" w:space="0" w:color="auto"/>
            </w:tcBorders>
            <w:shd w:val="clear" w:color="auto" w:fill="auto"/>
            <w:noWrap/>
            <w:vAlign w:val="center"/>
            <w:hideMark/>
          </w:tcPr>
          <w:p w14:paraId="2C917B40" w14:textId="77777777" w:rsidR="002C1D59" w:rsidRPr="00462431" w:rsidRDefault="002C1D59" w:rsidP="005F76AF">
            <w:pPr>
              <w:spacing w:before="120" w:after="80"/>
              <w:rPr>
                <w:rFonts w:ascii="Arial" w:hAnsi="Arial" w:cs="Arial"/>
                <w:color w:val="000000"/>
                <w:sz w:val="20"/>
                <w:szCs w:val="20"/>
              </w:rPr>
            </w:pPr>
            <w:r w:rsidRPr="00D0387F">
              <w:rPr>
                <w:rFonts w:ascii="Arial" w:hAnsi="Arial" w:cs="Arial"/>
                <w:sz w:val="20"/>
                <w:szCs w:val="20"/>
              </w:rPr>
              <w:t>Repair and installation of machinery and equipment</w:t>
            </w:r>
          </w:p>
        </w:tc>
        <w:tc>
          <w:tcPr>
            <w:tcW w:w="367" w:type="pct"/>
            <w:tcBorders>
              <w:top w:val="nil"/>
              <w:bottom w:val="single" w:sz="4" w:space="0" w:color="auto"/>
            </w:tcBorders>
            <w:shd w:val="clear" w:color="auto" w:fill="auto"/>
            <w:noWrap/>
            <w:vAlign w:val="center"/>
            <w:hideMark/>
          </w:tcPr>
          <w:p w14:paraId="64321E83"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9</w:t>
            </w:r>
            <w:r>
              <w:rPr>
                <w:rFonts w:ascii="Arial" w:hAnsi="Arial" w:cs="Arial"/>
                <w:sz w:val="20"/>
                <w:szCs w:val="20"/>
              </w:rPr>
              <w:t>.</w:t>
            </w:r>
            <w:r w:rsidRPr="00462431">
              <w:rPr>
                <w:rFonts w:ascii="Arial" w:hAnsi="Arial" w:cs="Arial"/>
                <w:sz w:val="20"/>
                <w:szCs w:val="20"/>
              </w:rPr>
              <w:t>7</w:t>
            </w:r>
          </w:p>
        </w:tc>
        <w:tc>
          <w:tcPr>
            <w:tcW w:w="367" w:type="pct"/>
            <w:tcBorders>
              <w:top w:val="nil"/>
              <w:bottom w:val="single" w:sz="4" w:space="0" w:color="auto"/>
            </w:tcBorders>
            <w:shd w:val="clear" w:color="auto" w:fill="auto"/>
            <w:noWrap/>
            <w:vAlign w:val="center"/>
            <w:hideMark/>
          </w:tcPr>
          <w:p w14:paraId="71C986BE"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-5</w:t>
            </w:r>
            <w:r>
              <w:rPr>
                <w:rFonts w:ascii="Arial" w:hAnsi="Arial" w:cs="Arial"/>
                <w:sz w:val="20"/>
                <w:szCs w:val="20"/>
              </w:rPr>
              <w:t>.</w:t>
            </w:r>
            <w:r w:rsidRPr="00462431">
              <w:rPr>
                <w:rFonts w:ascii="Arial" w:hAnsi="Arial" w:cs="Arial"/>
                <w:sz w:val="20"/>
                <w:szCs w:val="20"/>
              </w:rPr>
              <w:t>1</w:t>
            </w:r>
          </w:p>
        </w:tc>
        <w:tc>
          <w:tcPr>
            <w:tcW w:w="373" w:type="pct"/>
            <w:tcBorders>
              <w:top w:val="nil"/>
              <w:bottom w:val="single" w:sz="4" w:space="0" w:color="auto"/>
            </w:tcBorders>
            <w:shd w:val="clear" w:color="auto" w:fill="auto"/>
            <w:noWrap/>
            <w:vAlign w:val="center"/>
            <w:hideMark/>
          </w:tcPr>
          <w:p w14:paraId="5B430A3A"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-4</w:t>
            </w:r>
            <w:r>
              <w:rPr>
                <w:rFonts w:ascii="Arial" w:hAnsi="Arial" w:cs="Arial"/>
                <w:sz w:val="20"/>
                <w:szCs w:val="20"/>
              </w:rPr>
              <w:t>.</w:t>
            </w:r>
            <w:r w:rsidRPr="00462431">
              <w:rPr>
                <w:rFonts w:ascii="Arial" w:hAnsi="Arial" w:cs="Arial"/>
                <w:sz w:val="20"/>
                <w:szCs w:val="20"/>
              </w:rPr>
              <w:t>1</w:t>
            </w:r>
          </w:p>
        </w:tc>
        <w:tc>
          <w:tcPr>
            <w:tcW w:w="373" w:type="pct"/>
            <w:tcBorders>
              <w:top w:val="nil"/>
              <w:bottom w:val="single" w:sz="4" w:space="0" w:color="auto"/>
            </w:tcBorders>
            <w:shd w:val="clear" w:color="auto" w:fill="auto"/>
            <w:noWrap/>
            <w:vAlign w:val="center"/>
            <w:hideMark/>
          </w:tcPr>
          <w:p w14:paraId="35EC3FCB"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8</w:t>
            </w:r>
            <w:r>
              <w:rPr>
                <w:rFonts w:ascii="Arial" w:hAnsi="Arial" w:cs="Arial"/>
                <w:sz w:val="20"/>
                <w:szCs w:val="20"/>
              </w:rPr>
              <w:t>.</w:t>
            </w:r>
            <w:r w:rsidRPr="00462431">
              <w:rPr>
                <w:rFonts w:ascii="Arial" w:hAnsi="Arial" w:cs="Arial"/>
                <w:sz w:val="20"/>
                <w:szCs w:val="20"/>
              </w:rPr>
              <w:t>8</w:t>
            </w:r>
          </w:p>
        </w:tc>
        <w:tc>
          <w:tcPr>
            <w:tcW w:w="373" w:type="pct"/>
            <w:tcBorders>
              <w:top w:val="nil"/>
              <w:bottom w:val="single" w:sz="4" w:space="0" w:color="auto"/>
            </w:tcBorders>
            <w:shd w:val="clear" w:color="auto" w:fill="auto"/>
            <w:noWrap/>
            <w:vAlign w:val="center"/>
            <w:hideMark/>
          </w:tcPr>
          <w:p w14:paraId="435817BA" w14:textId="77777777" w:rsidR="002C1D59" w:rsidRPr="00462431" w:rsidRDefault="002C1D59" w:rsidP="005F76AF">
            <w:pPr>
              <w:spacing w:before="120" w:after="80"/>
              <w:jc w:val="right"/>
              <w:rPr>
                <w:rFonts w:ascii="Arial" w:hAnsi="Arial" w:cs="Arial"/>
                <w:color w:val="000000"/>
                <w:sz w:val="20"/>
                <w:szCs w:val="20"/>
              </w:rPr>
            </w:pPr>
            <w:r w:rsidRPr="00462431">
              <w:rPr>
                <w:rFonts w:ascii="Arial" w:hAnsi="Arial" w:cs="Arial"/>
                <w:sz w:val="20"/>
                <w:szCs w:val="20"/>
              </w:rPr>
              <w:t>-11</w:t>
            </w:r>
            <w:r>
              <w:rPr>
                <w:rFonts w:ascii="Arial" w:hAnsi="Arial" w:cs="Arial"/>
                <w:sz w:val="20"/>
                <w:szCs w:val="20"/>
              </w:rPr>
              <w:t>.</w:t>
            </w:r>
            <w:r w:rsidRPr="00462431">
              <w:rPr>
                <w:rFonts w:ascii="Arial" w:hAnsi="Arial" w:cs="Arial"/>
                <w:sz w:val="20"/>
                <w:szCs w:val="20"/>
              </w:rPr>
              <w:t>4</w:t>
            </w:r>
          </w:p>
        </w:tc>
      </w:tr>
    </w:tbl>
    <w:p w14:paraId="71046A09" w14:textId="77777777" w:rsidR="006D3FDB" w:rsidRPr="00075DEC" w:rsidRDefault="006D3FDB" w:rsidP="006D3FDB">
      <w:pPr>
        <w:shd w:val="clear" w:color="auto" w:fill="FFFFFF"/>
        <w:tabs>
          <w:tab w:val="left" w:pos="8931"/>
        </w:tabs>
        <w:spacing w:before="60"/>
        <w:jc w:val="right"/>
        <w:rPr>
          <w:rFonts w:ascii="Arial" w:hAnsi="Arial" w:cs="Arial"/>
          <w:spacing w:val="-2"/>
          <w:sz w:val="10"/>
          <w:szCs w:val="10"/>
          <w:lang w:val="pl-PL"/>
        </w:rPr>
      </w:pPr>
    </w:p>
    <w:p w14:paraId="2344D9BA" w14:textId="7EFA0811" w:rsidR="006D3FDB" w:rsidRDefault="00323F7C" w:rsidP="0037563F">
      <w:pPr>
        <w:shd w:val="clear" w:color="auto" w:fill="FFFFFF"/>
        <w:spacing w:before="40" w:after="40"/>
        <w:ind w:firstLine="567"/>
        <w:jc w:val="both"/>
      </w:pPr>
      <w:r>
        <w:rPr>
          <w:rStyle w:val="Emphasis"/>
          <w:color w:val="0E101A"/>
        </w:rPr>
        <w:t>The index of industrial production in the first 02 months of 2022 </w:t>
      </w:r>
      <w:r>
        <w:t>over the same period last year increased in 56 localities and decreased in 7 localities across the country.</w:t>
      </w:r>
    </w:p>
    <w:p w14:paraId="591472F5" w14:textId="77777777" w:rsidR="0037563F" w:rsidRPr="00462431" w:rsidRDefault="0037563F" w:rsidP="0037563F">
      <w:pPr>
        <w:shd w:val="clear" w:color="auto" w:fill="FFFFFF"/>
        <w:spacing w:before="40" w:after="40"/>
        <w:ind w:firstLine="567"/>
        <w:jc w:val="both"/>
        <w:rPr>
          <w:rFonts w:ascii="Arial" w:hAnsi="Arial" w:cs="Arial"/>
          <w:b/>
          <w:bCs/>
          <w:sz w:val="34"/>
          <w:szCs w:val="34"/>
          <w:lang w:val="pl-PL"/>
        </w:rPr>
      </w:pPr>
    </w:p>
    <w:p w14:paraId="58775E7E" w14:textId="77777777" w:rsidR="009315F7" w:rsidRDefault="009315F7" w:rsidP="009315F7">
      <w:pPr>
        <w:shd w:val="clear" w:color="auto" w:fill="FFFFFF"/>
        <w:spacing w:before="40" w:after="40" w:line="262" w:lineRule="auto"/>
        <w:jc w:val="center"/>
        <w:rPr>
          <w:b/>
          <w:spacing w:val="-4"/>
        </w:rPr>
      </w:pPr>
      <w:r>
        <w:rPr>
          <w:b/>
          <w:spacing w:val="-4"/>
        </w:rPr>
        <w:t xml:space="preserve">Figure 4: The </w:t>
      </w:r>
      <w:r w:rsidRPr="009C573E">
        <w:rPr>
          <w:b/>
          <w:spacing w:val="-4"/>
        </w:rPr>
        <w:t>IIP growth rate of some provinces</w:t>
      </w:r>
      <w:r>
        <w:rPr>
          <w:b/>
          <w:spacing w:val="-4"/>
        </w:rPr>
        <w:t xml:space="preserve"> in the first 2 months of 2022 </w:t>
      </w:r>
    </w:p>
    <w:p w14:paraId="6DFD906E" w14:textId="48B0F5EF" w:rsidR="00572591" w:rsidRDefault="009315F7" w:rsidP="00572591">
      <w:pPr>
        <w:shd w:val="clear" w:color="auto" w:fill="FFFFFF"/>
        <w:jc w:val="center"/>
        <w:rPr>
          <w:i/>
          <w:lang w:val="pl-PL"/>
        </w:rPr>
      </w:pPr>
      <w:r w:rsidRPr="009C573E">
        <w:rPr>
          <w:b/>
          <w:spacing w:val="-4"/>
        </w:rPr>
        <w:t xml:space="preserve">over the </w:t>
      </w:r>
      <w:r>
        <w:rPr>
          <w:b/>
          <w:spacing w:val="-4"/>
        </w:rPr>
        <w:t>same</w:t>
      </w:r>
      <w:r w:rsidRPr="009C573E">
        <w:rPr>
          <w:b/>
          <w:spacing w:val="-4"/>
        </w:rPr>
        <w:t xml:space="preserve"> period last year</w:t>
      </w:r>
    </w:p>
    <w:tbl>
      <w:tblPr>
        <w:tblStyle w:val="TableGrid"/>
        <w:tblW w:w="99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04"/>
        <w:gridCol w:w="5235"/>
      </w:tblGrid>
      <w:tr w:rsidR="00572591" w14:paraId="06C2D302" w14:textId="77777777" w:rsidTr="0037563F">
        <w:trPr>
          <w:trHeight w:val="3835"/>
          <w:jc w:val="center"/>
        </w:trPr>
        <w:tc>
          <w:tcPr>
            <w:tcW w:w="4704" w:type="dxa"/>
          </w:tcPr>
          <w:p w14:paraId="02D8AD6C" w14:textId="77777777" w:rsidR="00572591" w:rsidRDefault="00572591" w:rsidP="00C42018">
            <w:pPr>
              <w:spacing w:before="40" w:after="40" w:line="262" w:lineRule="auto"/>
              <w:ind w:left="-246"/>
              <w:jc w:val="right"/>
              <w:rPr>
                <w:i/>
                <w:spacing w:val="-2"/>
                <w:lang w:val="pl-PL"/>
              </w:rPr>
            </w:pPr>
            <w:r>
              <w:rPr>
                <w:noProof/>
              </w:rPr>
              <w:drawing>
                <wp:inline distT="0" distB="0" distL="0" distR="0" wp14:anchorId="7B25AD0B" wp14:editId="1ACC5F35">
                  <wp:extent cx="2756750" cy="2354580"/>
                  <wp:effectExtent l="0" t="0" r="5715" b="7620"/>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5420" cy="2361985"/>
                          </a:xfrm>
                          <a:prstGeom prst="rect">
                            <a:avLst/>
                          </a:prstGeom>
                          <a:noFill/>
                          <a:ln>
                            <a:noFill/>
                          </a:ln>
                        </pic:spPr>
                      </pic:pic>
                    </a:graphicData>
                  </a:graphic>
                </wp:inline>
              </w:drawing>
            </w:r>
          </w:p>
        </w:tc>
        <w:tc>
          <w:tcPr>
            <w:tcW w:w="5235" w:type="dxa"/>
          </w:tcPr>
          <w:p w14:paraId="4D81C72C" w14:textId="18AD05A3" w:rsidR="00572591" w:rsidRDefault="00C42018" w:rsidP="00C42018">
            <w:pPr>
              <w:spacing w:before="40" w:after="40" w:line="262" w:lineRule="auto"/>
              <w:rPr>
                <w:i/>
                <w:spacing w:val="-2"/>
                <w:lang w:val="pl-PL"/>
              </w:rPr>
            </w:pPr>
            <w:r>
              <w:rPr>
                <w:noProof/>
              </w:rPr>
              <w:drawing>
                <wp:inline distT="0" distB="0" distL="0" distR="0" wp14:anchorId="6A5C1DBA" wp14:editId="30023F1E">
                  <wp:extent cx="3017520" cy="2361719"/>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2714" cy="2381437"/>
                          </a:xfrm>
                          <a:prstGeom prst="rect">
                            <a:avLst/>
                          </a:prstGeom>
                          <a:noFill/>
                          <a:ln>
                            <a:noFill/>
                          </a:ln>
                        </pic:spPr>
                      </pic:pic>
                    </a:graphicData>
                  </a:graphic>
                </wp:inline>
              </w:drawing>
            </w:r>
          </w:p>
        </w:tc>
      </w:tr>
    </w:tbl>
    <w:p w14:paraId="69E6D314" w14:textId="77777777" w:rsidR="00D57F5B" w:rsidRDefault="00D57F5B" w:rsidP="00D57F5B">
      <w:pPr>
        <w:spacing w:before="40" w:after="40" w:line="266" w:lineRule="auto"/>
        <w:ind w:firstLine="567"/>
        <w:jc w:val="both"/>
      </w:pPr>
      <w:r>
        <w:rPr>
          <w:rStyle w:val="Emphasis"/>
          <w:color w:val="0E101A"/>
        </w:rPr>
        <w:t>Some major industrial products in the first 2 months of 2022</w:t>
      </w:r>
      <w:r>
        <w:t xml:space="preserve"> increased sharply over the same period last year: Alumin (20.3%); </w:t>
      </w:r>
      <w:r w:rsidRPr="002B7A43">
        <w:t xml:space="preserve">Monosodium glutamate </w:t>
      </w:r>
      <w:r>
        <w:t xml:space="preserve">(17.6%); </w:t>
      </w:r>
      <w:r w:rsidRPr="002B7A43">
        <w:t xml:space="preserve">Processed fishery products </w:t>
      </w:r>
      <w:r>
        <w:t xml:space="preserve">(15%); </w:t>
      </w:r>
      <w:r w:rsidRPr="00166455">
        <w:t xml:space="preserve">Clothes </w:t>
      </w:r>
      <w:r>
        <w:t xml:space="preserve">(14.1%); </w:t>
      </w:r>
      <w:r w:rsidRPr="00166455">
        <w:t xml:space="preserve">Automobile </w:t>
      </w:r>
      <w:r>
        <w:t xml:space="preserve">(12.2%); </w:t>
      </w:r>
      <w:r w:rsidRPr="00166455">
        <w:t>Textile fabric from natural yarn</w:t>
      </w:r>
      <w:r>
        <w:t xml:space="preserve"> (11.8%); </w:t>
      </w:r>
      <w:r w:rsidRPr="00166455">
        <w:t>Fresh milk</w:t>
      </w:r>
      <w:r>
        <w:t xml:space="preserve"> (11.5%); </w:t>
      </w:r>
      <w:r w:rsidRPr="00343F7C">
        <w:t>Cement</w:t>
      </w:r>
      <w:r>
        <w:t xml:space="preserve"> (11%); </w:t>
      </w:r>
      <w:r w:rsidRPr="00343F7C">
        <w:t>Phone accessories</w:t>
      </w:r>
      <w:r>
        <w:t xml:space="preserve"> and motorbike (both by 10.7%); </w:t>
      </w:r>
      <w:r w:rsidRPr="00343F7C">
        <w:t>Laminated steel</w:t>
      </w:r>
      <w:r>
        <w:t xml:space="preserve"> (10.5%); </w:t>
      </w:r>
      <w:r w:rsidRPr="00343F7C">
        <w:t>Animal feed</w:t>
      </w:r>
      <w:r>
        <w:t xml:space="preserve"> (10.4%). In the opposite side, a number of products decreased compared to the same period last year: Television (-32.4%); Natural gas (in the form of air) (-13.4%); </w:t>
      </w:r>
      <w:r w:rsidRPr="008F3DB4">
        <w:t xml:space="preserve">Petroleum </w:t>
      </w:r>
      <w:r>
        <w:t xml:space="preserve">(-12.8%); </w:t>
      </w:r>
      <w:r w:rsidRPr="004B6A23">
        <w:t xml:space="preserve">Mobile phone </w:t>
      </w:r>
      <w:r>
        <w:t xml:space="preserve">(-12.6%); </w:t>
      </w:r>
      <w:r w:rsidRPr="00CE4EAF">
        <w:t xml:space="preserve">Textile fabric from polyester or artificial yarn </w:t>
      </w:r>
      <w:r>
        <w:t xml:space="preserve">(-6.6%); </w:t>
      </w:r>
      <w:r w:rsidRPr="00CE4EAF">
        <w:t xml:space="preserve">Aquatic feed </w:t>
      </w:r>
      <w:r>
        <w:t>(-4.4%).</w:t>
      </w:r>
    </w:p>
    <w:p w14:paraId="0B50D848" w14:textId="77777777" w:rsidR="00F438A6" w:rsidRPr="00240CC1" w:rsidRDefault="00F438A6" w:rsidP="00F438A6">
      <w:pPr>
        <w:shd w:val="clear" w:color="auto" w:fill="FFFFFF"/>
        <w:spacing w:before="40" w:after="40" w:line="276" w:lineRule="auto"/>
        <w:ind w:firstLine="567"/>
        <w:jc w:val="both"/>
      </w:pPr>
      <w:bookmarkStart w:id="1" w:name="_Hlk89617785"/>
      <w:r w:rsidRPr="00240CC1">
        <w:rPr>
          <w:i/>
        </w:rPr>
        <w:t>The number of employees working in industrial enterprises</w:t>
      </w:r>
      <w:r w:rsidRPr="00240CC1">
        <w:t xml:space="preserve"> as of </w:t>
      </w:r>
      <w:r>
        <w:t>0</w:t>
      </w:r>
      <w:r w:rsidRPr="00240CC1">
        <w:t>1/</w:t>
      </w:r>
      <w:r>
        <w:t>02</w:t>
      </w:r>
      <w:r w:rsidRPr="00240CC1">
        <w:t>/202</w:t>
      </w:r>
      <w:r>
        <w:t>2</w:t>
      </w:r>
      <w:r w:rsidRPr="00240CC1">
        <w:t xml:space="preserve"> up </w:t>
      </w:r>
      <w:r>
        <w:t>1.2</w:t>
      </w:r>
      <w:r w:rsidRPr="00240CC1">
        <w:t xml:space="preserve">% over the same period last month and </w:t>
      </w:r>
      <w:r>
        <w:t>rose by</w:t>
      </w:r>
      <w:r w:rsidRPr="00240CC1">
        <w:t xml:space="preserve"> </w:t>
      </w:r>
      <w:r>
        <w:t>1.3</w:t>
      </w:r>
      <w:r w:rsidRPr="00240CC1">
        <w:t>% over the same period last year, of which the number of working employees in the state-owned enterprise sector went up 0.</w:t>
      </w:r>
      <w:r>
        <w:t>1% and decreased by 3</w:t>
      </w:r>
      <w:r w:rsidRPr="00240CC1">
        <w:t xml:space="preserve">%; non-state enterprises rose by </w:t>
      </w:r>
      <w:r>
        <w:t>0.8</w:t>
      </w:r>
      <w:r w:rsidRPr="00240CC1">
        <w:t>% and declined by</w:t>
      </w:r>
      <w:r>
        <w:t xml:space="preserve"> 3.4</w:t>
      </w:r>
      <w:r w:rsidRPr="00240CC1">
        <w:t>%; enterprises of foreign direct investment peaked by</w:t>
      </w:r>
      <w:r>
        <w:t xml:space="preserve"> 1.6</w:t>
      </w:r>
      <w:r w:rsidRPr="00240CC1">
        <w:t xml:space="preserve">% and </w:t>
      </w:r>
      <w:r>
        <w:t>surged</w:t>
      </w:r>
      <w:r w:rsidRPr="00240CC1">
        <w:t xml:space="preserve"> by </w:t>
      </w:r>
      <w:r>
        <w:t>3.4</w:t>
      </w:r>
      <w:r w:rsidRPr="00240CC1">
        <w:t xml:space="preserve">%. By </w:t>
      </w:r>
      <w:r>
        <w:t>activity</w:t>
      </w:r>
      <w:r w:rsidRPr="00240CC1">
        <w:t>, the number of employees working in mining and quarrying up 0.</w:t>
      </w:r>
      <w:r>
        <w:t>2</w:t>
      </w:r>
      <w:r w:rsidRPr="00240CC1">
        <w:t xml:space="preserve">% over the same period last month and </w:t>
      </w:r>
      <w:r>
        <w:t>went down by 1.6% over</w:t>
      </w:r>
      <w:r w:rsidRPr="00240CC1">
        <w:t xml:space="preserve"> the same period last year; manufacturing up </w:t>
      </w:r>
      <w:r>
        <w:t>1.3</w:t>
      </w:r>
      <w:r w:rsidRPr="00240CC1">
        <w:t xml:space="preserve">% and </w:t>
      </w:r>
      <w:r>
        <w:t>1.5</w:t>
      </w:r>
      <w:r w:rsidRPr="00240CC1">
        <w:t xml:space="preserve">%; the production and distribution of electricity </w:t>
      </w:r>
      <w:r>
        <w:t>up 0.5%</w:t>
      </w:r>
      <w:r w:rsidRPr="00240CC1">
        <w:t xml:space="preserve"> and </w:t>
      </w:r>
      <w:r>
        <w:t>peaked up by 0.1</w:t>
      </w:r>
      <w:r w:rsidRPr="00240CC1">
        <w:t xml:space="preserve">%; the water supply, sewerage, waste management, and remediation activities </w:t>
      </w:r>
      <w:r>
        <w:t>increased</w:t>
      </w:r>
      <w:r w:rsidRPr="00240CC1">
        <w:t xml:space="preserve"> by 0.</w:t>
      </w:r>
      <w:r>
        <w:t>2</w:t>
      </w:r>
      <w:r w:rsidRPr="00240CC1">
        <w:t xml:space="preserve">% and </w:t>
      </w:r>
      <w:r>
        <w:t>rosed</w:t>
      </w:r>
      <w:r w:rsidRPr="00240CC1">
        <w:t xml:space="preserve"> by </w:t>
      </w:r>
      <w:r>
        <w:t>0.7</w:t>
      </w:r>
      <w:r w:rsidRPr="00240CC1">
        <w:t>%.</w:t>
      </w:r>
    </w:p>
    <w:bookmarkEnd w:id="1"/>
    <w:p w14:paraId="3C6E3BDC" w14:textId="2ABB46FF" w:rsidR="00092656" w:rsidRPr="007F37C6" w:rsidRDefault="005A75BF" w:rsidP="002A58CB">
      <w:pPr>
        <w:spacing w:before="40" w:after="40" w:line="281" w:lineRule="auto"/>
        <w:ind w:firstLine="567"/>
        <w:jc w:val="both"/>
        <w:rPr>
          <w:lang w:val="it-IT"/>
        </w:rPr>
      </w:pPr>
      <w:r>
        <w:rPr>
          <w:b/>
          <w:bCs/>
          <w:lang w:val="pl-PL"/>
        </w:rPr>
        <w:lastRenderedPageBreak/>
        <w:t>3</w:t>
      </w:r>
      <w:r w:rsidR="00092656" w:rsidRPr="007F37C6">
        <w:rPr>
          <w:b/>
          <w:bCs/>
          <w:lang w:val="pl-PL"/>
        </w:rPr>
        <w:t>.</w:t>
      </w:r>
      <w:r w:rsidR="00092656" w:rsidRPr="007F37C6">
        <w:rPr>
          <w:b/>
          <w:bCs/>
          <w:lang w:val="it-IT"/>
        </w:rPr>
        <w:t xml:space="preserve"> </w:t>
      </w:r>
      <w:r w:rsidR="001E1102">
        <w:rPr>
          <w:b/>
          <w:bCs/>
        </w:rPr>
        <w:t>Enterprise registration status</w:t>
      </w:r>
      <w:r w:rsidR="001E1102">
        <w:rPr>
          <w:bCs/>
          <w:vertAlign w:val="superscript"/>
        </w:rPr>
        <w:t xml:space="preserve"> </w:t>
      </w:r>
      <w:r w:rsidR="00092656" w:rsidRPr="007F37C6">
        <w:rPr>
          <w:bCs/>
          <w:vertAlign w:val="superscript"/>
        </w:rPr>
        <w:footnoteReference w:id="7"/>
      </w:r>
    </w:p>
    <w:p w14:paraId="3067CDAB" w14:textId="77777777" w:rsidR="009E4D31" w:rsidRDefault="009E4D31" w:rsidP="002A58CB">
      <w:pPr>
        <w:spacing w:before="40" w:after="40" w:line="281" w:lineRule="auto"/>
        <w:ind w:firstLine="567"/>
        <w:jc w:val="both"/>
        <w:rPr>
          <w:rStyle w:val="Emphasis"/>
          <w:color w:val="0E101A"/>
        </w:rPr>
      </w:pPr>
      <w:r>
        <w:rPr>
          <w:rStyle w:val="Emphasis"/>
          <w:color w:val="0E101A"/>
        </w:rPr>
        <w:t>In February 2022, business start-up activity was quite quiet compared to the previous month because February was closed for the Lunar New Year. However, the drastic and timely solutions and the direction of the Government and the Prime Minister have created peace of mind and confidence for the business community. Generally, in the 02 months of 2022, newly established and re-operated enterprises increased by 46.2% compared to the same period in last year; businesses withdrawn from the market increased 33.6%.</w:t>
      </w:r>
    </w:p>
    <w:p w14:paraId="072D5D06" w14:textId="77777777" w:rsidR="00342805" w:rsidRDefault="00342805" w:rsidP="00092656">
      <w:pPr>
        <w:spacing w:before="40" w:after="40" w:line="310" w:lineRule="auto"/>
        <w:ind w:firstLine="567"/>
        <w:jc w:val="both"/>
      </w:pPr>
      <w:r>
        <w:rPr>
          <w:rStyle w:val="Emphasis"/>
          <w:color w:val="0E101A"/>
        </w:rPr>
        <w:t>In February 2022, the whole country had 7,284 newly established enterprises with registered capital </w:t>
      </w:r>
      <w:r>
        <w:t>were 85.2 trillion VND and a total number of registered employees of nearly 72.6 thousand employees, a decrease of 44% in the number of enterprises, a decline of 55.7% in the registered capital and down 5.8% in the number of employees compared to last month. Compared to the same period 2021, down 9.4% in the number of enterprises, a decrease of 52.6% in the registered capital, and up 27.4% in the number of employees. The average registered capital of a newly established enterprise in the month reached 11.7 billion VND, a decrease of 20.9% compared to last month, and down 47.7% compared to the same period in 2021. In February, there were 4,071 re-operated enterprises in the whole country, down 78.7% compared to the previous month and down 11.6% compared to the same period in 2021.</w:t>
      </w:r>
    </w:p>
    <w:p w14:paraId="541A5D54" w14:textId="77777777" w:rsidR="00141FA6" w:rsidRPr="00387E47" w:rsidRDefault="00141FA6" w:rsidP="00141FA6">
      <w:pPr>
        <w:spacing w:before="40" w:after="40" w:line="276" w:lineRule="auto"/>
        <w:ind w:firstLine="567"/>
        <w:jc w:val="both"/>
        <w:rPr>
          <w:lang w:val="it-IT"/>
        </w:rPr>
      </w:pPr>
      <w:r w:rsidRPr="00387E47">
        <w:rPr>
          <w:i/>
          <w:iCs/>
          <w:spacing w:val="-2"/>
        </w:rPr>
        <w:t xml:space="preserve">Generally, in the </w:t>
      </w:r>
      <w:r>
        <w:rPr>
          <w:i/>
          <w:iCs/>
          <w:spacing w:val="-2"/>
        </w:rPr>
        <w:t>2</w:t>
      </w:r>
      <w:r w:rsidRPr="00387E47">
        <w:rPr>
          <w:i/>
          <w:iCs/>
          <w:spacing w:val="-2"/>
        </w:rPr>
        <w:t xml:space="preserve"> months of this year</w:t>
      </w:r>
      <w:r w:rsidRPr="00387E47">
        <w:rPr>
          <w:spacing w:val="-2"/>
        </w:rPr>
        <w:t xml:space="preserve">, the whole country had </w:t>
      </w:r>
      <w:r>
        <w:rPr>
          <w:spacing w:val="-2"/>
        </w:rPr>
        <w:t>nearly 20.3</w:t>
      </w:r>
      <w:r w:rsidRPr="00387E47">
        <w:rPr>
          <w:spacing w:val="-2"/>
        </w:rPr>
        <w:t xml:space="preserve"> thousand newly registered enterprises with a total registered capital of </w:t>
      </w:r>
      <w:r>
        <w:rPr>
          <w:spacing w:val="-2"/>
        </w:rPr>
        <w:t>277.6</w:t>
      </w:r>
      <w:r w:rsidRPr="00387E47">
        <w:rPr>
          <w:spacing w:val="-2"/>
        </w:rPr>
        <w:t xml:space="preserve"> trillion VND and a total number of registered employees </w:t>
      </w:r>
      <w:r>
        <w:rPr>
          <w:spacing w:val="-2"/>
        </w:rPr>
        <w:t>nearly</w:t>
      </w:r>
      <w:r w:rsidRPr="00387E47">
        <w:rPr>
          <w:spacing w:val="-2"/>
        </w:rPr>
        <w:t xml:space="preserve"> </w:t>
      </w:r>
      <w:r>
        <w:rPr>
          <w:spacing w:val="-2"/>
        </w:rPr>
        <w:t>149</w:t>
      </w:r>
      <w:r w:rsidRPr="00387E47">
        <w:rPr>
          <w:spacing w:val="-2"/>
        </w:rPr>
        <w:t>.</w:t>
      </w:r>
      <w:r>
        <w:rPr>
          <w:spacing w:val="-2"/>
        </w:rPr>
        <w:t>7</w:t>
      </w:r>
      <w:r w:rsidRPr="00387E47">
        <w:rPr>
          <w:spacing w:val="-2"/>
        </w:rPr>
        <w:t xml:space="preserve"> thousand employees, </w:t>
      </w:r>
      <w:r>
        <w:rPr>
          <w:spacing w:val="-2"/>
        </w:rPr>
        <w:t>up</w:t>
      </w:r>
      <w:r w:rsidRPr="00387E47">
        <w:rPr>
          <w:spacing w:val="-2"/>
        </w:rPr>
        <w:t xml:space="preserve"> 1</w:t>
      </w:r>
      <w:r>
        <w:rPr>
          <w:spacing w:val="-2"/>
        </w:rPr>
        <w:t>1.9</w:t>
      </w:r>
      <w:r w:rsidRPr="00387E47">
        <w:rPr>
          <w:spacing w:val="-2"/>
        </w:rPr>
        <w:t xml:space="preserve">% in the number of enterprises, a decrease of </w:t>
      </w:r>
      <w:r>
        <w:rPr>
          <w:spacing w:val="-2"/>
        </w:rPr>
        <w:t>17</w:t>
      </w:r>
      <w:r w:rsidRPr="00387E47">
        <w:rPr>
          <w:spacing w:val="-2"/>
        </w:rPr>
        <w:t>.</w:t>
      </w:r>
      <w:r>
        <w:rPr>
          <w:spacing w:val="-2"/>
        </w:rPr>
        <w:t>1</w:t>
      </w:r>
      <w:r w:rsidRPr="00387E47">
        <w:rPr>
          <w:spacing w:val="-2"/>
        </w:rPr>
        <w:t>% in number the registered capital, and a decrease of 1</w:t>
      </w:r>
      <w:r>
        <w:rPr>
          <w:spacing w:val="-2"/>
        </w:rPr>
        <w:t>3</w:t>
      </w:r>
      <w:r w:rsidRPr="00387E47">
        <w:rPr>
          <w:spacing w:val="-2"/>
        </w:rPr>
        <w:t>.</w:t>
      </w:r>
      <w:r>
        <w:rPr>
          <w:spacing w:val="-2"/>
        </w:rPr>
        <w:t>4</w:t>
      </w:r>
      <w:r w:rsidRPr="00387E47">
        <w:rPr>
          <w:spacing w:val="-2"/>
        </w:rPr>
        <w:t xml:space="preserve">% in the number of employees compared to the same period last year. The average registered capital of a newly established enterprise in </w:t>
      </w:r>
      <w:r>
        <w:rPr>
          <w:spacing w:val="-2"/>
        </w:rPr>
        <w:t>2</w:t>
      </w:r>
      <w:r w:rsidRPr="00387E47">
        <w:rPr>
          <w:spacing w:val="-2"/>
        </w:rPr>
        <w:t xml:space="preserve"> months achieved 13.</w:t>
      </w:r>
      <w:r>
        <w:rPr>
          <w:spacing w:val="-2"/>
        </w:rPr>
        <w:t>7</w:t>
      </w:r>
      <w:r w:rsidRPr="00387E47">
        <w:rPr>
          <w:spacing w:val="-2"/>
        </w:rPr>
        <w:t xml:space="preserve"> billion VND, down </w:t>
      </w:r>
      <w:r>
        <w:rPr>
          <w:spacing w:val="-2"/>
        </w:rPr>
        <w:t>25</w:t>
      </w:r>
      <w:r w:rsidRPr="00387E47">
        <w:rPr>
          <w:spacing w:val="-2"/>
        </w:rPr>
        <w:t xml:space="preserve">.9% compared to the same period last year. If including </w:t>
      </w:r>
      <w:r>
        <w:rPr>
          <w:spacing w:val="-2"/>
        </w:rPr>
        <w:t>173.6</w:t>
      </w:r>
      <w:r w:rsidRPr="00387E47">
        <w:rPr>
          <w:spacing w:val="-2"/>
        </w:rPr>
        <w:t xml:space="preserve"> trillion VND of the additionally registered capital of </w:t>
      </w:r>
      <w:r>
        <w:rPr>
          <w:spacing w:val="-2"/>
        </w:rPr>
        <w:t>2,332</w:t>
      </w:r>
      <w:r w:rsidRPr="00387E47">
        <w:rPr>
          <w:spacing w:val="-2"/>
        </w:rPr>
        <w:t xml:space="preserve"> enterprises that recorded an upward adjustment of capital, the total additional registered capital in the economy in </w:t>
      </w:r>
      <w:r>
        <w:rPr>
          <w:spacing w:val="-2"/>
        </w:rPr>
        <w:t>2</w:t>
      </w:r>
      <w:r w:rsidRPr="00387E47">
        <w:rPr>
          <w:spacing w:val="-2"/>
        </w:rPr>
        <w:t xml:space="preserve"> months of this year was </w:t>
      </w:r>
      <w:r>
        <w:rPr>
          <w:spacing w:val="-2"/>
        </w:rPr>
        <w:t>451.2</w:t>
      </w:r>
      <w:r w:rsidRPr="00387E47">
        <w:rPr>
          <w:spacing w:val="-2"/>
        </w:rPr>
        <w:t xml:space="preserve"> trillion VND, down </w:t>
      </w:r>
      <w:r>
        <w:rPr>
          <w:spacing w:val="-2"/>
        </w:rPr>
        <w:t>37.4</w:t>
      </w:r>
      <w:r w:rsidRPr="00387E47">
        <w:rPr>
          <w:spacing w:val="-2"/>
        </w:rPr>
        <w:t xml:space="preserve">% compared to the same period last year. Besides, there were </w:t>
      </w:r>
      <w:r>
        <w:rPr>
          <w:spacing w:val="-2"/>
        </w:rPr>
        <w:t>22</w:t>
      </w:r>
      <w:r w:rsidRPr="00387E47">
        <w:rPr>
          <w:spacing w:val="-2"/>
        </w:rPr>
        <w:t>.</w:t>
      </w:r>
      <w:r>
        <w:rPr>
          <w:spacing w:val="-2"/>
        </w:rPr>
        <w:t>3</w:t>
      </w:r>
      <w:r w:rsidRPr="00387E47">
        <w:rPr>
          <w:spacing w:val="-2"/>
        </w:rPr>
        <w:t xml:space="preserve"> th</w:t>
      </w:r>
      <w:r>
        <w:rPr>
          <w:spacing w:val="-2"/>
        </w:rPr>
        <w:t>ousand re-operated enterprises (</w:t>
      </w:r>
      <w:r w:rsidRPr="00387E47">
        <w:rPr>
          <w:spacing w:val="-2"/>
        </w:rPr>
        <w:t>a</w:t>
      </w:r>
      <w:r>
        <w:rPr>
          <w:spacing w:val="-2"/>
        </w:rPr>
        <w:t xml:space="preserve">n increase </w:t>
      </w:r>
      <w:r w:rsidRPr="00387E47">
        <w:rPr>
          <w:spacing w:val="-2"/>
        </w:rPr>
        <w:t xml:space="preserve">of </w:t>
      </w:r>
      <w:r>
        <w:rPr>
          <w:spacing w:val="-2"/>
        </w:rPr>
        <w:t>1</w:t>
      </w:r>
      <w:r w:rsidRPr="00387E47">
        <w:rPr>
          <w:spacing w:val="-2"/>
        </w:rPr>
        <w:t>0</w:t>
      </w:r>
      <w:r>
        <w:rPr>
          <w:spacing w:val="-2"/>
        </w:rPr>
        <w:t>2</w:t>
      </w:r>
      <w:r w:rsidRPr="00387E47">
        <w:rPr>
          <w:spacing w:val="-2"/>
        </w:rPr>
        <w:t>.</w:t>
      </w:r>
      <w:r>
        <w:rPr>
          <w:spacing w:val="-2"/>
        </w:rPr>
        <w:t>5</w:t>
      </w:r>
      <w:r w:rsidRPr="00387E47">
        <w:rPr>
          <w:spacing w:val="-2"/>
        </w:rPr>
        <w:t>% over the same period last year</w:t>
      </w:r>
      <w:r>
        <w:rPr>
          <w:spacing w:val="-2"/>
        </w:rPr>
        <w:t>)</w:t>
      </w:r>
      <w:r w:rsidRPr="00387E47">
        <w:rPr>
          <w:spacing w:val="-2"/>
        </w:rPr>
        <w:t xml:space="preserve">, bringing the total number of newly registered enterprises and re-operated enterprises in </w:t>
      </w:r>
      <w:r>
        <w:rPr>
          <w:spacing w:val="-2"/>
        </w:rPr>
        <w:t>2</w:t>
      </w:r>
      <w:r w:rsidRPr="00387E47">
        <w:rPr>
          <w:spacing w:val="-2"/>
        </w:rPr>
        <w:t xml:space="preserve"> months this year to </w:t>
      </w:r>
      <w:r>
        <w:rPr>
          <w:spacing w:val="-2"/>
        </w:rPr>
        <w:lastRenderedPageBreak/>
        <w:t>42.6</w:t>
      </w:r>
      <w:r w:rsidRPr="00387E47">
        <w:rPr>
          <w:spacing w:val="-2"/>
        </w:rPr>
        <w:t xml:space="preserve"> thousand enterprises, a</w:t>
      </w:r>
      <w:r>
        <w:rPr>
          <w:spacing w:val="-2"/>
        </w:rPr>
        <w:t>n increase</w:t>
      </w:r>
      <w:r w:rsidRPr="00387E47">
        <w:rPr>
          <w:spacing w:val="-2"/>
        </w:rPr>
        <w:t xml:space="preserve"> of </w:t>
      </w:r>
      <w:r>
        <w:rPr>
          <w:spacing w:val="-2"/>
        </w:rPr>
        <w:t>46</w:t>
      </w:r>
      <w:r w:rsidRPr="00387E47">
        <w:rPr>
          <w:spacing w:val="-2"/>
        </w:rPr>
        <w:t>.</w:t>
      </w:r>
      <w:r>
        <w:rPr>
          <w:spacing w:val="-2"/>
        </w:rPr>
        <w:t>2</w:t>
      </w:r>
      <w:r w:rsidRPr="00387E47">
        <w:rPr>
          <w:spacing w:val="-2"/>
        </w:rPr>
        <w:t xml:space="preserve">%. The average every month had </w:t>
      </w:r>
      <w:r>
        <w:rPr>
          <w:spacing w:val="-2"/>
        </w:rPr>
        <w:t>21</w:t>
      </w:r>
      <w:r w:rsidRPr="00387E47">
        <w:rPr>
          <w:spacing w:val="-2"/>
        </w:rPr>
        <w:t>.3 thousand newly established and re-operated enterprises.</w:t>
      </w:r>
    </w:p>
    <w:p w14:paraId="06EF1160" w14:textId="2CBF4572" w:rsidR="00836496" w:rsidRDefault="00836496" w:rsidP="00836496">
      <w:pPr>
        <w:spacing w:before="40" w:after="40" w:line="276" w:lineRule="auto"/>
        <w:ind w:firstLine="567"/>
        <w:jc w:val="both"/>
        <w:rPr>
          <w:lang w:val="it-IT"/>
        </w:rPr>
      </w:pPr>
      <w:r w:rsidRPr="00387E47">
        <w:rPr>
          <w:lang w:val="it-IT"/>
        </w:rPr>
        <w:t xml:space="preserve">By economic sector in </w:t>
      </w:r>
      <w:r>
        <w:rPr>
          <w:lang w:val="it-IT"/>
        </w:rPr>
        <w:t>2</w:t>
      </w:r>
      <w:r w:rsidRPr="00387E47">
        <w:rPr>
          <w:lang w:val="it-IT"/>
        </w:rPr>
        <w:t xml:space="preserve"> months, there were </w:t>
      </w:r>
      <w:r>
        <w:rPr>
          <w:lang w:val="it-IT"/>
        </w:rPr>
        <w:t>316</w:t>
      </w:r>
      <w:r w:rsidRPr="00387E47">
        <w:rPr>
          <w:lang w:val="it-IT"/>
        </w:rPr>
        <w:t xml:space="preserve"> newly-established enterprises in the agriculture, forestry, and fishery sector, </w:t>
      </w:r>
      <w:r>
        <w:rPr>
          <w:lang w:val="it-IT"/>
        </w:rPr>
        <w:t xml:space="preserve">equaling </w:t>
      </w:r>
      <w:r w:rsidRPr="00387E47">
        <w:rPr>
          <w:lang w:val="it-IT"/>
        </w:rPr>
        <w:t>the same period in 202</w:t>
      </w:r>
      <w:r>
        <w:rPr>
          <w:lang w:val="it-IT"/>
        </w:rPr>
        <w:t>1</w:t>
      </w:r>
      <w:r w:rsidRPr="00387E47">
        <w:rPr>
          <w:lang w:val="it-IT"/>
        </w:rPr>
        <w:t xml:space="preserve">; </w:t>
      </w:r>
      <w:r>
        <w:rPr>
          <w:lang w:val="it-IT"/>
        </w:rPr>
        <w:t>5.2</w:t>
      </w:r>
      <w:r w:rsidRPr="00387E47">
        <w:rPr>
          <w:lang w:val="it-IT"/>
        </w:rPr>
        <w:t xml:space="preserve"> thousand enterprises in the industry and construction sector, </w:t>
      </w:r>
      <w:r>
        <w:rPr>
          <w:lang w:val="it-IT"/>
        </w:rPr>
        <w:t>in</w:t>
      </w:r>
      <w:r w:rsidRPr="00387E47">
        <w:rPr>
          <w:lang w:val="it-IT"/>
        </w:rPr>
        <w:t xml:space="preserve">creased by </w:t>
      </w:r>
      <w:r>
        <w:rPr>
          <w:lang w:val="it-IT"/>
        </w:rPr>
        <w:t>5.9</w:t>
      </w:r>
      <w:r w:rsidRPr="00387E47">
        <w:rPr>
          <w:lang w:val="it-IT"/>
        </w:rPr>
        <w:t xml:space="preserve">%; </w:t>
      </w:r>
      <w:r>
        <w:rPr>
          <w:lang w:val="it-IT"/>
        </w:rPr>
        <w:t>14</w:t>
      </w:r>
      <w:r w:rsidRPr="00387E47">
        <w:t>.</w:t>
      </w:r>
      <w:r>
        <w:rPr>
          <w:lang w:val="it-IT"/>
        </w:rPr>
        <w:t>7</w:t>
      </w:r>
      <w:r w:rsidRPr="00387E47">
        <w:rPr>
          <w:lang w:val="it-IT"/>
        </w:rPr>
        <w:t xml:space="preserve"> thousand enterprises in the service sector, </w:t>
      </w:r>
      <w:r>
        <w:rPr>
          <w:lang w:val="it-IT"/>
        </w:rPr>
        <w:t>in</w:t>
      </w:r>
      <w:r w:rsidRPr="00387E47">
        <w:rPr>
          <w:lang w:val="it-IT"/>
        </w:rPr>
        <w:t>creased by 1</w:t>
      </w:r>
      <w:r>
        <w:rPr>
          <w:lang w:val="it-IT"/>
        </w:rPr>
        <w:t>4</w:t>
      </w:r>
      <w:r w:rsidRPr="00387E47">
        <w:rPr>
          <w:lang w:val="it-IT"/>
        </w:rPr>
        <w:t>.</w:t>
      </w:r>
      <w:r>
        <w:rPr>
          <w:lang w:val="it-IT"/>
        </w:rPr>
        <w:t>5</w:t>
      </w:r>
      <w:r w:rsidRPr="00387E47">
        <w:rPr>
          <w:lang w:val="it-IT"/>
        </w:rPr>
        <w:t xml:space="preserve">%. </w:t>
      </w:r>
    </w:p>
    <w:p w14:paraId="40D7EF3F" w14:textId="77777777" w:rsidR="0037563F" w:rsidRPr="00387E47" w:rsidRDefault="0037563F" w:rsidP="00836496">
      <w:pPr>
        <w:spacing w:before="40" w:after="40" w:line="276" w:lineRule="auto"/>
        <w:ind w:firstLine="567"/>
        <w:jc w:val="both"/>
        <w:rPr>
          <w:lang w:val="it-IT"/>
        </w:rPr>
      </w:pPr>
    </w:p>
    <w:p w14:paraId="0DA11198" w14:textId="77777777" w:rsidR="007125FB" w:rsidRDefault="007125FB" w:rsidP="007125FB">
      <w:pPr>
        <w:spacing w:before="40" w:after="40" w:line="288" w:lineRule="auto"/>
        <w:jc w:val="center"/>
        <w:rPr>
          <w:rFonts w:ascii="Arial" w:hAnsi="Arial" w:cs="Arial"/>
          <w:b/>
          <w:sz w:val="24"/>
          <w:szCs w:val="24"/>
          <w:lang w:val="it-IT"/>
        </w:rPr>
      </w:pPr>
      <w:r>
        <w:rPr>
          <w:rFonts w:ascii="Arial" w:hAnsi="Arial" w:cs="Arial"/>
          <w:b/>
          <w:sz w:val="24"/>
          <w:szCs w:val="24"/>
          <w:lang w:val="it-IT"/>
        </w:rPr>
        <w:t>Figure 5. Enterprise registration status</w:t>
      </w:r>
    </w:p>
    <w:p w14:paraId="7A01A762" w14:textId="77777777" w:rsidR="00092656" w:rsidRPr="00D458BF" w:rsidRDefault="00092656" w:rsidP="00092656">
      <w:pPr>
        <w:spacing w:before="40" w:after="40" w:line="278" w:lineRule="auto"/>
        <w:ind w:right="-3"/>
        <w:jc w:val="center"/>
        <w:rPr>
          <w:sz w:val="6"/>
          <w:lang w:val="it-IT"/>
        </w:rPr>
      </w:pPr>
    </w:p>
    <w:p w14:paraId="2C7F5004" w14:textId="0B6CF6AC" w:rsidR="00092656" w:rsidRDefault="002C357C" w:rsidP="00092656">
      <w:pPr>
        <w:spacing w:before="40" w:after="40" w:line="288" w:lineRule="auto"/>
        <w:jc w:val="center"/>
        <w:rPr>
          <w:lang w:val="it-IT"/>
        </w:rPr>
      </w:pPr>
      <w:r>
        <w:rPr>
          <w:noProof/>
        </w:rPr>
        <w:drawing>
          <wp:inline distT="0" distB="0" distL="0" distR="0" wp14:anchorId="0E3BF250" wp14:editId="70E9A256">
            <wp:extent cx="5651863" cy="2682240"/>
            <wp:effectExtent l="0" t="0" r="6350" b="381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9662" cy="2685941"/>
                    </a:xfrm>
                    <a:prstGeom prst="rect">
                      <a:avLst/>
                    </a:prstGeom>
                    <a:noFill/>
                    <a:ln>
                      <a:noFill/>
                    </a:ln>
                  </pic:spPr>
                </pic:pic>
              </a:graphicData>
            </a:graphic>
          </wp:inline>
        </w:drawing>
      </w:r>
    </w:p>
    <w:p w14:paraId="64ABD7BA" w14:textId="77777777" w:rsidR="0037563F" w:rsidRDefault="0037563F" w:rsidP="002A6C59">
      <w:pPr>
        <w:spacing w:before="40" w:after="40" w:line="276" w:lineRule="auto"/>
        <w:ind w:firstLine="567"/>
        <w:jc w:val="both"/>
        <w:rPr>
          <w:lang w:val="it-IT"/>
        </w:rPr>
      </w:pPr>
    </w:p>
    <w:p w14:paraId="5EB7AE9D" w14:textId="37020CA5" w:rsidR="00747B4D" w:rsidRDefault="00747B4D" w:rsidP="002A6C59">
      <w:pPr>
        <w:spacing w:before="40" w:after="40" w:line="276" w:lineRule="auto"/>
        <w:ind w:firstLine="567"/>
        <w:jc w:val="both"/>
        <w:rPr>
          <w:lang w:val="it-IT"/>
        </w:rPr>
      </w:pPr>
      <w:r w:rsidRPr="00747B4D">
        <w:rPr>
          <w:lang w:val="it-IT"/>
        </w:rPr>
        <w:t>In February 2022, 3,466 enterprises ceased for a certain time, a decrease of 88.2% compared to last month and a decline of 3.5% compared to the same period 2021; 1,917 enterprises temporarily ceased and awaited dissolution procedures, a decrease of 72.9% and a decrease of 26.4%; 1,233 enterprises completed dissolution procedures, down 39.1% and a decrease of 17.8%.</w:t>
      </w:r>
    </w:p>
    <w:p w14:paraId="7BD7C90B" w14:textId="267955F9" w:rsidR="00A154F1" w:rsidRPr="008851E9" w:rsidRDefault="00A154F1" w:rsidP="002A6C59">
      <w:pPr>
        <w:spacing w:before="40" w:after="40" w:line="276" w:lineRule="auto"/>
        <w:ind w:firstLine="567"/>
        <w:jc w:val="both"/>
        <w:rPr>
          <w:lang w:val="it-IT"/>
        </w:rPr>
      </w:pPr>
      <w:r w:rsidRPr="00A154F1">
        <w:rPr>
          <w:lang w:val="it-IT"/>
        </w:rPr>
        <w:t>In 2 months this year, there were: 32.7 thousand enterprises temporarily ceased for a certain time, an increase of 51.3% compared to the same period last year; 8.9 thousand enterprises temporarily ceased and awaited dissolution procedures, a climb up 6.3%; nearly 3.3 thousand enterprises completed dissolution procedures, a decrease of 9.4%, of which 2.8 thousand enterprises with the capital size of less than 10 billion VND,  down 12.8%; 49 enterprises with the capital size over 100 billion VND and more, an increase of 32.4%. On average, 22.4 thousand enterprises withdraw from the market each month.</w:t>
      </w:r>
    </w:p>
    <w:p w14:paraId="58C7B200" w14:textId="77777777" w:rsidR="0037563F" w:rsidRDefault="0037563F" w:rsidP="007E5900">
      <w:pPr>
        <w:tabs>
          <w:tab w:val="left" w:pos="6810"/>
        </w:tabs>
        <w:spacing w:before="40" w:after="40" w:line="276" w:lineRule="auto"/>
        <w:ind w:firstLine="567"/>
        <w:jc w:val="center"/>
        <w:rPr>
          <w:b/>
          <w:lang w:val="it-IT"/>
        </w:rPr>
      </w:pPr>
    </w:p>
    <w:p w14:paraId="4B7E7B88" w14:textId="77777777" w:rsidR="0037563F" w:rsidRDefault="0037563F" w:rsidP="007E5900">
      <w:pPr>
        <w:tabs>
          <w:tab w:val="left" w:pos="6810"/>
        </w:tabs>
        <w:spacing w:before="40" w:after="40" w:line="276" w:lineRule="auto"/>
        <w:ind w:firstLine="567"/>
        <w:jc w:val="center"/>
        <w:rPr>
          <w:b/>
          <w:lang w:val="it-IT"/>
        </w:rPr>
      </w:pPr>
    </w:p>
    <w:p w14:paraId="3133CE0B" w14:textId="4E55EC32" w:rsidR="007E5900" w:rsidRDefault="007E5900" w:rsidP="007E5900">
      <w:pPr>
        <w:tabs>
          <w:tab w:val="left" w:pos="6810"/>
        </w:tabs>
        <w:spacing w:before="40" w:after="40" w:line="276" w:lineRule="auto"/>
        <w:ind w:firstLine="567"/>
        <w:jc w:val="center"/>
        <w:rPr>
          <w:b/>
          <w:lang w:val="it-IT"/>
        </w:rPr>
      </w:pPr>
      <w:r w:rsidRPr="00387E47">
        <w:rPr>
          <w:b/>
          <w:lang w:val="it-IT"/>
        </w:rPr>
        <w:lastRenderedPageBreak/>
        <w:t>Table 2: Number of newly registered enterprises and  completed dissolution procedures in</w:t>
      </w:r>
      <w:r w:rsidRPr="00387E47">
        <w:rPr>
          <w:b/>
        </w:rPr>
        <w:t xml:space="preserve"> </w:t>
      </w:r>
      <w:r>
        <w:rPr>
          <w:b/>
          <w:lang w:val="it-IT"/>
        </w:rPr>
        <w:t>2</w:t>
      </w:r>
      <w:r w:rsidRPr="00387E47">
        <w:rPr>
          <w:b/>
          <w:lang w:val="it-IT"/>
        </w:rPr>
        <w:t xml:space="preserve"> months</w:t>
      </w:r>
      <w:r w:rsidRPr="00387E47">
        <w:rPr>
          <w:b/>
        </w:rPr>
        <w:t>,</w:t>
      </w:r>
      <w:r w:rsidRPr="00387E47">
        <w:rPr>
          <w:b/>
          <w:lang w:val="it-IT"/>
        </w:rPr>
        <w:t xml:space="preserve"> 202</w:t>
      </w:r>
      <w:r>
        <w:rPr>
          <w:b/>
          <w:lang w:val="it-IT"/>
        </w:rPr>
        <w:t>2</w:t>
      </w:r>
      <w:r w:rsidRPr="00387E47">
        <w:rPr>
          <w:b/>
          <w:lang w:val="it-IT"/>
        </w:rPr>
        <w:t xml:space="preserve"> by kinds of some activity</w:t>
      </w:r>
    </w:p>
    <w:tbl>
      <w:tblPr>
        <w:tblW w:w="8983" w:type="dxa"/>
        <w:jc w:val="center"/>
        <w:tblLook w:val="04A0" w:firstRow="1" w:lastRow="0" w:firstColumn="1" w:lastColumn="0" w:noHBand="0" w:noVBand="1"/>
      </w:tblPr>
      <w:tblGrid>
        <w:gridCol w:w="3969"/>
        <w:gridCol w:w="1134"/>
        <w:gridCol w:w="1323"/>
        <w:gridCol w:w="1229"/>
        <w:gridCol w:w="1328"/>
      </w:tblGrid>
      <w:tr w:rsidR="00FE5378" w:rsidRPr="00FE5378" w14:paraId="23FF6524" w14:textId="77777777" w:rsidTr="00FE5378">
        <w:trPr>
          <w:cantSplit/>
          <w:jc w:val="center"/>
        </w:trPr>
        <w:tc>
          <w:tcPr>
            <w:tcW w:w="3969" w:type="dxa"/>
            <w:vMerge w:val="restart"/>
            <w:tcBorders>
              <w:top w:val="single" w:sz="4" w:space="0" w:color="auto"/>
            </w:tcBorders>
            <w:shd w:val="clear" w:color="auto" w:fill="auto"/>
            <w:noWrap/>
            <w:vAlign w:val="bottom"/>
            <w:hideMark/>
          </w:tcPr>
          <w:p w14:paraId="1867776C" w14:textId="77777777" w:rsidR="00FE5378" w:rsidRPr="00FE5378" w:rsidRDefault="00FE5378" w:rsidP="006500F5">
            <w:pPr>
              <w:spacing w:line="276" w:lineRule="auto"/>
              <w:jc w:val="center"/>
              <w:rPr>
                <w:rFonts w:ascii="Arial" w:hAnsi="Arial" w:cs="Arial"/>
                <w:color w:val="000000"/>
                <w:sz w:val="20"/>
                <w:szCs w:val="20"/>
              </w:rPr>
            </w:pPr>
            <w:r w:rsidRPr="00FE5378">
              <w:rPr>
                <w:rFonts w:ascii="Arial" w:hAnsi="Arial" w:cs="Arial"/>
                <w:color w:val="000000"/>
                <w:sz w:val="20"/>
                <w:szCs w:val="20"/>
              </w:rPr>
              <w:t> </w:t>
            </w:r>
          </w:p>
        </w:tc>
        <w:tc>
          <w:tcPr>
            <w:tcW w:w="2457" w:type="dxa"/>
            <w:gridSpan w:val="2"/>
            <w:tcBorders>
              <w:top w:val="single" w:sz="4" w:space="0" w:color="auto"/>
              <w:bottom w:val="single" w:sz="4" w:space="0" w:color="auto"/>
            </w:tcBorders>
            <w:shd w:val="clear" w:color="auto" w:fill="auto"/>
            <w:vAlign w:val="center"/>
            <w:hideMark/>
          </w:tcPr>
          <w:p w14:paraId="545D286D" w14:textId="77777777" w:rsidR="00FE5378" w:rsidRPr="00FE5378" w:rsidRDefault="00FE5378" w:rsidP="006500F5">
            <w:pPr>
              <w:spacing w:line="276" w:lineRule="auto"/>
              <w:jc w:val="center"/>
              <w:rPr>
                <w:rFonts w:ascii="Arial" w:hAnsi="Arial" w:cs="Arial"/>
                <w:bCs/>
                <w:color w:val="000000"/>
                <w:sz w:val="20"/>
                <w:szCs w:val="20"/>
              </w:rPr>
            </w:pPr>
            <w:r w:rsidRPr="00FE5378">
              <w:rPr>
                <w:rFonts w:ascii="Arial" w:hAnsi="Arial" w:cs="Arial"/>
                <w:bCs/>
                <w:color w:val="000000"/>
                <w:sz w:val="20"/>
                <w:szCs w:val="20"/>
              </w:rPr>
              <w:t>Number of enterprises (Enterprise)</w:t>
            </w:r>
          </w:p>
        </w:tc>
        <w:tc>
          <w:tcPr>
            <w:tcW w:w="2557" w:type="dxa"/>
            <w:gridSpan w:val="2"/>
            <w:tcBorders>
              <w:top w:val="single" w:sz="4" w:space="0" w:color="auto"/>
              <w:bottom w:val="single" w:sz="4" w:space="0" w:color="auto"/>
            </w:tcBorders>
            <w:shd w:val="clear" w:color="auto" w:fill="auto"/>
            <w:vAlign w:val="center"/>
            <w:hideMark/>
          </w:tcPr>
          <w:p w14:paraId="14E4AE4C" w14:textId="77777777" w:rsidR="00FE5378" w:rsidRPr="00FE5378" w:rsidRDefault="00FE5378" w:rsidP="006500F5">
            <w:pPr>
              <w:spacing w:line="276" w:lineRule="auto"/>
              <w:jc w:val="center"/>
              <w:rPr>
                <w:rFonts w:ascii="Arial" w:hAnsi="Arial" w:cs="Arial"/>
                <w:bCs/>
                <w:color w:val="000000"/>
                <w:sz w:val="20"/>
                <w:szCs w:val="20"/>
              </w:rPr>
            </w:pPr>
            <w:r w:rsidRPr="00FE5378">
              <w:rPr>
                <w:rFonts w:ascii="Arial" w:hAnsi="Arial" w:cs="Arial"/>
                <w:bCs/>
                <w:color w:val="000000"/>
                <w:sz w:val="20"/>
                <w:szCs w:val="20"/>
              </w:rPr>
              <w:t>The growth rate over the same period last year (%)</w:t>
            </w:r>
          </w:p>
        </w:tc>
      </w:tr>
      <w:tr w:rsidR="00FE5378" w:rsidRPr="00FE5378" w14:paraId="23910650" w14:textId="77777777" w:rsidTr="00FE5378">
        <w:trPr>
          <w:cantSplit/>
          <w:jc w:val="center"/>
        </w:trPr>
        <w:tc>
          <w:tcPr>
            <w:tcW w:w="3969" w:type="dxa"/>
            <w:vMerge/>
            <w:vAlign w:val="center"/>
            <w:hideMark/>
          </w:tcPr>
          <w:p w14:paraId="17D7CD27" w14:textId="77777777" w:rsidR="00FE5378" w:rsidRPr="00FE5378" w:rsidRDefault="00FE5378" w:rsidP="006500F5">
            <w:pPr>
              <w:spacing w:line="276" w:lineRule="auto"/>
              <w:rPr>
                <w:rFonts w:ascii="Arial" w:hAnsi="Arial" w:cs="Arial"/>
                <w:color w:val="000000"/>
                <w:sz w:val="20"/>
                <w:szCs w:val="20"/>
              </w:rPr>
            </w:pPr>
          </w:p>
        </w:tc>
        <w:tc>
          <w:tcPr>
            <w:tcW w:w="1134" w:type="dxa"/>
            <w:tcBorders>
              <w:top w:val="single" w:sz="4" w:space="0" w:color="auto"/>
              <w:bottom w:val="single" w:sz="4" w:space="0" w:color="auto"/>
            </w:tcBorders>
            <w:shd w:val="clear" w:color="auto" w:fill="auto"/>
            <w:vAlign w:val="center"/>
            <w:hideMark/>
          </w:tcPr>
          <w:p w14:paraId="4CE6180D" w14:textId="77777777" w:rsidR="00FE5378" w:rsidRPr="00FE5378" w:rsidRDefault="00FE5378" w:rsidP="006500F5">
            <w:pPr>
              <w:spacing w:before="60" w:after="60" w:line="276" w:lineRule="auto"/>
              <w:jc w:val="center"/>
              <w:rPr>
                <w:rFonts w:ascii="Arial" w:hAnsi="Arial" w:cs="Arial"/>
                <w:bCs/>
                <w:color w:val="000000"/>
                <w:sz w:val="20"/>
                <w:szCs w:val="20"/>
              </w:rPr>
            </w:pPr>
            <w:r w:rsidRPr="00FE5378">
              <w:rPr>
                <w:rFonts w:ascii="Arial" w:hAnsi="Arial" w:cs="Arial"/>
                <w:bCs/>
                <w:color w:val="000000"/>
                <w:sz w:val="20"/>
                <w:szCs w:val="20"/>
              </w:rPr>
              <w:t>Newly registered</w:t>
            </w:r>
          </w:p>
        </w:tc>
        <w:tc>
          <w:tcPr>
            <w:tcW w:w="1323" w:type="dxa"/>
            <w:tcBorders>
              <w:top w:val="single" w:sz="4" w:space="0" w:color="auto"/>
              <w:bottom w:val="single" w:sz="4" w:space="0" w:color="auto"/>
            </w:tcBorders>
            <w:shd w:val="clear" w:color="auto" w:fill="auto"/>
            <w:vAlign w:val="center"/>
            <w:hideMark/>
          </w:tcPr>
          <w:p w14:paraId="32357E1E" w14:textId="77777777" w:rsidR="00FE5378" w:rsidRPr="00FE5378" w:rsidRDefault="00FE5378" w:rsidP="006500F5">
            <w:pPr>
              <w:spacing w:before="60" w:after="60" w:line="276" w:lineRule="auto"/>
              <w:jc w:val="center"/>
              <w:rPr>
                <w:rFonts w:ascii="Arial" w:hAnsi="Arial" w:cs="Arial"/>
                <w:bCs/>
                <w:color w:val="000000"/>
                <w:sz w:val="20"/>
                <w:szCs w:val="20"/>
              </w:rPr>
            </w:pPr>
          </w:p>
          <w:p w14:paraId="4934251B" w14:textId="77777777" w:rsidR="00FE5378" w:rsidRPr="00FE5378" w:rsidRDefault="00FE5378" w:rsidP="006500F5">
            <w:pPr>
              <w:spacing w:before="60" w:after="60" w:line="276" w:lineRule="auto"/>
              <w:jc w:val="center"/>
              <w:rPr>
                <w:rFonts w:ascii="Arial" w:hAnsi="Arial" w:cs="Arial"/>
                <w:bCs/>
                <w:color w:val="000000"/>
                <w:sz w:val="20"/>
                <w:szCs w:val="20"/>
              </w:rPr>
            </w:pPr>
            <w:r w:rsidRPr="00FE5378">
              <w:rPr>
                <w:rFonts w:ascii="Arial" w:hAnsi="Arial" w:cs="Arial"/>
                <w:bCs/>
                <w:color w:val="000000"/>
                <w:sz w:val="20"/>
                <w:szCs w:val="20"/>
              </w:rPr>
              <w:t>Dissolution</w:t>
            </w:r>
          </w:p>
          <w:p w14:paraId="70805F56" w14:textId="77777777" w:rsidR="00FE5378" w:rsidRPr="00FE5378" w:rsidRDefault="00FE5378" w:rsidP="006500F5">
            <w:pPr>
              <w:spacing w:before="60" w:after="60" w:line="276" w:lineRule="auto"/>
              <w:jc w:val="center"/>
              <w:rPr>
                <w:rFonts w:ascii="Arial" w:hAnsi="Arial" w:cs="Arial"/>
                <w:bCs/>
                <w:color w:val="000000"/>
                <w:sz w:val="20"/>
                <w:szCs w:val="20"/>
              </w:rPr>
            </w:pPr>
          </w:p>
        </w:tc>
        <w:tc>
          <w:tcPr>
            <w:tcW w:w="1229" w:type="dxa"/>
            <w:tcBorders>
              <w:top w:val="single" w:sz="4" w:space="0" w:color="auto"/>
              <w:bottom w:val="single" w:sz="4" w:space="0" w:color="auto"/>
            </w:tcBorders>
            <w:shd w:val="clear" w:color="auto" w:fill="auto"/>
            <w:vAlign w:val="center"/>
            <w:hideMark/>
          </w:tcPr>
          <w:p w14:paraId="07D660FA" w14:textId="77777777" w:rsidR="00FE5378" w:rsidRPr="00FE5378" w:rsidRDefault="00FE5378" w:rsidP="006500F5">
            <w:pPr>
              <w:spacing w:before="60" w:after="60" w:line="276" w:lineRule="auto"/>
              <w:jc w:val="center"/>
              <w:rPr>
                <w:rFonts w:ascii="Arial" w:hAnsi="Arial" w:cs="Arial"/>
                <w:bCs/>
                <w:color w:val="000000"/>
                <w:sz w:val="20"/>
                <w:szCs w:val="20"/>
              </w:rPr>
            </w:pPr>
            <w:r w:rsidRPr="00FE5378">
              <w:rPr>
                <w:rFonts w:ascii="Arial" w:hAnsi="Arial" w:cs="Arial"/>
                <w:bCs/>
                <w:color w:val="000000"/>
                <w:sz w:val="20"/>
                <w:szCs w:val="20"/>
              </w:rPr>
              <w:t>Newly registered</w:t>
            </w:r>
          </w:p>
        </w:tc>
        <w:tc>
          <w:tcPr>
            <w:tcW w:w="1328" w:type="dxa"/>
            <w:tcBorders>
              <w:top w:val="single" w:sz="4" w:space="0" w:color="auto"/>
              <w:bottom w:val="single" w:sz="4" w:space="0" w:color="auto"/>
            </w:tcBorders>
            <w:shd w:val="clear" w:color="auto" w:fill="auto"/>
            <w:vAlign w:val="center"/>
            <w:hideMark/>
          </w:tcPr>
          <w:p w14:paraId="46531EAD" w14:textId="77777777" w:rsidR="00FE5378" w:rsidRPr="00FE5378" w:rsidRDefault="00FE5378" w:rsidP="006500F5">
            <w:pPr>
              <w:spacing w:before="60" w:after="60" w:line="276" w:lineRule="auto"/>
              <w:jc w:val="center"/>
              <w:rPr>
                <w:rFonts w:ascii="Arial" w:hAnsi="Arial" w:cs="Arial"/>
                <w:bCs/>
                <w:color w:val="000000"/>
                <w:sz w:val="20"/>
                <w:szCs w:val="20"/>
              </w:rPr>
            </w:pPr>
          </w:p>
          <w:p w14:paraId="7DCCB41A" w14:textId="77777777" w:rsidR="00FE5378" w:rsidRPr="00FE5378" w:rsidRDefault="00FE5378" w:rsidP="006500F5">
            <w:pPr>
              <w:spacing w:before="60" w:after="60" w:line="276" w:lineRule="auto"/>
              <w:jc w:val="center"/>
              <w:rPr>
                <w:rFonts w:ascii="Arial" w:hAnsi="Arial" w:cs="Arial"/>
                <w:bCs/>
                <w:color w:val="000000"/>
                <w:sz w:val="20"/>
                <w:szCs w:val="20"/>
              </w:rPr>
            </w:pPr>
            <w:r w:rsidRPr="00FE5378">
              <w:rPr>
                <w:rFonts w:ascii="Arial" w:hAnsi="Arial" w:cs="Arial"/>
                <w:bCs/>
                <w:color w:val="000000"/>
                <w:sz w:val="20"/>
                <w:szCs w:val="20"/>
              </w:rPr>
              <w:t>Dissolution</w:t>
            </w:r>
          </w:p>
          <w:p w14:paraId="312640CF" w14:textId="77777777" w:rsidR="00FE5378" w:rsidRPr="00FE5378" w:rsidRDefault="00FE5378" w:rsidP="006500F5">
            <w:pPr>
              <w:spacing w:before="60" w:after="60" w:line="276" w:lineRule="auto"/>
              <w:jc w:val="center"/>
              <w:rPr>
                <w:rFonts w:ascii="Arial" w:hAnsi="Arial" w:cs="Arial"/>
                <w:bCs/>
                <w:color w:val="000000"/>
                <w:sz w:val="20"/>
                <w:szCs w:val="20"/>
              </w:rPr>
            </w:pPr>
          </w:p>
        </w:tc>
      </w:tr>
      <w:tr w:rsidR="00FE5378" w:rsidRPr="00FE5378" w14:paraId="7DA97D3F" w14:textId="77777777" w:rsidTr="00FE5378">
        <w:trPr>
          <w:cantSplit/>
          <w:jc w:val="center"/>
        </w:trPr>
        <w:tc>
          <w:tcPr>
            <w:tcW w:w="3969" w:type="dxa"/>
            <w:shd w:val="clear" w:color="auto" w:fill="auto"/>
            <w:noWrap/>
            <w:vAlign w:val="bottom"/>
            <w:hideMark/>
          </w:tcPr>
          <w:p w14:paraId="0DABFEFC" w14:textId="77777777" w:rsidR="00FE5378" w:rsidRPr="00FE5378" w:rsidRDefault="00FE5378" w:rsidP="006500F5">
            <w:pPr>
              <w:spacing w:before="60" w:after="60" w:line="276" w:lineRule="auto"/>
              <w:rPr>
                <w:rFonts w:ascii="Arial" w:hAnsi="Arial" w:cs="Arial"/>
                <w:color w:val="000000"/>
                <w:sz w:val="20"/>
                <w:szCs w:val="20"/>
              </w:rPr>
            </w:pPr>
            <w:r w:rsidRPr="00FE5378">
              <w:rPr>
                <w:rFonts w:ascii="Arial" w:hAnsi="Arial" w:cs="Arial"/>
                <w:color w:val="000000"/>
                <w:sz w:val="20"/>
                <w:szCs w:val="20"/>
              </w:rPr>
              <w:t>1. Wholesale and retail trade; repair of motor vehicles and motorcycles</w:t>
            </w:r>
          </w:p>
        </w:tc>
        <w:tc>
          <w:tcPr>
            <w:tcW w:w="1134" w:type="dxa"/>
            <w:tcBorders>
              <w:top w:val="single" w:sz="4" w:space="0" w:color="auto"/>
            </w:tcBorders>
            <w:shd w:val="clear" w:color="auto" w:fill="auto"/>
            <w:noWrap/>
            <w:vAlign w:val="bottom"/>
            <w:hideMark/>
          </w:tcPr>
          <w:p w14:paraId="1A61CDCF" w14:textId="77777777" w:rsidR="00FE5378" w:rsidRPr="00FE5378" w:rsidRDefault="00FE5378" w:rsidP="006500F5">
            <w:pPr>
              <w:spacing w:before="240" w:after="40"/>
              <w:ind w:right="176"/>
              <w:jc w:val="right"/>
              <w:rPr>
                <w:rFonts w:ascii="Arial" w:hAnsi="Arial" w:cs="Arial"/>
                <w:color w:val="000000"/>
                <w:sz w:val="20"/>
                <w:szCs w:val="20"/>
              </w:rPr>
            </w:pPr>
            <w:r w:rsidRPr="00FE5378">
              <w:rPr>
                <w:rFonts w:ascii="Arial" w:hAnsi="Arial" w:cs="Arial"/>
                <w:color w:val="000000"/>
                <w:sz w:val="20"/>
                <w:szCs w:val="20"/>
              </w:rPr>
              <w:t>7,213</w:t>
            </w:r>
          </w:p>
        </w:tc>
        <w:tc>
          <w:tcPr>
            <w:tcW w:w="1323" w:type="dxa"/>
            <w:tcBorders>
              <w:top w:val="single" w:sz="4" w:space="0" w:color="auto"/>
            </w:tcBorders>
            <w:shd w:val="clear" w:color="auto" w:fill="auto"/>
            <w:noWrap/>
            <w:vAlign w:val="bottom"/>
            <w:hideMark/>
          </w:tcPr>
          <w:p w14:paraId="352143E2" w14:textId="77777777" w:rsidR="00FE5378" w:rsidRPr="00FE5378" w:rsidRDefault="00FE5378" w:rsidP="006500F5">
            <w:pPr>
              <w:spacing w:before="240" w:after="40"/>
              <w:ind w:right="176"/>
              <w:jc w:val="right"/>
              <w:rPr>
                <w:rFonts w:ascii="Arial" w:hAnsi="Arial" w:cs="Arial"/>
                <w:color w:val="FF0000"/>
                <w:sz w:val="20"/>
                <w:szCs w:val="20"/>
              </w:rPr>
            </w:pPr>
            <w:r w:rsidRPr="00FE5378">
              <w:rPr>
                <w:rFonts w:ascii="Arial" w:hAnsi="Arial" w:cs="Arial"/>
                <w:sz w:val="20"/>
                <w:szCs w:val="20"/>
              </w:rPr>
              <w:t>1,187</w:t>
            </w:r>
          </w:p>
        </w:tc>
        <w:tc>
          <w:tcPr>
            <w:tcW w:w="1229" w:type="dxa"/>
            <w:tcBorders>
              <w:top w:val="single" w:sz="4" w:space="0" w:color="auto"/>
            </w:tcBorders>
            <w:shd w:val="clear" w:color="auto" w:fill="auto"/>
            <w:noWrap/>
            <w:vAlign w:val="bottom"/>
            <w:hideMark/>
          </w:tcPr>
          <w:p w14:paraId="58360C18" w14:textId="77777777" w:rsidR="00FE5378" w:rsidRPr="00FE5378" w:rsidRDefault="00FE5378" w:rsidP="006500F5">
            <w:pPr>
              <w:spacing w:before="240" w:after="40"/>
              <w:ind w:right="316"/>
              <w:jc w:val="right"/>
              <w:rPr>
                <w:rFonts w:ascii="Arial" w:hAnsi="Arial" w:cs="Arial"/>
                <w:sz w:val="20"/>
                <w:szCs w:val="20"/>
              </w:rPr>
            </w:pPr>
            <w:r w:rsidRPr="00FE5378">
              <w:rPr>
                <w:rFonts w:ascii="Arial" w:hAnsi="Arial" w:cs="Arial"/>
                <w:sz w:val="20"/>
                <w:szCs w:val="20"/>
              </w:rPr>
              <w:t>19.9</w:t>
            </w:r>
          </w:p>
        </w:tc>
        <w:tc>
          <w:tcPr>
            <w:tcW w:w="1328" w:type="dxa"/>
            <w:tcBorders>
              <w:top w:val="single" w:sz="4" w:space="0" w:color="auto"/>
            </w:tcBorders>
            <w:shd w:val="clear" w:color="auto" w:fill="auto"/>
            <w:noWrap/>
            <w:vAlign w:val="bottom"/>
            <w:hideMark/>
          </w:tcPr>
          <w:p w14:paraId="2C7ACA23" w14:textId="77777777" w:rsidR="00FE5378" w:rsidRPr="00FE5378" w:rsidRDefault="00FE5378" w:rsidP="006500F5">
            <w:pPr>
              <w:spacing w:before="240" w:after="40"/>
              <w:ind w:right="176"/>
              <w:jc w:val="right"/>
              <w:rPr>
                <w:rFonts w:ascii="Arial" w:hAnsi="Arial" w:cs="Arial"/>
                <w:color w:val="FF0000"/>
                <w:sz w:val="20"/>
                <w:szCs w:val="20"/>
              </w:rPr>
            </w:pPr>
            <w:r w:rsidRPr="00FE5378">
              <w:rPr>
                <w:rFonts w:ascii="Arial" w:hAnsi="Arial" w:cs="Arial"/>
                <w:sz w:val="20"/>
                <w:szCs w:val="20"/>
              </w:rPr>
              <w:t>-11.1</w:t>
            </w:r>
          </w:p>
        </w:tc>
      </w:tr>
      <w:tr w:rsidR="00FE5378" w:rsidRPr="00FE5378" w14:paraId="54E61469" w14:textId="77777777" w:rsidTr="00FE5378">
        <w:trPr>
          <w:cantSplit/>
          <w:jc w:val="center"/>
        </w:trPr>
        <w:tc>
          <w:tcPr>
            <w:tcW w:w="3969" w:type="dxa"/>
            <w:shd w:val="clear" w:color="auto" w:fill="auto"/>
            <w:noWrap/>
            <w:vAlign w:val="bottom"/>
            <w:hideMark/>
          </w:tcPr>
          <w:p w14:paraId="6A36E69A" w14:textId="77777777" w:rsidR="00FE5378" w:rsidRPr="00FE5378" w:rsidRDefault="00FE5378" w:rsidP="006500F5">
            <w:pPr>
              <w:spacing w:before="60" w:after="60" w:line="276" w:lineRule="auto"/>
              <w:rPr>
                <w:rFonts w:ascii="Arial" w:hAnsi="Arial" w:cs="Arial"/>
                <w:color w:val="000000"/>
                <w:sz w:val="20"/>
                <w:szCs w:val="20"/>
              </w:rPr>
            </w:pPr>
            <w:r w:rsidRPr="00FE5378">
              <w:rPr>
                <w:rFonts w:ascii="Arial" w:hAnsi="Arial" w:cs="Arial"/>
                <w:color w:val="000000"/>
                <w:sz w:val="20"/>
                <w:szCs w:val="20"/>
              </w:rPr>
              <w:t>2. Manufacturing</w:t>
            </w:r>
          </w:p>
        </w:tc>
        <w:tc>
          <w:tcPr>
            <w:tcW w:w="1134" w:type="dxa"/>
            <w:shd w:val="clear" w:color="auto" w:fill="auto"/>
            <w:noWrap/>
            <w:vAlign w:val="bottom"/>
            <w:hideMark/>
          </w:tcPr>
          <w:p w14:paraId="57398094" w14:textId="77777777" w:rsidR="00FE5378" w:rsidRPr="00FE5378" w:rsidRDefault="00FE5378" w:rsidP="006500F5">
            <w:pPr>
              <w:spacing w:before="120" w:after="60"/>
              <w:ind w:right="176"/>
              <w:jc w:val="right"/>
              <w:rPr>
                <w:rFonts w:ascii="Arial" w:hAnsi="Arial" w:cs="Arial"/>
                <w:color w:val="000000"/>
                <w:sz w:val="20"/>
                <w:szCs w:val="20"/>
              </w:rPr>
            </w:pPr>
            <w:r w:rsidRPr="00FE5378">
              <w:rPr>
                <w:rFonts w:ascii="Arial" w:hAnsi="Arial" w:cs="Arial"/>
                <w:color w:val="000000"/>
                <w:sz w:val="20"/>
                <w:szCs w:val="20"/>
              </w:rPr>
              <w:t>2,631</w:t>
            </w:r>
          </w:p>
        </w:tc>
        <w:tc>
          <w:tcPr>
            <w:tcW w:w="1323" w:type="dxa"/>
            <w:shd w:val="clear" w:color="auto" w:fill="auto"/>
            <w:noWrap/>
            <w:vAlign w:val="bottom"/>
            <w:hideMark/>
          </w:tcPr>
          <w:p w14:paraId="5406976A" w14:textId="77777777" w:rsidR="00FE5378" w:rsidRPr="00FE5378" w:rsidRDefault="00FE5378" w:rsidP="006500F5">
            <w:pPr>
              <w:spacing w:before="120" w:after="60"/>
              <w:ind w:right="176"/>
              <w:jc w:val="right"/>
              <w:rPr>
                <w:rFonts w:ascii="Arial" w:hAnsi="Arial" w:cs="Arial"/>
                <w:sz w:val="20"/>
                <w:szCs w:val="20"/>
              </w:rPr>
            </w:pPr>
            <w:r w:rsidRPr="00FE5378">
              <w:rPr>
                <w:rFonts w:ascii="Arial" w:hAnsi="Arial" w:cs="Arial"/>
                <w:sz w:val="20"/>
                <w:szCs w:val="20"/>
              </w:rPr>
              <w:t>335</w:t>
            </w:r>
          </w:p>
        </w:tc>
        <w:tc>
          <w:tcPr>
            <w:tcW w:w="1229" w:type="dxa"/>
            <w:shd w:val="clear" w:color="auto" w:fill="auto"/>
            <w:noWrap/>
            <w:vAlign w:val="bottom"/>
            <w:hideMark/>
          </w:tcPr>
          <w:p w14:paraId="1BEB9BB2" w14:textId="77777777" w:rsidR="00FE5378" w:rsidRPr="00FE5378" w:rsidRDefault="00FE5378" w:rsidP="006500F5">
            <w:pPr>
              <w:spacing w:before="120" w:after="60"/>
              <w:ind w:right="316"/>
              <w:jc w:val="right"/>
              <w:rPr>
                <w:rFonts w:ascii="Arial" w:hAnsi="Arial" w:cs="Arial"/>
                <w:sz w:val="20"/>
                <w:szCs w:val="20"/>
              </w:rPr>
            </w:pPr>
            <w:r w:rsidRPr="00FE5378">
              <w:rPr>
                <w:rFonts w:ascii="Arial" w:hAnsi="Arial" w:cs="Arial"/>
                <w:sz w:val="20"/>
                <w:szCs w:val="20"/>
              </w:rPr>
              <w:t>13.8</w:t>
            </w:r>
          </w:p>
        </w:tc>
        <w:tc>
          <w:tcPr>
            <w:tcW w:w="1328" w:type="dxa"/>
            <w:shd w:val="clear" w:color="auto" w:fill="auto"/>
            <w:noWrap/>
            <w:vAlign w:val="bottom"/>
            <w:hideMark/>
          </w:tcPr>
          <w:p w14:paraId="38C0BB81" w14:textId="77777777" w:rsidR="00FE5378" w:rsidRPr="00FE5378" w:rsidRDefault="00FE5378" w:rsidP="006500F5">
            <w:pPr>
              <w:spacing w:before="120" w:after="60"/>
              <w:ind w:right="176"/>
              <w:jc w:val="right"/>
              <w:rPr>
                <w:rFonts w:ascii="Arial" w:hAnsi="Arial" w:cs="Arial"/>
                <w:color w:val="FF0000"/>
                <w:sz w:val="20"/>
                <w:szCs w:val="20"/>
              </w:rPr>
            </w:pPr>
            <w:r w:rsidRPr="00FE5378">
              <w:rPr>
                <w:rFonts w:ascii="Arial" w:hAnsi="Arial" w:cs="Arial"/>
                <w:sz w:val="20"/>
                <w:szCs w:val="20"/>
              </w:rPr>
              <w:t>-23.5</w:t>
            </w:r>
          </w:p>
        </w:tc>
      </w:tr>
      <w:tr w:rsidR="00FE5378" w:rsidRPr="00FE5378" w14:paraId="2EE51BAC" w14:textId="77777777" w:rsidTr="00FE5378">
        <w:trPr>
          <w:cantSplit/>
          <w:jc w:val="center"/>
        </w:trPr>
        <w:tc>
          <w:tcPr>
            <w:tcW w:w="3969" w:type="dxa"/>
            <w:shd w:val="clear" w:color="auto" w:fill="auto"/>
            <w:noWrap/>
            <w:vAlign w:val="bottom"/>
            <w:hideMark/>
          </w:tcPr>
          <w:p w14:paraId="19A9E41A" w14:textId="77777777" w:rsidR="00FE5378" w:rsidRPr="00FE5378" w:rsidRDefault="00FE5378" w:rsidP="006500F5">
            <w:pPr>
              <w:spacing w:before="60" w:after="60" w:line="276" w:lineRule="auto"/>
              <w:rPr>
                <w:rFonts w:ascii="Arial" w:hAnsi="Arial" w:cs="Arial"/>
                <w:color w:val="000000"/>
                <w:sz w:val="20"/>
                <w:szCs w:val="20"/>
              </w:rPr>
            </w:pPr>
            <w:r w:rsidRPr="00FE5378">
              <w:rPr>
                <w:rFonts w:ascii="Arial" w:hAnsi="Arial" w:cs="Arial"/>
                <w:color w:val="000000"/>
                <w:sz w:val="20"/>
                <w:szCs w:val="20"/>
              </w:rPr>
              <w:t>3. Construction</w:t>
            </w:r>
          </w:p>
        </w:tc>
        <w:tc>
          <w:tcPr>
            <w:tcW w:w="1134" w:type="dxa"/>
            <w:shd w:val="clear" w:color="auto" w:fill="auto"/>
            <w:noWrap/>
            <w:vAlign w:val="bottom"/>
            <w:hideMark/>
          </w:tcPr>
          <w:p w14:paraId="25A078C3" w14:textId="77777777" w:rsidR="00FE5378" w:rsidRPr="00FE5378" w:rsidRDefault="00FE5378" w:rsidP="006500F5">
            <w:pPr>
              <w:spacing w:before="120" w:after="60"/>
              <w:ind w:right="176"/>
              <w:jc w:val="right"/>
              <w:rPr>
                <w:rFonts w:ascii="Arial" w:hAnsi="Arial" w:cs="Arial"/>
                <w:color w:val="000000"/>
                <w:sz w:val="20"/>
                <w:szCs w:val="20"/>
              </w:rPr>
            </w:pPr>
            <w:r w:rsidRPr="00FE5378">
              <w:rPr>
                <w:rFonts w:ascii="Arial" w:hAnsi="Arial" w:cs="Arial"/>
                <w:color w:val="000000"/>
                <w:sz w:val="20"/>
                <w:szCs w:val="20"/>
              </w:rPr>
              <w:t>2,327</w:t>
            </w:r>
          </w:p>
        </w:tc>
        <w:tc>
          <w:tcPr>
            <w:tcW w:w="1323" w:type="dxa"/>
            <w:shd w:val="clear" w:color="auto" w:fill="auto"/>
            <w:noWrap/>
            <w:vAlign w:val="bottom"/>
            <w:hideMark/>
          </w:tcPr>
          <w:p w14:paraId="184596FA" w14:textId="77777777" w:rsidR="00FE5378" w:rsidRPr="00FE5378" w:rsidRDefault="00FE5378" w:rsidP="006500F5">
            <w:pPr>
              <w:spacing w:before="120" w:after="60"/>
              <w:ind w:right="176"/>
              <w:jc w:val="right"/>
              <w:rPr>
                <w:rFonts w:ascii="Arial" w:hAnsi="Arial" w:cs="Arial"/>
                <w:sz w:val="20"/>
                <w:szCs w:val="20"/>
              </w:rPr>
            </w:pPr>
            <w:r w:rsidRPr="00FE5378">
              <w:rPr>
                <w:rFonts w:ascii="Arial" w:hAnsi="Arial" w:cs="Arial"/>
                <w:sz w:val="20"/>
                <w:szCs w:val="20"/>
              </w:rPr>
              <w:t>291</w:t>
            </w:r>
          </w:p>
        </w:tc>
        <w:tc>
          <w:tcPr>
            <w:tcW w:w="1229" w:type="dxa"/>
            <w:shd w:val="clear" w:color="auto" w:fill="auto"/>
            <w:noWrap/>
            <w:vAlign w:val="bottom"/>
            <w:hideMark/>
          </w:tcPr>
          <w:p w14:paraId="40BDA8E5" w14:textId="77777777" w:rsidR="00FE5378" w:rsidRPr="00FE5378" w:rsidRDefault="00FE5378" w:rsidP="006500F5">
            <w:pPr>
              <w:spacing w:before="120" w:after="60"/>
              <w:ind w:right="316"/>
              <w:jc w:val="right"/>
              <w:rPr>
                <w:rFonts w:ascii="Arial" w:hAnsi="Arial" w:cs="Arial"/>
                <w:color w:val="FF0000"/>
                <w:sz w:val="20"/>
                <w:szCs w:val="20"/>
              </w:rPr>
            </w:pPr>
            <w:r w:rsidRPr="00FE5378">
              <w:rPr>
                <w:rFonts w:ascii="Arial" w:hAnsi="Arial" w:cs="Arial"/>
                <w:sz w:val="20"/>
                <w:szCs w:val="20"/>
              </w:rPr>
              <w:t>4.3</w:t>
            </w:r>
          </w:p>
        </w:tc>
        <w:tc>
          <w:tcPr>
            <w:tcW w:w="1328" w:type="dxa"/>
            <w:shd w:val="clear" w:color="auto" w:fill="auto"/>
            <w:noWrap/>
            <w:vAlign w:val="bottom"/>
            <w:hideMark/>
          </w:tcPr>
          <w:p w14:paraId="47053C3F" w14:textId="77777777" w:rsidR="00FE5378" w:rsidRPr="00FE5378" w:rsidRDefault="00FE5378" w:rsidP="006500F5">
            <w:pPr>
              <w:spacing w:before="120" w:after="60"/>
              <w:ind w:right="176"/>
              <w:jc w:val="right"/>
              <w:rPr>
                <w:rFonts w:ascii="Arial" w:hAnsi="Arial" w:cs="Arial"/>
                <w:sz w:val="20"/>
                <w:szCs w:val="20"/>
              </w:rPr>
            </w:pPr>
            <w:r w:rsidRPr="00FE5378">
              <w:rPr>
                <w:rFonts w:ascii="Arial" w:hAnsi="Arial" w:cs="Arial"/>
                <w:sz w:val="20"/>
                <w:szCs w:val="20"/>
              </w:rPr>
              <w:t>-4.6</w:t>
            </w:r>
          </w:p>
        </w:tc>
      </w:tr>
      <w:tr w:rsidR="00FE5378" w:rsidRPr="00FE5378" w14:paraId="24A4EA9B" w14:textId="77777777" w:rsidTr="00FE5378">
        <w:trPr>
          <w:cantSplit/>
          <w:jc w:val="center"/>
        </w:trPr>
        <w:tc>
          <w:tcPr>
            <w:tcW w:w="3969" w:type="dxa"/>
            <w:shd w:val="clear" w:color="auto" w:fill="auto"/>
            <w:noWrap/>
            <w:vAlign w:val="bottom"/>
            <w:hideMark/>
          </w:tcPr>
          <w:p w14:paraId="266366B5" w14:textId="77777777" w:rsidR="00FE5378" w:rsidRPr="00FE5378" w:rsidRDefault="00FE5378" w:rsidP="006500F5">
            <w:pPr>
              <w:spacing w:before="60" w:after="60" w:line="276" w:lineRule="auto"/>
              <w:rPr>
                <w:rFonts w:ascii="Arial" w:hAnsi="Arial" w:cs="Arial"/>
                <w:color w:val="000000"/>
                <w:sz w:val="20"/>
                <w:szCs w:val="20"/>
              </w:rPr>
            </w:pPr>
            <w:r w:rsidRPr="00FE5378">
              <w:rPr>
                <w:rFonts w:ascii="Arial" w:hAnsi="Arial" w:cs="Arial"/>
                <w:color w:val="000000"/>
                <w:sz w:val="20"/>
                <w:szCs w:val="20"/>
              </w:rPr>
              <w:t>4. Real estate business</w:t>
            </w:r>
          </w:p>
        </w:tc>
        <w:tc>
          <w:tcPr>
            <w:tcW w:w="1134" w:type="dxa"/>
            <w:shd w:val="clear" w:color="auto" w:fill="auto"/>
            <w:noWrap/>
            <w:vAlign w:val="bottom"/>
            <w:hideMark/>
          </w:tcPr>
          <w:p w14:paraId="4E6803B2" w14:textId="77777777" w:rsidR="00FE5378" w:rsidRPr="00FE5378" w:rsidRDefault="00FE5378" w:rsidP="006500F5">
            <w:pPr>
              <w:spacing w:before="120" w:after="60"/>
              <w:ind w:right="176"/>
              <w:jc w:val="right"/>
              <w:rPr>
                <w:rFonts w:ascii="Arial" w:hAnsi="Arial" w:cs="Arial"/>
                <w:sz w:val="20"/>
                <w:szCs w:val="20"/>
              </w:rPr>
            </w:pPr>
            <w:r w:rsidRPr="00FE5378">
              <w:rPr>
                <w:rFonts w:ascii="Arial" w:hAnsi="Arial" w:cs="Arial"/>
                <w:sz w:val="20"/>
                <w:szCs w:val="20"/>
              </w:rPr>
              <w:t>1,463</w:t>
            </w:r>
          </w:p>
        </w:tc>
        <w:tc>
          <w:tcPr>
            <w:tcW w:w="1323" w:type="dxa"/>
            <w:shd w:val="clear" w:color="auto" w:fill="auto"/>
            <w:noWrap/>
            <w:vAlign w:val="bottom"/>
            <w:hideMark/>
          </w:tcPr>
          <w:p w14:paraId="0762AA9F" w14:textId="77777777" w:rsidR="00FE5378" w:rsidRPr="00FE5378" w:rsidRDefault="00FE5378" w:rsidP="006500F5">
            <w:pPr>
              <w:spacing w:before="120" w:after="60"/>
              <w:ind w:right="176"/>
              <w:jc w:val="right"/>
              <w:rPr>
                <w:rFonts w:ascii="Arial" w:hAnsi="Arial" w:cs="Arial"/>
                <w:sz w:val="20"/>
                <w:szCs w:val="20"/>
              </w:rPr>
            </w:pPr>
            <w:r w:rsidRPr="00FE5378">
              <w:rPr>
                <w:rFonts w:ascii="Arial" w:hAnsi="Arial" w:cs="Arial"/>
                <w:sz w:val="20"/>
                <w:szCs w:val="20"/>
              </w:rPr>
              <w:t>196</w:t>
            </w:r>
          </w:p>
        </w:tc>
        <w:tc>
          <w:tcPr>
            <w:tcW w:w="1229" w:type="dxa"/>
            <w:shd w:val="clear" w:color="auto" w:fill="auto"/>
            <w:noWrap/>
            <w:vAlign w:val="bottom"/>
            <w:hideMark/>
          </w:tcPr>
          <w:p w14:paraId="6F3838E7" w14:textId="77777777" w:rsidR="00FE5378" w:rsidRPr="00FE5378" w:rsidRDefault="00FE5378" w:rsidP="006500F5">
            <w:pPr>
              <w:spacing w:before="120" w:after="60"/>
              <w:ind w:right="316"/>
              <w:jc w:val="right"/>
              <w:rPr>
                <w:rFonts w:ascii="Arial" w:hAnsi="Arial" w:cs="Arial"/>
                <w:color w:val="000000"/>
                <w:sz w:val="20"/>
                <w:szCs w:val="20"/>
              </w:rPr>
            </w:pPr>
            <w:r w:rsidRPr="00FE5378">
              <w:rPr>
                <w:rFonts w:ascii="Arial" w:hAnsi="Arial" w:cs="Arial"/>
                <w:color w:val="000000"/>
                <w:sz w:val="20"/>
                <w:szCs w:val="20"/>
              </w:rPr>
              <w:t>38.4</w:t>
            </w:r>
          </w:p>
        </w:tc>
        <w:tc>
          <w:tcPr>
            <w:tcW w:w="1328" w:type="dxa"/>
            <w:shd w:val="clear" w:color="auto" w:fill="auto"/>
            <w:noWrap/>
            <w:vAlign w:val="bottom"/>
            <w:hideMark/>
          </w:tcPr>
          <w:p w14:paraId="5AEBD706" w14:textId="77777777" w:rsidR="00FE5378" w:rsidRPr="00FE5378" w:rsidRDefault="00FE5378" w:rsidP="006500F5">
            <w:pPr>
              <w:spacing w:before="120" w:after="60"/>
              <w:ind w:right="176"/>
              <w:jc w:val="right"/>
              <w:rPr>
                <w:rFonts w:ascii="Arial" w:hAnsi="Arial" w:cs="Arial"/>
                <w:sz w:val="20"/>
                <w:szCs w:val="20"/>
              </w:rPr>
            </w:pPr>
            <w:r w:rsidRPr="00FE5378">
              <w:rPr>
                <w:rFonts w:ascii="Arial" w:hAnsi="Arial" w:cs="Arial"/>
                <w:sz w:val="20"/>
                <w:szCs w:val="20"/>
              </w:rPr>
              <w:t>17.4</w:t>
            </w:r>
          </w:p>
        </w:tc>
      </w:tr>
      <w:tr w:rsidR="00FE5378" w:rsidRPr="00FE5378" w14:paraId="78559BDC" w14:textId="77777777" w:rsidTr="00FE5378">
        <w:trPr>
          <w:cantSplit/>
          <w:jc w:val="center"/>
        </w:trPr>
        <w:tc>
          <w:tcPr>
            <w:tcW w:w="3969" w:type="dxa"/>
            <w:shd w:val="clear" w:color="auto" w:fill="auto"/>
            <w:noWrap/>
            <w:vAlign w:val="bottom"/>
            <w:hideMark/>
          </w:tcPr>
          <w:p w14:paraId="65C90596" w14:textId="77777777" w:rsidR="00FE5378" w:rsidRPr="00FE5378" w:rsidRDefault="00FE5378" w:rsidP="006500F5">
            <w:pPr>
              <w:spacing w:before="60" w:after="60" w:line="276" w:lineRule="auto"/>
              <w:rPr>
                <w:rFonts w:ascii="Arial" w:hAnsi="Arial" w:cs="Arial"/>
                <w:color w:val="000000"/>
                <w:sz w:val="20"/>
                <w:szCs w:val="20"/>
              </w:rPr>
            </w:pPr>
            <w:r w:rsidRPr="00FE5378">
              <w:rPr>
                <w:rFonts w:ascii="Arial" w:hAnsi="Arial" w:cs="Arial"/>
                <w:color w:val="000000"/>
                <w:sz w:val="20"/>
                <w:szCs w:val="20"/>
              </w:rPr>
              <w:t>5. Transportation and storage</w:t>
            </w:r>
          </w:p>
        </w:tc>
        <w:tc>
          <w:tcPr>
            <w:tcW w:w="1134" w:type="dxa"/>
            <w:shd w:val="clear" w:color="auto" w:fill="auto"/>
            <w:noWrap/>
            <w:vAlign w:val="bottom"/>
            <w:hideMark/>
          </w:tcPr>
          <w:p w14:paraId="6BE83E0E" w14:textId="77777777" w:rsidR="00FE5378" w:rsidRPr="00FE5378" w:rsidRDefault="00FE5378" w:rsidP="006500F5">
            <w:pPr>
              <w:spacing w:before="120" w:after="60"/>
              <w:ind w:right="176"/>
              <w:jc w:val="right"/>
              <w:rPr>
                <w:rFonts w:ascii="Arial" w:hAnsi="Arial" w:cs="Arial"/>
                <w:sz w:val="20"/>
                <w:szCs w:val="20"/>
              </w:rPr>
            </w:pPr>
            <w:r w:rsidRPr="00FE5378">
              <w:rPr>
                <w:rFonts w:ascii="Arial" w:hAnsi="Arial" w:cs="Arial"/>
                <w:sz w:val="20"/>
                <w:szCs w:val="20"/>
              </w:rPr>
              <w:t>1,085</w:t>
            </w:r>
          </w:p>
        </w:tc>
        <w:tc>
          <w:tcPr>
            <w:tcW w:w="1323" w:type="dxa"/>
            <w:shd w:val="clear" w:color="auto" w:fill="auto"/>
            <w:noWrap/>
            <w:vAlign w:val="bottom"/>
            <w:hideMark/>
          </w:tcPr>
          <w:p w14:paraId="47A194E0" w14:textId="77777777" w:rsidR="00FE5378" w:rsidRPr="00FE5378" w:rsidRDefault="00FE5378" w:rsidP="006500F5">
            <w:pPr>
              <w:spacing w:before="120" w:after="60"/>
              <w:ind w:right="176"/>
              <w:jc w:val="right"/>
              <w:rPr>
                <w:rFonts w:ascii="Arial" w:hAnsi="Arial" w:cs="Arial"/>
                <w:sz w:val="20"/>
                <w:szCs w:val="20"/>
              </w:rPr>
            </w:pPr>
            <w:r w:rsidRPr="00FE5378">
              <w:rPr>
                <w:rFonts w:ascii="Arial" w:hAnsi="Arial" w:cs="Arial"/>
                <w:sz w:val="20"/>
                <w:szCs w:val="20"/>
              </w:rPr>
              <w:t>138</w:t>
            </w:r>
          </w:p>
        </w:tc>
        <w:tc>
          <w:tcPr>
            <w:tcW w:w="1229" w:type="dxa"/>
            <w:shd w:val="clear" w:color="auto" w:fill="auto"/>
            <w:noWrap/>
            <w:vAlign w:val="bottom"/>
            <w:hideMark/>
          </w:tcPr>
          <w:p w14:paraId="1CD91D89" w14:textId="77777777" w:rsidR="00FE5378" w:rsidRPr="00FE5378" w:rsidRDefault="00FE5378" w:rsidP="006500F5">
            <w:pPr>
              <w:spacing w:before="120" w:after="60"/>
              <w:ind w:right="316"/>
              <w:jc w:val="right"/>
              <w:rPr>
                <w:rFonts w:ascii="Arial" w:hAnsi="Arial" w:cs="Arial"/>
                <w:color w:val="000000"/>
                <w:sz w:val="20"/>
                <w:szCs w:val="20"/>
              </w:rPr>
            </w:pPr>
            <w:r w:rsidRPr="00FE5378">
              <w:rPr>
                <w:rFonts w:ascii="Arial" w:hAnsi="Arial" w:cs="Arial"/>
                <w:color w:val="000000"/>
                <w:sz w:val="20"/>
                <w:szCs w:val="20"/>
              </w:rPr>
              <w:t>33.0</w:t>
            </w:r>
          </w:p>
        </w:tc>
        <w:tc>
          <w:tcPr>
            <w:tcW w:w="1328" w:type="dxa"/>
            <w:shd w:val="clear" w:color="auto" w:fill="auto"/>
            <w:noWrap/>
            <w:vAlign w:val="bottom"/>
            <w:hideMark/>
          </w:tcPr>
          <w:p w14:paraId="504EC12C" w14:textId="77777777" w:rsidR="00FE5378" w:rsidRPr="00FE5378" w:rsidRDefault="00FE5378" w:rsidP="006500F5">
            <w:pPr>
              <w:spacing w:before="120" w:after="60"/>
              <w:ind w:right="176"/>
              <w:jc w:val="right"/>
              <w:rPr>
                <w:rFonts w:ascii="Arial" w:hAnsi="Arial" w:cs="Arial"/>
                <w:sz w:val="20"/>
                <w:szCs w:val="20"/>
              </w:rPr>
            </w:pPr>
            <w:r w:rsidRPr="00FE5378">
              <w:rPr>
                <w:rFonts w:ascii="Arial" w:hAnsi="Arial" w:cs="Arial"/>
                <w:sz w:val="20"/>
                <w:szCs w:val="20"/>
              </w:rPr>
              <w:t>-17.4</w:t>
            </w:r>
          </w:p>
        </w:tc>
      </w:tr>
      <w:tr w:rsidR="00FE5378" w:rsidRPr="00FE5378" w14:paraId="6FF305B9" w14:textId="77777777" w:rsidTr="00FE5378">
        <w:trPr>
          <w:cantSplit/>
          <w:jc w:val="center"/>
        </w:trPr>
        <w:tc>
          <w:tcPr>
            <w:tcW w:w="3969" w:type="dxa"/>
            <w:shd w:val="clear" w:color="auto" w:fill="auto"/>
            <w:noWrap/>
            <w:vAlign w:val="bottom"/>
            <w:hideMark/>
          </w:tcPr>
          <w:p w14:paraId="07492FD3" w14:textId="77777777" w:rsidR="00FE5378" w:rsidRPr="00FE5378" w:rsidRDefault="00FE5378" w:rsidP="006500F5">
            <w:pPr>
              <w:spacing w:before="60" w:after="60" w:line="276" w:lineRule="auto"/>
              <w:rPr>
                <w:rFonts w:ascii="Arial" w:hAnsi="Arial" w:cs="Arial"/>
                <w:color w:val="000000"/>
                <w:sz w:val="20"/>
                <w:szCs w:val="20"/>
              </w:rPr>
            </w:pPr>
            <w:r w:rsidRPr="00FE5378">
              <w:rPr>
                <w:rFonts w:ascii="Arial" w:hAnsi="Arial" w:cs="Arial"/>
                <w:color w:val="000000"/>
                <w:sz w:val="20"/>
                <w:szCs w:val="20"/>
              </w:rPr>
              <w:t>6. Accommodation and catering service</w:t>
            </w:r>
          </w:p>
        </w:tc>
        <w:tc>
          <w:tcPr>
            <w:tcW w:w="1134" w:type="dxa"/>
            <w:shd w:val="clear" w:color="auto" w:fill="auto"/>
            <w:noWrap/>
            <w:vAlign w:val="bottom"/>
            <w:hideMark/>
          </w:tcPr>
          <w:p w14:paraId="1DBC7085" w14:textId="77777777" w:rsidR="00FE5378" w:rsidRPr="00FE5378" w:rsidRDefault="00FE5378" w:rsidP="006500F5">
            <w:pPr>
              <w:spacing w:before="120" w:after="60"/>
              <w:ind w:right="176"/>
              <w:jc w:val="right"/>
              <w:rPr>
                <w:rFonts w:ascii="Arial" w:hAnsi="Arial" w:cs="Arial"/>
                <w:sz w:val="20"/>
                <w:szCs w:val="20"/>
              </w:rPr>
            </w:pPr>
            <w:r w:rsidRPr="00FE5378">
              <w:rPr>
                <w:rFonts w:ascii="Arial" w:hAnsi="Arial" w:cs="Arial"/>
                <w:sz w:val="20"/>
                <w:szCs w:val="20"/>
              </w:rPr>
              <w:t>805</w:t>
            </w:r>
          </w:p>
        </w:tc>
        <w:tc>
          <w:tcPr>
            <w:tcW w:w="1323" w:type="dxa"/>
            <w:shd w:val="clear" w:color="auto" w:fill="auto"/>
            <w:noWrap/>
            <w:vAlign w:val="bottom"/>
            <w:hideMark/>
          </w:tcPr>
          <w:p w14:paraId="61356100" w14:textId="77777777" w:rsidR="00FE5378" w:rsidRPr="00FE5378" w:rsidRDefault="00FE5378" w:rsidP="006500F5">
            <w:pPr>
              <w:spacing w:before="120" w:after="60"/>
              <w:ind w:right="176"/>
              <w:jc w:val="right"/>
              <w:rPr>
                <w:rFonts w:ascii="Arial" w:hAnsi="Arial" w:cs="Arial"/>
                <w:sz w:val="20"/>
                <w:szCs w:val="20"/>
              </w:rPr>
            </w:pPr>
            <w:r w:rsidRPr="00FE5378">
              <w:rPr>
                <w:rFonts w:ascii="Arial" w:hAnsi="Arial" w:cs="Arial"/>
                <w:sz w:val="20"/>
                <w:szCs w:val="20"/>
              </w:rPr>
              <w:t>165</w:t>
            </w:r>
          </w:p>
        </w:tc>
        <w:tc>
          <w:tcPr>
            <w:tcW w:w="1229" w:type="dxa"/>
            <w:shd w:val="clear" w:color="auto" w:fill="auto"/>
            <w:noWrap/>
            <w:vAlign w:val="bottom"/>
            <w:hideMark/>
          </w:tcPr>
          <w:p w14:paraId="57D7302A" w14:textId="77777777" w:rsidR="00FE5378" w:rsidRPr="00FE5378" w:rsidRDefault="00FE5378" w:rsidP="006500F5">
            <w:pPr>
              <w:spacing w:before="120" w:after="60"/>
              <w:ind w:right="316"/>
              <w:jc w:val="right"/>
              <w:rPr>
                <w:rFonts w:ascii="Arial" w:hAnsi="Arial" w:cs="Arial"/>
                <w:color w:val="000000"/>
                <w:sz w:val="20"/>
                <w:szCs w:val="20"/>
              </w:rPr>
            </w:pPr>
            <w:r w:rsidRPr="00FE5378">
              <w:rPr>
                <w:rFonts w:ascii="Arial" w:hAnsi="Arial" w:cs="Arial"/>
                <w:color w:val="000000"/>
                <w:sz w:val="20"/>
                <w:szCs w:val="20"/>
              </w:rPr>
              <w:t>10.3</w:t>
            </w:r>
          </w:p>
        </w:tc>
        <w:tc>
          <w:tcPr>
            <w:tcW w:w="1328" w:type="dxa"/>
            <w:shd w:val="clear" w:color="auto" w:fill="auto"/>
            <w:noWrap/>
            <w:vAlign w:val="bottom"/>
            <w:hideMark/>
          </w:tcPr>
          <w:p w14:paraId="755F9C10" w14:textId="77777777" w:rsidR="00FE5378" w:rsidRPr="00FE5378" w:rsidRDefault="00FE5378" w:rsidP="006500F5">
            <w:pPr>
              <w:spacing w:before="120" w:after="60"/>
              <w:ind w:right="176"/>
              <w:jc w:val="right"/>
              <w:rPr>
                <w:rFonts w:ascii="Arial" w:hAnsi="Arial" w:cs="Arial"/>
                <w:sz w:val="20"/>
                <w:szCs w:val="20"/>
              </w:rPr>
            </w:pPr>
            <w:r w:rsidRPr="00FE5378">
              <w:rPr>
                <w:rFonts w:ascii="Arial" w:hAnsi="Arial" w:cs="Arial"/>
                <w:sz w:val="20"/>
                <w:szCs w:val="20"/>
              </w:rPr>
              <w:t>-17.1</w:t>
            </w:r>
          </w:p>
        </w:tc>
      </w:tr>
      <w:tr w:rsidR="00FE5378" w:rsidRPr="00FE5378" w14:paraId="1B030B95" w14:textId="77777777" w:rsidTr="00FE5378">
        <w:trPr>
          <w:cantSplit/>
          <w:jc w:val="center"/>
        </w:trPr>
        <w:tc>
          <w:tcPr>
            <w:tcW w:w="3969" w:type="dxa"/>
            <w:tcBorders>
              <w:bottom w:val="single" w:sz="4" w:space="0" w:color="auto"/>
            </w:tcBorders>
            <w:shd w:val="clear" w:color="auto" w:fill="auto"/>
            <w:noWrap/>
            <w:vAlign w:val="bottom"/>
          </w:tcPr>
          <w:p w14:paraId="592F8A68" w14:textId="77777777" w:rsidR="00FE5378" w:rsidRPr="00FE5378" w:rsidRDefault="00FE5378" w:rsidP="006500F5">
            <w:pPr>
              <w:spacing w:before="60" w:after="60" w:line="276" w:lineRule="auto"/>
              <w:rPr>
                <w:rFonts w:ascii="Arial" w:hAnsi="Arial" w:cs="Arial"/>
                <w:color w:val="000000"/>
                <w:sz w:val="20"/>
                <w:szCs w:val="20"/>
              </w:rPr>
            </w:pPr>
            <w:r w:rsidRPr="00FE5378">
              <w:rPr>
                <w:rFonts w:ascii="Arial" w:hAnsi="Arial" w:cs="Arial"/>
                <w:color w:val="000000"/>
                <w:sz w:val="20"/>
                <w:szCs w:val="20"/>
              </w:rPr>
              <w:t>7. Production and distribution of electricity, water, gas</w:t>
            </w:r>
          </w:p>
        </w:tc>
        <w:tc>
          <w:tcPr>
            <w:tcW w:w="1134" w:type="dxa"/>
            <w:tcBorders>
              <w:bottom w:val="single" w:sz="4" w:space="0" w:color="auto"/>
            </w:tcBorders>
            <w:shd w:val="clear" w:color="auto" w:fill="auto"/>
            <w:noWrap/>
            <w:vAlign w:val="bottom"/>
          </w:tcPr>
          <w:p w14:paraId="0FDDAFE5" w14:textId="77777777" w:rsidR="00FE5378" w:rsidRPr="00FE5378" w:rsidRDefault="00FE5378" w:rsidP="006500F5">
            <w:pPr>
              <w:spacing w:before="120" w:after="60"/>
              <w:ind w:right="176"/>
              <w:jc w:val="right"/>
              <w:rPr>
                <w:rFonts w:ascii="Arial" w:hAnsi="Arial" w:cs="Arial"/>
                <w:sz w:val="20"/>
                <w:szCs w:val="20"/>
              </w:rPr>
            </w:pPr>
            <w:r w:rsidRPr="00FE5378">
              <w:rPr>
                <w:rFonts w:ascii="Arial" w:hAnsi="Arial" w:cs="Arial"/>
                <w:sz w:val="20"/>
                <w:szCs w:val="20"/>
              </w:rPr>
              <w:t>156</w:t>
            </w:r>
          </w:p>
        </w:tc>
        <w:tc>
          <w:tcPr>
            <w:tcW w:w="1323" w:type="dxa"/>
            <w:tcBorders>
              <w:bottom w:val="single" w:sz="4" w:space="0" w:color="auto"/>
            </w:tcBorders>
            <w:shd w:val="clear" w:color="auto" w:fill="auto"/>
            <w:noWrap/>
            <w:vAlign w:val="bottom"/>
          </w:tcPr>
          <w:p w14:paraId="46B19E30" w14:textId="77777777" w:rsidR="00FE5378" w:rsidRPr="00FE5378" w:rsidRDefault="00FE5378" w:rsidP="006500F5">
            <w:pPr>
              <w:spacing w:before="120" w:after="60"/>
              <w:ind w:right="176"/>
              <w:jc w:val="right"/>
              <w:rPr>
                <w:rFonts w:ascii="Arial" w:hAnsi="Arial" w:cs="Arial"/>
                <w:sz w:val="20"/>
                <w:szCs w:val="20"/>
              </w:rPr>
            </w:pPr>
            <w:r w:rsidRPr="00FE5378">
              <w:rPr>
                <w:rFonts w:ascii="Arial" w:hAnsi="Arial" w:cs="Arial"/>
                <w:sz w:val="20"/>
                <w:szCs w:val="20"/>
              </w:rPr>
              <w:t>83</w:t>
            </w:r>
          </w:p>
        </w:tc>
        <w:tc>
          <w:tcPr>
            <w:tcW w:w="1229" w:type="dxa"/>
            <w:tcBorders>
              <w:bottom w:val="single" w:sz="4" w:space="0" w:color="auto"/>
            </w:tcBorders>
            <w:shd w:val="clear" w:color="auto" w:fill="auto"/>
            <w:noWrap/>
            <w:vAlign w:val="bottom"/>
          </w:tcPr>
          <w:p w14:paraId="270E618B" w14:textId="77777777" w:rsidR="00FE5378" w:rsidRPr="00FE5378" w:rsidRDefault="00FE5378" w:rsidP="006500F5">
            <w:pPr>
              <w:spacing w:before="120" w:after="60"/>
              <w:ind w:right="316"/>
              <w:jc w:val="right"/>
              <w:rPr>
                <w:rFonts w:ascii="Arial" w:hAnsi="Arial" w:cs="Arial"/>
                <w:color w:val="000000"/>
                <w:sz w:val="20"/>
                <w:szCs w:val="20"/>
              </w:rPr>
            </w:pPr>
            <w:r w:rsidRPr="00FE5378">
              <w:rPr>
                <w:rFonts w:ascii="Arial" w:hAnsi="Arial" w:cs="Arial"/>
                <w:color w:val="000000"/>
                <w:sz w:val="20"/>
                <w:szCs w:val="20"/>
              </w:rPr>
              <w:t>-46.9</w:t>
            </w:r>
          </w:p>
        </w:tc>
        <w:tc>
          <w:tcPr>
            <w:tcW w:w="1328" w:type="dxa"/>
            <w:tcBorders>
              <w:bottom w:val="single" w:sz="4" w:space="0" w:color="auto"/>
            </w:tcBorders>
            <w:shd w:val="clear" w:color="auto" w:fill="auto"/>
            <w:noWrap/>
            <w:vAlign w:val="bottom"/>
          </w:tcPr>
          <w:p w14:paraId="6DC0DD9F" w14:textId="77777777" w:rsidR="00FE5378" w:rsidRPr="00FE5378" w:rsidRDefault="00FE5378" w:rsidP="006500F5">
            <w:pPr>
              <w:spacing w:before="120" w:after="60"/>
              <w:ind w:right="176"/>
              <w:jc w:val="right"/>
              <w:rPr>
                <w:rFonts w:ascii="Arial" w:hAnsi="Arial" w:cs="Arial"/>
                <w:color w:val="000000"/>
                <w:sz w:val="20"/>
                <w:szCs w:val="20"/>
              </w:rPr>
            </w:pPr>
            <w:r w:rsidRPr="00FE5378">
              <w:rPr>
                <w:rFonts w:ascii="Arial" w:hAnsi="Arial" w:cs="Arial"/>
                <w:color w:val="000000"/>
                <w:sz w:val="20"/>
                <w:szCs w:val="20"/>
              </w:rPr>
              <w:t>3.8</w:t>
            </w:r>
          </w:p>
        </w:tc>
      </w:tr>
    </w:tbl>
    <w:p w14:paraId="75CA6C77" w14:textId="77777777" w:rsidR="00FE5378" w:rsidRPr="00387E47" w:rsidRDefault="00FE5378" w:rsidP="007E5900">
      <w:pPr>
        <w:tabs>
          <w:tab w:val="left" w:pos="6810"/>
        </w:tabs>
        <w:spacing w:before="40" w:after="40" w:line="276" w:lineRule="auto"/>
        <w:ind w:firstLine="567"/>
        <w:jc w:val="center"/>
        <w:rPr>
          <w:b/>
          <w:sz w:val="24"/>
          <w:szCs w:val="20"/>
          <w:lang w:val="it-IT"/>
        </w:rPr>
      </w:pPr>
    </w:p>
    <w:p w14:paraId="5FCA7307" w14:textId="77777777" w:rsidR="00092656" w:rsidRPr="006B032F" w:rsidRDefault="00092656" w:rsidP="00092656">
      <w:pPr>
        <w:tabs>
          <w:tab w:val="left" w:pos="6810"/>
        </w:tabs>
        <w:spacing w:before="40" w:after="40" w:line="278" w:lineRule="auto"/>
        <w:ind w:firstLine="567"/>
        <w:jc w:val="center"/>
        <w:rPr>
          <w:rFonts w:ascii="Arial" w:hAnsi="Arial" w:cs="Arial"/>
          <w:b/>
          <w:sz w:val="4"/>
          <w:szCs w:val="20"/>
          <w:lang w:val="it-IT"/>
        </w:rPr>
      </w:pPr>
    </w:p>
    <w:p w14:paraId="24187411" w14:textId="574813B5" w:rsidR="006D3FDB" w:rsidRPr="002A6C59" w:rsidRDefault="006D3FDB" w:rsidP="002A6C59">
      <w:pPr>
        <w:spacing w:before="40" w:after="40" w:line="276" w:lineRule="auto"/>
        <w:ind w:firstLine="567"/>
        <w:rPr>
          <w:b/>
          <w:bCs/>
          <w:lang w:val="af-ZA"/>
        </w:rPr>
      </w:pPr>
      <w:r w:rsidRPr="002A6C59">
        <w:rPr>
          <w:b/>
          <w:bCs/>
          <w:lang w:val="af-ZA"/>
        </w:rPr>
        <w:t xml:space="preserve">4. </w:t>
      </w:r>
      <w:r w:rsidR="000D4113" w:rsidRPr="000D4113">
        <w:rPr>
          <w:b/>
          <w:bCs/>
          <w:lang w:val="af-ZA"/>
        </w:rPr>
        <w:t>Investment</w:t>
      </w:r>
    </w:p>
    <w:p w14:paraId="180D970B" w14:textId="77777777" w:rsidR="003073BF" w:rsidRPr="002A6C59" w:rsidRDefault="003073BF" w:rsidP="003073BF">
      <w:pPr>
        <w:spacing w:before="40" w:after="40" w:line="286" w:lineRule="auto"/>
        <w:ind w:firstLine="567"/>
        <w:jc w:val="both"/>
        <w:rPr>
          <w:i/>
          <w:spacing w:val="-2"/>
          <w:lang w:val="it-IT"/>
        </w:rPr>
      </w:pPr>
      <w:r>
        <w:rPr>
          <w:i/>
          <w:iCs/>
          <w:color w:val="000000"/>
        </w:rPr>
        <w:t xml:space="preserve">The </w:t>
      </w:r>
      <w:r w:rsidRPr="00AE50B3">
        <w:rPr>
          <w:i/>
          <w:iCs/>
          <w:color w:val="000000"/>
        </w:rPr>
        <w:t xml:space="preserve">Lunar New Year holiday </w:t>
      </w:r>
      <w:r>
        <w:rPr>
          <w:i/>
          <w:iCs/>
          <w:color w:val="000000"/>
        </w:rPr>
        <w:t xml:space="preserve">was in </w:t>
      </w:r>
      <w:r w:rsidRPr="00AE50B3">
        <w:rPr>
          <w:i/>
          <w:iCs/>
          <w:color w:val="000000"/>
        </w:rPr>
        <w:t xml:space="preserve">February </w:t>
      </w:r>
      <w:r>
        <w:rPr>
          <w:i/>
          <w:iCs/>
          <w:color w:val="000000"/>
        </w:rPr>
        <w:t>in 2022,</w:t>
      </w:r>
      <w:r w:rsidRPr="00AE50B3">
        <w:rPr>
          <w:i/>
          <w:iCs/>
          <w:color w:val="000000"/>
        </w:rPr>
        <w:t xml:space="preserve"> </w:t>
      </w:r>
      <w:r>
        <w:rPr>
          <w:i/>
          <w:iCs/>
          <w:color w:val="000000"/>
        </w:rPr>
        <w:t>a</w:t>
      </w:r>
      <w:r w:rsidRPr="00AE50B3">
        <w:rPr>
          <w:i/>
          <w:iCs/>
          <w:color w:val="000000"/>
        </w:rPr>
        <w:t xml:space="preserve">t the same time, investors and contractors mainly </w:t>
      </w:r>
      <w:r>
        <w:rPr>
          <w:i/>
          <w:iCs/>
          <w:color w:val="000000"/>
        </w:rPr>
        <w:t>focused</w:t>
      </w:r>
      <w:r w:rsidRPr="00AE50B3">
        <w:rPr>
          <w:i/>
          <w:iCs/>
          <w:color w:val="000000"/>
        </w:rPr>
        <w:t xml:space="preserve"> </w:t>
      </w:r>
      <w:r w:rsidRPr="005F364C">
        <w:rPr>
          <w:i/>
          <w:lang w:val="it-IT"/>
        </w:rPr>
        <w:t>mainly on the allocation of capital plan in 2022</w:t>
      </w:r>
      <w:r>
        <w:rPr>
          <w:i/>
          <w:iCs/>
          <w:color w:val="000000"/>
        </w:rPr>
        <w:t xml:space="preserve">. </w:t>
      </w:r>
      <w:r w:rsidRPr="008379A2">
        <w:rPr>
          <w:i/>
          <w:iCs/>
          <w:color w:val="000000"/>
        </w:rPr>
        <w:t xml:space="preserve">New projects to be allocated capital in 2022 are in the process of complete procedures and investment preparation documents, so the volume of implementation </w:t>
      </w:r>
      <w:r>
        <w:rPr>
          <w:i/>
          <w:iCs/>
          <w:color w:val="000000"/>
        </w:rPr>
        <w:t>wa</w:t>
      </w:r>
      <w:r w:rsidRPr="008379A2">
        <w:rPr>
          <w:i/>
          <w:iCs/>
          <w:color w:val="000000"/>
        </w:rPr>
        <w:t>s mainly at transition works.</w:t>
      </w:r>
      <w:r w:rsidRPr="00AE50B3">
        <w:rPr>
          <w:i/>
          <w:iCs/>
          <w:color w:val="000000"/>
        </w:rPr>
        <w:t xml:space="preserve"> </w:t>
      </w:r>
      <w:r>
        <w:rPr>
          <w:i/>
          <w:iCs/>
          <w:color w:val="000000"/>
        </w:rPr>
        <w:t>T</w:t>
      </w:r>
      <w:r w:rsidRPr="00AE50B3">
        <w:rPr>
          <w:i/>
          <w:iCs/>
          <w:color w:val="000000"/>
        </w:rPr>
        <w:t xml:space="preserve">he rate of investment capital implemented from the State budget in the first 2 months of the year compared to the </w:t>
      </w:r>
      <w:r>
        <w:rPr>
          <w:i/>
          <w:iCs/>
          <w:color w:val="000000"/>
        </w:rPr>
        <w:t xml:space="preserve">2022 </w:t>
      </w:r>
      <w:r w:rsidRPr="00AE50B3">
        <w:rPr>
          <w:i/>
          <w:iCs/>
          <w:color w:val="000000"/>
        </w:rPr>
        <w:t xml:space="preserve">plan </w:t>
      </w:r>
      <w:r>
        <w:rPr>
          <w:i/>
          <w:iCs/>
          <w:color w:val="000000"/>
        </w:rPr>
        <w:t>was 8.8% and increased by 10.4% venus the same period in 2021.</w:t>
      </w:r>
      <w:r w:rsidRPr="00AE50B3">
        <w:rPr>
          <w:i/>
          <w:iCs/>
          <w:color w:val="000000"/>
        </w:rPr>
        <w:t xml:space="preserve"> </w:t>
      </w:r>
      <w:r w:rsidRPr="00E90BC6">
        <w:rPr>
          <w:i/>
          <w:iCs/>
          <w:color w:val="000000"/>
        </w:rPr>
        <w:t>Realized foreign direct investment capital in Vietnam in the first two months of 2022 was estimated at 2.68 billion USD, up 7.2% over the same period last year.</w:t>
      </w:r>
    </w:p>
    <w:p w14:paraId="7B436417" w14:textId="77777777" w:rsidR="001847E9" w:rsidRDefault="001847E9" w:rsidP="001847E9">
      <w:pPr>
        <w:spacing w:before="40" w:after="40" w:line="283" w:lineRule="auto"/>
        <w:ind w:firstLine="567"/>
        <w:jc w:val="both"/>
        <w:rPr>
          <w:lang w:val="pt-BR"/>
        </w:rPr>
      </w:pPr>
      <w:r w:rsidRPr="001847E9">
        <w:rPr>
          <w:i/>
          <w:iCs/>
          <w:lang w:val="pt-BR"/>
        </w:rPr>
        <w:t>Investment capital from the State budget in February</w:t>
      </w:r>
      <w:r>
        <w:rPr>
          <w:lang w:val="pt-BR"/>
        </w:rPr>
        <w:t xml:space="preserve"> </w:t>
      </w:r>
      <w:r w:rsidRPr="00F7451C">
        <w:rPr>
          <w:lang w:val="pt-BR"/>
        </w:rPr>
        <w:t xml:space="preserve">was estimated at </w:t>
      </w:r>
      <w:r>
        <w:rPr>
          <w:lang w:val="pt-BR"/>
        </w:rPr>
        <w:t>20.5</w:t>
      </w:r>
      <w:r w:rsidRPr="00F7451C">
        <w:rPr>
          <w:lang w:val="pt-BR"/>
        </w:rPr>
        <w:t xml:space="preserve"> trillion VND</w:t>
      </w:r>
      <w:r>
        <w:rPr>
          <w:lang w:val="pt-BR"/>
        </w:rPr>
        <w:t>, increasing by</w:t>
      </w:r>
      <w:r w:rsidRPr="00F7451C">
        <w:rPr>
          <w:lang w:val="pt-BR"/>
        </w:rPr>
        <w:t xml:space="preserve"> </w:t>
      </w:r>
      <w:r>
        <w:rPr>
          <w:lang w:val="pt-BR"/>
        </w:rPr>
        <w:t>9.9</w:t>
      </w:r>
      <w:r w:rsidRPr="00F7451C">
        <w:rPr>
          <w:lang w:val="pt-BR"/>
        </w:rPr>
        <w:t xml:space="preserve">% over the same period last year, including Central capital </w:t>
      </w:r>
      <w:r>
        <w:rPr>
          <w:lang w:val="pt-BR"/>
        </w:rPr>
        <w:t>3</w:t>
      </w:r>
      <w:r w:rsidRPr="00F7451C">
        <w:rPr>
          <w:lang w:val="pt-BR"/>
        </w:rPr>
        <w:t xml:space="preserve"> trillion VND, up </w:t>
      </w:r>
      <w:r>
        <w:rPr>
          <w:lang w:val="pt-BR"/>
        </w:rPr>
        <w:t>10.7</w:t>
      </w:r>
      <w:r w:rsidRPr="00F7451C">
        <w:rPr>
          <w:lang w:val="pt-BR"/>
        </w:rPr>
        <w:t xml:space="preserve">%; local capital </w:t>
      </w:r>
      <w:r>
        <w:rPr>
          <w:lang w:val="pt-BR"/>
        </w:rPr>
        <w:t>17.5</w:t>
      </w:r>
      <w:r w:rsidRPr="00F7451C">
        <w:rPr>
          <w:lang w:val="pt-BR"/>
        </w:rPr>
        <w:t xml:space="preserve"> trillion VND</w:t>
      </w:r>
      <w:r>
        <w:rPr>
          <w:lang w:val="pt-BR"/>
        </w:rPr>
        <w:t>, up</w:t>
      </w:r>
      <w:r w:rsidRPr="00F7451C">
        <w:rPr>
          <w:lang w:val="pt-BR"/>
        </w:rPr>
        <w:t xml:space="preserve"> </w:t>
      </w:r>
      <w:r>
        <w:rPr>
          <w:lang w:val="pt-BR"/>
        </w:rPr>
        <w:t>9.8%. Generally, in the first 2</w:t>
      </w:r>
      <w:r w:rsidRPr="00F7451C">
        <w:rPr>
          <w:lang w:val="pt-BR"/>
        </w:rPr>
        <w:t xml:space="preserve"> months of this year, realized investment capital from the </w:t>
      </w:r>
      <w:r>
        <w:rPr>
          <w:lang w:val="pt-BR"/>
        </w:rPr>
        <w:t>S</w:t>
      </w:r>
      <w:r w:rsidRPr="00F7451C">
        <w:rPr>
          <w:lang w:val="pt-BR"/>
        </w:rPr>
        <w:t>tate budget reached</w:t>
      </w:r>
      <w:r>
        <w:rPr>
          <w:lang w:val="pt-BR"/>
        </w:rPr>
        <w:t xml:space="preserve"> 46.3</w:t>
      </w:r>
      <w:r w:rsidRPr="00F7451C">
        <w:rPr>
          <w:lang w:val="pt-BR"/>
        </w:rPr>
        <w:t xml:space="preserve"> trillion VND, equaling </w:t>
      </w:r>
      <w:r>
        <w:rPr>
          <w:lang w:val="pt-BR"/>
        </w:rPr>
        <w:t>8.8</w:t>
      </w:r>
      <w:r w:rsidRPr="00F7451C">
        <w:rPr>
          <w:lang w:val="pt-BR"/>
        </w:rPr>
        <w:t xml:space="preserve">% of the year plan and up </w:t>
      </w:r>
      <w:r>
        <w:rPr>
          <w:lang w:val="pt-BR"/>
        </w:rPr>
        <w:t>10.4</w:t>
      </w:r>
      <w:r w:rsidRPr="00F7451C">
        <w:rPr>
          <w:lang w:val="pt-BR"/>
        </w:rPr>
        <w:t>% against the same period last year (the same period last year 20</w:t>
      </w:r>
      <w:r>
        <w:rPr>
          <w:lang w:val="pt-BR"/>
        </w:rPr>
        <w:t>21</w:t>
      </w:r>
      <w:r w:rsidRPr="00F7451C">
        <w:rPr>
          <w:lang w:val="pt-BR"/>
        </w:rPr>
        <w:t xml:space="preserve"> equal</w:t>
      </w:r>
      <w:r>
        <w:rPr>
          <w:lang w:val="pt-BR"/>
        </w:rPr>
        <w:t>ed</w:t>
      </w:r>
      <w:r w:rsidRPr="00F7451C">
        <w:rPr>
          <w:lang w:val="pt-BR"/>
        </w:rPr>
        <w:t xml:space="preserve"> </w:t>
      </w:r>
      <w:r>
        <w:rPr>
          <w:lang w:val="pt-BR"/>
        </w:rPr>
        <w:t>8</w:t>
      </w:r>
      <w:r w:rsidRPr="00F7451C">
        <w:rPr>
          <w:lang w:val="pt-BR"/>
        </w:rPr>
        <w:t>% and increase</w:t>
      </w:r>
      <w:r>
        <w:rPr>
          <w:lang w:val="pt-BR"/>
        </w:rPr>
        <w:t>d</w:t>
      </w:r>
      <w:r w:rsidRPr="00F7451C">
        <w:rPr>
          <w:lang w:val="pt-BR"/>
        </w:rPr>
        <w:t xml:space="preserve"> by </w:t>
      </w:r>
      <w:r>
        <w:rPr>
          <w:lang w:val="pt-BR"/>
        </w:rPr>
        <w:t>13.6</w:t>
      </w:r>
      <w:r w:rsidRPr="00F7451C">
        <w:rPr>
          <w:lang w:val="pt-BR"/>
        </w:rPr>
        <w:t>%), including:</w:t>
      </w:r>
    </w:p>
    <w:p w14:paraId="6363C3A2" w14:textId="77777777" w:rsidR="001847E9" w:rsidRDefault="001847E9" w:rsidP="001847E9">
      <w:pPr>
        <w:spacing w:before="40" w:after="40" w:line="283" w:lineRule="auto"/>
        <w:ind w:firstLine="567"/>
        <w:jc w:val="both"/>
        <w:rPr>
          <w:lang w:val="pt-BR"/>
        </w:rPr>
      </w:pPr>
      <w:r w:rsidRPr="00F7451C">
        <w:rPr>
          <w:lang w:val="pt-BR"/>
        </w:rPr>
        <w:t xml:space="preserve">- The capital under central management was </w:t>
      </w:r>
      <w:r>
        <w:rPr>
          <w:lang w:val="pt-BR"/>
        </w:rPr>
        <w:t>6.4 tr</w:t>
      </w:r>
      <w:r w:rsidRPr="00F7451C">
        <w:rPr>
          <w:lang w:val="pt-BR"/>
        </w:rPr>
        <w:t>illion VND, equaling</w:t>
      </w:r>
      <w:r>
        <w:t xml:space="preserve"> 6.4</w:t>
      </w:r>
      <w:r w:rsidRPr="00F7451C">
        <w:rPr>
          <w:lang w:val="pt-BR"/>
        </w:rPr>
        <w:t xml:space="preserve">% of the yearly plan and increasing </w:t>
      </w:r>
      <w:r>
        <w:rPr>
          <w:lang w:val="pt-BR"/>
        </w:rPr>
        <w:t>by 10.1</w:t>
      </w:r>
      <w:r w:rsidRPr="00F7451C">
        <w:rPr>
          <w:lang w:val="pt-BR"/>
        </w:rPr>
        <w:t>% against the same period last year</w:t>
      </w:r>
      <w:r>
        <w:rPr>
          <w:lang w:val="pt-BR"/>
        </w:rPr>
        <w:t>.</w:t>
      </w:r>
    </w:p>
    <w:p w14:paraId="096BB1E1" w14:textId="77777777" w:rsidR="0037563F" w:rsidRDefault="0037563F" w:rsidP="00C82365">
      <w:pPr>
        <w:spacing w:before="40" w:after="40" w:line="276" w:lineRule="auto"/>
        <w:ind w:firstLine="567"/>
        <w:jc w:val="center"/>
        <w:rPr>
          <w:b/>
          <w:iCs/>
          <w:spacing w:val="-2"/>
          <w:lang w:val="af-ZA"/>
        </w:rPr>
      </w:pPr>
    </w:p>
    <w:p w14:paraId="555F6408" w14:textId="77777777" w:rsidR="0037563F" w:rsidRDefault="0037563F" w:rsidP="00C82365">
      <w:pPr>
        <w:spacing w:before="40" w:after="40" w:line="276" w:lineRule="auto"/>
        <w:ind w:firstLine="567"/>
        <w:jc w:val="center"/>
        <w:rPr>
          <w:b/>
          <w:iCs/>
          <w:spacing w:val="-2"/>
          <w:lang w:val="af-ZA"/>
        </w:rPr>
      </w:pPr>
    </w:p>
    <w:p w14:paraId="1A2B313A" w14:textId="0393BA51" w:rsidR="00C82365" w:rsidRPr="00387E47" w:rsidRDefault="00C82365" w:rsidP="00C82365">
      <w:pPr>
        <w:spacing w:before="40" w:after="40" w:line="276" w:lineRule="auto"/>
        <w:ind w:firstLine="567"/>
        <w:jc w:val="center"/>
        <w:rPr>
          <w:b/>
          <w:iCs/>
          <w:spacing w:val="-2"/>
          <w:lang w:val="af-ZA"/>
        </w:rPr>
      </w:pPr>
      <w:r w:rsidRPr="00387E47">
        <w:rPr>
          <w:b/>
          <w:iCs/>
          <w:spacing w:val="-2"/>
          <w:lang w:val="af-ZA"/>
        </w:rPr>
        <w:lastRenderedPageBreak/>
        <w:t>Figure 6. Realized investment capital from the State budget</w:t>
      </w:r>
    </w:p>
    <w:p w14:paraId="060C463B" w14:textId="77777777" w:rsidR="00C82365" w:rsidRDefault="00C82365" w:rsidP="00C82365">
      <w:pPr>
        <w:spacing w:before="40" w:after="40" w:line="276" w:lineRule="auto"/>
        <w:ind w:firstLine="567"/>
        <w:jc w:val="center"/>
        <w:rPr>
          <w:b/>
          <w:iCs/>
          <w:spacing w:val="-2"/>
          <w:lang w:val="af-ZA"/>
        </w:rPr>
      </w:pPr>
      <w:r w:rsidRPr="00387E47">
        <w:rPr>
          <w:b/>
          <w:iCs/>
          <w:spacing w:val="-2"/>
          <w:lang w:val="af-ZA"/>
        </w:rPr>
        <w:t>in</w:t>
      </w:r>
      <w:r w:rsidRPr="00387E47">
        <w:rPr>
          <w:b/>
          <w:iCs/>
          <w:spacing w:val="-2"/>
        </w:rPr>
        <w:t xml:space="preserve"> </w:t>
      </w:r>
      <w:r>
        <w:rPr>
          <w:b/>
          <w:iCs/>
          <w:spacing w:val="-2"/>
          <w:lang w:val="af-ZA"/>
        </w:rPr>
        <w:t>first 2 months of 2022</w:t>
      </w:r>
      <w:r w:rsidRPr="00387E47">
        <w:rPr>
          <w:b/>
          <w:iCs/>
          <w:spacing w:val="-2"/>
          <w:lang w:val="af-ZA"/>
        </w:rPr>
        <w:t xml:space="preserve"> by ministr</w:t>
      </w:r>
      <w:r>
        <w:rPr>
          <w:b/>
          <w:iCs/>
          <w:spacing w:val="-2"/>
          <w:lang w:val="af-ZA"/>
        </w:rPr>
        <w:t>ies</w:t>
      </w:r>
      <w:r w:rsidRPr="00387E47">
        <w:rPr>
          <w:b/>
          <w:iCs/>
          <w:spacing w:val="-2"/>
          <w:lang w:val="af-ZA"/>
        </w:rPr>
        <w:t xml:space="preserve"> and sectors</w:t>
      </w:r>
    </w:p>
    <w:p w14:paraId="4ECBBC0B" w14:textId="77777777" w:rsidR="006D3FDB" w:rsidRPr="000823F1" w:rsidRDefault="006D3FDB" w:rsidP="006D3FDB">
      <w:pPr>
        <w:spacing w:before="40" w:after="40" w:line="264" w:lineRule="auto"/>
        <w:jc w:val="center"/>
        <w:rPr>
          <w:bCs/>
          <w:iCs/>
          <w:spacing w:val="-2"/>
          <w:sz w:val="2"/>
          <w:lang w:val="af-ZA"/>
        </w:rPr>
      </w:pPr>
    </w:p>
    <w:tbl>
      <w:tblPr>
        <w:tblStyle w:val="TableGrid"/>
        <w:tblW w:w="0" w:type="auto"/>
        <w:jc w:val="center"/>
        <w:tblLook w:val="04A0" w:firstRow="1" w:lastRow="0" w:firstColumn="1" w:lastColumn="0" w:noHBand="0" w:noVBand="1"/>
      </w:tblPr>
      <w:tblGrid>
        <w:gridCol w:w="8976"/>
      </w:tblGrid>
      <w:tr w:rsidR="006D3FDB" w14:paraId="24B9C3A3" w14:textId="77777777" w:rsidTr="00EC2B6C">
        <w:trPr>
          <w:trHeight w:val="264"/>
          <w:jc w:val="center"/>
        </w:trPr>
        <w:tc>
          <w:tcPr>
            <w:tcW w:w="8976" w:type="dxa"/>
            <w:tcBorders>
              <w:top w:val="nil"/>
              <w:left w:val="nil"/>
              <w:bottom w:val="nil"/>
              <w:right w:val="nil"/>
            </w:tcBorders>
          </w:tcPr>
          <w:p w14:paraId="3270C5DE" w14:textId="77777777" w:rsidR="00C82365" w:rsidRPr="004B1EEF" w:rsidRDefault="00C82365" w:rsidP="00C82365">
            <w:pPr>
              <w:spacing w:before="40" w:after="40" w:line="283" w:lineRule="auto"/>
              <w:jc w:val="both"/>
              <w:rPr>
                <w:sz w:val="20"/>
                <w:szCs w:val="20"/>
                <w:lang w:val="pt-BR"/>
              </w:rPr>
            </w:pPr>
            <w:r w:rsidRPr="004B1EEF">
              <w:rPr>
                <w:sz w:val="20"/>
                <w:szCs w:val="20"/>
                <w:lang w:val="pt-BR"/>
              </w:rPr>
              <w:t>Billion VND</w:t>
            </w:r>
          </w:p>
          <w:p w14:paraId="78F9DDAA" w14:textId="352047D7" w:rsidR="006D3FDB" w:rsidRPr="006578F9" w:rsidRDefault="006D3FDB" w:rsidP="00EC2B6C">
            <w:pPr>
              <w:spacing w:before="40" w:after="40" w:line="264" w:lineRule="auto"/>
              <w:ind w:firstLine="176"/>
              <w:rPr>
                <w:rFonts w:ascii="Arial" w:hAnsi="Arial" w:cs="Arial"/>
                <w:bCs/>
                <w:i/>
                <w:iCs/>
                <w:spacing w:val="-2"/>
                <w:sz w:val="16"/>
                <w:szCs w:val="10"/>
                <w:lang w:val="af-ZA"/>
              </w:rPr>
            </w:pPr>
          </w:p>
        </w:tc>
      </w:tr>
      <w:tr w:rsidR="006D3FDB" w14:paraId="74A1F709" w14:textId="77777777" w:rsidTr="00EC2B6C">
        <w:trPr>
          <w:trHeight w:val="4239"/>
          <w:jc w:val="center"/>
        </w:trPr>
        <w:tc>
          <w:tcPr>
            <w:tcW w:w="8976" w:type="dxa"/>
            <w:tcBorders>
              <w:top w:val="nil"/>
              <w:left w:val="nil"/>
              <w:bottom w:val="nil"/>
              <w:right w:val="nil"/>
            </w:tcBorders>
          </w:tcPr>
          <w:p w14:paraId="059307E1" w14:textId="2BCB58FC" w:rsidR="006D3FDB" w:rsidRDefault="00C82365" w:rsidP="00EC2B6C">
            <w:pPr>
              <w:spacing w:before="40" w:after="40" w:line="264" w:lineRule="auto"/>
              <w:rPr>
                <w:bCs/>
                <w:iCs/>
                <w:spacing w:val="-2"/>
                <w:lang w:val="af-ZA"/>
              </w:rPr>
            </w:pPr>
            <w:r>
              <w:rPr>
                <w:noProof/>
                <w:lang w:val="pt-BR"/>
              </w:rPr>
              <w:drawing>
                <wp:inline distT="0" distB="0" distL="0" distR="0" wp14:anchorId="33217ED5" wp14:editId="25209E99">
                  <wp:extent cx="5604163" cy="257202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4516" cy="2595132"/>
                          </a:xfrm>
                          <a:prstGeom prst="rect">
                            <a:avLst/>
                          </a:prstGeom>
                          <a:noFill/>
                        </pic:spPr>
                      </pic:pic>
                    </a:graphicData>
                  </a:graphic>
                </wp:inline>
              </w:drawing>
            </w:r>
          </w:p>
        </w:tc>
      </w:tr>
    </w:tbl>
    <w:p w14:paraId="6DB2B202" w14:textId="478D5FFF" w:rsidR="00C82365" w:rsidRDefault="00C82365" w:rsidP="00C82365">
      <w:pPr>
        <w:spacing w:before="40" w:after="40" w:line="283" w:lineRule="auto"/>
        <w:ind w:firstLine="567"/>
        <w:jc w:val="both"/>
        <w:rPr>
          <w:lang w:val="pt-BR"/>
        </w:rPr>
      </w:pPr>
      <w:r w:rsidRPr="00F7451C">
        <w:rPr>
          <w:lang w:val="pt-BR"/>
        </w:rPr>
        <w:t xml:space="preserve">- The capital under local management reached </w:t>
      </w:r>
      <w:r>
        <w:rPr>
          <w:lang w:val="pt-BR"/>
        </w:rPr>
        <w:t>39.9 tr</w:t>
      </w:r>
      <w:r w:rsidRPr="00F7451C">
        <w:rPr>
          <w:lang w:val="pt-BR"/>
        </w:rPr>
        <w:t xml:space="preserve">illion VND, </w:t>
      </w:r>
      <w:r>
        <w:rPr>
          <w:lang w:val="pt-BR"/>
        </w:rPr>
        <w:t>equaling</w:t>
      </w:r>
      <w:r>
        <w:t xml:space="preserve"> </w:t>
      </w:r>
      <w:r>
        <w:rPr>
          <w:lang w:val="pt-BR"/>
        </w:rPr>
        <w:t>9.3</w:t>
      </w:r>
      <w:r w:rsidRPr="00F7451C">
        <w:rPr>
          <w:lang w:val="pt-BR"/>
        </w:rPr>
        <w:t xml:space="preserve">% of the yearly plan and climbing up </w:t>
      </w:r>
      <w:r>
        <w:rPr>
          <w:lang w:val="pt-BR"/>
        </w:rPr>
        <w:t>10.4</w:t>
      </w:r>
      <w:r w:rsidRPr="00F7451C">
        <w:rPr>
          <w:lang w:val="pt-BR"/>
        </w:rPr>
        <w:t>% over the same period in 20</w:t>
      </w:r>
      <w:r>
        <w:rPr>
          <w:lang w:val="pt-BR"/>
        </w:rPr>
        <w:t>21.</w:t>
      </w:r>
    </w:p>
    <w:p w14:paraId="7B63EAF0" w14:textId="77777777" w:rsidR="00C82365" w:rsidRDefault="00C82365" w:rsidP="00C82365">
      <w:pPr>
        <w:spacing w:before="40" w:after="40" w:line="283" w:lineRule="auto"/>
        <w:ind w:firstLine="567"/>
        <w:jc w:val="both"/>
        <w:rPr>
          <w:lang w:val="pt-BR"/>
        </w:rPr>
      </w:pPr>
      <w:r>
        <w:rPr>
          <w:lang w:val="pt-BR"/>
        </w:rPr>
        <w:t>The S</w:t>
      </w:r>
      <w:r w:rsidRPr="00F7451C">
        <w:rPr>
          <w:lang w:val="pt-BR"/>
        </w:rPr>
        <w:t xml:space="preserve">tate budget capital under </w:t>
      </w:r>
      <w:r>
        <w:rPr>
          <w:lang w:val="pt-BR"/>
        </w:rPr>
        <w:t>provincial-level</w:t>
      </w:r>
      <w:r w:rsidRPr="00F7451C">
        <w:rPr>
          <w:lang w:val="pt-BR"/>
        </w:rPr>
        <w:t xml:space="preserve"> reached </w:t>
      </w:r>
      <w:r>
        <w:rPr>
          <w:lang w:val="pt-BR"/>
        </w:rPr>
        <w:t>26.5 tr</w:t>
      </w:r>
      <w:r w:rsidRPr="00F7451C">
        <w:rPr>
          <w:lang w:val="pt-BR"/>
        </w:rPr>
        <w:t xml:space="preserve">illion VND, </w:t>
      </w:r>
      <w:r>
        <w:rPr>
          <w:lang w:val="pt-BR"/>
        </w:rPr>
        <w:t>equaling</w:t>
      </w:r>
      <w:r>
        <w:t xml:space="preserve"> </w:t>
      </w:r>
      <w:r>
        <w:rPr>
          <w:lang w:val="pt-BR"/>
        </w:rPr>
        <w:t>8.9</w:t>
      </w:r>
      <w:r w:rsidRPr="00F7451C">
        <w:rPr>
          <w:lang w:val="pt-BR"/>
        </w:rPr>
        <w:t xml:space="preserve">% and growing up </w:t>
      </w:r>
      <w:r>
        <w:rPr>
          <w:lang w:val="pt-BR"/>
        </w:rPr>
        <w:t>8</w:t>
      </w:r>
      <w:r w:rsidRPr="00F7451C">
        <w:rPr>
          <w:lang w:val="pt-BR"/>
        </w:rPr>
        <w:t>%;</w:t>
      </w:r>
    </w:p>
    <w:p w14:paraId="4338EEE6" w14:textId="77777777" w:rsidR="00C82365" w:rsidRDefault="00C82365" w:rsidP="00C82365">
      <w:pPr>
        <w:spacing w:before="40" w:after="40" w:line="283" w:lineRule="auto"/>
        <w:ind w:firstLine="567"/>
        <w:jc w:val="both"/>
        <w:rPr>
          <w:lang w:val="pt-BR"/>
        </w:rPr>
      </w:pPr>
      <w:r>
        <w:rPr>
          <w:lang w:val="pt-BR"/>
        </w:rPr>
        <w:t>T</w:t>
      </w:r>
      <w:r w:rsidRPr="00F7451C">
        <w:rPr>
          <w:lang w:val="pt-BR"/>
        </w:rPr>
        <w:t xml:space="preserve">he </w:t>
      </w:r>
      <w:r>
        <w:rPr>
          <w:lang w:val="pt-BR"/>
        </w:rPr>
        <w:t>S</w:t>
      </w:r>
      <w:r w:rsidRPr="00F7451C">
        <w:rPr>
          <w:lang w:val="pt-BR"/>
        </w:rPr>
        <w:t xml:space="preserve">tate budget capital at </w:t>
      </w:r>
      <w:r>
        <w:rPr>
          <w:lang w:val="pt-BR"/>
        </w:rPr>
        <w:t xml:space="preserve">the </w:t>
      </w:r>
      <w:r w:rsidRPr="00F7451C">
        <w:rPr>
          <w:lang w:val="pt-BR"/>
        </w:rPr>
        <w:t xml:space="preserve">district level gained </w:t>
      </w:r>
      <w:r>
        <w:rPr>
          <w:lang w:val="pt-BR"/>
        </w:rPr>
        <w:t>11.5 tr</w:t>
      </w:r>
      <w:r w:rsidRPr="00F7451C">
        <w:rPr>
          <w:lang w:val="pt-BR"/>
        </w:rPr>
        <w:t xml:space="preserve">illion VND, </w:t>
      </w:r>
      <w:r>
        <w:rPr>
          <w:lang w:val="pt-BR"/>
        </w:rPr>
        <w:t>equaling</w:t>
      </w:r>
      <w:r>
        <w:t xml:space="preserve"> </w:t>
      </w:r>
      <w:r>
        <w:rPr>
          <w:lang w:val="pt-BR"/>
        </w:rPr>
        <w:t>10.1</w:t>
      </w:r>
      <w:r w:rsidRPr="00F7451C">
        <w:rPr>
          <w:lang w:val="pt-BR"/>
        </w:rPr>
        <w:t xml:space="preserve">% and increasing by </w:t>
      </w:r>
      <w:r>
        <w:rPr>
          <w:lang w:val="pt-BR"/>
        </w:rPr>
        <w:t>18.5</w:t>
      </w:r>
      <w:r w:rsidRPr="00F7451C">
        <w:rPr>
          <w:lang w:val="pt-BR"/>
        </w:rPr>
        <w:t xml:space="preserve">%; </w:t>
      </w:r>
    </w:p>
    <w:p w14:paraId="7A31D52D" w14:textId="77777777" w:rsidR="00C82365" w:rsidRDefault="00C82365" w:rsidP="00C82365">
      <w:pPr>
        <w:spacing w:before="40" w:after="40" w:line="283" w:lineRule="auto"/>
        <w:ind w:firstLine="567"/>
        <w:jc w:val="both"/>
        <w:rPr>
          <w:lang w:val="pt-BR"/>
        </w:rPr>
      </w:pPr>
      <w:r>
        <w:rPr>
          <w:lang w:val="pt-BR"/>
        </w:rPr>
        <w:t>T</w:t>
      </w:r>
      <w:r w:rsidRPr="00F7451C">
        <w:rPr>
          <w:lang w:val="pt-BR"/>
        </w:rPr>
        <w:t xml:space="preserve">he State budget capital at </w:t>
      </w:r>
      <w:r>
        <w:rPr>
          <w:lang w:val="pt-BR"/>
        </w:rPr>
        <w:t xml:space="preserve">the </w:t>
      </w:r>
      <w:r w:rsidRPr="00F7451C">
        <w:rPr>
          <w:lang w:val="pt-BR"/>
        </w:rPr>
        <w:t xml:space="preserve">commune level was </w:t>
      </w:r>
      <w:r>
        <w:rPr>
          <w:lang w:val="pt-BR"/>
        </w:rPr>
        <w:t>1.9 tr</w:t>
      </w:r>
      <w:r w:rsidRPr="00F7451C">
        <w:rPr>
          <w:lang w:val="pt-BR"/>
        </w:rPr>
        <w:t xml:space="preserve">illion VND, </w:t>
      </w:r>
      <w:r>
        <w:rPr>
          <w:lang w:val="pt-BR"/>
        </w:rPr>
        <w:t>equaling</w:t>
      </w:r>
      <w:r>
        <w:t xml:space="preserve"> 11.8</w:t>
      </w:r>
      <w:r w:rsidRPr="00F7451C">
        <w:rPr>
          <w:lang w:val="pt-BR"/>
        </w:rPr>
        <w:t xml:space="preserve">% and expanding by </w:t>
      </w:r>
      <w:r>
        <w:rPr>
          <w:lang w:val="pt-BR"/>
        </w:rPr>
        <w:t>0.1</w:t>
      </w:r>
      <w:r w:rsidRPr="00F7451C">
        <w:rPr>
          <w:lang w:val="pt-BR"/>
        </w:rPr>
        <w:t xml:space="preserve">%. </w:t>
      </w:r>
    </w:p>
    <w:p w14:paraId="64CC2791" w14:textId="77777777" w:rsidR="00C82365" w:rsidRDefault="00C82365" w:rsidP="00C82365">
      <w:pPr>
        <w:spacing w:before="40" w:after="40" w:line="283" w:lineRule="auto"/>
        <w:ind w:firstLine="567"/>
        <w:jc w:val="both"/>
        <w:rPr>
          <w:lang w:val="pt-BR"/>
        </w:rPr>
      </w:pPr>
      <w:r w:rsidRPr="00F7451C">
        <w:rPr>
          <w:lang w:val="pt-BR"/>
        </w:rPr>
        <w:t xml:space="preserve">The realized investment capital of the state budget in </w:t>
      </w:r>
      <w:r>
        <w:rPr>
          <w:lang w:val="pt-BR"/>
        </w:rPr>
        <w:t>the first 2 months of 2022</w:t>
      </w:r>
      <w:r w:rsidRPr="00F7451C">
        <w:rPr>
          <w:lang w:val="pt-BR"/>
        </w:rPr>
        <w:t xml:space="preserve"> of some provinces and cities directly under the Central Government was as follows: </w:t>
      </w:r>
    </w:p>
    <w:p w14:paraId="4A4E327C" w14:textId="61A69083" w:rsidR="00EC3CA2" w:rsidRPr="00EC3CA2" w:rsidRDefault="00EC3CA2" w:rsidP="00EC3CA2">
      <w:pPr>
        <w:pStyle w:val="ListParagraph"/>
        <w:spacing w:before="40" w:after="40" w:line="264" w:lineRule="auto"/>
        <w:ind w:left="927"/>
        <w:jc w:val="center"/>
        <w:rPr>
          <w:rFonts w:ascii="Arial" w:eastAsia="Times New Roman" w:hAnsi="Arial" w:cs="Arial"/>
          <w:b/>
          <w:bCs/>
          <w:sz w:val="24"/>
          <w:szCs w:val="24"/>
          <w:lang w:val="en-GB"/>
        </w:rPr>
      </w:pPr>
      <w:r w:rsidRPr="00EC3CA2">
        <w:rPr>
          <w:rFonts w:ascii="Arial" w:eastAsia="Times New Roman" w:hAnsi="Arial" w:cs="Arial"/>
          <w:b/>
          <w:bCs/>
          <w:sz w:val="24"/>
          <w:szCs w:val="24"/>
          <w:lang w:val="en-GB"/>
        </w:rPr>
        <w:t>Figure 7. Realized investment capital from the State budget</w:t>
      </w:r>
    </w:p>
    <w:p w14:paraId="38D6A4F2" w14:textId="34F3AA6C" w:rsidR="006D3FDB" w:rsidRPr="00BC5450" w:rsidRDefault="00EC3CA2" w:rsidP="00EC3CA2">
      <w:pPr>
        <w:pStyle w:val="ListParagraph"/>
        <w:numPr>
          <w:ilvl w:val="0"/>
          <w:numId w:val="4"/>
        </w:numPr>
        <w:spacing w:before="40" w:after="40" w:line="264" w:lineRule="auto"/>
        <w:jc w:val="center"/>
        <w:rPr>
          <w:bCs/>
          <w:iCs/>
          <w:spacing w:val="-2"/>
          <w:sz w:val="2"/>
          <w:lang w:val="af-ZA"/>
        </w:rPr>
      </w:pPr>
      <w:r w:rsidRPr="00EC3CA2">
        <w:rPr>
          <w:rFonts w:ascii="Arial" w:eastAsia="Times New Roman" w:hAnsi="Arial" w:cs="Arial"/>
          <w:b/>
          <w:bCs/>
          <w:sz w:val="24"/>
          <w:szCs w:val="24"/>
          <w:lang w:val="en-GB"/>
        </w:rPr>
        <w:t>in the first 2 months of 2022 in some localities</w:t>
      </w:r>
    </w:p>
    <w:tbl>
      <w:tblPr>
        <w:tblStyle w:val="TableGrid"/>
        <w:tblW w:w="0" w:type="auto"/>
        <w:jc w:val="center"/>
        <w:tblLook w:val="04A0" w:firstRow="1" w:lastRow="0" w:firstColumn="1" w:lastColumn="0" w:noHBand="0" w:noVBand="1"/>
      </w:tblPr>
      <w:tblGrid>
        <w:gridCol w:w="8966"/>
      </w:tblGrid>
      <w:tr w:rsidR="006D3FDB" w14:paraId="39013543" w14:textId="77777777" w:rsidTr="00EC2B6C">
        <w:trPr>
          <w:jc w:val="center"/>
        </w:trPr>
        <w:tc>
          <w:tcPr>
            <w:tcW w:w="8966" w:type="dxa"/>
            <w:tcBorders>
              <w:top w:val="nil"/>
              <w:left w:val="nil"/>
              <w:bottom w:val="nil"/>
              <w:right w:val="nil"/>
            </w:tcBorders>
          </w:tcPr>
          <w:p w14:paraId="1D82ABB0" w14:textId="73C7C917" w:rsidR="006D3FDB" w:rsidRPr="008E65D4" w:rsidRDefault="004A796F" w:rsidP="00EC2B6C">
            <w:pPr>
              <w:spacing w:before="40" w:after="40" w:line="264" w:lineRule="auto"/>
              <w:ind w:firstLine="318"/>
              <w:rPr>
                <w:rFonts w:ascii="Arial" w:hAnsi="Arial" w:cs="Arial"/>
                <w:bCs/>
                <w:i/>
                <w:iCs/>
                <w:spacing w:val="-2"/>
                <w:sz w:val="16"/>
                <w:szCs w:val="10"/>
                <w:lang w:val="af-ZA"/>
              </w:rPr>
            </w:pPr>
            <w:r w:rsidRPr="004A796F">
              <w:rPr>
                <w:rFonts w:ascii="Arial" w:hAnsi="Arial" w:cs="Arial"/>
                <w:bCs/>
                <w:i/>
                <w:iCs/>
                <w:spacing w:val="-2"/>
                <w:sz w:val="18"/>
                <w:szCs w:val="10"/>
                <w:lang w:val="af-ZA"/>
              </w:rPr>
              <w:t>Billion VND</w:t>
            </w:r>
          </w:p>
        </w:tc>
      </w:tr>
    </w:tbl>
    <w:p w14:paraId="7E651943" w14:textId="2903AC8E" w:rsidR="006D3FDB" w:rsidRDefault="006240C7" w:rsidP="006D3FDB">
      <w:r>
        <w:rPr>
          <w:noProof/>
        </w:rPr>
        <w:drawing>
          <wp:inline distT="0" distB="0" distL="0" distR="0" wp14:anchorId="0CFF9556" wp14:editId="133073B6">
            <wp:extent cx="5361709" cy="2123857"/>
            <wp:effectExtent l="0" t="0" r="0" b="0"/>
            <wp:docPr id="18" name="Picture 18"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waterfall ch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6744" cy="2125851"/>
                    </a:xfrm>
                    <a:prstGeom prst="rect">
                      <a:avLst/>
                    </a:prstGeom>
                    <a:noFill/>
                  </pic:spPr>
                </pic:pic>
              </a:graphicData>
            </a:graphic>
          </wp:inline>
        </w:drawing>
      </w:r>
    </w:p>
    <w:p w14:paraId="1D8CEF02" w14:textId="4BB41567" w:rsidR="006D3FDB" w:rsidRPr="006D3FDB" w:rsidRDefault="00B621F8" w:rsidP="006D3FDB">
      <w:pPr>
        <w:spacing w:before="40" w:after="40" w:line="288" w:lineRule="auto"/>
        <w:ind w:firstLine="567"/>
        <w:jc w:val="both"/>
        <w:rPr>
          <w:iCs/>
          <w:lang w:val="de-DE"/>
        </w:rPr>
      </w:pPr>
      <w:r w:rsidRPr="00B621F8">
        <w:rPr>
          <w:i/>
          <w:iCs/>
          <w:lang w:val="de-DE"/>
        </w:rPr>
        <w:lastRenderedPageBreak/>
        <w:t>The foreign direct investment capital from the beginning of the year to 20th February 2022</w:t>
      </w:r>
      <w:r w:rsidR="006D3FDB" w:rsidRPr="006D3FDB">
        <w:rPr>
          <w:rStyle w:val="FootnoteReference"/>
          <w:i/>
          <w:iCs/>
          <w:lang w:val="de-DE"/>
        </w:rPr>
        <w:footnoteReference w:id="8"/>
      </w:r>
      <w:r w:rsidR="006D3FDB" w:rsidRPr="006D3FDB">
        <w:rPr>
          <w:i/>
          <w:iCs/>
          <w:lang w:val="de-DE"/>
        </w:rPr>
        <w:t xml:space="preserve"> </w:t>
      </w:r>
      <w:r>
        <w:rPr>
          <w:iCs/>
          <w:lang w:val="de-DE"/>
        </w:rPr>
        <w:t>including newly registered capital, adjust registered capital, and the total value of capital contribution and share purchases of foreign investors reached nearly 5 billion USD, decreased by 8.5% compared to the same period in 2021.</w:t>
      </w:r>
    </w:p>
    <w:p w14:paraId="42B9D06E" w14:textId="77777777" w:rsidR="006D3FDB" w:rsidRPr="00CB1F4E" w:rsidRDefault="006D3FDB" w:rsidP="006D3FDB">
      <w:pPr>
        <w:jc w:val="center"/>
        <w:rPr>
          <w:rFonts w:ascii="Arial" w:hAnsi="Arial" w:cs="Arial"/>
          <w:b/>
          <w:bCs/>
          <w:sz w:val="2"/>
          <w:lang w:val="de-DE"/>
        </w:rPr>
      </w:pPr>
    </w:p>
    <w:p w14:paraId="6D7DE858" w14:textId="77777777" w:rsidR="006D3FDB" w:rsidRPr="00F573D2" w:rsidRDefault="006D3FDB" w:rsidP="006D3FDB">
      <w:pPr>
        <w:jc w:val="center"/>
        <w:rPr>
          <w:rFonts w:ascii="Arial" w:hAnsi="Arial" w:cs="Arial"/>
          <w:b/>
          <w:bCs/>
          <w:sz w:val="2"/>
          <w:lang w:val="de-DE"/>
        </w:rPr>
      </w:pPr>
    </w:p>
    <w:p w14:paraId="64AB7ED7" w14:textId="77777777" w:rsidR="004A7AEC" w:rsidRDefault="004A7AEC" w:rsidP="004A7AEC">
      <w:pPr>
        <w:shd w:val="clear" w:color="auto" w:fill="FFFFFF"/>
        <w:spacing w:before="40" w:after="40" w:line="292" w:lineRule="auto"/>
        <w:ind w:right="140"/>
        <w:jc w:val="center"/>
        <w:rPr>
          <w:rFonts w:ascii="Arial" w:hAnsi="Arial" w:cs="Arial"/>
          <w:b/>
          <w:bCs/>
          <w:sz w:val="24"/>
          <w:lang w:val="de-DE"/>
        </w:rPr>
      </w:pPr>
      <w:r>
        <w:rPr>
          <w:rFonts w:ascii="Arial" w:hAnsi="Arial" w:cs="Arial"/>
          <w:b/>
          <w:bCs/>
          <w:sz w:val="24"/>
          <w:lang w:val="de-DE"/>
        </w:rPr>
        <w:t xml:space="preserve">Figure 8. The registered capital of foreign investment in Vietnam </w:t>
      </w:r>
    </w:p>
    <w:p w14:paraId="222DE668" w14:textId="77777777" w:rsidR="004A7AEC" w:rsidRDefault="004A7AEC" w:rsidP="004A7AEC">
      <w:pPr>
        <w:shd w:val="clear" w:color="auto" w:fill="FFFFFF"/>
        <w:spacing w:before="40" w:after="40" w:line="292" w:lineRule="auto"/>
        <w:ind w:right="140"/>
        <w:jc w:val="center"/>
        <w:rPr>
          <w:rFonts w:ascii="Arial" w:hAnsi="Arial" w:cs="Arial"/>
          <w:b/>
          <w:bCs/>
          <w:sz w:val="24"/>
          <w:lang w:val="de-DE"/>
        </w:rPr>
      </w:pPr>
      <w:r>
        <w:rPr>
          <w:rFonts w:ascii="Arial" w:hAnsi="Arial" w:cs="Arial"/>
          <w:b/>
          <w:bCs/>
          <w:sz w:val="24"/>
          <w:lang w:val="de-DE"/>
        </w:rPr>
        <w:t>as of February 20th in</w:t>
      </w:r>
      <w:r>
        <w:rPr>
          <w:rFonts w:ascii="Arial" w:hAnsi="Arial" w:cs="Arial"/>
          <w:b/>
          <w:bCs/>
          <w:sz w:val="24"/>
        </w:rPr>
        <w:t xml:space="preserve"> </w:t>
      </w:r>
      <w:r>
        <w:rPr>
          <w:rFonts w:ascii="Arial" w:hAnsi="Arial" w:cs="Arial"/>
          <w:b/>
          <w:bCs/>
          <w:sz w:val="24"/>
          <w:lang w:val="de-DE"/>
        </w:rPr>
        <w:t>2018 - 2022 (Billion USD)</w:t>
      </w:r>
    </w:p>
    <w:p w14:paraId="4944877F" w14:textId="77777777" w:rsidR="006D3FDB" w:rsidRPr="00A007C7" w:rsidRDefault="006D3FDB" w:rsidP="006D3FDB">
      <w:pPr>
        <w:jc w:val="center"/>
        <w:rPr>
          <w:rFonts w:ascii="Arial" w:hAnsi="Arial" w:cs="Arial"/>
          <w:b/>
          <w:bCs/>
          <w:sz w:val="18"/>
          <w:szCs w:val="18"/>
          <w:lang w:val="de-DE"/>
        </w:rPr>
      </w:pPr>
    </w:p>
    <w:p w14:paraId="650F009B" w14:textId="131261C7" w:rsidR="006D3FDB" w:rsidRDefault="00A05F59" w:rsidP="006D3FDB">
      <w:pPr>
        <w:jc w:val="center"/>
        <w:rPr>
          <w:rFonts w:ascii="Arial" w:hAnsi="Arial" w:cs="Arial"/>
          <w:b/>
          <w:bCs/>
          <w:sz w:val="24"/>
          <w:lang w:val="de-DE"/>
        </w:rPr>
      </w:pPr>
      <w:r>
        <w:rPr>
          <w:noProof/>
        </w:rPr>
        <w:drawing>
          <wp:inline distT="0" distB="0" distL="0" distR="0" wp14:anchorId="433DCC23" wp14:editId="7A8582B0">
            <wp:extent cx="5520267" cy="3378200"/>
            <wp:effectExtent l="0" t="0" r="4445" b="12700"/>
            <wp:docPr id="20" name="Chart 20">
              <a:extLst xmlns:a="http://schemas.openxmlformats.org/drawingml/2006/main">
                <a:ext uri="{FF2B5EF4-FFF2-40B4-BE49-F238E27FC236}">
                  <a16:creationId xmlns:a16="http://schemas.microsoft.com/office/drawing/2014/main" id="{DE2F2423-9956-4AE6-A426-D549BFFF72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B97229D" w14:textId="77777777" w:rsidR="006D3FDB" w:rsidRPr="00A007C7" w:rsidRDefault="006D3FDB" w:rsidP="006D3FDB">
      <w:pPr>
        <w:jc w:val="center"/>
        <w:rPr>
          <w:rFonts w:ascii="Arial" w:hAnsi="Arial" w:cs="Arial"/>
          <w:b/>
          <w:bCs/>
          <w:sz w:val="16"/>
          <w:szCs w:val="16"/>
          <w:lang w:val="de-DE"/>
        </w:rPr>
      </w:pPr>
    </w:p>
    <w:p w14:paraId="72EBED75" w14:textId="77777777" w:rsidR="00062A88" w:rsidRDefault="00062A88" w:rsidP="00062A88">
      <w:pPr>
        <w:spacing w:before="40" w:after="40" w:line="276" w:lineRule="auto"/>
        <w:ind w:firstLine="567"/>
        <w:jc w:val="both"/>
        <w:rPr>
          <w:iCs/>
          <w:lang w:val="de-DE"/>
        </w:rPr>
      </w:pPr>
      <w:r>
        <w:rPr>
          <w:iCs/>
          <w:lang w:val="de-DE"/>
        </w:rPr>
        <w:t xml:space="preserve">- Newly registered capital included 183 newly licensed projects with a registered capital of 631,8 million USD, an increase of 45.2% in the number of projects and a decrease of 80.9% of registered capital compared to the same period last year; of which, processing and manufacturing industry attracted the 1st foreign direct investor with the registered capital of newly licensed projects reaching 346,8 million USD, accounting for 54.9% of the total newly registered capital; real estate business reached 186.9 million USD, accounting for 29.6%, the remaining industries reached 98.1 million USD, accounting for 15.5%. </w:t>
      </w:r>
    </w:p>
    <w:p w14:paraId="4FEB88B4" w14:textId="77777777" w:rsidR="00015496" w:rsidRDefault="00015496" w:rsidP="00015496">
      <w:pPr>
        <w:spacing w:before="40" w:after="40" w:line="276" w:lineRule="auto"/>
        <w:ind w:firstLine="567"/>
        <w:jc w:val="both"/>
        <w:rPr>
          <w:iCs/>
          <w:lang w:val="de-DE"/>
        </w:rPr>
      </w:pPr>
      <w:r>
        <w:rPr>
          <w:iCs/>
          <w:lang w:val="de-DE"/>
        </w:rPr>
        <w:t xml:space="preserve">Among 28 countries and territories having newly licensed investment projects in Vietnam in the first 02 months in 2022, Singapore was the largest investor with 222.8 million USD, accounting for 35.3% of total newly registered capital; Hong Kong Special Administrative Region (China) 112.7 million USD, accounting for 17.8%; China 78.9 million USD, accounting for 12.5%; South </w:t>
      </w:r>
      <w:r>
        <w:rPr>
          <w:iCs/>
          <w:lang w:val="de-DE"/>
        </w:rPr>
        <w:lastRenderedPageBreak/>
        <w:t xml:space="preserve">Korea 63.4 million USD, accounting for 10%; Taiwan 43.9 million USD, accounting for 7%. </w:t>
      </w:r>
    </w:p>
    <w:p w14:paraId="4281FCDA" w14:textId="77777777" w:rsidR="004D7D8A" w:rsidRDefault="004D7D8A" w:rsidP="007469AE">
      <w:pPr>
        <w:spacing w:before="40" w:after="40" w:line="288" w:lineRule="auto"/>
        <w:ind w:firstLine="567"/>
        <w:jc w:val="both"/>
        <w:rPr>
          <w:iCs/>
          <w:lang w:val="de-DE"/>
        </w:rPr>
      </w:pPr>
      <w:r>
        <w:rPr>
          <w:iCs/>
          <w:lang w:val="de-DE"/>
        </w:rPr>
        <w:t>- Adjust registered capital included 142 turns of projects which were licensed in the previous years registered to adjust investment capital with the additional capital of 3.59 billion USD, increased by 123.8% compared to same previous of last year.</w:t>
      </w:r>
    </w:p>
    <w:p w14:paraId="0FCDFF0E" w14:textId="77777777" w:rsidR="004D7D8A" w:rsidRDefault="004D7D8A" w:rsidP="007469AE">
      <w:pPr>
        <w:spacing w:before="40" w:after="40" w:line="288" w:lineRule="auto"/>
        <w:ind w:firstLine="567"/>
        <w:jc w:val="both"/>
        <w:rPr>
          <w:lang w:val="de-DE"/>
        </w:rPr>
      </w:pPr>
      <w:r>
        <w:rPr>
          <w:lang w:val="de-DE"/>
        </w:rPr>
        <w:t xml:space="preserve">If including additionally newly registered capital and </w:t>
      </w:r>
      <w:r>
        <w:rPr>
          <w:iCs/>
          <w:lang w:val="de-DE"/>
        </w:rPr>
        <w:t xml:space="preserve">adjust registered capital </w:t>
      </w:r>
      <w:r>
        <w:rPr>
          <w:lang w:val="de-DE"/>
        </w:rPr>
        <w:t xml:space="preserve">of licensed projects in previous years, foreign direct investment capital in the processing and manufacturing industry reached 2.9 billion USD, accounting for 68.7% of the total newly registered capital and additional capital; </w:t>
      </w:r>
      <w:r>
        <w:rPr>
          <w:iCs/>
          <w:lang w:val="de-DE"/>
        </w:rPr>
        <w:t>real estate business</w:t>
      </w:r>
      <w:r>
        <w:rPr>
          <w:lang w:val="de-DE"/>
        </w:rPr>
        <w:t xml:space="preserve"> reached 1.16 million USD, accounting for 27.5%; the remaining industries reached 160.4 million USD, accounting for 3.8%.</w:t>
      </w:r>
    </w:p>
    <w:p w14:paraId="6EF4C3AA" w14:textId="77777777" w:rsidR="008C45B2" w:rsidRDefault="008C45B2" w:rsidP="007469AE">
      <w:pPr>
        <w:spacing w:line="288" w:lineRule="auto"/>
        <w:ind w:firstLine="720"/>
        <w:jc w:val="both"/>
        <w:rPr>
          <w:lang w:val="de-DE"/>
        </w:rPr>
      </w:pPr>
      <w:r>
        <w:rPr>
          <w:lang w:val="de-DE"/>
        </w:rPr>
        <w:t>- Capital contribution and share purchases of foreign investors included 400 turns with a total value of the capital contribution of 769.6 million USD, an increase of 41.7%</w:t>
      </w:r>
      <w:r>
        <w:t xml:space="preserve"> compared to the same period last year</w:t>
      </w:r>
      <w:r>
        <w:rPr>
          <w:lang w:val="de-DE"/>
        </w:rPr>
        <w:t>. Of</w:t>
      </w:r>
      <w:r>
        <w:t xml:space="preserve"> which</w:t>
      </w:r>
      <w:r>
        <w:rPr>
          <w:lang w:val="de-DE"/>
        </w:rPr>
        <w:t xml:space="preserve"> 174 turns of capital contribution, share purchase caused the increase of charter capital of the enterprise with the value of contributed capital of 91.5 million USD, and 226 turns of foreign investors repurchased domestic shares without increasing the charter capital with a value of 678.1 million USD. About the form of capital contribution and share purchase by foreign investors, the investment capital in real estate business reached 357.8 million USD, accounting for 46.5% of the total capital</w:t>
      </w:r>
      <w:r>
        <w:t xml:space="preserve"> contribution</w:t>
      </w:r>
      <w:r>
        <w:rPr>
          <w:lang w:val="de-DE"/>
        </w:rPr>
        <w:t>; the processing and manufacturing industry reached 228.7 million USD, accounting for 29.7%; the remaining industries reached 183 million USD, accounting for 23.8%.</w:t>
      </w:r>
    </w:p>
    <w:p w14:paraId="38FB703F" w14:textId="34790B86" w:rsidR="005F4133" w:rsidRDefault="005F4133" w:rsidP="007469AE">
      <w:pPr>
        <w:spacing w:before="40" w:after="40" w:line="288" w:lineRule="auto"/>
        <w:ind w:firstLine="567"/>
        <w:jc w:val="both"/>
      </w:pPr>
      <w:r>
        <w:rPr>
          <w:rStyle w:val="Emphasis"/>
          <w:color w:val="0E101A"/>
        </w:rPr>
        <w:t>Foreign direct investment capital</w:t>
      </w:r>
      <w:r>
        <w:t xml:space="preserve"> that implemented in the first 2 months of 2022 reached 2.68 billion USD, an increase of 7.2% over the same period last year, of which the </w:t>
      </w:r>
      <w:r>
        <w:rPr>
          <w:lang w:val="de-DE"/>
        </w:rPr>
        <w:t>processing and manufacturing industry</w:t>
      </w:r>
      <w:r>
        <w:t xml:space="preserve"> reached 2.02 billion USD, accounting for 75.4% of total realized foreign direct investment capital; real estate business activities gained 324.3 billion USD, making up 12.1%; electricity, gas, steam, and air conditioning supply recorded 210 million USD, comprising of 7.8%.</w:t>
      </w:r>
    </w:p>
    <w:p w14:paraId="22BBDB17" w14:textId="1BD0B8CE" w:rsidR="007469AE" w:rsidRDefault="007469AE" w:rsidP="007469AE">
      <w:pPr>
        <w:spacing w:before="40" w:after="40" w:line="288" w:lineRule="auto"/>
        <w:ind w:firstLine="567"/>
        <w:jc w:val="both"/>
      </w:pPr>
    </w:p>
    <w:p w14:paraId="314E7A33" w14:textId="2AB2B552" w:rsidR="007469AE" w:rsidRDefault="007469AE" w:rsidP="007469AE">
      <w:pPr>
        <w:spacing w:before="40" w:after="40" w:line="288" w:lineRule="auto"/>
        <w:ind w:firstLine="567"/>
        <w:jc w:val="both"/>
      </w:pPr>
    </w:p>
    <w:p w14:paraId="24E2C682" w14:textId="2AE63A27" w:rsidR="007469AE" w:rsidRDefault="007469AE" w:rsidP="007469AE">
      <w:pPr>
        <w:spacing w:before="40" w:after="40" w:line="288" w:lineRule="auto"/>
        <w:ind w:firstLine="567"/>
        <w:jc w:val="both"/>
      </w:pPr>
    </w:p>
    <w:p w14:paraId="5D51A43C" w14:textId="2016893C" w:rsidR="007469AE" w:rsidRDefault="007469AE" w:rsidP="007469AE">
      <w:pPr>
        <w:spacing w:before="40" w:after="40" w:line="288" w:lineRule="auto"/>
        <w:ind w:firstLine="567"/>
        <w:jc w:val="both"/>
      </w:pPr>
    </w:p>
    <w:p w14:paraId="1B9B8ACE" w14:textId="77777777" w:rsidR="007469AE" w:rsidRDefault="007469AE" w:rsidP="007469AE">
      <w:pPr>
        <w:spacing w:before="40" w:after="40" w:line="288" w:lineRule="auto"/>
        <w:ind w:firstLine="567"/>
        <w:jc w:val="both"/>
      </w:pPr>
    </w:p>
    <w:p w14:paraId="614169DE" w14:textId="77777777" w:rsidR="005A0FC3" w:rsidRDefault="005A0FC3" w:rsidP="005A0FC3">
      <w:pPr>
        <w:spacing w:before="120"/>
        <w:jc w:val="center"/>
        <w:rPr>
          <w:rFonts w:ascii="Arial" w:hAnsi="Arial" w:cs="Arial"/>
          <w:b/>
          <w:bCs/>
          <w:sz w:val="24"/>
          <w:lang w:val="de-DE"/>
        </w:rPr>
      </w:pPr>
      <w:r>
        <w:rPr>
          <w:rFonts w:ascii="Arial" w:hAnsi="Arial" w:cs="Arial"/>
          <w:b/>
          <w:bCs/>
          <w:sz w:val="24"/>
          <w:lang w:val="de-DE"/>
        </w:rPr>
        <w:lastRenderedPageBreak/>
        <w:t>Figure 9. Implemented FDI capital in</w:t>
      </w:r>
      <w:r>
        <w:rPr>
          <w:rFonts w:ascii="Arial" w:hAnsi="Arial" w:cs="Arial"/>
          <w:b/>
          <w:bCs/>
          <w:sz w:val="24"/>
          <w:lang w:val="de-DE"/>
        </w:rPr>
        <w:br/>
        <w:t>the first 2 months of the years 2018-2022 (Billion USD)</w:t>
      </w:r>
    </w:p>
    <w:p w14:paraId="2A537F0C" w14:textId="3E3A64FF" w:rsidR="006D3FDB" w:rsidRDefault="006D3FDB" w:rsidP="002A0FB3">
      <w:pPr>
        <w:jc w:val="center"/>
        <w:rPr>
          <w:rFonts w:ascii="Arial" w:hAnsi="Arial" w:cs="Arial"/>
          <w:b/>
          <w:bCs/>
          <w:sz w:val="24"/>
          <w:lang w:val="de-DE"/>
        </w:rPr>
      </w:pPr>
    </w:p>
    <w:p w14:paraId="603DB6C4" w14:textId="77777777" w:rsidR="006D3FDB" w:rsidRDefault="006D3FDB" w:rsidP="00BF635A">
      <w:pPr>
        <w:jc w:val="center"/>
        <w:rPr>
          <w:rFonts w:ascii="Arial" w:hAnsi="Arial" w:cs="Arial"/>
          <w:b/>
          <w:bCs/>
          <w:i/>
          <w:lang w:val="de-DE"/>
        </w:rPr>
      </w:pPr>
      <w:r>
        <w:rPr>
          <w:rFonts w:ascii="Arial" w:hAnsi="Arial" w:cs="Arial"/>
          <w:b/>
          <w:bCs/>
          <w:i/>
          <w:noProof/>
          <w:lang w:val="en-GB" w:eastAsia="en-GB"/>
        </w:rPr>
        <w:drawing>
          <wp:inline distT="0" distB="0" distL="0" distR="0" wp14:anchorId="2AE3783B" wp14:editId="71881103">
            <wp:extent cx="5900260" cy="3422073"/>
            <wp:effectExtent l="0" t="0" r="5715"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srcRect/>
                    <a:stretch>
                      <a:fillRect/>
                    </a:stretch>
                  </pic:blipFill>
                  <pic:spPr bwMode="auto">
                    <a:xfrm>
                      <a:off x="0" y="0"/>
                      <a:ext cx="5909786" cy="3427598"/>
                    </a:xfrm>
                    <a:prstGeom prst="rect">
                      <a:avLst/>
                    </a:prstGeom>
                    <a:noFill/>
                    <a:ln w="9525">
                      <a:noFill/>
                      <a:miter lim="800000"/>
                      <a:headEnd/>
                      <a:tailEnd/>
                    </a:ln>
                  </pic:spPr>
                </pic:pic>
              </a:graphicData>
            </a:graphic>
          </wp:inline>
        </w:drawing>
      </w:r>
    </w:p>
    <w:p w14:paraId="6CB682CF" w14:textId="77777777" w:rsidR="00B759D7" w:rsidRDefault="00B759D7" w:rsidP="001F24E1">
      <w:pPr>
        <w:spacing w:before="40" w:after="40" w:line="276" w:lineRule="auto"/>
        <w:ind w:firstLine="567"/>
        <w:jc w:val="both"/>
        <w:rPr>
          <w:i/>
          <w:spacing w:val="-2"/>
          <w:lang w:val="de-DE"/>
        </w:rPr>
      </w:pPr>
    </w:p>
    <w:p w14:paraId="14B93E6B" w14:textId="64AD7035" w:rsidR="001F24E1" w:rsidRDefault="001F24E1" w:rsidP="001F24E1">
      <w:pPr>
        <w:spacing w:before="40" w:after="40" w:line="276" w:lineRule="auto"/>
        <w:ind w:firstLine="567"/>
        <w:jc w:val="both"/>
        <w:rPr>
          <w:iCs/>
          <w:spacing w:val="-2"/>
          <w:lang w:val="de-DE"/>
        </w:rPr>
      </w:pPr>
      <w:r w:rsidRPr="001F24E1">
        <w:rPr>
          <w:i/>
          <w:spacing w:val="-2"/>
          <w:lang w:val="de-DE"/>
        </w:rPr>
        <w:t>Vietnam's investment abroad</w:t>
      </w:r>
      <w:r>
        <w:rPr>
          <w:iCs/>
          <w:spacing w:val="-2"/>
          <w:lang w:val="de-DE"/>
        </w:rPr>
        <w:t xml:space="preserve"> in the first 2 months of 2022, there were 21 projects newly granted investment certificates with a total investment capital of 51.7 million USD, 2.4 times higher over the same period of last year; 02 turns of projects adjusted capital with adjust capital down 7.2 million USD. </w:t>
      </w:r>
    </w:p>
    <w:p w14:paraId="661F66EB" w14:textId="77777777" w:rsidR="00023FE8" w:rsidRDefault="00023FE8" w:rsidP="00023FE8">
      <w:pPr>
        <w:spacing w:before="40" w:after="40" w:line="276" w:lineRule="auto"/>
        <w:ind w:firstLine="567"/>
        <w:jc w:val="both"/>
        <w:rPr>
          <w:iCs/>
          <w:spacing w:val="-2"/>
          <w:lang w:val="de-DE"/>
        </w:rPr>
      </w:pPr>
      <w:r>
        <w:rPr>
          <w:iCs/>
          <w:spacing w:val="-2"/>
          <w:lang w:val="de-DE"/>
        </w:rPr>
        <w:t>Generally, the total investment capital of Vietnam abroad (newly and additionally licensed capital) reached 44.5 million USD, 2.1 times higher over the same period last year, in which the mining activities reached 33.5 million USD; the wholesale and retail sector, repair of cars, motorcycles, motorbikes, and other motor vehicles reached 15.1 million USD;</w:t>
      </w:r>
      <w:r>
        <w:rPr>
          <w:lang w:val="de-DE"/>
        </w:rPr>
        <w:t xml:space="preserve"> the </w:t>
      </w:r>
      <w:r>
        <w:rPr>
          <w:iCs/>
          <w:spacing w:val="-2"/>
          <w:lang w:val="de-DE"/>
        </w:rPr>
        <w:t xml:space="preserve">financial, banking insurance activities reached 9.2 million USD; </w:t>
      </w:r>
      <w:r>
        <w:rPr>
          <w:lang w:val="de-DE"/>
        </w:rPr>
        <w:t>the processing and manufacturing industry</w:t>
      </w:r>
      <w:r>
        <w:rPr>
          <w:iCs/>
          <w:spacing w:val="-2"/>
          <w:lang w:val="de-DE"/>
        </w:rPr>
        <w:t xml:space="preserve"> adjusted capital with adjusting capital down 16.4 million USD. </w:t>
      </w:r>
    </w:p>
    <w:p w14:paraId="26E1F38F" w14:textId="0C019F66" w:rsidR="00B51E6C" w:rsidRDefault="00B51E6C" w:rsidP="00B51E6C">
      <w:pPr>
        <w:spacing w:before="40" w:after="40" w:line="276" w:lineRule="auto"/>
        <w:ind w:firstLine="567"/>
        <w:jc w:val="both"/>
        <w:rPr>
          <w:iCs/>
          <w:spacing w:val="-2"/>
          <w:lang w:val="de-DE"/>
        </w:rPr>
      </w:pPr>
      <w:r>
        <w:rPr>
          <w:iCs/>
          <w:spacing w:val="-2"/>
          <w:lang w:val="de-DE"/>
        </w:rPr>
        <w:t xml:space="preserve">In the first 2 months of 2022, 08 countries and territories received investment from Vietnam, of which Laos was the leading country with 48.2 million USD; </w:t>
      </w:r>
      <w:r>
        <w:rPr>
          <w:iCs/>
          <w:lang w:val="de-DE"/>
        </w:rPr>
        <w:t>Singapore</w:t>
      </w:r>
      <w:r>
        <w:rPr>
          <w:iCs/>
          <w:spacing w:val="-2"/>
          <w:lang w:val="de-DE"/>
        </w:rPr>
        <w:t xml:space="preserve"> 7.4 million USD; United States 2.9 million USD; China 1.3 million USD; South Korea 575 thousand USD; Myanmar adjusted the capital down 16.4 million USD. </w:t>
      </w:r>
    </w:p>
    <w:p w14:paraId="354CB08C" w14:textId="5A1DAFF1" w:rsidR="007469AE" w:rsidRDefault="007469AE" w:rsidP="00B51E6C">
      <w:pPr>
        <w:spacing w:before="40" w:after="40" w:line="276" w:lineRule="auto"/>
        <w:ind w:firstLine="567"/>
        <w:jc w:val="both"/>
        <w:rPr>
          <w:iCs/>
          <w:spacing w:val="-2"/>
          <w:lang w:val="de-DE"/>
        </w:rPr>
      </w:pPr>
    </w:p>
    <w:p w14:paraId="3FF39C86" w14:textId="77777777" w:rsidR="007469AE" w:rsidRDefault="007469AE" w:rsidP="00B51E6C">
      <w:pPr>
        <w:spacing w:before="40" w:after="40" w:line="276" w:lineRule="auto"/>
        <w:ind w:firstLine="567"/>
        <w:jc w:val="both"/>
        <w:rPr>
          <w:iCs/>
          <w:spacing w:val="-2"/>
          <w:lang w:val="de-DE"/>
        </w:rPr>
      </w:pPr>
    </w:p>
    <w:p w14:paraId="44252FD3" w14:textId="73107F6B" w:rsidR="0025706F" w:rsidRPr="0025706F" w:rsidRDefault="0025706F" w:rsidP="007B59CF">
      <w:pPr>
        <w:spacing w:before="40" w:after="40" w:line="288" w:lineRule="auto"/>
        <w:ind w:firstLine="567"/>
        <w:jc w:val="both"/>
        <w:rPr>
          <w:b/>
          <w:bCs/>
        </w:rPr>
      </w:pPr>
      <w:r w:rsidRPr="0025706F">
        <w:rPr>
          <w:b/>
          <w:bCs/>
        </w:rPr>
        <w:lastRenderedPageBreak/>
        <w:t xml:space="preserve">5. </w:t>
      </w:r>
      <w:r w:rsidR="004720E1">
        <w:rPr>
          <w:b/>
          <w:bCs/>
        </w:rPr>
        <w:t xml:space="preserve">State budget revenue and expenditure </w:t>
      </w:r>
      <w:r w:rsidRPr="0025706F">
        <w:rPr>
          <w:rStyle w:val="FootnoteReference"/>
          <w:b/>
          <w:bCs/>
        </w:rPr>
        <w:footnoteReference w:id="9"/>
      </w:r>
    </w:p>
    <w:p w14:paraId="0A20F14A" w14:textId="77777777" w:rsidR="008D41A0" w:rsidRPr="00094590" w:rsidRDefault="008D41A0" w:rsidP="008D41A0">
      <w:pPr>
        <w:spacing w:before="40" w:after="40" w:line="288" w:lineRule="auto"/>
        <w:ind w:firstLine="567"/>
        <w:jc w:val="both"/>
        <w:rPr>
          <w:i/>
          <w:lang w:val="nl-NL"/>
        </w:rPr>
      </w:pPr>
      <w:r w:rsidRPr="00094590">
        <w:rPr>
          <w:i/>
          <w:lang w:val="nl-NL"/>
        </w:rPr>
        <w:t>State budget revenue in the first two months of 2022 increased by 10.8% over the same period last year. State budget expenditures meet the needs of socio-economic development, national defense</w:t>
      </w:r>
      <w:r>
        <w:rPr>
          <w:i/>
          <w:lang w:val="nl-NL"/>
        </w:rPr>
        <w:t>,</w:t>
      </w:r>
      <w:r w:rsidRPr="00094590">
        <w:rPr>
          <w:i/>
          <w:lang w:val="nl-NL"/>
        </w:rPr>
        <w:t xml:space="preserve"> and security, state management, payment of due debts, spending on</w:t>
      </w:r>
      <w:r>
        <w:rPr>
          <w:i/>
          <w:lang w:val="nl-NL"/>
        </w:rPr>
        <w:t xml:space="preserve"> the</w:t>
      </w:r>
      <w:r w:rsidRPr="00094590">
        <w:rPr>
          <w:i/>
          <w:lang w:val="nl-NL"/>
        </w:rPr>
        <w:t xml:space="preserve"> Covid-19 pandemic prevention</w:t>
      </w:r>
      <w:r>
        <w:rPr>
          <w:i/>
          <w:lang w:val="nl-NL"/>
        </w:rPr>
        <w:t>,</w:t>
      </w:r>
      <w:r w:rsidRPr="00094590">
        <w:rPr>
          <w:i/>
          <w:lang w:val="nl-NL"/>
        </w:rPr>
        <w:t xml:space="preserve"> and implementation of social </w:t>
      </w:r>
      <w:r>
        <w:rPr>
          <w:i/>
          <w:lang w:val="nl-NL"/>
        </w:rPr>
        <w:t>s</w:t>
      </w:r>
      <w:r w:rsidRPr="00094590">
        <w:rPr>
          <w:i/>
          <w:lang w:val="nl-NL"/>
        </w:rPr>
        <w:t>ecurity policies.</w:t>
      </w:r>
    </w:p>
    <w:p w14:paraId="1B216542" w14:textId="77777777" w:rsidR="0025706F" w:rsidRPr="000D635A" w:rsidRDefault="0025706F" w:rsidP="0025706F">
      <w:pPr>
        <w:spacing w:before="40" w:after="40" w:line="276" w:lineRule="auto"/>
        <w:ind w:firstLine="567"/>
        <w:jc w:val="both"/>
        <w:rPr>
          <w:rFonts w:ascii="Arial" w:hAnsi="Arial" w:cs="Arial"/>
          <w:b/>
          <w:sz w:val="10"/>
          <w:szCs w:val="10"/>
          <w:lang w:val="nl-NL"/>
        </w:rPr>
      </w:pPr>
      <w:r w:rsidRPr="000D635A">
        <w:rPr>
          <w:rFonts w:ascii="Arial" w:hAnsi="Arial" w:cs="Arial"/>
          <w:b/>
          <w:sz w:val="24"/>
          <w:szCs w:val="24"/>
          <w:lang w:val="nl-NL"/>
        </w:rPr>
        <w:t xml:space="preserve"> </w:t>
      </w:r>
    </w:p>
    <w:p w14:paraId="6E40B582" w14:textId="77777777" w:rsidR="00A42353" w:rsidRDefault="00A42353" w:rsidP="00A42353">
      <w:pPr>
        <w:spacing w:before="40" w:after="160" w:line="264" w:lineRule="auto"/>
        <w:jc w:val="center"/>
        <w:rPr>
          <w:rFonts w:ascii="Arial" w:hAnsi="Arial" w:cs="Arial"/>
          <w:b/>
          <w:sz w:val="24"/>
          <w:szCs w:val="24"/>
          <w:lang w:val="nl-NL"/>
        </w:rPr>
      </w:pPr>
      <w:r>
        <w:rPr>
          <w:rFonts w:ascii="Arial" w:hAnsi="Arial" w:cs="Arial"/>
          <w:b/>
          <w:sz w:val="24"/>
          <w:szCs w:val="24"/>
          <w:lang w:val="nl-NL"/>
        </w:rPr>
        <w:t>Figure 10.</w:t>
      </w:r>
      <w:r w:rsidRPr="00A007C7">
        <w:rPr>
          <w:rFonts w:ascii="Arial" w:hAnsi="Arial" w:cs="Arial"/>
          <w:b/>
          <w:sz w:val="24"/>
          <w:szCs w:val="24"/>
          <w:lang w:val="nl-NL"/>
        </w:rPr>
        <w:t xml:space="preserve"> </w:t>
      </w:r>
      <w:r>
        <w:rPr>
          <w:rFonts w:ascii="Arial" w:hAnsi="Arial" w:cs="Arial"/>
          <w:b/>
          <w:sz w:val="24"/>
          <w:szCs w:val="24"/>
          <w:lang w:val="nl-NL"/>
        </w:rPr>
        <w:t>State budget revenue and expenditure</w:t>
      </w:r>
    </w:p>
    <w:p w14:paraId="1CB459BF" w14:textId="7851C746" w:rsidR="0025706F" w:rsidRPr="00A007C7" w:rsidRDefault="00F904BD" w:rsidP="0025706F">
      <w:pPr>
        <w:spacing w:before="40" w:after="40" w:line="264" w:lineRule="auto"/>
        <w:jc w:val="center"/>
        <w:rPr>
          <w:rFonts w:ascii="Arial" w:hAnsi="Arial" w:cs="Arial"/>
          <w:b/>
          <w:sz w:val="24"/>
          <w:szCs w:val="24"/>
          <w:lang w:val="nl-NL"/>
        </w:rPr>
      </w:pPr>
      <w:r>
        <w:rPr>
          <w:noProof/>
        </w:rPr>
        <w:drawing>
          <wp:inline distT="0" distB="0" distL="0" distR="0" wp14:anchorId="0986B12F" wp14:editId="04A77E8E">
            <wp:extent cx="4585855" cy="1888591"/>
            <wp:effectExtent l="0" t="0" r="5715" b="0"/>
            <wp:docPr id="25" name="Picture 2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graphical user interfac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04890" cy="1896430"/>
                    </a:xfrm>
                    <a:prstGeom prst="rect">
                      <a:avLst/>
                    </a:prstGeom>
                    <a:noFill/>
                    <a:ln>
                      <a:noFill/>
                    </a:ln>
                  </pic:spPr>
                </pic:pic>
              </a:graphicData>
            </a:graphic>
          </wp:inline>
        </w:drawing>
      </w:r>
    </w:p>
    <w:p w14:paraId="4DE3B25A" w14:textId="77777777" w:rsidR="0025706F" w:rsidRPr="00782604" w:rsidRDefault="0025706F" w:rsidP="0025706F">
      <w:pPr>
        <w:spacing w:before="40" w:after="40" w:line="254" w:lineRule="auto"/>
        <w:jc w:val="center"/>
        <w:rPr>
          <w:i/>
          <w:sz w:val="10"/>
          <w:szCs w:val="10"/>
          <w:lang w:val="it-IT"/>
        </w:rPr>
      </w:pPr>
    </w:p>
    <w:p w14:paraId="725040DA" w14:textId="77777777" w:rsidR="00D56873" w:rsidRPr="00300191" w:rsidRDefault="00D56873" w:rsidP="00D56873">
      <w:pPr>
        <w:spacing w:before="40" w:after="40" w:line="288" w:lineRule="auto"/>
        <w:ind w:firstLine="567"/>
        <w:jc w:val="both"/>
        <w:rPr>
          <w:lang w:val="nl-NL"/>
        </w:rPr>
      </w:pPr>
      <w:r w:rsidRPr="00300191">
        <w:rPr>
          <w:b/>
          <w:i/>
          <w:lang w:val="nl-NL"/>
        </w:rPr>
        <w:t>State budget revenue</w:t>
      </w:r>
      <w:r w:rsidRPr="00300191">
        <w:rPr>
          <w:lang w:val="nl-NL"/>
        </w:rPr>
        <w:t>:</w:t>
      </w:r>
    </w:p>
    <w:p w14:paraId="05C4EEF0" w14:textId="77777777" w:rsidR="00D670A8" w:rsidRPr="00300191" w:rsidRDefault="00D670A8" w:rsidP="00D670A8">
      <w:pPr>
        <w:spacing w:before="40" w:after="40" w:line="288" w:lineRule="auto"/>
        <w:ind w:firstLine="567"/>
        <w:jc w:val="both"/>
        <w:rPr>
          <w:lang w:val="nl-NL"/>
        </w:rPr>
      </w:pPr>
      <w:r w:rsidRPr="00300191">
        <w:rPr>
          <w:lang w:val="nl-NL"/>
        </w:rPr>
        <w:t xml:space="preserve">Total state budget revenue in February 2022 </w:t>
      </w:r>
      <w:r>
        <w:rPr>
          <w:lang w:val="nl-NL"/>
        </w:rPr>
        <w:t>wa</w:t>
      </w:r>
      <w:r w:rsidRPr="00300191">
        <w:rPr>
          <w:lang w:val="nl-NL"/>
        </w:rPr>
        <w:t xml:space="preserve">s estimated at 138.5 trillion VND. The accumulated total state budget revenue in the first two months of the year reached 323.8 trillion </w:t>
      </w:r>
      <w:r>
        <w:rPr>
          <w:lang w:val="nl-NL"/>
        </w:rPr>
        <w:t>VND</w:t>
      </w:r>
      <w:r w:rsidRPr="00300191">
        <w:rPr>
          <w:lang w:val="nl-NL"/>
        </w:rPr>
        <w:t xml:space="preserve">, equaling 22.9% of the </w:t>
      </w:r>
      <w:r>
        <w:rPr>
          <w:lang w:val="nl-NL"/>
        </w:rPr>
        <w:t>annual</w:t>
      </w:r>
      <w:r w:rsidRPr="00300191">
        <w:rPr>
          <w:lang w:val="nl-NL"/>
        </w:rPr>
        <w:t xml:space="preserve"> estimate and increasing by 10.8% over the same period last year. </w:t>
      </w:r>
      <w:r>
        <w:rPr>
          <w:lang w:val="nl-NL"/>
        </w:rPr>
        <w:t>Of</w:t>
      </w:r>
      <w:r w:rsidRPr="00300191">
        <w:rPr>
          <w:lang w:val="nl-NL"/>
        </w:rPr>
        <w:t xml:space="preserve"> which, some of the main revenues are as follows:</w:t>
      </w:r>
    </w:p>
    <w:p w14:paraId="6F0F1067" w14:textId="77777777" w:rsidR="00D670A8" w:rsidRPr="00300191" w:rsidRDefault="00D670A8" w:rsidP="00D670A8">
      <w:pPr>
        <w:spacing w:before="40" w:after="40" w:line="288" w:lineRule="auto"/>
        <w:ind w:firstLine="567"/>
        <w:jc w:val="both"/>
        <w:rPr>
          <w:lang w:val="nl-NL"/>
        </w:rPr>
      </w:pPr>
      <w:r w:rsidRPr="00300191">
        <w:rPr>
          <w:lang w:val="nl-NL"/>
        </w:rPr>
        <w:t xml:space="preserve">- Domestic revenue in February 2022 </w:t>
      </w:r>
      <w:r>
        <w:rPr>
          <w:lang w:val="nl-NL"/>
        </w:rPr>
        <w:t>was</w:t>
      </w:r>
      <w:r w:rsidRPr="00300191">
        <w:rPr>
          <w:lang w:val="nl-NL"/>
        </w:rPr>
        <w:t xml:space="preserve"> estimated at 114.6 trillion VND. Accumulated in the first 2 months of the year reached 270.8 trillion </w:t>
      </w:r>
      <w:r>
        <w:rPr>
          <w:lang w:val="nl-NL"/>
        </w:rPr>
        <w:t>VND</w:t>
      </w:r>
      <w:r w:rsidRPr="00300191">
        <w:rPr>
          <w:lang w:val="nl-NL"/>
        </w:rPr>
        <w:t xml:space="preserve">, equaling 23% of the </w:t>
      </w:r>
      <w:r>
        <w:rPr>
          <w:lang w:val="nl-NL"/>
        </w:rPr>
        <w:t>annual estimate,</w:t>
      </w:r>
      <w:r w:rsidRPr="00300191">
        <w:rPr>
          <w:lang w:val="nl-NL"/>
        </w:rPr>
        <w:t xml:space="preserve"> and increasing by 7.6% over the same period last year.</w:t>
      </w:r>
    </w:p>
    <w:p w14:paraId="2FF5277F" w14:textId="77777777" w:rsidR="00D670A8" w:rsidRPr="007A7616" w:rsidRDefault="00D670A8" w:rsidP="00D670A8">
      <w:pPr>
        <w:spacing w:before="40" w:after="40" w:line="288" w:lineRule="auto"/>
        <w:ind w:firstLine="567"/>
        <w:jc w:val="both"/>
        <w:rPr>
          <w:spacing w:val="-2"/>
          <w:lang w:val="nl-NL"/>
        </w:rPr>
      </w:pPr>
      <w:r w:rsidRPr="007A7616">
        <w:rPr>
          <w:spacing w:val="-2"/>
          <w:lang w:val="nl-NL"/>
        </w:rPr>
        <w:t xml:space="preserve">- Revenue from crude oil in February 2022 </w:t>
      </w:r>
      <w:r>
        <w:rPr>
          <w:spacing w:val="-2"/>
          <w:lang w:val="nl-NL"/>
        </w:rPr>
        <w:t>wa</w:t>
      </w:r>
      <w:r w:rsidRPr="007A7616">
        <w:rPr>
          <w:spacing w:val="-2"/>
          <w:lang w:val="nl-NL"/>
        </w:rPr>
        <w:t>s estimated at 4,900 billion</w:t>
      </w:r>
      <w:r>
        <w:rPr>
          <w:spacing w:val="-2"/>
          <w:lang w:val="nl-NL"/>
        </w:rPr>
        <w:t xml:space="preserve"> VND</w:t>
      </w:r>
      <w:r w:rsidRPr="007A7616">
        <w:rPr>
          <w:spacing w:val="-2"/>
          <w:lang w:val="nl-NL"/>
        </w:rPr>
        <w:t xml:space="preserve">; accumulated in the first 2 months of the year reached 8,060 billion </w:t>
      </w:r>
      <w:r>
        <w:rPr>
          <w:spacing w:val="-2"/>
          <w:lang w:val="nl-NL"/>
        </w:rPr>
        <w:t>VND</w:t>
      </w:r>
      <w:r w:rsidRPr="007A7616">
        <w:rPr>
          <w:spacing w:val="-2"/>
          <w:lang w:val="nl-NL"/>
        </w:rPr>
        <w:t>, equaling 28.6% of the annual estimate</w:t>
      </w:r>
      <w:r>
        <w:rPr>
          <w:spacing w:val="-2"/>
          <w:lang w:val="nl-NL"/>
        </w:rPr>
        <w:t>,</w:t>
      </w:r>
      <w:r w:rsidRPr="007A7616">
        <w:rPr>
          <w:spacing w:val="-2"/>
          <w:lang w:val="nl-NL"/>
        </w:rPr>
        <w:t xml:space="preserve"> and increasing by 57.2% over the same period last year.</w:t>
      </w:r>
    </w:p>
    <w:p w14:paraId="6AF8F226" w14:textId="77777777" w:rsidR="00D670A8" w:rsidRPr="008816F9" w:rsidRDefault="00D670A8" w:rsidP="00D670A8">
      <w:pPr>
        <w:spacing w:before="40" w:after="40" w:line="288" w:lineRule="auto"/>
        <w:ind w:firstLine="567"/>
        <w:jc w:val="both"/>
        <w:rPr>
          <w:lang w:val="nl-NL"/>
        </w:rPr>
      </w:pPr>
      <w:r w:rsidRPr="00300191">
        <w:rPr>
          <w:lang w:val="nl-NL"/>
        </w:rPr>
        <w:t xml:space="preserve">- Balanced budget revenue from import and export activities in February 2022 </w:t>
      </w:r>
      <w:r>
        <w:rPr>
          <w:lang w:val="nl-NL"/>
        </w:rPr>
        <w:t>wa</w:t>
      </w:r>
      <w:r w:rsidRPr="00300191">
        <w:rPr>
          <w:lang w:val="nl-NL"/>
        </w:rPr>
        <w:t xml:space="preserve">s estimated at 19 trillion VND; accumulated in the first 2 months of the year reached 45 trillion </w:t>
      </w:r>
      <w:r>
        <w:rPr>
          <w:lang w:val="nl-NL"/>
        </w:rPr>
        <w:t>VND</w:t>
      </w:r>
      <w:r w:rsidRPr="00300191">
        <w:rPr>
          <w:lang w:val="nl-NL"/>
        </w:rPr>
        <w:t xml:space="preserve">, equaling 22.6% of the </w:t>
      </w:r>
      <w:r>
        <w:rPr>
          <w:lang w:val="nl-NL"/>
        </w:rPr>
        <w:t>annual estimate,</w:t>
      </w:r>
      <w:r w:rsidRPr="00300191">
        <w:rPr>
          <w:lang w:val="nl-NL"/>
        </w:rPr>
        <w:t xml:space="preserve"> and increasing by 29.4% over the same period last year.</w:t>
      </w:r>
    </w:p>
    <w:p w14:paraId="426F85A3" w14:textId="77777777" w:rsidR="00C34549" w:rsidRPr="00300191" w:rsidRDefault="00C34549" w:rsidP="00C34549">
      <w:pPr>
        <w:spacing w:before="40" w:after="40" w:line="295" w:lineRule="auto"/>
        <w:ind w:firstLine="567"/>
        <w:jc w:val="both"/>
        <w:rPr>
          <w:b/>
          <w:i/>
          <w:spacing w:val="-4"/>
          <w:lang w:val="nl-NL"/>
        </w:rPr>
      </w:pPr>
      <w:r w:rsidRPr="00300191">
        <w:rPr>
          <w:b/>
          <w:i/>
          <w:spacing w:val="-4"/>
          <w:lang w:val="nl-NL"/>
        </w:rPr>
        <w:lastRenderedPageBreak/>
        <w:t>State budget expenditure:</w:t>
      </w:r>
    </w:p>
    <w:p w14:paraId="7FCB3927" w14:textId="77777777" w:rsidR="009078C3" w:rsidRPr="00CA0C6A" w:rsidRDefault="009078C3" w:rsidP="009078C3">
      <w:pPr>
        <w:spacing w:before="40" w:after="40" w:line="295" w:lineRule="auto"/>
        <w:ind w:firstLine="567"/>
        <w:jc w:val="both"/>
        <w:rPr>
          <w:spacing w:val="-4"/>
          <w:lang w:val="nl-NL"/>
        </w:rPr>
      </w:pPr>
      <w:bookmarkStart w:id="2" w:name="_Hlk54593811"/>
      <w:r w:rsidRPr="00300191">
        <w:rPr>
          <w:spacing w:val="-4"/>
          <w:lang w:val="nl-NL"/>
        </w:rPr>
        <w:t xml:space="preserve">Total state budget expenditure in February 2022 </w:t>
      </w:r>
      <w:r>
        <w:rPr>
          <w:spacing w:val="-4"/>
          <w:lang w:val="nl-NL"/>
        </w:rPr>
        <w:t>was</w:t>
      </w:r>
      <w:r w:rsidRPr="00300191">
        <w:rPr>
          <w:spacing w:val="-4"/>
          <w:lang w:val="nl-NL"/>
        </w:rPr>
        <w:t xml:space="preserve"> estimated at 106.3 trillion VND; accumulated in the first 2 months of the year was estimated at 228.2 trillion </w:t>
      </w:r>
      <w:r>
        <w:rPr>
          <w:spacing w:val="-4"/>
          <w:lang w:val="nl-NL"/>
        </w:rPr>
        <w:t>VND</w:t>
      </w:r>
      <w:r w:rsidRPr="00300191">
        <w:rPr>
          <w:spacing w:val="-4"/>
          <w:lang w:val="nl-NL"/>
        </w:rPr>
        <w:t xml:space="preserve">, equaling 12.8% of the </w:t>
      </w:r>
      <w:r>
        <w:rPr>
          <w:spacing w:val="-4"/>
          <w:lang w:val="nl-NL"/>
        </w:rPr>
        <w:t>annual estimate,</w:t>
      </w:r>
      <w:r w:rsidRPr="00300191">
        <w:rPr>
          <w:spacing w:val="-4"/>
          <w:lang w:val="nl-NL"/>
        </w:rPr>
        <w:t xml:space="preserve"> and increasing by 10.5% over the same period last year. In which, recurrent expenditure in the first 2 months of the year reached 163.3 trillion </w:t>
      </w:r>
      <w:r>
        <w:rPr>
          <w:spacing w:val="-4"/>
          <w:lang w:val="nl-NL"/>
        </w:rPr>
        <w:t>VND</w:t>
      </w:r>
      <w:r w:rsidRPr="00300191">
        <w:rPr>
          <w:spacing w:val="-4"/>
          <w:lang w:val="nl-NL"/>
        </w:rPr>
        <w:t xml:space="preserve">, equaling 14.7% of the </w:t>
      </w:r>
      <w:r>
        <w:rPr>
          <w:spacing w:val="-4"/>
          <w:lang w:val="nl-NL"/>
        </w:rPr>
        <w:t>annual estimate</w:t>
      </w:r>
      <w:r w:rsidRPr="00300191">
        <w:rPr>
          <w:spacing w:val="-4"/>
          <w:lang w:val="nl-NL"/>
        </w:rPr>
        <w:t xml:space="preserve"> and increasing by 0.9%; development investment expenditure reached 44.6 trillion </w:t>
      </w:r>
      <w:r>
        <w:rPr>
          <w:spacing w:val="-4"/>
          <w:lang w:val="nl-NL"/>
        </w:rPr>
        <w:t>VND</w:t>
      </w:r>
      <w:r w:rsidRPr="00300191">
        <w:rPr>
          <w:spacing w:val="-4"/>
          <w:lang w:val="nl-NL"/>
        </w:rPr>
        <w:t>, equaling 8.5%</w:t>
      </w:r>
      <w:r>
        <w:rPr>
          <w:spacing w:val="-4"/>
          <w:lang w:val="nl-NL"/>
        </w:rPr>
        <w:t>,</w:t>
      </w:r>
      <w:r w:rsidRPr="00300191">
        <w:rPr>
          <w:spacing w:val="-4"/>
          <w:lang w:val="nl-NL"/>
        </w:rPr>
        <w:t xml:space="preserve"> and increasing by 89.9%; debt payment interest is 20.3 trillion </w:t>
      </w:r>
      <w:r>
        <w:rPr>
          <w:spacing w:val="-4"/>
          <w:lang w:val="nl-NL"/>
        </w:rPr>
        <w:t>VND</w:t>
      </w:r>
      <w:r w:rsidRPr="00300191">
        <w:rPr>
          <w:spacing w:val="-4"/>
          <w:lang w:val="nl-NL"/>
        </w:rPr>
        <w:t>, equaling 19.6%</w:t>
      </w:r>
      <w:r>
        <w:rPr>
          <w:spacing w:val="-4"/>
          <w:lang w:val="nl-NL"/>
        </w:rPr>
        <w:t>,</w:t>
      </w:r>
      <w:r w:rsidRPr="00300191">
        <w:rPr>
          <w:spacing w:val="-4"/>
          <w:lang w:val="nl-NL"/>
        </w:rPr>
        <w:t xml:space="preserve"> and decreasing by 4.3%.</w:t>
      </w:r>
    </w:p>
    <w:p w14:paraId="3E0CB2F5" w14:textId="77777777" w:rsidR="00DF2AAE" w:rsidRDefault="00E81E8E" w:rsidP="00DF2AAE">
      <w:pPr>
        <w:pStyle w:val="Normal1"/>
        <w:spacing w:before="40" w:beforeAutospacing="0" w:after="40" w:afterAutospacing="0" w:line="295" w:lineRule="auto"/>
        <w:ind w:firstLine="567"/>
        <w:jc w:val="both"/>
        <w:rPr>
          <w:b/>
          <w:bCs/>
          <w:sz w:val="28"/>
          <w:szCs w:val="28"/>
        </w:rPr>
      </w:pPr>
      <w:r w:rsidRPr="0033017B">
        <w:rPr>
          <w:b/>
          <w:bCs/>
          <w:sz w:val="28"/>
          <w:szCs w:val="28"/>
        </w:rPr>
        <w:t xml:space="preserve">6. </w:t>
      </w:r>
      <w:bookmarkEnd w:id="2"/>
      <w:r w:rsidR="00DF2AAE" w:rsidRPr="00DF2AAE">
        <w:rPr>
          <w:b/>
          <w:bCs/>
          <w:sz w:val="28"/>
          <w:szCs w:val="28"/>
        </w:rPr>
        <w:t>Trade, prices, transport, and tourism</w:t>
      </w:r>
    </w:p>
    <w:p w14:paraId="1868AE52" w14:textId="77777777" w:rsidR="00DF2AAE" w:rsidRDefault="00DF2AAE" w:rsidP="00DF2AAE">
      <w:pPr>
        <w:spacing w:before="40" w:after="40" w:line="288" w:lineRule="auto"/>
        <w:ind w:firstLine="567"/>
        <w:jc w:val="both"/>
        <w:rPr>
          <w:b/>
          <w:bCs/>
          <w:i/>
          <w:iCs/>
          <w:lang w:val="nl-NL"/>
        </w:rPr>
      </w:pPr>
      <w:r>
        <w:rPr>
          <w:b/>
          <w:bCs/>
          <w:i/>
          <w:iCs/>
          <w:lang w:val="nl-NL"/>
        </w:rPr>
        <w:t xml:space="preserve">a) </w:t>
      </w:r>
      <w:r>
        <w:rPr>
          <w:b/>
          <w:bCs/>
          <w:i/>
          <w:iCs/>
        </w:rPr>
        <w:t>Retail sales of consumer goods and services</w:t>
      </w:r>
    </w:p>
    <w:p w14:paraId="7665FDBF" w14:textId="77777777" w:rsidR="00FE50EB" w:rsidRPr="007E5A48" w:rsidRDefault="00FE50EB" w:rsidP="00FE50EB">
      <w:pPr>
        <w:pStyle w:val="BodyTextIndent"/>
        <w:spacing w:before="40" w:after="40" w:line="295" w:lineRule="auto"/>
        <w:ind w:left="0" w:firstLine="567"/>
        <w:jc w:val="both"/>
        <w:rPr>
          <w:i/>
          <w:spacing w:val="-2"/>
          <w:lang w:val="it-IT"/>
        </w:rPr>
      </w:pPr>
      <w:r w:rsidRPr="00D66D34">
        <w:rPr>
          <w:i/>
          <w:spacing w:val="-2"/>
          <w:lang w:val="it-IT"/>
        </w:rPr>
        <w:t xml:space="preserve">February </w:t>
      </w:r>
      <w:r>
        <w:rPr>
          <w:i/>
          <w:spacing w:val="-2"/>
          <w:lang w:val="it-IT"/>
        </w:rPr>
        <w:t>was the month of</w:t>
      </w:r>
      <w:r w:rsidRPr="00D66D34">
        <w:rPr>
          <w:i/>
          <w:spacing w:val="-2"/>
          <w:lang w:val="it-IT"/>
        </w:rPr>
        <w:t xml:space="preserve"> the Lunar New Year holiday with many activities to </w:t>
      </w:r>
      <w:r>
        <w:rPr>
          <w:i/>
          <w:spacing w:val="-2"/>
          <w:lang w:val="it-IT"/>
        </w:rPr>
        <w:t>start</w:t>
      </w:r>
      <w:r w:rsidRPr="00D66D34">
        <w:rPr>
          <w:i/>
          <w:spacing w:val="-2"/>
          <w:lang w:val="it-IT"/>
        </w:rPr>
        <w:t xml:space="preserve"> the spring and festivals, so the total retail sales of consumer goods and services increased by 3.1% over the same period last year; in which revenue from accommodation and food services increased by 12.6% and from travel and tourism increased by 39.4%. Generally</w:t>
      </w:r>
      <w:r>
        <w:rPr>
          <w:i/>
          <w:spacing w:val="-2"/>
          <w:lang w:val="it-IT"/>
        </w:rPr>
        <w:t>,</w:t>
      </w:r>
      <w:r w:rsidRPr="00D66D34">
        <w:rPr>
          <w:i/>
          <w:spacing w:val="-2"/>
          <w:lang w:val="it-IT"/>
        </w:rPr>
        <w:t xml:space="preserve"> for the first two months of 2022, the total retail sales of consumer goods and services increased by 1.7% over the same period last year.</w:t>
      </w:r>
    </w:p>
    <w:p w14:paraId="243B208E" w14:textId="6995790C" w:rsidR="004A6EE2" w:rsidRDefault="004A6EE2" w:rsidP="004A6EE2">
      <w:pPr>
        <w:spacing w:before="40" w:after="40" w:line="295" w:lineRule="auto"/>
        <w:ind w:firstLine="567"/>
        <w:jc w:val="both"/>
        <w:rPr>
          <w:bCs/>
          <w:lang w:val="it-IT"/>
        </w:rPr>
      </w:pPr>
      <w:r w:rsidRPr="004A6EE2">
        <w:rPr>
          <w:bCs/>
          <w:i/>
          <w:iCs/>
          <w:lang w:val="it-IT"/>
        </w:rPr>
        <w:t>Total retail sales of consumer goods and services</w:t>
      </w:r>
      <w:r w:rsidRPr="00D66D34">
        <w:rPr>
          <w:bCs/>
          <w:lang w:val="it-IT"/>
        </w:rPr>
        <w:t xml:space="preserve"> in February 2022 was estimated at 421.8 trillion VND, down 7.1% from the previous month and up 3.1% over the same period last year. Generally, in the first two months of 2022, the total retail sales of consumer goods and services </w:t>
      </w:r>
      <w:r>
        <w:rPr>
          <w:bCs/>
          <w:lang w:val="it-IT"/>
        </w:rPr>
        <w:t>were</w:t>
      </w:r>
      <w:r w:rsidRPr="00D66D34">
        <w:rPr>
          <w:bCs/>
          <w:lang w:val="it-IT"/>
        </w:rPr>
        <w:t xml:space="preserve"> estimated at more than 876 trillion VND, up 1.7% over the same period last year, if excluding the price factor</w:t>
      </w:r>
      <w:r>
        <w:rPr>
          <w:bCs/>
          <w:lang w:val="it-IT"/>
        </w:rPr>
        <w:t xml:space="preserve"> it was a </w:t>
      </w:r>
      <w:r w:rsidRPr="00D66D34">
        <w:rPr>
          <w:bCs/>
          <w:lang w:val="it-IT"/>
        </w:rPr>
        <w:t>reduction</w:t>
      </w:r>
      <w:r>
        <w:rPr>
          <w:bCs/>
          <w:lang w:val="it-IT"/>
        </w:rPr>
        <w:t xml:space="preserve"> of</w:t>
      </w:r>
      <w:r w:rsidRPr="00D66D34">
        <w:rPr>
          <w:bCs/>
          <w:lang w:val="it-IT"/>
        </w:rPr>
        <w:t xml:space="preserve"> 0, 3% (in the same period in 2021, </w:t>
      </w:r>
      <w:r>
        <w:rPr>
          <w:bCs/>
          <w:lang w:val="it-IT"/>
        </w:rPr>
        <w:t>up</w:t>
      </w:r>
      <w:r w:rsidRPr="00D66D34">
        <w:rPr>
          <w:bCs/>
          <w:lang w:val="it-IT"/>
        </w:rPr>
        <w:t xml:space="preserve"> 0.7%).</w:t>
      </w:r>
    </w:p>
    <w:p w14:paraId="2651A504" w14:textId="77777777" w:rsidR="006D2E17" w:rsidRDefault="006D2E17" w:rsidP="004A6EE2">
      <w:pPr>
        <w:spacing w:before="40" w:after="40" w:line="295" w:lineRule="auto"/>
        <w:ind w:firstLine="567"/>
        <w:jc w:val="both"/>
        <w:rPr>
          <w:bCs/>
          <w:lang w:val="it-IT"/>
        </w:rPr>
      </w:pPr>
    </w:p>
    <w:p w14:paraId="444BA3D7" w14:textId="65F9C2A9" w:rsidR="002A0FB3" w:rsidRDefault="00DF34B1" w:rsidP="00DF34B1">
      <w:pPr>
        <w:tabs>
          <w:tab w:val="left" w:pos="2835"/>
        </w:tabs>
        <w:spacing w:line="264" w:lineRule="auto"/>
        <w:ind w:right="140" w:firstLine="567"/>
        <w:jc w:val="center"/>
        <w:rPr>
          <w:rFonts w:ascii="Arial" w:hAnsi="Arial" w:cs="Arial"/>
          <w:b/>
          <w:spacing w:val="-2"/>
          <w:sz w:val="24"/>
          <w:szCs w:val="20"/>
          <w:lang w:val="pl-PL"/>
        </w:rPr>
      </w:pPr>
      <w:r w:rsidRPr="00DF34B1">
        <w:rPr>
          <w:rFonts w:ascii="Arial" w:hAnsi="Arial" w:cs="Arial"/>
          <w:b/>
          <w:spacing w:val="-2"/>
          <w:sz w:val="24"/>
          <w:szCs w:val="20"/>
          <w:lang w:val="pl-PL"/>
        </w:rPr>
        <w:t>Table 4. Retail sales of consumer goods and services</w:t>
      </w:r>
    </w:p>
    <w:tbl>
      <w:tblPr>
        <w:tblW w:w="0" w:type="auto"/>
        <w:jc w:val="center"/>
        <w:tblLook w:val="04A0" w:firstRow="1" w:lastRow="0" w:firstColumn="1" w:lastColumn="0" w:noHBand="0" w:noVBand="1"/>
      </w:tblPr>
      <w:tblGrid>
        <w:gridCol w:w="2694"/>
        <w:gridCol w:w="1275"/>
        <w:gridCol w:w="1418"/>
        <w:gridCol w:w="1147"/>
        <w:gridCol w:w="412"/>
        <w:gridCol w:w="1418"/>
        <w:gridCol w:w="78"/>
      </w:tblGrid>
      <w:tr w:rsidR="00086197" w:rsidRPr="00C8026C" w14:paraId="418DF722" w14:textId="77777777" w:rsidTr="00CC04BC">
        <w:trPr>
          <w:gridAfter w:val="1"/>
          <w:wAfter w:w="78" w:type="dxa"/>
          <w:cantSplit/>
          <w:jc w:val="center"/>
        </w:trPr>
        <w:tc>
          <w:tcPr>
            <w:tcW w:w="2694" w:type="dxa"/>
            <w:tcBorders>
              <w:top w:val="single" w:sz="8" w:space="0" w:color="auto"/>
              <w:left w:val="nil"/>
              <w:bottom w:val="nil"/>
              <w:right w:val="nil"/>
            </w:tcBorders>
            <w:shd w:val="clear" w:color="auto" w:fill="auto"/>
            <w:hideMark/>
          </w:tcPr>
          <w:p w14:paraId="54872F41" w14:textId="77777777" w:rsidR="00086197" w:rsidRPr="00C8026C" w:rsidRDefault="00086197" w:rsidP="00CC04BC">
            <w:pPr>
              <w:jc w:val="both"/>
              <w:rPr>
                <w:rFonts w:ascii="Arial" w:hAnsi="Arial" w:cs="Arial"/>
                <w:color w:val="000000"/>
                <w:sz w:val="20"/>
                <w:szCs w:val="20"/>
              </w:rPr>
            </w:pPr>
            <w:r w:rsidRPr="00C8026C">
              <w:rPr>
                <w:rFonts w:ascii="Arial" w:hAnsi="Arial" w:cs="Arial"/>
                <w:bCs/>
                <w:color w:val="000000"/>
                <w:sz w:val="20"/>
                <w:szCs w:val="20"/>
              </w:rPr>
              <w:t> </w:t>
            </w:r>
          </w:p>
        </w:tc>
        <w:tc>
          <w:tcPr>
            <w:tcW w:w="1275" w:type="dxa"/>
            <w:vMerge w:val="restart"/>
            <w:tcBorders>
              <w:top w:val="single" w:sz="8" w:space="0" w:color="auto"/>
              <w:left w:val="nil"/>
              <w:right w:val="nil"/>
            </w:tcBorders>
            <w:shd w:val="clear" w:color="auto" w:fill="auto"/>
            <w:vAlign w:val="center"/>
            <w:hideMark/>
          </w:tcPr>
          <w:p w14:paraId="612CC354" w14:textId="77777777" w:rsidR="00086197" w:rsidRPr="00C8026C" w:rsidRDefault="00086197" w:rsidP="00CC04BC">
            <w:pPr>
              <w:jc w:val="center"/>
              <w:rPr>
                <w:rFonts w:ascii="Arial" w:hAnsi="Arial" w:cs="Arial"/>
                <w:color w:val="000000"/>
                <w:sz w:val="20"/>
                <w:szCs w:val="20"/>
              </w:rPr>
            </w:pPr>
            <w:r w:rsidRPr="00C8026C">
              <w:rPr>
                <w:rFonts w:ascii="Arial" w:hAnsi="Arial" w:cs="Arial"/>
                <w:bCs/>
                <w:sz w:val="20"/>
                <w:szCs w:val="20"/>
              </w:rPr>
              <w:t>Estimate</w:t>
            </w:r>
            <w:r w:rsidRPr="00C8026C">
              <w:rPr>
                <w:rFonts w:ascii="Arial" w:hAnsi="Arial" w:cs="Arial"/>
                <w:color w:val="000000"/>
                <w:sz w:val="20"/>
                <w:szCs w:val="20"/>
              </w:rPr>
              <w:t xml:space="preserve"> </w:t>
            </w:r>
          </w:p>
          <w:p w14:paraId="0D4E4AE1" w14:textId="77777777" w:rsidR="00086197" w:rsidRPr="00C8026C" w:rsidRDefault="00086197" w:rsidP="00CC04BC">
            <w:pPr>
              <w:jc w:val="center"/>
              <w:rPr>
                <w:rFonts w:ascii="Arial" w:hAnsi="Arial" w:cs="Arial"/>
                <w:color w:val="000000"/>
                <w:sz w:val="20"/>
                <w:szCs w:val="20"/>
              </w:rPr>
            </w:pPr>
            <w:r w:rsidRPr="00C8026C">
              <w:rPr>
                <w:rFonts w:ascii="Arial" w:hAnsi="Arial" w:cs="Arial"/>
                <w:color w:val="000000"/>
                <w:sz w:val="20"/>
                <w:szCs w:val="20"/>
              </w:rPr>
              <w:t>February</w:t>
            </w:r>
          </w:p>
          <w:p w14:paraId="0F9B59A8" w14:textId="77777777" w:rsidR="00086197" w:rsidRPr="00C8026C" w:rsidRDefault="00086197" w:rsidP="00CC04BC">
            <w:pPr>
              <w:jc w:val="center"/>
              <w:rPr>
                <w:rFonts w:ascii="Arial" w:hAnsi="Arial" w:cs="Arial"/>
                <w:color w:val="000000"/>
                <w:sz w:val="20"/>
                <w:szCs w:val="20"/>
              </w:rPr>
            </w:pPr>
            <w:r w:rsidRPr="00C8026C">
              <w:rPr>
                <w:rFonts w:ascii="Arial" w:hAnsi="Arial" w:cs="Arial"/>
                <w:color w:val="000000"/>
                <w:sz w:val="20"/>
                <w:szCs w:val="20"/>
                <w:lang w:val="en-GB"/>
              </w:rPr>
              <w:t>2022</w:t>
            </w:r>
          </w:p>
        </w:tc>
        <w:tc>
          <w:tcPr>
            <w:tcW w:w="1418" w:type="dxa"/>
            <w:vMerge w:val="restart"/>
            <w:tcBorders>
              <w:top w:val="single" w:sz="8" w:space="0" w:color="auto"/>
              <w:left w:val="nil"/>
              <w:right w:val="nil"/>
            </w:tcBorders>
            <w:shd w:val="clear" w:color="auto" w:fill="auto"/>
            <w:vAlign w:val="center"/>
            <w:hideMark/>
          </w:tcPr>
          <w:p w14:paraId="55CB332F" w14:textId="77777777" w:rsidR="00086197" w:rsidRPr="00C8026C" w:rsidRDefault="00086197" w:rsidP="00CC04BC">
            <w:pPr>
              <w:jc w:val="center"/>
              <w:rPr>
                <w:rFonts w:ascii="Arial" w:hAnsi="Arial" w:cs="Arial"/>
                <w:color w:val="000000"/>
                <w:sz w:val="20"/>
                <w:szCs w:val="20"/>
              </w:rPr>
            </w:pPr>
            <w:r w:rsidRPr="00C8026C">
              <w:rPr>
                <w:rFonts w:ascii="Arial" w:hAnsi="Arial" w:cs="Arial"/>
                <w:bCs/>
                <w:sz w:val="20"/>
                <w:szCs w:val="20"/>
              </w:rPr>
              <w:t>Estimate</w:t>
            </w:r>
          </w:p>
          <w:p w14:paraId="6F7771E8" w14:textId="77777777" w:rsidR="00086197" w:rsidRPr="00C8026C" w:rsidRDefault="00086197" w:rsidP="00CC04BC">
            <w:pPr>
              <w:jc w:val="center"/>
              <w:rPr>
                <w:rFonts w:ascii="Arial" w:hAnsi="Arial" w:cs="Arial"/>
                <w:color w:val="000000"/>
                <w:sz w:val="20"/>
                <w:szCs w:val="20"/>
              </w:rPr>
            </w:pPr>
            <w:r w:rsidRPr="00C8026C">
              <w:rPr>
                <w:rFonts w:ascii="Arial" w:hAnsi="Arial" w:cs="Arial"/>
                <w:color w:val="000000"/>
                <w:sz w:val="20"/>
                <w:szCs w:val="20"/>
              </w:rPr>
              <w:t xml:space="preserve">2 </w:t>
            </w:r>
            <w:r>
              <w:rPr>
                <w:rFonts w:ascii="Arial" w:hAnsi="Arial" w:cs="Arial"/>
                <w:color w:val="000000"/>
                <w:sz w:val="20"/>
                <w:szCs w:val="20"/>
              </w:rPr>
              <w:t>months</w:t>
            </w:r>
          </w:p>
          <w:p w14:paraId="5459B755" w14:textId="77777777" w:rsidR="00086197" w:rsidRPr="00C8026C" w:rsidRDefault="00086197" w:rsidP="00CC04BC">
            <w:pPr>
              <w:jc w:val="center"/>
              <w:rPr>
                <w:rFonts w:ascii="Arial" w:hAnsi="Arial" w:cs="Arial"/>
                <w:color w:val="000000"/>
                <w:sz w:val="20"/>
                <w:szCs w:val="20"/>
              </w:rPr>
            </w:pPr>
            <w:r w:rsidRPr="00C8026C">
              <w:rPr>
                <w:rFonts w:ascii="Arial" w:hAnsi="Arial" w:cs="Arial"/>
                <w:color w:val="000000"/>
                <w:sz w:val="20"/>
                <w:szCs w:val="20"/>
                <w:lang w:val="en-GB"/>
              </w:rPr>
              <w:t>2022</w:t>
            </w:r>
          </w:p>
        </w:tc>
        <w:tc>
          <w:tcPr>
            <w:tcW w:w="2977" w:type="dxa"/>
            <w:gridSpan w:val="3"/>
            <w:vMerge w:val="restart"/>
            <w:tcBorders>
              <w:top w:val="single" w:sz="8" w:space="0" w:color="auto"/>
              <w:left w:val="nil"/>
              <w:right w:val="nil"/>
            </w:tcBorders>
            <w:shd w:val="clear" w:color="auto" w:fill="auto"/>
            <w:vAlign w:val="center"/>
            <w:hideMark/>
          </w:tcPr>
          <w:p w14:paraId="10DB2102" w14:textId="77777777" w:rsidR="00086197" w:rsidRPr="00C8026C" w:rsidRDefault="00086197" w:rsidP="00CC04BC">
            <w:pPr>
              <w:jc w:val="center"/>
              <w:rPr>
                <w:rFonts w:ascii="Arial" w:hAnsi="Arial" w:cs="Arial"/>
                <w:color w:val="000000"/>
                <w:sz w:val="20"/>
                <w:szCs w:val="20"/>
              </w:rPr>
            </w:pPr>
            <w:r>
              <w:rPr>
                <w:rFonts w:ascii="Arial" w:hAnsi="Arial" w:cs="Arial"/>
                <w:bCs/>
                <w:sz w:val="20"/>
                <w:szCs w:val="20"/>
              </w:rPr>
              <w:t>The g</w:t>
            </w:r>
            <w:r w:rsidRPr="00C8026C">
              <w:rPr>
                <w:rFonts w:ascii="Arial" w:hAnsi="Arial" w:cs="Arial"/>
                <w:bCs/>
                <w:sz w:val="20"/>
                <w:szCs w:val="20"/>
              </w:rPr>
              <w:t>rowth rate</w:t>
            </w:r>
            <w:r w:rsidRPr="00C8026C">
              <w:rPr>
                <w:rFonts w:ascii="Arial" w:hAnsi="Arial" w:cs="Arial"/>
                <w:bCs/>
                <w:sz w:val="20"/>
                <w:szCs w:val="20"/>
              </w:rPr>
              <w:br/>
              <w:t xml:space="preserve">compared to </w:t>
            </w:r>
            <w:r>
              <w:rPr>
                <w:rFonts w:ascii="Arial" w:hAnsi="Arial" w:cs="Arial"/>
                <w:bCs/>
                <w:sz w:val="20"/>
                <w:szCs w:val="20"/>
              </w:rPr>
              <w:t xml:space="preserve">the </w:t>
            </w:r>
            <w:r w:rsidRPr="00C8026C">
              <w:rPr>
                <w:rFonts w:ascii="Arial" w:hAnsi="Arial" w:cs="Arial"/>
                <w:bCs/>
                <w:sz w:val="20"/>
                <w:szCs w:val="20"/>
              </w:rPr>
              <w:t>same period last year (%)</w:t>
            </w:r>
          </w:p>
        </w:tc>
      </w:tr>
      <w:tr w:rsidR="00086197" w:rsidRPr="00C8026C" w14:paraId="38BE62B9" w14:textId="77777777" w:rsidTr="00CC04BC">
        <w:trPr>
          <w:gridAfter w:val="1"/>
          <w:wAfter w:w="78" w:type="dxa"/>
          <w:cantSplit/>
          <w:jc w:val="center"/>
        </w:trPr>
        <w:tc>
          <w:tcPr>
            <w:tcW w:w="2694" w:type="dxa"/>
            <w:tcBorders>
              <w:top w:val="nil"/>
              <w:left w:val="nil"/>
              <w:bottom w:val="nil"/>
              <w:right w:val="nil"/>
            </w:tcBorders>
            <w:shd w:val="clear" w:color="auto" w:fill="auto"/>
            <w:hideMark/>
          </w:tcPr>
          <w:p w14:paraId="7E4EB009" w14:textId="77777777" w:rsidR="00086197" w:rsidRPr="00C8026C" w:rsidRDefault="00086197" w:rsidP="00CC04BC">
            <w:pPr>
              <w:jc w:val="both"/>
              <w:rPr>
                <w:rFonts w:ascii="Arial" w:hAnsi="Arial" w:cs="Arial"/>
                <w:color w:val="000000"/>
                <w:sz w:val="20"/>
                <w:szCs w:val="20"/>
              </w:rPr>
            </w:pPr>
          </w:p>
        </w:tc>
        <w:tc>
          <w:tcPr>
            <w:tcW w:w="1275" w:type="dxa"/>
            <w:vMerge/>
            <w:tcBorders>
              <w:left w:val="nil"/>
              <w:right w:val="nil"/>
            </w:tcBorders>
            <w:shd w:val="clear" w:color="auto" w:fill="auto"/>
            <w:vAlign w:val="center"/>
            <w:hideMark/>
          </w:tcPr>
          <w:p w14:paraId="2BC43D8F" w14:textId="77777777" w:rsidR="00086197" w:rsidRPr="00C8026C" w:rsidRDefault="00086197" w:rsidP="00CC04BC">
            <w:pPr>
              <w:jc w:val="center"/>
              <w:rPr>
                <w:rFonts w:ascii="Arial" w:hAnsi="Arial" w:cs="Arial"/>
                <w:color w:val="000000"/>
                <w:sz w:val="20"/>
                <w:szCs w:val="20"/>
              </w:rPr>
            </w:pPr>
          </w:p>
        </w:tc>
        <w:tc>
          <w:tcPr>
            <w:tcW w:w="1418" w:type="dxa"/>
            <w:vMerge/>
            <w:tcBorders>
              <w:left w:val="nil"/>
              <w:right w:val="nil"/>
            </w:tcBorders>
            <w:shd w:val="clear" w:color="auto" w:fill="auto"/>
            <w:vAlign w:val="center"/>
            <w:hideMark/>
          </w:tcPr>
          <w:p w14:paraId="227A6D32" w14:textId="77777777" w:rsidR="00086197" w:rsidRPr="00C8026C" w:rsidRDefault="00086197" w:rsidP="00CC04BC">
            <w:pPr>
              <w:jc w:val="center"/>
              <w:rPr>
                <w:rFonts w:ascii="Arial" w:hAnsi="Arial" w:cs="Arial"/>
                <w:color w:val="000000"/>
                <w:sz w:val="20"/>
                <w:szCs w:val="20"/>
              </w:rPr>
            </w:pPr>
          </w:p>
        </w:tc>
        <w:tc>
          <w:tcPr>
            <w:tcW w:w="2977" w:type="dxa"/>
            <w:gridSpan w:val="3"/>
            <w:vMerge/>
            <w:tcBorders>
              <w:left w:val="nil"/>
              <w:bottom w:val="single" w:sz="8" w:space="0" w:color="auto"/>
              <w:right w:val="nil"/>
            </w:tcBorders>
            <w:shd w:val="clear" w:color="auto" w:fill="auto"/>
            <w:vAlign w:val="center"/>
            <w:hideMark/>
          </w:tcPr>
          <w:p w14:paraId="4DBBCD43" w14:textId="77777777" w:rsidR="00086197" w:rsidRPr="00C8026C" w:rsidRDefault="00086197" w:rsidP="00CC04BC">
            <w:pPr>
              <w:jc w:val="center"/>
              <w:rPr>
                <w:rFonts w:ascii="Arial" w:hAnsi="Arial" w:cs="Arial"/>
                <w:color w:val="000000"/>
                <w:sz w:val="20"/>
                <w:szCs w:val="20"/>
              </w:rPr>
            </w:pPr>
          </w:p>
        </w:tc>
      </w:tr>
      <w:tr w:rsidR="00086197" w:rsidRPr="00C8026C" w14:paraId="0A13569A" w14:textId="77777777" w:rsidTr="00CC04BC">
        <w:trPr>
          <w:gridAfter w:val="1"/>
          <w:wAfter w:w="78" w:type="dxa"/>
          <w:cantSplit/>
          <w:jc w:val="center"/>
        </w:trPr>
        <w:tc>
          <w:tcPr>
            <w:tcW w:w="2694" w:type="dxa"/>
            <w:tcBorders>
              <w:top w:val="nil"/>
              <w:left w:val="nil"/>
              <w:bottom w:val="nil"/>
              <w:right w:val="nil"/>
            </w:tcBorders>
            <w:shd w:val="clear" w:color="auto" w:fill="auto"/>
            <w:hideMark/>
          </w:tcPr>
          <w:p w14:paraId="7ADE35CF" w14:textId="77777777" w:rsidR="00086197" w:rsidRPr="00C8026C" w:rsidRDefault="00086197" w:rsidP="00CC04BC">
            <w:pPr>
              <w:jc w:val="both"/>
              <w:rPr>
                <w:rFonts w:ascii="Arial" w:hAnsi="Arial" w:cs="Arial"/>
                <w:color w:val="000000"/>
                <w:sz w:val="20"/>
                <w:szCs w:val="20"/>
              </w:rPr>
            </w:pPr>
          </w:p>
        </w:tc>
        <w:tc>
          <w:tcPr>
            <w:tcW w:w="1275" w:type="dxa"/>
            <w:vMerge/>
            <w:tcBorders>
              <w:left w:val="nil"/>
              <w:right w:val="nil"/>
            </w:tcBorders>
            <w:shd w:val="clear" w:color="auto" w:fill="auto"/>
            <w:vAlign w:val="center"/>
            <w:hideMark/>
          </w:tcPr>
          <w:p w14:paraId="39C347E7" w14:textId="77777777" w:rsidR="00086197" w:rsidRPr="00C8026C" w:rsidRDefault="00086197" w:rsidP="00CC04BC">
            <w:pPr>
              <w:jc w:val="center"/>
              <w:rPr>
                <w:rFonts w:ascii="Arial" w:hAnsi="Arial" w:cs="Arial"/>
                <w:color w:val="000000"/>
                <w:sz w:val="20"/>
                <w:szCs w:val="20"/>
                <w:lang w:val="en-GB"/>
              </w:rPr>
            </w:pPr>
          </w:p>
        </w:tc>
        <w:tc>
          <w:tcPr>
            <w:tcW w:w="1418" w:type="dxa"/>
            <w:vMerge/>
            <w:tcBorders>
              <w:left w:val="nil"/>
              <w:right w:val="nil"/>
            </w:tcBorders>
            <w:shd w:val="clear" w:color="auto" w:fill="auto"/>
            <w:vAlign w:val="center"/>
            <w:hideMark/>
          </w:tcPr>
          <w:p w14:paraId="13AA2C95" w14:textId="77777777" w:rsidR="00086197" w:rsidRPr="00C8026C" w:rsidRDefault="00086197" w:rsidP="00CC04BC">
            <w:pPr>
              <w:jc w:val="center"/>
              <w:rPr>
                <w:rFonts w:ascii="Arial" w:hAnsi="Arial" w:cs="Arial"/>
                <w:color w:val="000000"/>
                <w:sz w:val="20"/>
                <w:szCs w:val="20"/>
                <w:lang w:val="en-GB"/>
              </w:rPr>
            </w:pPr>
          </w:p>
        </w:tc>
        <w:tc>
          <w:tcPr>
            <w:tcW w:w="1559" w:type="dxa"/>
            <w:gridSpan w:val="2"/>
            <w:vMerge w:val="restart"/>
            <w:tcBorders>
              <w:top w:val="nil"/>
              <w:left w:val="nil"/>
              <w:right w:val="nil"/>
            </w:tcBorders>
            <w:shd w:val="clear" w:color="auto" w:fill="auto"/>
            <w:vAlign w:val="center"/>
            <w:hideMark/>
          </w:tcPr>
          <w:p w14:paraId="027D046F" w14:textId="77777777" w:rsidR="00086197" w:rsidRPr="00C8026C" w:rsidRDefault="00086197" w:rsidP="00CC04BC">
            <w:pPr>
              <w:jc w:val="center"/>
              <w:rPr>
                <w:rFonts w:ascii="Arial" w:hAnsi="Arial" w:cs="Arial"/>
                <w:color w:val="000000"/>
                <w:sz w:val="20"/>
                <w:szCs w:val="20"/>
              </w:rPr>
            </w:pPr>
            <w:r w:rsidRPr="00C8026C">
              <w:rPr>
                <w:rFonts w:ascii="Arial" w:hAnsi="Arial" w:cs="Arial"/>
                <w:color w:val="000000"/>
                <w:sz w:val="20"/>
                <w:szCs w:val="20"/>
              </w:rPr>
              <w:t>February</w:t>
            </w:r>
          </w:p>
          <w:p w14:paraId="111FC190" w14:textId="77777777" w:rsidR="00086197" w:rsidRPr="00C8026C" w:rsidRDefault="00086197" w:rsidP="00CC04BC">
            <w:pPr>
              <w:jc w:val="center"/>
              <w:rPr>
                <w:rFonts w:ascii="Arial" w:hAnsi="Arial" w:cs="Arial"/>
                <w:color w:val="000000"/>
                <w:sz w:val="20"/>
                <w:szCs w:val="20"/>
              </w:rPr>
            </w:pPr>
            <w:r w:rsidRPr="00C8026C">
              <w:rPr>
                <w:rFonts w:ascii="Arial" w:hAnsi="Arial" w:cs="Arial"/>
                <w:color w:val="000000"/>
                <w:sz w:val="20"/>
                <w:szCs w:val="20"/>
              </w:rPr>
              <w:t>2022</w:t>
            </w:r>
          </w:p>
        </w:tc>
        <w:tc>
          <w:tcPr>
            <w:tcW w:w="1418" w:type="dxa"/>
            <w:vMerge w:val="restart"/>
            <w:tcBorders>
              <w:top w:val="nil"/>
              <w:left w:val="nil"/>
              <w:right w:val="nil"/>
            </w:tcBorders>
            <w:shd w:val="clear" w:color="auto" w:fill="auto"/>
            <w:vAlign w:val="center"/>
            <w:hideMark/>
          </w:tcPr>
          <w:p w14:paraId="0A515D60" w14:textId="77777777" w:rsidR="00086197" w:rsidRPr="00C8026C" w:rsidRDefault="00086197" w:rsidP="00CC04BC">
            <w:pPr>
              <w:jc w:val="center"/>
              <w:rPr>
                <w:rFonts w:ascii="Arial" w:hAnsi="Arial" w:cs="Arial"/>
                <w:color w:val="000000"/>
                <w:sz w:val="20"/>
                <w:szCs w:val="20"/>
              </w:rPr>
            </w:pPr>
            <w:r w:rsidRPr="00C8026C">
              <w:rPr>
                <w:rFonts w:ascii="Arial" w:hAnsi="Arial" w:cs="Arial"/>
                <w:color w:val="000000"/>
                <w:sz w:val="20"/>
                <w:szCs w:val="20"/>
              </w:rPr>
              <w:t xml:space="preserve">2 </w:t>
            </w:r>
            <w:r>
              <w:rPr>
                <w:rFonts w:ascii="Arial" w:hAnsi="Arial" w:cs="Arial"/>
                <w:color w:val="000000"/>
                <w:sz w:val="20"/>
                <w:szCs w:val="20"/>
              </w:rPr>
              <w:t>months</w:t>
            </w:r>
          </w:p>
          <w:p w14:paraId="6E77EEDC" w14:textId="77777777" w:rsidR="00086197" w:rsidRPr="00C8026C" w:rsidRDefault="00086197" w:rsidP="00CC04BC">
            <w:pPr>
              <w:jc w:val="center"/>
              <w:rPr>
                <w:rFonts w:ascii="Arial" w:hAnsi="Arial" w:cs="Arial"/>
                <w:color w:val="000000"/>
                <w:sz w:val="20"/>
                <w:szCs w:val="20"/>
              </w:rPr>
            </w:pPr>
            <w:r w:rsidRPr="00C8026C">
              <w:rPr>
                <w:rFonts w:ascii="Arial" w:hAnsi="Arial" w:cs="Arial"/>
                <w:color w:val="000000"/>
                <w:sz w:val="20"/>
                <w:szCs w:val="20"/>
              </w:rPr>
              <w:t>2022</w:t>
            </w:r>
          </w:p>
        </w:tc>
      </w:tr>
      <w:tr w:rsidR="00086197" w:rsidRPr="00C8026C" w14:paraId="78C55BC6" w14:textId="77777777" w:rsidTr="00CC04BC">
        <w:trPr>
          <w:gridAfter w:val="1"/>
          <w:wAfter w:w="78" w:type="dxa"/>
          <w:cantSplit/>
          <w:jc w:val="center"/>
        </w:trPr>
        <w:tc>
          <w:tcPr>
            <w:tcW w:w="2694" w:type="dxa"/>
            <w:tcBorders>
              <w:top w:val="nil"/>
              <w:left w:val="nil"/>
              <w:bottom w:val="nil"/>
              <w:right w:val="nil"/>
            </w:tcBorders>
            <w:shd w:val="clear" w:color="auto" w:fill="auto"/>
            <w:hideMark/>
          </w:tcPr>
          <w:p w14:paraId="22EDFBFB" w14:textId="77777777" w:rsidR="00086197" w:rsidRPr="00C8026C" w:rsidRDefault="00086197" w:rsidP="00CC04BC">
            <w:pPr>
              <w:jc w:val="both"/>
              <w:rPr>
                <w:rFonts w:ascii="Arial" w:hAnsi="Arial" w:cs="Arial"/>
                <w:color w:val="000000"/>
                <w:sz w:val="20"/>
                <w:szCs w:val="20"/>
              </w:rPr>
            </w:pPr>
          </w:p>
        </w:tc>
        <w:tc>
          <w:tcPr>
            <w:tcW w:w="1275" w:type="dxa"/>
            <w:vMerge/>
            <w:tcBorders>
              <w:left w:val="nil"/>
              <w:bottom w:val="single" w:sz="8" w:space="0" w:color="auto"/>
              <w:right w:val="nil"/>
            </w:tcBorders>
            <w:shd w:val="clear" w:color="auto" w:fill="auto"/>
            <w:vAlign w:val="center"/>
          </w:tcPr>
          <w:p w14:paraId="1EE8A234" w14:textId="77777777" w:rsidR="00086197" w:rsidRPr="00C8026C" w:rsidRDefault="00086197" w:rsidP="00CC04BC">
            <w:pPr>
              <w:jc w:val="center"/>
              <w:rPr>
                <w:rFonts w:ascii="Arial" w:hAnsi="Arial" w:cs="Arial"/>
                <w:color w:val="000000"/>
                <w:sz w:val="20"/>
                <w:szCs w:val="20"/>
              </w:rPr>
            </w:pPr>
          </w:p>
        </w:tc>
        <w:tc>
          <w:tcPr>
            <w:tcW w:w="1418" w:type="dxa"/>
            <w:vMerge/>
            <w:tcBorders>
              <w:left w:val="nil"/>
              <w:bottom w:val="single" w:sz="8" w:space="0" w:color="auto"/>
              <w:right w:val="nil"/>
            </w:tcBorders>
            <w:shd w:val="clear" w:color="auto" w:fill="auto"/>
            <w:vAlign w:val="center"/>
          </w:tcPr>
          <w:p w14:paraId="5DA36C72" w14:textId="77777777" w:rsidR="00086197" w:rsidRPr="00C8026C" w:rsidRDefault="00086197" w:rsidP="00CC04BC">
            <w:pPr>
              <w:jc w:val="center"/>
              <w:rPr>
                <w:rFonts w:ascii="Arial" w:hAnsi="Arial" w:cs="Arial"/>
                <w:color w:val="000000"/>
                <w:sz w:val="20"/>
                <w:szCs w:val="20"/>
              </w:rPr>
            </w:pPr>
          </w:p>
        </w:tc>
        <w:tc>
          <w:tcPr>
            <w:tcW w:w="1559" w:type="dxa"/>
            <w:gridSpan w:val="2"/>
            <w:vMerge/>
            <w:tcBorders>
              <w:left w:val="nil"/>
              <w:bottom w:val="single" w:sz="8" w:space="0" w:color="auto"/>
              <w:right w:val="nil"/>
            </w:tcBorders>
            <w:shd w:val="clear" w:color="auto" w:fill="auto"/>
            <w:vAlign w:val="center"/>
            <w:hideMark/>
          </w:tcPr>
          <w:p w14:paraId="61843D29" w14:textId="77777777" w:rsidR="00086197" w:rsidRPr="00C8026C" w:rsidRDefault="00086197" w:rsidP="00CC04BC">
            <w:pPr>
              <w:jc w:val="center"/>
              <w:rPr>
                <w:rFonts w:ascii="Arial" w:hAnsi="Arial" w:cs="Arial"/>
                <w:color w:val="000000"/>
                <w:sz w:val="20"/>
                <w:szCs w:val="20"/>
              </w:rPr>
            </w:pPr>
          </w:p>
        </w:tc>
        <w:tc>
          <w:tcPr>
            <w:tcW w:w="1418" w:type="dxa"/>
            <w:vMerge/>
            <w:tcBorders>
              <w:left w:val="nil"/>
              <w:bottom w:val="single" w:sz="8" w:space="0" w:color="auto"/>
              <w:right w:val="nil"/>
            </w:tcBorders>
            <w:shd w:val="clear" w:color="auto" w:fill="auto"/>
            <w:vAlign w:val="center"/>
            <w:hideMark/>
          </w:tcPr>
          <w:p w14:paraId="292B2F61" w14:textId="77777777" w:rsidR="00086197" w:rsidRPr="00C8026C" w:rsidRDefault="00086197" w:rsidP="00CC04BC">
            <w:pPr>
              <w:jc w:val="center"/>
              <w:rPr>
                <w:rFonts w:ascii="Arial" w:hAnsi="Arial" w:cs="Arial"/>
                <w:color w:val="000000"/>
                <w:sz w:val="20"/>
                <w:szCs w:val="20"/>
              </w:rPr>
            </w:pPr>
          </w:p>
        </w:tc>
      </w:tr>
      <w:tr w:rsidR="00086197" w:rsidRPr="00C8026C" w14:paraId="749D315A" w14:textId="77777777" w:rsidTr="00CC04BC">
        <w:trPr>
          <w:cantSplit/>
          <w:jc w:val="center"/>
        </w:trPr>
        <w:tc>
          <w:tcPr>
            <w:tcW w:w="2694" w:type="dxa"/>
            <w:tcBorders>
              <w:top w:val="nil"/>
              <w:left w:val="nil"/>
              <w:bottom w:val="nil"/>
              <w:right w:val="nil"/>
            </w:tcBorders>
            <w:shd w:val="clear" w:color="auto" w:fill="auto"/>
            <w:vAlign w:val="center"/>
            <w:hideMark/>
          </w:tcPr>
          <w:p w14:paraId="465EBC55" w14:textId="77777777" w:rsidR="00086197" w:rsidRPr="00C8026C" w:rsidRDefault="00086197" w:rsidP="00CC04BC">
            <w:pPr>
              <w:spacing w:before="240" w:after="120"/>
              <w:rPr>
                <w:rFonts w:ascii="Arial" w:hAnsi="Arial" w:cs="Arial"/>
                <w:b/>
                <w:bCs/>
                <w:color w:val="000000"/>
                <w:sz w:val="20"/>
                <w:szCs w:val="20"/>
              </w:rPr>
            </w:pPr>
            <w:r w:rsidRPr="00C8026C">
              <w:rPr>
                <w:rFonts w:ascii="Arial" w:hAnsi="Arial" w:cs="Arial"/>
                <w:b/>
                <w:bCs/>
                <w:sz w:val="20"/>
                <w:szCs w:val="20"/>
              </w:rPr>
              <w:t>Total</w:t>
            </w:r>
          </w:p>
        </w:tc>
        <w:tc>
          <w:tcPr>
            <w:tcW w:w="1275" w:type="dxa"/>
            <w:tcBorders>
              <w:top w:val="nil"/>
              <w:left w:val="nil"/>
              <w:bottom w:val="nil"/>
              <w:right w:val="nil"/>
            </w:tcBorders>
            <w:shd w:val="clear" w:color="auto" w:fill="auto"/>
            <w:vAlign w:val="bottom"/>
            <w:hideMark/>
          </w:tcPr>
          <w:p w14:paraId="3B6BD708" w14:textId="77777777" w:rsidR="00086197" w:rsidRPr="007652C7" w:rsidRDefault="00086197" w:rsidP="00CC04BC">
            <w:pPr>
              <w:spacing w:before="240" w:after="120"/>
              <w:ind w:right="206"/>
              <w:jc w:val="right"/>
              <w:rPr>
                <w:rFonts w:ascii="Arial" w:hAnsi="Arial" w:cs="Arial"/>
                <w:b/>
                <w:bCs/>
                <w:color w:val="000000"/>
                <w:sz w:val="18"/>
                <w:szCs w:val="18"/>
              </w:rPr>
            </w:pPr>
            <w:r w:rsidRPr="007652C7">
              <w:rPr>
                <w:rFonts w:ascii="Arial" w:hAnsi="Arial" w:cs="Arial"/>
                <w:b/>
                <w:bCs/>
                <w:color w:val="000000"/>
                <w:sz w:val="18"/>
                <w:szCs w:val="18"/>
              </w:rPr>
              <w:t>421.8</w:t>
            </w:r>
          </w:p>
        </w:tc>
        <w:tc>
          <w:tcPr>
            <w:tcW w:w="1418" w:type="dxa"/>
            <w:tcBorders>
              <w:top w:val="nil"/>
              <w:left w:val="nil"/>
              <w:bottom w:val="nil"/>
              <w:right w:val="nil"/>
            </w:tcBorders>
            <w:shd w:val="clear" w:color="auto" w:fill="auto"/>
            <w:vAlign w:val="bottom"/>
            <w:hideMark/>
          </w:tcPr>
          <w:p w14:paraId="332512B1" w14:textId="77777777" w:rsidR="00086197" w:rsidRPr="007652C7" w:rsidRDefault="00086197" w:rsidP="00CC04BC">
            <w:pPr>
              <w:spacing w:before="240" w:after="120"/>
              <w:ind w:right="348"/>
              <w:jc w:val="right"/>
              <w:rPr>
                <w:rFonts w:ascii="Arial" w:hAnsi="Arial" w:cs="Arial"/>
                <w:b/>
                <w:bCs/>
                <w:color w:val="000000"/>
                <w:sz w:val="18"/>
                <w:szCs w:val="18"/>
              </w:rPr>
            </w:pPr>
            <w:r w:rsidRPr="007652C7">
              <w:rPr>
                <w:rFonts w:ascii="Arial" w:hAnsi="Arial" w:cs="Arial"/>
                <w:b/>
                <w:bCs/>
                <w:color w:val="000000"/>
                <w:sz w:val="18"/>
                <w:szCs w:val="18"/>
              </w:rPr>
              <w:t>876.0</w:t>
            </w:r>
          </w:p>
        </w:tc>
        <w:tc>
          <w:tcPr>
            <w:tcW w:w="1147" w:type="dxa"/>
            <w:tcBorders>
              <w:top w:val="nil"/>
              <w:left w:val="nil"/>
              <w:bottom w:val="nil"/>
              <w:right w:val="nil"/>
            </w:tcBorders>
            <w:shd w:val="clear" w:color="auto" w:fill="auto"/>
            <w:vAlign w:val="bottom"/>
            <w:hideMark/>
          </w:tcPr>
          <w:p w14:paraId="304AE067" w14:textId="77777777" w:rsidR="00086197" w:rsidRPr="007652C7" w:rsidRDefault="00086197" w:rsidP="00CC04BC">
            <w:pPr>
              <w:spacing w:before="240" w:after="120"/>
              <w:ind w:right="78"/>
              <w:jc w:val="right"/>
              <w:rPr>
                <w:rFonts w:ascii="Arial" w:hAnsi="Arial" w:cs="Arial"/>
                <w:b/>
                <w:bCs/>
                <w:color w:val="000000"/>
                <w:sz w:val="18"/>
                <w:szCs w:val="18"/>
              </w:rPr>
            </w:pPr>
            <w:r w:rsidRPr="007652C7">
              <w:rPr>
                <w:rFonts w:ascii="Arial" w:hAnsi="Arial" w:cs="Arial"/>
                <w:b/>
                <w:bCs/>
                <w:color w:val="000000"/>
                <w:sz w:val="18"/>
                <w:szCs w:val="18"/>
              </w:rPr>
              <w:t>3.1</w:t>
            </w:r>
          </w:p>
        </w:tc>
        <w:tc>
          <w:tcPr>
            <w:tcW w:w="1908" w:type="dxa"/>
            <w:gridSpan w:val="3"/>
            <w:tcBorders>
              <w:top w:val="nil"/>
              <w:left w:val="nil"/>
              <w:bottom w:val="nil"/>
              <w:right w:val="nil"/>
            </w:tcBorders>
            <w:shd w:val="clear" w:color="auto" w:fill="auto"/>
            <w:vAlign w:val="bottom"/>
            <w:hideMark/>
          </w:tcPr>
          <w:p w14:paraId="438F8990" w14:textId="77777777" w:rsidR="00086197" w:rsidRPr="007652C7" w:rsidRDefault="00086197" w:rsidP="00CC04BC">
            <w:pPr>
              <w:spacing w:before="240" w:after="120"/>
              <w:ind w:right="431"/>
              <w:jc w:val="right"/>
              <w:rPr>
                <w:rFonts w:ascii="Arial" w:hAnsi="Arial" w:cs="Arial"/>
                <w:b/>
                <w:bCs/>
                <w:color w:val="000000"/>
                <w:sz w:val="18"/>
                <w:szCs w:val="18"/>
              </w:rPr>
            </w:pPr>
            <w:r w:rsidRPr="007652C7">
              <w:rPr>
                <w:rFonts w:ascii="Arial" w:hAnsi="Arial" w:cs="Arial"/>
                <w:b/>
                <w:bCs/>
                <w:color w:val="000000"/>
                <w:sz w:val="18"/>
                <w:szCs w:val="18"/>
              </w:rPr>
              <w:t>1.7</w:t>
            </w:r>
          </w:p>
        </w:tc>
      </w:tr>
      <w:tr w:rsidR="00086197" w:rsidRPr="00C8026C" w14:paraId="734F6215" w14:textId="77777777" w:rsidTr="00CC04BC">
        <w:trPr>
          <w:cantSplit/>
          <w:jc w:val="center"/>
        </w:trPr>
        <w:tc>
          <w:tcPr>
            <w:tcW w:w="2694" w:type="dxa"/>
            <w:tcBorders>
              <w:top w:val="nil"/>
              <w:left w:val="nil"/>
              <w:bottom w:val="nil"/>
              <w:right w:val="nil"/>
            </w:tcBorders>
            <w:shd w:val="clear" w:color="auto" w:fill="auto"/>
            <w:vAlign w:val="center"/>
            <w:hideMark/>
          </w:tcPr>
          <w:p w14:paraId="4D7B33F1" w14:textId="77777777" w:rsidR="00086197" w:rsidRPr="00C8026C" w:rsidRDefault="00086197" w:rsidP="00CC04BC">
            <w:pPr>
              <w:spacing w:before="120" w:after="60"/>
              <w:ind w:firstLine="176"/>
              <w:rPr>
                <w:rFonts w:ascii="Arial" w:hAnsi="Arial" w:cs="Arial"/>
                <w:color w:val="000000"/>
                <w:sz w:val="20"/>
                <w:szCs w:val="20"/>
              </w:rPr>
            </w:pPr>
            <w:r w:rsidRPr="00C8026C">
              <w:rPr>
                <w:rFonts w:ascii="Arial" w:hAnsi="Arial" w:cs="Arial"/>
                <w:bCs/>
                <w:sz w:val="20"/>
                <w:szCs w:val="20"/>
              </w:rPr>
              <w:t>Retail sale</w:t>
            </w:r>
          </w:p>
        </w:tc>
        <w:tc>
          <w:tcPr>
            <w:tcW w:w="1275" w:type="dxa"/>
            <w:tcBorders>
              <w:top w:val="nil"/>
              <w:left w:val="nil"/>
              <w:bottom w:val="nil"/>
              <w:right w:val="nil"/>
            </w:tcBorders>
            <w:shd w:val="clear" w:color="auto" w:fill="auto"/>
            <w:vAlign w:val="bottom"/>
            <w:hideMark/>
          </w:tcPr>
          <w:p w14:paraId="0A849446" w14:textId="77777777" w:rsidR="00086197" w:rsidRPr="007652C7" w:rsidRDefault="00086197" w:rsidP="00CC04BC">
            <w:pPr>
              <w:spacing w:before="120" w:after="60"/>
              <w:ind w:right="206" w:firstLine="176"/>
              <w:jc w:val="right"/>
              <w:rPr>
                <w:rFonts w:ascii="Arial" w:hAnsi="Arial" w:cs="Arial"/>
                <w:bCs/>
                <w:color w:val="000000"/>
                <w:sz w:val="18"/>
                <w:szCs w:val="18"/>
              </w:rPr>
            </w:pPr>
            <w:r w:rsidRPr="007652C7">
              <w:rPr>
                <w:rFonts w:ascii="Arial" w:hAnsi="Arial" w:cs="Arial"/>
                <w:bCs/>
                <w:color w:val="000000"/>
                <w:sz w:val="18"/>
                <w:szCs w:val="18"/>
              </w:rPr>
              <w:t>338.9</w:t>
            </w:r>
          </w:p>
        </w:tc>
        <w:tc>
          <w:tcPr>
            <w:tcW w:w="1418" w:type="dxa"/>
            <w:tcBorders>
              <w:top w:val="nil"/>
              <w:left w:val="nil"/>
              <w:bottom w:val="nil"/>
              <w:right w:val="nil"/>
            </w:tcBorders>
            <w:shd w:val="clear" w:color="auto" w:fill="auto"/>
            <w:vAlign w:val="bottom"/>
            <w:hideMark/>
          </w:tcPr>
          <w:p w14:paraId="1B38EE3D" w14:textId="77777777" w:rsidR="00086197" w:rsidRPr="007652C7" w:rsidRDefault="00086197" w:rsidP="00CC04BC">
            <w:pPr>
              <w:spacing w:before="120" w:after="60"/>
              <w:ind w:right="348" w:firstLine="176"/>
              <w:jc w:val="right"/>
              <w:rPr>
                <w:rFonts w:ascii="Arial" w:hAnsi="Arial" w:cs="Arial"/>
                <w:bCs/>
                <w:color w:val="000000"/>
                <w:sz w:val="18"/>
                <w:szCs w:val="18"/>
              </w:rPr>
            </w:pPr>
            <w:r w:rsidRPr="007652C7">
              <w:rPr>
                <w:rFonts w:ascii="Arial" w:hAnsi="Arial" w:cs="Arial"/>
                <w:bCs/>
                <w:color w:val="000000"/>
                <w:sz w:val="18"/>
                <w:szCs w:val="18"/>
              </w:rPr>
              <w:t>707.4</w:t>
            </w:r>
          </w:p>
        </w:tc>
        <w:tc>
          <w:tcPr>
            <w:tcW w:w="1147" w:type="dxa"/>
            <w:tcBorders>
              <w:top w:val="nil"/>
              <w:left w:val="nil"/>
              <w:bottom w:val="nil"/>
              <w:right w:val="nil"/>
            </w:tcBorders>
            <w:shd w:val="clear" w:color="auto" w:fill="auto"/>
            <w:vAlign w:val="bottom"/>
            <w:hideMark/>
          </w:tcPr>
          <w:p w14:paraId="72186576" w14:textId="77777777" w:rsidR="00086197" w:rsidRPr="007652C7" w:rsidRDefault="00086197" w:rsidP="00CC04BC">
            <w:pPr>
              <w:spacing w:before="120" w:after="60"/>
              <w:ind w:right="78" w:firstLine="176"/>
              <w:jc w:val="right"/>
              <w:rPr>
                <w:rFonts w:ascii="Arial" w:hAnsi="Arial" w:cs="Arial"/>
                <w:bCs/>
                <w:color w:val="000000"/>
                <w:sz w:val="18"/>
                <w:szCs w:val="18"/>
              </w:rPr>
            </w:pPr>
            <w:r w:rsidRPr="007652C7">
              <w:rPr>
                <w:rFonts w:ascii="Arial" w:hAnsi="Arial" w:cs="Arial"/>
                <w:bCs/>
                <w:color w:val="000000"/>
                <w:sz w:val="18"/>
                <w:szCs w:val="18"/>
              </w:rPr>
              <w:t>2.4</w:t>
            </w:r>
          </w:p>
        </w:tc>
        <w:tc>
          <w:tcPr>
            <w:tcW w:w="1908" w:type="dxa"/>
            <w:gridSpan w:val="3"/>
            <w:tcBorders>
              <w:top w:val="nil"/>
              <w:left w:val="nil"/>
              <w:bottom w:val="nil"/>
              <w:right w:val="nil"/>
            </w:tcBorders>
            <w:shd w:val="clear" w:color="auto" w:fill="auto"/>
            <w:vAlign w:val="bottom"/>
            <w:hideMark/>
          </w:tcPr>
          <w:p w14:paraId="2CF94EC3" w14:textId="77777777" w:rsidR="00086197" w:rsidRPr="007652C7" w:rsidRDefault="00086197" w:rsidP="00CC04BC">
            <w:pPr>
              <w:spacing w:before="120" w:after="60"/>
              <w:ind w:right="431" w:firstLine="176"/>
              <w:jc w:val="right"/>
              <w:rPr>
                <w:rFonts w:ascii="Arial" w:hAnsi="Arial" w:cs="Arial"/>
                <w:bCs/>
                <w:color w:val="000000"/>
                <w:sz w:val="18"/>
                <w:szCs w:val="18"/>
              </w:rPr>
            </w:pPr>
            <w:r w:rsidRPr="007652C7">
              <w:rPr>
                <w:rFonts w:ascii="Arial" w:hAnsi="Arial" w:cs="Arial"/>
                <w:bCs/>
                <w:color w:val="000000"/>
                <w:sz w:val="18"/>
                <w:szCs w:val="18"/>
              </w:rPr>
              <w:t>3.1</w:t>
            </w:r>
          </w:p>
        </w:tc>
      </w:tr>
      <w:tr w:rsidR="00086197" w:rsidRPr="00C8026C" w14:paraId="3C2A2241" w14:textId="77777777" w:rsidTr="00CC04BC">
        <w:trPr>
          <w:cantSplit/>
          <w:jc w:val="center"/>
        </w:trPr>
        <w:tc>
          <w:tcPr>
            <w:tcW w:w="2694" w:type="dxa"/>
            <w:tcBorders>
              <w:top w:val="nil"/>
              <w:left w:val="nil"/>
              <w:bottom w:val="nil"/>
              <w:right w:val="nil"/>
            </w:tcBorders>
            <w:shd w:val="clear" w:color="auto" w:fill="auto"/>
            <w:vAlign w:val="center"/>
            <w:hideMark/>
          </w:tcPr>
          <w:p w14:paraId="4772B843" w14:textId="77777777" w:rsidR="00086197" w:rsidRPr="00C8026C" w:rsidRDefault="00086197" w:rsidP="00CC04BC">
            <w:pPr>
              <w:spacing w:before="120" w:after="60"/>
              <w:ind w:firstLine="176"/>
              <w:rPr>
                <w:rFonts w:ascii="Arial" w:hAnsi="Arial" w:cs="Arial"/>
                <w:color w:val="000000"/>
                <w:sz w:val="20"/>
                <w:szCs w:val="20"/>
              </w:rPr>
            </w:pPr>
            <w:r w:rsidRPr="00C8026C">
              <w:rPr>
                <w:rFonts w:ascii="Arial" w:hAnsi="Arial" w:cs="Arial"/>
                <w:bCs/>
                <w:sz w:val="20"/>
                <w:szCs w:val="20"/>
              </w:rPr>
              <w:t>Accommodation and catering service</w:t>
            </w:r>
          </w:p>
        </w:tc>
        <w:tc>
          <w:tcPr>
            <w:tcW w:w="1275" w:type="dxa"/>
            <w:tcBorders>
              <w:top w:val="nil"/>
              <w:left w:val="nil"/>
              <w:bottom w:val="nil"/>
              <w:right w:val="nil"/>
            </w:tcBorders>
            <w:shd w:val="clear" w:color="auto" w:fill="auto"/>
            <w:vAlign w:val="bottom"/>
            <w:hideMark/>
          </w:tcPr>
          <w:p w14:paraId="1713CD44" w14:textId="77777777" w:rsidR="00086197" w:rsidRPr="007652C7" w:rsidRDefault="00086197" w:rsidP="00CC04BC">
            <w:pPr>
              <w:spacing w:before="120" w:after="60"/>
              <w:ind w:right="206" w:firstLine="176"/>
              <w:jc w:val="right"/>
              <w:rPr>
                <w:rFonts w:ascii="Arial" w:hAnsi="Arial" w:cs="Arial"/>
                <w:bCs/>
                <w:color w:val="000000"/>
                <w:sz w:val="18"/>
                <w:szCs w:val="18"/>
              </w:rPr>
            </w:pPr>
            <w:r w:rsidRPr="007652C7">
              <w:rPr>
                <w:rFonts w:ascii="Arial" w:hAnsi="Arial" w:cs="Arial"/>
                <w:bCs/>
                <w:color w:val="000000"/>
                <w:sz w:val="18"/>
                <w:szCs w:val="18"/>
              </w:rPr>
              <w:t>41.5</w:t>
            </w:r>
          </w:p>
        </w:tc>
        <w:tc>
          <w:tcPr>
            <w:tcW w:w="1418" w:type="dxa"/>
            <w:tcBorders>
              <w:top w:val="nil"/>
              <w:left w:val="nil"/>
              <w:bottom w:val="nil"/>
              <w:right w:val="nil"/>
            </w:tcBorders>
            <w:shd w:val="clear" w:color="auto" w:fill="auto"/>
            <w:vAlign w:val="bottom"/>
            <w:hideMark/>
          </w:tcPr>
          <w:p w14:paraId="6DB664E5" w14:textId="77777777" w:rsidR="00086197" w:rsidRPr="007652C7" w:rsidRDefault="00086197" w:rsidP="00CC04BC">
            <w:pPr>
              <w:spacing w:before="120" w:after="60"/>
              <w:ind w:right="348" w:firstLine="176"/>
              <w:jc w:val="right"/>
              <w:rPr>
                <w:rFonts w:ascii="Arial" w:hAnsi="Arial" w:cs="Arial"/>
                <w:bCs/>
                <w:color w:val="000000"/>
                <w:sz w:val="18"/>
                <w:szCs w:val="18"/>
              </w:rPr>
            </w:pPr>
            <w:r w:rsidRPr="007652C7">
              <w:rPr>
                <w:rFonts w:ascii="Arial" w:hAnsi="Arial" w:cs="Arial"/>
                <w:bCs/>
                <w:color w:val="000000"/>
                <w:sz w:val="18"/>
                <w:szCs w:val="18"/>
              </w:rPr>
              <w:t>82.3</w:t>
            </w:r>
          </w:p>
        </w:tc>
        <w:tc>
          <w:tcPr>
            <w:tcW w:w="1147" w:type="dxa"/>
            <w:tcBorders>
              <w:top w:val="nil"/>
              <w:left w:val="nil"/>
              <w:bottom w:val="nil"/>
              <w:right w:val="nil"/>
            </w:tcBorders>
            <w:shd w:val="clear" w:color="auto" w:fill="auto"/>
            <w:vAlign w:val="bottom"/>
            <w:hideMark/>
          </w:tcPr>
          <w:p w14:paraId="09499211" w14:textId="77777777" w:rsidR="00086197" w:rsidRPr="007652C7" w:rsidRDefault="00086197" w:rsidP="00CC04BC">
            <w:pPr>
              <w:spacing w:before="120" w:after="60"/>
              <w:ind w:right="78" w:firstLine="176"/>
              <w:jc w:val="right"/>
              <w:rPr>
                <w:rFonts w:ascii="Arial" w:hAnsi="Arial" w:cs="Arial"/>
                <w:bCs/>
                <w:color w:val="000000"/>
                <w:sz w:val="18"/>
                <w:szCs w:val="18"/>
              </w:rPr>
            </w:pPr>
            <w:r w:rsidRPr="007652C7">
              <w:rPr>
                <w:rFonts w:ascii="Arial" w:hAnsi="Arial" w:cs="Arial"/>
                <w:bCs/>
                <w:color w:val="000000"/>
                <w:sz w:val="18"/>
                <w:szCs w:val="18"/>
              </w:rPr>
              <w:t>12.6</w:t>
            </w:r>
          </w:p>
        </w:tc>
        <w:tc>
          <w:tcPr>
            <w:tcW w:w="1908" w:type="dxa"/>
            <w:gridSpan w:val="3"/>
            <w:tcBorders>
              <w:top w:val="nil"/>
              <w:left w:val="nil"/>
              <w:bottom w:val="nil"/>
              <w:right w:val="nil"/>
            </w:tcBorders>
            <w:shd w:val="clear" w:color="auto" w:fill="auto"/>
            <w:vAlign w:val="bottom"/>
            <w:hideMark/>
          </w:tcPr>
          <w:p w14:paraId="667546CD" w14:textId="77777777" w:rsidR="00086197" w:rsidRPr="007652C7" w:rsidRDefault="00086197" w:rsidP="00CC04BC">
            <w:pPr>
              <w:spacing w:before="120" w:after="60"/>
              <w:ind w:right="431" w:firstLine="176"/>
              <w:jc w:val="right"/>
              <w:rPr>
                <w:rFonts w:ascii="Arial" w:hAnsi="Arial" w:cs="Arial"/>
                <w:bCs/>
                <w:color w:val="000000"/>
                <w:sz w:val="18"/>
                <w:szCs w:val="18"/>
              </w:rPr>
            </w:pPr>
            <w:r w:rsidRPr="007652C7">
              <w:rPr>
                <w:rFonts w:ascii="Arial" w:hAnsi="Arial" w:cs="Arial"/>
                <w:bCs/>
                <w:color w:val="000000"/>
                <w:sz w:val="18"/>
                <w:szCs w:val="18"/>
              </w:rPr>
              <w:t>-1.8</w:t>
            </w:r>
          </w:p>
        </w:tc>
      </w:tr>
      <w:tr w:rsidR="00086197" w:rsidRPr="00C8026C" w14:paraId="64E88E52" w14:textId="77777777" w:rsidTr="00CC04BC">
        <w:trPr>
          <w:cantSplit/>
          <w:jc w:val="center"/>
        </w:trPr>
        <w:tc>
          <w:tcPr>
            <w:tcW w:w="2694" w:type="dxa"/>
            <w:tcBorders>
              <w:top w:val="nil"/>
              <w:left w:val="nil"/>
              <w:bottom w:val="nil"/>
              <w:right w:val="nil"/>
            </w:tcBorders>
            <w:shd w:val="clear" w:color="auto" w:fill="auto"/>
            <w:vAlign w:val="center"/>
            <w:hideMark/>
          </w:tcPr>
          <w:p w14:paraId="3770F427" w14:textId="77777777" w:rsidR="00086197" w:rsidRPr="00C8026C" w:rsidRDefault="00086197" w:rsidP="00CC04BC">
            <w:pPr>
              <w:spacing w:before="160" w:after="40"/>
              <w:ind w:firstLine="176"/>
              <w:rPr>
                <w:rFonts w:ascii="Arial" w:hAnsi="Arial" w:cs="Arial"/>
                <w:color w:val="000000"/>
                <w:sz w:val="20"/>
                <w:szCs w:val="20"/>
              </w:rPr>
            </w:pPr>
            <w:r w:rsidRPr="00C8026C">
              <w:rPr>
                <w:rFonts w:ascii="Arial" w:hAnsi="Arial" w:cs="Arial"/>
                <w:bCs/>
                <w:sz w:val="20"/>
                <w:szCs w:val="20"/>
              </w:rPr>
              <w:t>Traveling service</w:t>
            </w:r>
          </w:p>
        </w:tc>
        <w:tc>
          <w:tcPr>
            <w:tcW w:w="1275" w:type="dxa"/>
            <w:tcBorders>
              <w:top w:val="nil"/>
              <w:left w:val="nil"/>
              <w:bottom w:val="nil"/>
              <w:right w:val="nil"/>
            </w:tcBorders>
            <w:shd w:val="clear" w:color="auto" w:fill="auto"/>
            <w:vAlign w:val="bottom"/>
            <w:hideMark/>
          </w:tcPr>
          <w:p w14:paraId="03533C29" w14:textId="77777777" w:rsidR="00086197" w:rsidRPr="007652C7" w:rsidRDefault="00086197" w:rsidP="00CC04BC">
            <w:pPr>
              <w:spacing w:before="160" w:after="40"/>
              <w:ind w:right="206" w:firstLine="176"/>
              <w:jc w:val="right"/>
              <w:rPr>
                <w:rFonts w:ascii="Arial" w:hAnsi="Arial" w:cs="Arial"/>
                <w:bCs/>
                <w:color w:val="000000"/>
                <w:sz w:val="18"/>
                <w:szCs w:val="18"/>
              </w:rPr>
            </w:pPr>
            <w:r w:rsidRPr="007652C7">
              <w:rPr>
                <w:rFonts w:ascii="Arial" w:hAnsi="Arial" w:cs="Arial"/>
                <w:bCs/>
                <w:color w:val="000000"/>
                <w:sz w:val="18"/>
                <w:szCs w:val="18"/>
              </w:rPr>
              <w:t>1.0</w:t>
            </w:r>
          </w:p>
        </w:tc>
        <w:tc>
          <w:tcPr>
            <w:tcW w:w="1418" w:type="dxa"/>
            <w:tcBorders>
              <w:top w:val="nil"/>
              <w:left w:val="nil"/>
              <w:bottom w:val="nil"/>
              <w:right w:val="nil"/>
            </w:tcBorders>
            <w:shd w:val="clear" w:color="auto" w:fill="auto"/>
            <w:vAlign w:val="bottom"/>
            <w:hideMark/>
          </w:tcPr>
          <w:p w14:paraId="2B37A904" w14:textId="77777777" w:rsidR="00086197" w:rsidRPr="007652C7" w:rsidRDefault="00086197" w:rsidP="00CC04BC">
            <w:pPr>
              <w:spacing w:before="160" w:after="40"/>
              <w:ind w:right="348" w:firstLine="176"/>
              <w:jc w:val="right"/>
              <w:rPr>
                <w:rFonts w:ascii="Arial" w:hAnsi="Arial" w:cs="Arial"/>
                <w:bCs/>
                <w:color w:val="000000"/>
                <w:sz w:val="18"/>
                <w:szCs w:val="18"/>
              </w:rPr>
            </w:pPr>
            <w:r w:rsidRPr="007652C7">
              <w:rPr>
                <w:rFonts w:ascii="Arial" w:hAnsi="Arial" w:cs="Arial"/>
                <w:bCs/>
                <w:color w:val="000000"/>
                <w:sz w:val="18"/>
                <w:szCs w:val="18"/>
              </w:rPr>
              <w:t>2.0</w:t>
            </w:r>
          </w:p>
        </w:tc>
        <w:tc>
          <w:tcPr>
            <w:tcW w:w="1147" w:type="dxa"/>
            <w:tcBorders>
              <w:top w:val="nil"/>
              <w:left w:val="nil"/>
              <w:bottom w:val="nil"/>
              <w:right w:val="nil"/>
            </w:tcBorders>
            <w:shd w:val="clear" w:color="auto" w:fill="auto"/>
            <w:vAlign w:val="bottom"/>
            <w:hideMark/>
          </w:tcPr>
          <w:p w14:paraId="115BDA2C" w14:textId="77777777" w:rsidR="00086197" w:rsidRPr="007652C7" w:rsidRDefault="00086197" w:rsidP="00CC04BC">
            <w:pPr>
              <w:spacing w:before="160" w:after="40"/>
              <w:ind w:right="78" w:firstLine="176"/>
              <w:jc w:val="right"/>
              <w:rPr>
                <w:rFonts w:ascii="Arial" w:hAnsi="Arial" w:cs="Arial"/>
                <w:bCs/>
                <w:color w:val="000000"/>
                <w:sz w:val="18"/>
                <w:szCs w:val="18"/>
              </w:rPr>
            </w:pPr>
            <w:r w:rsidRPr="007652C7">
              <w:rPr>
                <w:rFonts w:ascii="Arial" w:hAnsi="Arial" w:cs="Arial"/>
                <w:bCs/>
                <w:color w:val="000000"/>
                <w:sz w:val="18"/>
                <w:szCs w:val="18"/>
              </w:rPr>
              <w:t>39.4</w:t>
            </w:r>
          </w:p>
        </w:tc>
        <w:tc>
          <w:tcPr>
            <w:tcW w:w="1908" w:type="dxa"/>
            <w:gridSpan w:val="3"/>
            <w:tcBorders>
              <w:top w:val="nil"/>
              <w:left w:val="nil"/>
              <w:bottom w:val="nil"/>
              <w:right w:val="nil"/>
            </w:tcBorders>
            <w:shd w:val="clear" w:color="auto" w:fill="auto"/>
            <w:vAlign w:val="bottom"/>
            <w:hideMark/>
          </w:tcPr>
          <w:p w14:paraId="0BCD7AB1" w14:textId="77777777" w:rsidR="00086197" w:rsidRPr="007652C7" w:rsidRDefault="00086197" w:rsidP="00CC04BC">
            <w:pPr>
              <w:spacing w:before="160" w:after="40"/>
              <w:ind w:right="431" w:firstLine="176"/>
              <w:jc w:val="right"/>
              <w:rPr>
                <w:rFonts w:ascii="Arial" w:hAnsi="Arial" w:cs="Arial"/>
                <w:bCs/>
                <w:color w:val="000000"/>
                <w:sz w:val="18"/>
                <w:szCs w:val="18"/>
              </w:rPr>
            </w:pPr>
            <w:r w:rsidRPr="007652C7">
              <w:rPr>
                <w:rFonts w:ascii="Arial" w:hAnsi="Arial" w:cs="Arial"/>
                <w:bCs/>
                <w:color w:val="000000"/>
                <w:sz w:val="18"/>
                <w:szCs w:val="18"/>
              </w:rPr>
              <w:t>-10.9</w:t>
            </w:r>
          </w:p>
        </w:tc>
      </w:tr>
      <w:tr w:rsidR="00086197" w:rsidRPr="00C8026C" w14:paraId="0341C3E1" w14:textId="77777777" w:rsidTr="00CC04BC">
        <w:trPr>
          <w:cantSplit/>
          <w:jc w:val="center"/>
        </w:trPr>
        <w:tc>
          <w:tcPr>
            <w:tcW w:w="2694" w:type="dxa"/>
            <w:tcBorders>
              <w:top w:val="nil"/>
              <w:left w:val="nil"/>
              <w:bottom w:val="single" w:sz="8" w:space="0" w:color="auto"/>
              <w:right w:val="nil"/>
            </w:tcBorders>
            <w:shd w:val="clear" w:color="auto" w:fill="auto"/>
            <w:vAlign w:val="center"/>
            <w:hideMark/>
          </w:tcPr>
          <w:p w14:paraId="48A8DE91" w14:textId="77777777" w:rsidR="00086197" w:rsidRPr="00C8026C" w:rsidRDefault="00086197" w:rsidP="00CC04BC">
            <w:pPr>
              <w:spacing w:before="160" w:after="40"/>
              <w:ind w:firstLine="176"/>
              <w:rPr>
                <w:rFonts w:ascii="Arial" w:hAnsi="Arial" w:cs="Arial"/>
                <w:color w:val="000000"/>
                <w:sz w:val="20"/>
                <w:szCs w:val="20"/>
              </w:rPr>
            </w:pPr>
            <w:r w:rsidRPr="00C8026C">
              <w:rPr>
                <w:rFonts w:ascii="Arial" w:hAnsi="Arial" w:cs="Arial"/>
                <w:bCs/>
                <w:sz w:val="20"/>
                <w:szCs w:val="20"/>
              </w:rPr>
              <w:t>Other services</w:t>
            </w:r>
          </w:p>
        </w:tc>
        <w:tc>
          <w:tcPr>
            <w:tcW w:w="1275" w:type="dxa"/>
            <w:tcBorders>
              <w:top w:val="nil"/>
              <w:left w:val="nil"/>
              <w:bottom w:val="single" w:sz="8" w:space="0" w:color="auto"/>
              <w:right w:val="nil"/>
            </w:tcBorders>
            <w:shd w:val="clear" w:color="auto" w:fill="auto"/>
            <w:vAlign w:val="bottom"/>
            <w:hideMark/>
          </w:tcPr>
          <w:p w14:paraId="116F4768" w14:textId="77777777" w:rsidR="00086197" w:rsidRPr="007652C7" w:rsidRDefault="00086197" w:rsidP="00CC04BC">
            <w:pPr>
              <w:spacing w:before="160" w:after="40"/>
              <w:ind w:right="206" w:firstLine="176"/>
              <w:jc w:val="right"/>
              <w:rPr>
                <w:rFonts w:ascii="Arial" w:hAnsi="Arial" w:cs="Arial"/>
                <w:bCs/>
                <w:color w:val="000000"/>
                <w:sz w:val="18"/>
                <w:szCs w:val="18"/>
              </w:rPr>
            </w:pPr>
            <w:r w:rsidRPr="007652C7">
              <w:rPr>
                <w:rFonts w:ascii="Arial" w:hAnsi="Arial" w:cs="Arial"/>
                <w:bCs/>
                <w:color w:val="000000"/>
                <w:sz w:val="18"/>
                <w:szCs w:val="18"/>
              </w:rPr>
              <w:t>40.4</w:t>
            </w:r>
          </w:p>
        </w:tc>
        <w:tc>
          <w:tcPr>
            <w:tcW w:w="1418" w:type="dxa"/>
            <w:tcBorders>
              <w:top w:val="nil"/>
              <w:left w:val="nil"/>
              <w:bottom w:val="single" w:sz="8" w:space="0" w:color="auto"/>
              <w:right w:val="nil"/>
            </w:tcBorders>
            <w:shd w:val="clear" w:color="auto" w:fill="auto"/>
            <w:vAlign w:val="bottom"/>
            <w:hideMark/>
          </w:tcPr>
          <w:p w14:paraId="75131561" w14:textId="77777777" w:rsidR="00086197" w:rsidRPr="007652C7" w:rsidRDefault="00086197" w:rsidP="00CC04BC">
            <w:pPr>
              <w:spacing w:before="160" w:after="40"/>
              <w:ind w:right="348" w:firstLine="176"/>
              <w:jc w:val="right"/>
              <w:rPr>
                <w:rFonts w:ascii="Arial" w:hAnsi="Arial" w:cs="Arial"/>
                <w:bCs/>
                <w:color w:val="000000"/>
                <w:sz w:val="18"/>
                <w:szCs w:val="18"/>
              </w:rPr>
            </w:pPr>
            <w:r w:rsidRPr="007652C7">
              <w:rPr>
                <w:rFonts w:ascii="Arial" w:hAnsi="Arial" w:cs="Arial"/>
                <w:bCs/>
                <w:color w:val="000000"/>
                <w:sz w:val="18"/>
                <w:szCs w:val="18"/>
              </w:rPr>
              <w:t>84.3</w:t>
            </w:r>
          </w:p>
        </w:tc>
        <w:tc>
          <w:tcPr>
            <w:tcW w:w="1147" w:type="dxa"/>
            <w:tcBorders>
              <w:top w:val="nil"/>
              <w:left w:val="nil"/>
              <w:bottom w:val="single" w:sz="8" w:space="0" w:color="auto"/>
              <w:right w:val="nil"/>
            </w:tcBorders>
            <w:shd w:val="clear" w:color="auto" w:fill="auto"/>
            <w:vAlign w:val="bottom"/>
            <w:hideMark/>
          </w:tcPr>
          <w:p w14:paraId="782817B5" w14:textId="77777777" w:rsidR="00086197" w:rsidRPr="007652C7" w:rsidRDefault="00086197" w:rsidP="00CC04BC">
            <w:pPr>
              <w:spacing w:before="160" w:after="40"/>
              <w:ind w:right="78" w:firstLine="176"/>
              <w:jc w:val="right"/>
              <w:rPr>
                <w:rFonts w:ascii="Arial" w:hAnsi="Arial" w:cs="Arial"/>
                <w:bCs/>
                <w:color w:val="000000"/>
                <w:sz w:val="18"/>
                <w:szCs w:val="18"/>
              </w:rPr>
            </w:pPr>
            <w:r w:rsidRPr="007652C7">
              <w:rPr>
                <w:rFonts w:ascii="Arial" w:hAnsi="Arial" w:cs="Arial"/>
                <w:bCs/>
                <w:color w:val="000000"/>
                <w:sz w:val="18"/>
                <w:szCs w:val="18"/>
              </w:rPr>
              <w:t>-0.7</w:t>
            </w:r>
          </w:p>
        </w:tc>
        <w:tc>
          <w:tcPr>
            <w:tcW w:w="1908" w:type="dxa"/>
            <w:gridSpan w:val="3"/>
            <w:tcBorders>
              <w:top w:val="nil"/>
              <w:left w:val="nil"/>
              <w:bottom w:val="single" w:sz="8" w:space="0" w:color="auto"/>
              <w:right w:val="nil"/>
            </w:tcBorders>
            <w:shd w:val="clear" w:color="auto" w:fill="auto"/>
            <w:vAlign w:val="bottom"/>
            <w:hideMark/>
          </w:tcPr>
          <w:p w14:paraId="35226321" w14:textId="77777777" w:rsidR="00086197" w:rsidRPr="007652C7" w:rsidRDefault="00086197" w:rsidP="00CC04BC">
            <w:pPr>
              <w:spacing w:before="160" w:after="40"/>
              <w:ind w:right="431" w:firstLine="176"/>
              <w:jc w:val="right"/>
              <w:rPr>
                <w:rFonts w:ascii="Arial" w:hAnsi="Arial" w:cs="Arial"/>
                <w:bCs/>
                <w:color w:val="000000"/>
                <w:sz w:val="18"/>
                <w:szCs w:val="18"/>
              </w:rPr>
            </w:pPr>
            <w:r w:rsidRPr="007652C7">
              <w:rPr>
                <w:rFonts w:ascii="Arial" w:hAnsi="Arial" w:cs="Arial"/>
                <w:bCs/>
                <w:color w:val="000000"/>
                <w:sz w:val="18"/>
                <w:szCs w:val="18"/>
              </w:rPr>
              <w:t>-5.9</w:t>
            </w:r>
          </w:p>
        </w:tc>
      </w:tr>
    </w:tbl>
    <w:p w14:paraId="39ADC49B" w14:textId="5A5C47C6" w:rsidR="00086197" w:rsidRDefault="00086197" w:rsidP="00DF34B1">
      <w:pPr>
        <w:tabs>
          <w:tab w:val="left" w:pos="2835"/>
        </w:tabs>
        <w:spacing w:line="264" w:lineRule="auto"/>
        <w:ind w:right="140" w:firstLine="567"/>
        <w:jc w:val="center"/>
        <w:rPr>
          <w:rFonts w:ascii="Arial" w:hAnsi="Arial" w:cs="Arial"/>
          <w:b/>
          <w:spacing w:val="-2"/>
          <w:sz w:val="24"/>
          <w:szCs w:val="20"/>
          <w:lang w:val="pl-PL"/>
        </w:rPr>
      </w:pPr>
    </w:p>
    <w:p w14:paraId="213A4C20" w14:textId="77777777" w:rsidR="00086197" w:rsidRDefault="00086197" w:rsidP="00DF34B1">
      <w:pPr>
        <w:tabs>
          <w:tab w:val="left" w:pos="2835"/>
        </w:tabs>
        <w:spacing w:line="264" w:lineRule="auto"/>
        <w:ind w:right="140" w:firstLine="567"/>
        <w:jc w:val="center"/>
        <w:rPr>
          <w:rFonts w:ascii="Arial" w:hAnsi="Arial" w:cs="Arial"/>
          <w:b/>
          <w:spacing w:val="-2"/>
          <w:sz w:val="24"/>
          <w:szCs w:val="20"/>
          <w:lang w:val="pl-PL"/>
        </w:rPr>
      </w:pPr>
    </w:p>
    <w:p w14:paraId="60097E54" w14:textId="77777777" w:rsidR="00E840F4" w:rsidRPr="00060D9F" w:rsidRDefault="00E840F4" w:rsidP="00E840F4">
      <w:pPr>
        <w:tabs>
          <w:tab w:val="left" w:pos="2552"/>
          <w:tab w:val="left" w:pos="2835"/>
          <w:tab w:val="left" w:pos="3402"/>
        </w:tabs>
        <w:spacing w:before="40" w:after="40" w:line="276" w:lineRule="auto"/>
        <w:ind w:firstLine="567"/>
        <w:jc w:val="both"/>
      </w:pPr>
      <w:r w:rsidRPr="00CC4137">
        <w:rPr>
          <w:i/>
        </w:rPr>
        <w:t>Retail sales of goods</w:t>
      </w:r>
      <w:r w:rsidRPr="00D66D34">
        <w:t xml:space="preserve"> in the first two months of 2022 increased by 3.1% over the same period last year, of which the group of cultural and educational products increased by 12.7%; </w:t>
      </w:r>
      <w:r w:rsidRPr="00387E47">
        <w:rPr>
          <w:spacing w:val="-2"/>
        </w:rPr>
        <w:t>food and foodstuffs</w:t>
      </w:r>
      <w:r w:rsidRPr="00D66D34">
        <w:t xml:space="preserve"> increased by 9.0%; </w:t>
      </w:r>
      <w:r w:rsidRPr="00387E47">
        <w:rPr>
          <w:bCs/>
          <w:spacing w:val="-2"/>
        </w:rPr>
        <w:t>vehicles</w:t>
      </w:r>
      <w:r w:rsidRPr="00D66D34">
        <w:t xml:space="preserve"> increased by 4.3%; </w:t>
      </w:r>
      <w:r w:rsidRPr="00387E47">
        <w:rPr>
          <w:bCs/>
          <w:spacing w:val="-2"/>
        </w:rPr>
        <w:t>garments</w:t>
      </w:r>
      <w:r>
        <w:t xml:space="preserve"> down 8.1%; h</w:t>
      </w:r>
      <w:r w:rsidRPr="00D66D34">
        <w:t>ousehold appliances, tools</w:t>
      </w:r>
      <w:r>
        <w:t>,</w:t>
      </w:r>
      <w:r w:rsidRPr="00D66D34">
        <w:t xml:space="preserve"> and equipment decreased by 9.1%. Retail sales of goods in the first two months of the year compared with the same period last year of some localities: Binh Duong increased by 15.2%; Quang Ninh increased by 13.1%; Hanoi increased by 9.3%; Dong Nai increased by 9.1%; Hai Phong increased by 8.9%; Khanh Hoa increased by 3.6%; Ho Chi Minh </w:t>
      </w:r>
      <w:r>
        <w:t>c</w:t>
      </w:r>
      <w:r w:rsidRPr="00D66D34">
        <w:t>ity increased by 3.4%; Can Tho increased by 3.0%; Da Nang decreased by 21.9%.</w:t>
      </w:r>
    </w:p>
    <w:p w14:paraId="5E9C605E" w14:textId="77777777" w:rsidR="00651C8E" w:rsidRPr="00060D9F" w:rsidRDefault="00651C8E" w:rsidP="00651C8E">
      <w:pPr>
        <w:pStyle w:val="ListParagraph"/>
        <w:spacing w:before="40" w:after="40"/>
        <w:ind w:left="0" w:firstLine="567"/>
        <w:jc w:val="both"/>
        <w:rPr>
          <w:lang w:val="nl-NL"/>
        </w:rPr>
      </w:pPr>
      <w:r w:rsidRPr="00CC4137">
        <w:rPr>
          <w:i/>
          <w:lang w:val="nl-NL"/>
        </w:rPr>
        <w:t>Revenue from accommodation and food services</w:t>
      </w:r>
      <w:r w:rsidRPr="00D66D34">
        <w:rPr>
          <w:lang w:val="nl-NL"/>
        </w:rPr>
        <w:t xml:space="preserve"> in the first 2 months of this year compared to the same period last year of some localities: Bac Ninh increased by 39.6%; Khanh Hoa increased by 22.1%; Binh Dinh increased by 20.1%; Phu Yen increased by 17.5%; Hanoi increased by 12.7%; Quang Ninh increased by 7.5%; Ho Chi Minh </w:t>
      </w:r>
      <w:r>
        <w:rPr>
          <w:lang w:val="nl-NL"/>
        </w:rPr>
        <w:t>c</w:t>
      </w:r>
      <w:r w:rsidRPr="00D66D34">
        <w:rPr>
          <w:lang w:val="nl-NL"/>
        </w:rPr>
        <w:t>ity fell 29.1%.</w:t>
      </w:r>
    </w:p>
    <w:p w14:paraId="3029EFAF" w14:textId="77777777" w:rsidR="00651C8E" w:rsidRPr="00D66D34" w:rsidRDefault="00651C8E" w:rsidP="00651C8E">
      <w:pPr>
        <w:tabs>
          <w:tab w:val="left" w:pos="2552"/>
          <w:tab w:val="left" w:pos="2835"/>
          <w:tab w:val="left" w:pos="3402"/>
        </w:tabs>
        <w:spacing w:before="40" w:after="40" w:line="276" w:lineRule="auto"/>
        <w:ind w:firstLine="567"/>
        <w:jc w:val="both"/>
        <w:rPr>
          <w:rStyle w:val="normalchar"/>
          <w:rFonts w:eastAsia="Calibri"/>
        </w:rPr>
      </w:pPr>
      <w:r>
        <w:rPr>
          <w:rStyle w:val="normalchar"/>
          <w:rFonts w:eastAsia="Calibri"/>
          <w:i/>
        </w:rPr>
        <w:t>Traveling and t</w:t>
      </w:r>
      <w:r w:rsidRPr="00CC4137">
        <w:rPr>
          <w:rStyle w:val="normalchar"/>
          <w:rFonts w:eastAsia="Calibri"/>
          <w:i/>
        </w:rPr>
        <w:t>ourism revenue</w:t>
      </w:r>
      <w:r w:rsidRPr="00D66D34">
        <w:rPr>
          <w:rStyle w:val="normalchar"/>
          <w:rFonts w:eastAsia="Calibri"/>
        </w:rPr>
        <w:t xml:space="preserve"> in the first 2 months of this year compared with the same period last year of some localities: Khanh Hoa increased by 466.2%; Lang Son increased by 16.3%; Can Tho increased by 4.8%; Hanoi increased by 3.5%; Da Nang decreased by 2.8%; Ho Chi Minh</w:t>
      </w:r>
      <w:r>
        <w:rPr>
          <w:rStyle w:val="normalchar"/>
          <w:rFonts w:eastAsia="Calibri"/>
        </w:rPr>
        <w:t xml:space="preserve"> c</w:t>
      </w:r>
      <w:r w:rsidRPr="00D66D34">
        <w:rPr>
          <w:rStyle w:val="normalchar"/>
          <w:rFonts w:eastAsia="Calibri"/>
        </w:rPr>
        <w:t>ity fell 19.6%.</w:t>
      </w:r>
    </w:p>
    <w:p w14:paraId="53DCD7E0" w14:textId="77777777" w:rsidR="00651C8E" w:rsidRDefault="00651C8E" w:rsidP="00651C8E">
      <w:pPr>
        <w:tabs>
          <w:tab w:val="left" w:pos="2552"/>
          <w:tab w:val="left" w:pos="2835"/>
          <w:tab w:val="left" w:pos="3402"/>
        </w:tabs>
        <w:spacing w:before="40" w:after="40" w:line="276" w:lineRule="auto"/>
        <w:ind w:firstLine="567"/>
        <w:jc w:val="both"/>
        <w:rPr>
          <w:rStyle w:val="normalchar"/>
          <w:rFonts w:eastAsia="Calibri"/>
        </w:rPr>
      </w:pPr>
      <w:r w:rsidRPr="00CC4137">
        <w:rPr>
          <w:rStyle w:val="normalchar"/>
          <w:rFonts w:eastAsia="Calibri"/>
          <w:i/>
        </w:rPr>
        <w:t>Revenue from other services</w:t>
      </w:r>
      <w:r w:rsidRPr="00D66D34">
        <w:rPr>
          <w:rStyle w:val="normalchar"/>
          <w:rFonts w:eastAsia="Calibri"/>
        </w:rPr>
        <w:t xml:space="preserve"> in the first 2 months of this year compared with the same period last year of some localities: Can Tho increased by 2.7%; Hanoi increased by 2.6%; Da Nang decreased by 21.2%; Hai Phong down 6.8%; Thua Thien - Hue decreased by 8.9%; Ho Chi Minh City decreased by 18.9%.</w:t>
      </w:r>
    </w:p>
    <w:p w14:paraId="213AEAA4" w14:textId="4E679465" w:rsidR="002A58CB" w:rsidRPr="00CB5730" w:rsidRDefault="002A58CB" w:rsidP="0025706F">
      <w:pPr>
        <w:tabs>
          <w:tab w:val="left" w:pos="900"/>
          <w:tab w:val="left" w:pos="9475"/>
        </w:tabs>
        <w:spacing w:before="40" w:line="288" w:lineRule="auto"/>
        <w:ind w:right="119" w:firstLine="567"/>
        <w:jc w:val="both"/>
        <w:rPr>
          <w:rStyle w:val="Strong"/>
          <w:i/>
          <w:iCs/>
          <w:color w:val="000000" w:themeColor="text1"/>
          <w:lang w:val="de-DE"/>
        </w:rPr>
      </w:pPr>
      <w:r w:rsidRPr="00CB5730">
        <w:rPr>
          <w:rStyle w:val="Strong"/>
          <w:i/>
          <w:iCs/>
          <w:color w:val="000000" w:themeColor="text1"/>
          <w:lang w:val="de-DE"/>
        </w:rPr>
        <w:t xml:space="preserve">b) </w:t>
      </w:r>
      <w:r w:rsidR="000512EA">
        <w:rPr>
          <w:rStyle w:val="Strong"/>
          <w:i/>
          <w:iCs/>
        </w:rPr>
        <w:t>Export and import of goods</w:t>
      </w:r>
      <w:r w:rsidRPr="00CB5730">
        <w:rPr>
          <w:rStyle w:val="FootnoteReference"/>
          <w:i/>
          <w:iCs/>
          <w:lang w:val="de-DE"/>
        </w:rPr>
        <w:footnoteReference w:id="10"/>
      </w:r>
    </w:p>
    <w:p w14:paraId="6C485DA8" w14:textId="132D0687" w:rsidR="002A58CB" w:rsidRDefault="003360D7" w:rsidP="0025706F">
      <w:pPr>
        <w:tabs>
          <w:tab w:val="left" w:pos="900"/>
          <w:tab w:val="left" w:pos="9475"/>
        </w:tabs>
        <w:spacing w:before="40" w:line="288" w:lineRule="auto"/>
        <w:ind w:right="4" w:firstLine="567"/>
        <w:jc w:val="both"/>
        <w:rPr>
          <w:i/>
          <w:spacing w:val="-2"/>
          <w:lang w:val="es-NI"/>
        </w:rPr>
      </w:pPr>
      <w:r w:rsidRPr="003360D7">
        <w:rPr>
          <w:i/>
          <w:spacing w:val="-2"/>
          <w:lang w:val="de-DE"/>
        </w:rPr>
        <w:t>February 2022 had fewer working days than January 2022, so the total import and export turnover in February 2022 decreased by 20% compared to the previous month, estimated at 48.2 billion USD. However, compared to the same period last year, the total export and import turnover of goods in February 2022 still increased by 17.6%. Generally, in the first two months of this year, the total import and export turnover of goods was estimated at 108.52 billion USD, up 13% over the same period last year, of which exports increased by 10.2%; imports increased by 15.9%</w:t>
      </w:r>
      <w:r w:rsidR="002A58CB" w:rsidRPr="00176374">
        <w:rPr>
          <w:rStyle w:val="FootnoteReference"/>
          <w:i/>
          <w:spacing w:val="-2"/>
          <w:lang w:val="es-NI"/>
        </w:rPr>
        <w:footnoteReference w:id="11"/>
      </w:r>
    </w:p>
    <w:p w14:paraId="60C0F74F" w14:textId="77777777" w:rsidR="005C0BD0" w:rsidRPr="003360D7" w:rsidRDefault="005C0BD0" w:rsidP="0025706F">
      <w:pPr>
        <w:tabs>
          <w:tab w:val="left" w:pos="900"/>
          <w:tab w:val="left" w:pos="9475"/>
        </w:tabs>
        <w:spacing w:before="40" w:line="288" w:lineRule="auto"/>
        <w:ind w:right="4" w:firstLine="567"/>
        <w:jc w:val="both"/>
        <w:rPr>
          <w:i/>
          <w:spacing w:val="-2"/>
          <w:lang w:val="de-DE"/>
        </w:rPr>
      </w:pPr>
    </w:p>
    <w:tbl>
      <w:tblPr>
        <w:tblStyle w:val="TableGrid"/>
        <w:tblW w:w="89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61"/>
      </w:tblGrid>
      <w:tr w:rsidR="005545B9" w14:paraId="1028F963" w14:textId="77777777" w:rsidTr="00901AB5">
        <w:trPr>
          <w:trHeight w:val="176"/>
          <w:jc w:val="center"/>
        </w:trPr>
        <w:tc>
          <w:tcPr>
            <w:tcW w:w="8961" w:type="dxa"/>
          </w:tcPr>
          <w:p w14:paraId="1BFF5346" w14:textId="65DC8935" w:rsidR="00901AB5" w:rsidRPr="008816F9" w:rsidRDefault="005C0BD0" w:rsidP="005C0BD0">
            <w:pPr>
              <w:tabs>
                <w:tab w:val="left" w:pos="900"/>
              </w:tabs>
              <w:spacing w:before="40" w:after="240" w:line="281" w:lineRule="auto"/>
              <w:ind w:firstLine="567"/>
              <w:rPr>
                <w:i/>
                <w:spacing w:val="2"/>
                <w:sz w:val="4"/>
                <w:szCs w:val="10"/>
                <w:lang w:val="es-NI"/>
              </w:rPr>
            </w:pPr>
            <w:r w:rsidRPr="00327412">
              <w:rPr>
                <w:rStyle w:val="Strong"/>
                <w:i/>
                <w:iCs/>
              </w:rPr>
              <w:lastRenderedPageBreak/>
              <w:t>Figure 1</w:t>
            </w:r>
            <w:r>
              <w:rPr>
                <w:rStyle w:val="Strong"/>
                <w:i/>
                <w:iCs/>
              </w:rPr>
              <w:t>1</w:t>
            </w:r>
            <w:r w:rsidRPr="00327412">
              <w:rPr>
                <w:rStyle w:val="Strong"/>
                <w:i/>
                <w:iCs/>
              </w:rPr>
              <w:t xml:space="preserve">. Import and export of goods in </w:t>
            </w:r>
            <w:r>
              <w:rPr>
                <w:rStyle w:val="Strong"/>
                <w:i/>
                <w:iCs/>
              </w:rPr>
              <w:t>the first 2 months of</w:t>
            </w:r>
            <w:r w:rsidRPr="00327412">
              <w:rPr>
                <w:rStyle w:val="Strong"/>
                <w:i/>
                <w:iCs/>
              </w:rPr>
              <w:t xml:space="preserve"> 2022</w:t>
            </w:r>
          </w:p>
          <w:p w14:paraId="2D2A6492" w14:textId="2CFD41B8" w:rsidR="00901AB5" w:rsidRDefault="00782B22" w:rsidP="00782B22">
            <w:pPr>
              <w:tabs>
                <w:tab w:val="left" w:pos="900"/>
                <w:tab w:val="left" w:pos="9475"/>
              </w:tabs>
              <w:spacing w:before="40" w:after="40" w:line="288" w:lineRule="auto"/>
              <w:ind w:right="119"/>
              <w:rPr>
                <w:i/>
                <w:spacing w:val="2"/>
                <w:lang w:val="es-NI"/>
              </w:rPr>
            </w:pPr>
            <w:r>
              <w:rPr>
                <w:noProof/>
              </w:rPr>
              <w:drawing>
                <wp:inline distT="0" distB="0" distL="0" distR="0" wp14:anchorId="74C28186" wp14:editId="44635082">
                  <wp:extent cx="5681370" cy="1961094"/>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90572" cy="1964270"/>
                          </a:xfrm>
                          <a:prstGeom prst="rect">
                            <a:avLst/>
                          </a:prstGeom>
                          <a:noFill/>
                          <a:ln>
                            <a:noFill/>
                          </a:ln>
                        </pic:spPr>
                      </pic:pic>
                    </a:graphicData>
                  </a:graphic>
                </wp:inline>
              </w:drawing>
            </w:r>
          </w:p>
          <w:p w14:paraId="57BF43D3" w14:textId="77777777" w:rsidR="00241663" w:rsidRPr="00D64BE4" w:rsidRDefault="00241663" w:rsidP="00241663">
            <w:pPr>
              <w:tabs>
                <w:tab w:val="left" w:pos="900"/>
              </w:tabs>
              <w:spacing w:before="240" w:after="40" w:line="288" w:lineRule="auto"/>
              <w:ind w:firstLine="561"/>
              <w:jc w:val="both"/>
              <w:rPr>
                <w:b/>
                <w:bCs/>
                <w:i/>
                <w:iCs/>
              </w:rPr>
            </w:pPr>
            <w:r w:rsidRPr="00D64BE4">
              <w:rPr>
                <w:b/>
                <w:bCs/>
                <w:i/>
                <w:iCs/>
              </w:rPr>
              <w:t>Export of goods</w:t>
            </w:r>
          </w:p>
          <w:p w14:paraId="053FD56F" w14:textId="77777777" w:rsidR="00BB3E4E" w:rsidRPr="004F4283" w:rsidRDefault="00BB3E4E" w:rsidP="00BB3E4E">
            <w:pPr>
              <w:tabs>
                <w:tab w:val="num" w:pos="0"/>
              </w:tabs>
              <w:spacing w:before="40" w:after="40" w:line="281" w:lineRule="auto"/>
              <w:ind w:firstLine="567"/>
              <w:jc w:val="both"/>
              <w:rPr>
                <w:bCs/>
              </w:rPr>
            </w:pPr>
            <w:r w:rsidRPr="004F4283">
              <w:rPr>
                <w:bCs/>
              </w:rPr>
              <w:t xml:space="preserve">Export turnover in </w:t>
            </w:r>
            <w:r>
              <w:rPr>
                <w:bCs/>
              </w:rPr>
              <w:t>January</w:t>
            </w:r>
            <w:r w:rsidRPr="004F4283">
              <w:rPr>
                <w:bCs/>
              </w:rPr>
              <w:t xml:space="preserve"> 20</w:t>
            </w:r>
            <w:r>
              <w:rPr>
                <w:bCs/>
              </w:rPr>
              <w:t>22</w:t>
            </w:r>
            <w:r w:rsidRPr="004F4283">
              <w:rPr>
                <w:bCs/>
              </w:rPr>
              <w:t xml:space="preserve"> reached </w:t>
            </w:r>
            <w:r>
              <w:rPr>
                <w:bCs/>
              </w:rPr>
              <w:t>30.84</w:t>
            </w:r>
            <w:r w:rsidRPr="004F4283">
              <w:rPr>
                <w:bCs/>
              </w:rPr>
              <w:t xml:space="preserve"> </w:t>
            </w:r>
            <w:r>
              <w:rPr>
                <w:bCs/>
              </w:rPr>
              <w:t>b</w:t>
            </w:r>
            <w:r w:rsidRPr="004F4283">
              <w:rPr>
                <w:bCs/>
              </w:rPr>
              <w:t xml:space="preserve">illion USD, </w:t>
            </w:r>
            <w:r>
              <w:rPr>
                <w:bCs/>
              </w:rPr>
              <w:t>1.84</w:t>
            </w:r>
            <w:r w:rsidRPr="004F4283">
              <w:rPr>
                <w:bCs/>
              </w:rPr>
              <w:t xml:space="preserve"> </w:t>
            </w:r>
            <w:r>
              <w:rPr>
                <w:bCs/>
              </w:rPr>
              <w:t>b</w:t>
            </w:r>
            <w:r w:rsidRPr="004F4283">
              <w:rPr>
                <w:bCs/>
              </w:rPr>
              <w:t xml:space="preserve">illion USD higher than </w:t>
            </w:r>
            <w:r>
              <w:rPr>
                <w:bCs/>
              </w:rPr>
              <w:t xml:space="preserve">the </w:t>
            </w:r>
            <w:r w:rsidRPr="004F4283">
              <w:rPr>
                <w:bCs/>
              </w:rPr>
              <w:t>estimated figure</w:t>
            </w:r>
            <w:r>
              <w:rPr>
                <w:bCs/>
              </w:rPr>
              <w:t>.</w:t>
            </w:r>
          </w:p>
          <w:p w14:paraId="400CC80C" w14:textId="77777777" w:rsidR="00EE49AD" w:rsidRPr="004F4283" w:rsidRDefault="00EE49AD" w:rsidP="00EE49AD">
            <w:pPr>
              <w:tabs>
                <w:tab w:val="num" w:pos="0"/>
              </w:tabs>
              <w:spacing w:before="40" w:after="40" w:line="283" w:lineRule="auto"/>
              <w:ind w:firstLine="567"/>
              <w:jc w:val="both"/>
            </w:pPr>
            <w:r w:rsidRPr="004F4283">
              <w:rPr>
                <w:bCs/>
              </w:rPr>
              <w:t xml:space="preserve">Export turnover in </w:t>
            </w:r>
            <w:r>
              <w:rPr>
                <w:bCs/>
              </w:rPr>
              <w:t xml:space="preserve">February </w:t>
            </w:r>
            <w:r w:rsidRPr="004F4283">
              <w:rPr>
                <w:bCs/>
              </w:rPr>
              <w:t>20</w:t>
            </w:r>
            <w:r>
              <w:rPr>
                <w:bCs/>
              </w:rPr>
              <w:t>22</w:t>
            </w:r>
            <w:r w:rsidRPr="004F4283">
              <w:rPr>
                <w:bCs/>
              </w:rPr>
              <w:t xml:space="preserve"> was estimated at 2</w:t>
            </w:r>
            <w:r>
              <w:rPr>
                <w:bCs/>
              </w:rPr>
              <w:t>2.95</w:t>
            </w:r>
            <w:r w:rsidRPr="004F4283">
              <w:rPr>
                <w:bCs/>
              </w:rPr>
              <w:t xml:space="preserve"> billion USD, </w:t>
            </w:r>
            <w:r>
              <w:rPr>
                <w:bCs/>
              </w:rPr>
              <w:t>decreas</w:t>
            </w:r>
            <w:r w:rsidRPr="004F4283">
              <w:rPr>
                <w:bCs/>
              </w:rPr>
              <w:t xml:space="preserve">ed by </w:t>
            </w:r>
            <w:r>
              <w:rPr>
                <w:bCs/>
              </w:rPr>
              <w:t>25.6</w:t>
            </w:r>
            <w:r w:rsidRPr="004F4283">
              <w:rPr>
                <w:bCs/>
              </w:rPr>
              <w:t xml:space="preserve">% over the previous month, of which the domestic economic sector gained </w:t>
            </w:r>
            <w:r>
              <w:rPr>
                <w:bCs/>
              </w:rPr>
              <w:t>5.65</w:t>
            </w:r>
            <w:r w:rsidRPr="004F4283">
              <w:rPr>
                <w:bCs/>
              </w:rPr>
              <w:t xml:space="preserve"> billion USD, </w:t>
            </w:r>
            <w:r>
              <w:rPr>
                <w:bCs/>
              </w:rPr>
              <w:t>de</w:t>
            </w:r>
            <w:r w:rsidRPr="004F4283">
              <w:rPr>
                <w:bCs/>
              </w:rPr>
              <w:t xml:space="preserve">creased by </w:t>
            </w:r>
            <w:r>
              <w:rPr>
                <w:bCs/>
              </w:rPr>
              <w:t>34</w:t>
            </w:r>
            <w:r w:rsidRPr="004F4283">
              <w:rPr>
                <w:bCs/>
              </w:rPr>
              <w:t>.</w:t>
            </w:r>
            <w:r>
              <w:rPr>
                <w:bCs/>
              </w:rPr>
              <w:t>6</w:t>
            </w:r>
            <w:r w:rsidRPr="004F4283">
              <w:rPr>
                <w:bCs/>
              </w:rPr>
              <w:t xml:space="preserve">%; </w:t>
            </w:r>
            <w:r>
              <w:rPr>
                <w:bCs/>
              </w:rPr>
              <w:t xml:space="preserve">the </w:t>
            </w:r>
            <w:r w:rsidRPr="004F4283">
              <w:rPr>
                <w:bCs/>
              </w:rPr>
              <w:t xml:space="preserve">FDI sector (including crude oil) reached </w:t>
            </w:r>
            <w:r>
              <w:rPr>
                <w:bCs/>
              </w:rPr>
              <w:t>17.3</w:t>
            </w:r>
            <w:r w:rsidRPr="004F4283">
              <w:rPr>
                <w:bCs/>
              </w:rPr>
              <w:t xml:space="preserve"> billion USD, </w:t>
            </w:r>
            <w:r>
              <w:rPr>
                <w:bCs/>
              </w:rPr>
              <w:t>decreased</w:t>
            </w:r>
            <w:r w:rsidRPr="004F4283">
              <w:rPr>
                <w:bCs/>
              </w:rPr>
              <w:t xml:space="preserve"> by </w:t>
            </w:r>
            <w:r>
              <w:rPr>
                <w:bCs/>
              </w:rPr>
              <w:t>22.1</w:t>
            </w:r>
            <w:r w:rsidRPr="004F4283">
              <w:rPr>
                <w:bCs/>
              </w:rPr>
              <w:t xml:space="preserve">%. Compared to the same period last year, export turnover of goods in </w:t>
            </w:r>
            <w:r>
              <w:rPr>
                <w:bCs/>
              </w:rPr>
              <w:t>February</w:t>
            </w:r>
            <w:r w:rsidRPr="004F4283">
              <w:rPr>
                <w:bCs/>
              </w:rPr>
              <w:t xml:space="preserve"> increased by </w:t>
            </w:r>
            <w:r>
              <w:rPr>
                <w:bCs/>
              </w:rPr>
              <w:t>13.2</w:t>
            </w:r>
            <w:r w:rsidRPr="004F4283">
              <w:rPr>
                <w:bCs/>
              </w:rPr>
              <w:t>%, of which the domestic economic sector</w:t>
            </w:r>
            <w:r>
              <w:rPr>
                <w:bCs/>
              </w:rPr>
              <w:t xml:space="preserve"> </w:t>
            </w:r>
            <w:r w:rsidRPr="004F4283">
              <w:rPr>
                <w:bCs/>
              </w:rPr>
              <w:t xml:space="preserve">slightly </w:t>
            </w:r>
            <w:r>
              <w:rPr>
                <w:bCs/>
              </w:rPr>
              <w:t>rose</w:t>
            </w:r>
            <w:r w:rsidRPr="004F4283">
              <w:rPr>
                <w:bCs/>
              </w:rPr>
              <w:t xml:space="preserve"> by </w:t>
            </w:r>
            <w:r>
              <w:rPr>
                <w:bCs/>
              </w:rPr>
              <w:t>20.3</w:t>
            </w:r>
            <w:r w:rsidRPr="004F4283">
              <w:rPr>
                <w:bCs/>
              </w:rPr>
              <w:t xml:space="preserve">%, the FDI sector (including crude oil) </w:t>
            </w:r>
            <w:r>
              <w:rPr>
                <w:bCs/>
              </w:rPr>
              <w:t>in</w:t>
            </w:r>
            <w:r w:rsidRPr="004F4283">
              <w:rPr>
                <w:bCs/>
              </w:rPr>
              <w:t xml:space="preserve">creased by </w:t>
            </w:r>
            <w:r>
              <w:rPr>
                <w:bCs/>
              </w:rPr>
              <w:t>11</w:t>
            </w:r>
            <w:r w:rsidRPr="004F4283">
              <w:rPr>
                <w:bCs/>
              </w:rPr>
              <w:t>.</w:t>
            </w:r>
            <w:r>
              <w:rPr>
                <w:bCs/>
              </w:rPr>
              <w:t>1</w:t>
            </w:r>
            <w:r w:rsidRPr="004F4283">
              <w:rPr>
                <w:bCs/>
              </w:rPr>
              <w:t>%.</w:t>
            </w:r>
          </w:p>
          <w:p w14:paraId="2DC7B928" w14:textId="77777777" w:rsidR="00C24C59" w:rsidRDefault="00C24C59" w:rsidP="00901AB5">
            <w:pPr>
              <w:tabs>
                <w:tab w:val="num" w:pos="0"/>
              </w:tabs>
              <w:spacing w:before="40" w:after="40" w:line="264" w:lineRule="auto"/>
              <w:ind w:right="6" w:firstLine="567"/>
              <w:jc w:val="both"/>
              <w:rPr>
                <w:iCs/>
                <w:lang w:val="de-DE"/>
              </w:rPr>
            </w:pPr>
            <w:r w:rsidRPr="00C24C59">
              <w:rPr>
                <w:iCs/>
                <w:lang w:val="de-DE"/>
              </w:rPr>
              <w:t>Generally, in the first two months of 2022, export turnover of goods was estimated at 53.79 billion USD, up 10.2% over the same period last year, of which the domestic economic sector reached 14.29 billion USD, an increase of 24.1%, accounting for 26.6% of total export turnover; FDI sector (including crude oil) reached 39.5 billion USD, up 5.9%, accounting for 73.4%.</w:t>
            </w:r>
          </w:p>
          <w:p w14:paraId="36E361E6" w14:textId="7B9BAEB8" w:rsidR="00901AB5" w:rsidRDefault="00A9692C" w:rsidP="00A9692C">
            <w:pPr>
              <w:tabs>
                <w:tab w:val="num" w:pos="0"/>
                <w:tab w:val="left" w:pos="9475"/>
              </w:tabs>
              <w:spacing w:line="278" w:lineRule="auto"/>
              <w:ind w:right="119" w:firstLine="602"/>
              <w:jc w:val="both"/>
              <w:rPr>
                <w:spacing w:val="-4"/>
                <w:lang w:val="de-DE"/>
              </w:rPr>
            </w:pPr>
            <w:r w:rsidRPr="00A9692C">
              <w:rPr>
                <w:spacing w:val="-4"/>
                <w:lang w:val="de-DE"/>
              </w:rPr>
              <w:t>In the first 2 months of 2022, there were nine items with export turnover of over 1 billion USD, accounting for 71.6% of total export turnover (there are 4 export items with over 5 billion USD, accounting for 52%).</w:t>
            </w:r>
          </w:p>
          <w:p w14:paraId="1E8AB139" w14:textId="77777777" w:rsidR="00A9692C" w:rsidRPr="00F633EE" w:rsidRDefault="00A9692C" w:rsidP="00901AB5">
            <w:pPr>
              <w:tabs>
                <w:tab w:val="num" w:pos="0"/>
                <w:tab w:val="left" w:pos="9475"/>
              </w:tabs>
              <w:spacing w:line="278" w:lineRule="auto"/>
              <w:ind w:right="119"/>
              <w:jc w:val="center"/>
              <w:rPr>
                <w:rFonts w:ascii="Arial" w:hAnsi="Arial" w:cs="Arial"/>
                <w:b/>
                <w:spacing w:val="-2"/>
                <w:sz w:val="8"/>
                <w:szCs w:val="20"/>
                <w:lang w:val="pl-PL"/>
              </w:rPr>
            </w:pPr>
          </w:p>
          <w:p w14:paraId="53745888" w14:textId="4DCEDE79" w:rsidR="00901AB5" w:rsidRPr="001A2C17" w:rsidRDefault="00FD1ACA" w:rsidP="00FD1ACA">
            <w:pPr>
              <w:tabs>
                <w:tab w:val="num" w:pos="0"/>
                <w:tab w:val="left" w:pos="9475"/>
              </w:tabs>
              <w:spacing w:before="40" w:after="40" w:line="278" w:lineRule="auto"/>
              <w:ind w:right="119" w:firstLine="567"/>
              <w:jc w:val="center"/>
              <w:rPr>
                <w:rFonts w:ascii="Arial" w:hAnsi="Arial" w:cs="Arial"/>
                <w:b/>
                <w:bCs/>
                <w:i/>
                <w:iCs/>
                <w:sz w:val="2"/>
                <w:szCs w:val="20"/>
                <w:lang w:val="es-NI"/>
              </w:rPr>
            </w:pPr>
            <w:r w:rsidRPr="00FD1ACA">
              <w:rPr>
                <w:rFonts w:ascii="Arial" w:hAnsi="Arial" w:cs="Arial"/>
                <w:b/>
                <w:spacing w:val="-2"/>
                <w:sz w:val="24"/>
                <w:szCs w:val="20"/>
                <w:lang w:val="pl-PL"/>
              </w:rPr>
              <w:t>Table 5. Value of some export products in the first 2 months of 2022</w:t>
            </w:r>
          </w:p>
          <w:p w14:paraId="31754036" w14:textId="4F449520" w:rsidR="00901AB5" w:rsidRDefault="00FD1ACA" w:rsidP="00901AB5">
            <w:pPr>
              <w:tabs>
                <w:tab w:val="num" w:pos="0"/>
                <w:tab w:val="left" w:pos="9475"/>
              </w:tabs>
              <w:spacing w:before="40"/>
              <w:ind w:right="187" w:firstLine="567"/>
              <w:jc w:val="right"/>
              <w:rPr>
                <w:rFonts w:ascii="Arial" w:hAnsi="Arial" w:cs="Arial"/>
                <w:b/>
                <w:bCs/>
                <w:i/>
                <w:iCs/>
                <w:sz w:val="20"/>
                <w:szCs w:val="20"/>
              </w:rPr>
            </w:pPr>
            <w:r>
              <w:rPr>
                <w:rFonts w:ascii="Arial" w:hAnsi="Arial" w:cs="Arial"/>
                <w:b/>
                <w:bCs/>
                <w:i/>
                <w:iCs/>
                <w:sz w:val="20"/>
                <w:szCs w:val="20"/>
              </w:rPr>
              <w:t xml:space="preserve"> Mill. </w:t>
            </w:r>
            <w:r w:rsidR="00901AB5" w:rsidRPr="00A15161">
              <w:rPr>
                <w:rFonts w:ascii="Arial" w:hAnsi="Arial" w:cs="Arial"/>
                <w:b/>
                <w:bCs/>
                <w:i/>
                <w:iCs/>
                <w:sz w:val="20"/>
                <w:szCs w:val="20"/>
              </w:rPr>
              <w:t>USD</w:t>
            </w:r>
          </w:p>
          <w:tbl>
            <w:tblPr>
              <w:tblStyle w:val="TableGrid"/>
              <w:tblW w:w="8771"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701"/>
              <w:gridCol w:w="2675"/>
            </w:tblGrid>
            <w:tr w:rsidR="00901AB5" w:rsidRPr="009125E7" w14:paraId="6577F7E1" w14:textId="77777777" w:rsidTr="00FC1337">
              <w:trPr>
                <w:jc w:val="center"/>
              </w:trPr>
              <w:tc>
                <w:tcPr>
                  <w:tcW w:w="4395" w:type="dxa"/>
                </w:tcPr>
                <w:p w14:paraId="7A2D132F" w14:textId="77777777" w:rsidR="00901AB5" w:rsidRPr="009125E7" w:rsidRDefault="00901AB5" w:rsidP="00901AB5">
                  <w:pPr>
                    <w:tabs>
                      <w:tab w:val="num" w:pos="0"/>
                      <w:tab w:val="left" w:pos="9475"/>
                    </w:tabs>
                    <w:spacing w:before="40" w:after="40" w:line="278" w:lineRule="auto"/>
                    <w:ind w:right="119"/>
                    <w:jc w:val="right"/>
                    <w:rPr>
                      <w:rFonts w:ascii="Arial" w:hAnsi="Arial" w:cs="Arial"/>
                      <w:b/>
                      <w:bCs/>
                      <w:i/>
                      <w:iCs/>
                      <w:sz w:val="20"/>
                      <w:szCs w:val="20"/>
                    </w:rPr>
                  </w:pPr>
                </w:p>
              </w:tc>
              <w:tc>
                <w:tcPr>
                  <w:tcW w:w="1701" w:type="dxa"/>
                  <w:tcBorders>
                    <w:top w:val="single" w:sz="4" w:space="0" w:color="auto"/>
                    <w:bottom w:val="single" w:sz="4" w:space="0" w:color="auto"/>
                  </w:tcBorders>
                </w:tcPr>
                <w:p w14:paraId="49293143" w14:textId="77777777" w:rsidR="00FC1337" w:rsidRDefault="00FC1337" w:rsidP="00901AB5">
                  <w:pPr>
                    <w:spacing w:before="40" w:after="40"/>
                    <w:jc w:val="center"/>
                    <w:rPr>
                      <w:rFonts w:ascii="Arial" w:hAnsi="Arial" w:cs="Arial"/>
                      <w:color w:val="000000"/>
                      <w:sz w:val="20"/>
                      <w:szCs w:val="20"/>
                    </w:rPr>
                  </w:pPr>
                  <w:r w:rsidRPr="007F6A49">
                    <w:rPr>
                      <w:rFonts w:ascii="Arial" w:hAnsi="Arial" w:cs="Arial"/>
                      <w:sz w:val="20"/>
                      <w:szCs w:val="20"/>
                    </w:rPr>
                    <w:t>Estimate</w:t>
                  </w:r>
                  <w:r w:rsidRPr="009125E7">
                    <w:rPr>
                      <w:rFonts w:ascii="Arial" w:hAnsi="Arial" w:cs="Arial"/>
                      <w:color w:val="000000"/>
                      <w:sz w:val="20"/>
                      <w:szCs w:val="20"/>
                    </w:rPr>
                    <w:t xml:space="preserve"> </w:t>
                  </w:r>
                </w:p>
                <w:p w14:paraId="48FFA70F" w14:textId="06D926BB" w:rsidR="00901AB5" w:rsidRDefault="004D4543" w:rsidP="00901AB5">
                  <w:pPr>
                    <w:spacing w:before="40" w:after="40"/>
                    <w:jc w:val="center"/>
                    <w:rPr>
                      <w:rFonts w:ascii="Arial" w:hAnsi="Arial" w:cs="Arial"/>
                      <w:color w:val="000000"/>
                      <w:sz w:val="20"/>
                      <w:szCs w:val="20"/>
                    </w:rPr>
                  </w:pPr>
                  <w:r>
                    <w:rPr>
                      <w:rFonts w:ascii="Arial" w:hAnsi="Arial" w:cs="Arial"/>
                      <w:color w:val="000000"/>
                      <w:sz w:val="20"/>
                      <w:szCs w:val="20"/>
                    </w:rPr>
                    <w:t>2 months</w:t>
                  </w:r>
                </w:p>
                <w:p w14:paraId="12B8C8B6" w14:textId="53AF793F" w:rsidR="00901AB5" w:rsidRPr="009125E7" w:rsidRDefault="00901AB5" w:rsidP="00901AB5">
                  <w:pPr>
                    <w:spacing w:before="40" w:after="40"/>
                    <w:jc w:val="center"/>
                    <w:rPr>
                      <w:rFonts w:ascii="Arial" w:hAnsi="Arial" w:cs="Arial"/>
                      <w:b/>
                      <w:bCs/>
                      <w:i/>
                      <w:iCs/>
                      <w:sz w:val="20"/>
                      <w:szCs w:val="20"/>
                    </w:rPr>
                  </w:pPr>
                  <w:r w:rsidRPr="009125E7">
                    <w:rPr>
                      <w:rFonts w:ascii="Arial" w:hAnsi="Arial" w:cs="Arial"/>
                      <w:color w:val="000000"/>
                      <w:sz w:val="20"/>
                      <w:szCs w:val="20"/>
                    </w:rPr>
                    <w:t>2022</w:t>
                  </w:r>
                </w:p>
              </w:tc>
              <w:tc>
                <w:tcPr>
                  <w:tcW w:w="2675" w:type="dxa"/>
                  <w:tcBorders>
                    <w:top w:val="single" w:sz="4" w:space="0" w:color="auto"/>
                    <w:bottom w:val="single" w:sz="4" w:space="0" w:color="auto"/>
                  </w:tcBorders>
                </w:tcPr>
                <w:p w14:paraId="1A9E0DD3" w14:textId="77777777" w:rsidR="00FC1337" w:rsidRDefault="00FC1337" w:rsidP="00901AB5">
                  <w:pPr>
                    <w:spacing w:before="40" w:after="40"/>
                    <w:jc w:val="center"/>
                    <w:rPr>
                      <w:rFonts w:ascii="Arial" w:hAnsi="Arial" w:cs="Arial"/>
                      <w:sz w:val="20"/>
                      <w:szCs w:val="20"/>
                    </w:rPr>
                  </w:pPr>
                  <w:r w:rsidRPr="007F6A49">
                    <w:rPr>
                      <w:rFonts w:ascii="Arial" w:hAnsi="Arial" w:cs="Arial"/>
                      <w:sz w:val="20"/>
                      <w:szCs w:val="20"/>
                    </w:rPr>
                    <w:t xml:space="preserve">Growth rate of </w:t>
                  </w:r>
                </w:p>
                <w:p w14:paraId="4141B486" w14:textId="1A234A1B" w:rsidR="00901AB5" w:rsidRPr="009125E7" w:rsidRDefault="00901AB5" w:rsidP="00FC1337">
                  <w:pPr>
                    <w:spacing w:before="40" w:after="40"/>
                    <w:ind w:right="179"/>
                    <w:jc w:val="center"/>
                    <w:rPr>
                      <w:rFonts w:ascii="Arial" w:hAnsi="Arial" w:cs="Arial"/>
                      <w:color w:val="000000"/>
                      <w:sz w:val="20"/>
                      <w:szCs w:val="20"/>
                    </w:rPr>
                  </w:pPr>
                  <w:r w:rsidRPr="009125E7">
                    <w:rPr>
                      <w:rFonts w:ascii="Arial" w:hAnsi="Arial" w:cs="Arial"/>
                      <w:color w:val="000000"/>
                      <w:sz w:val="20"/>
                      <w:szCs w:val="20"/>
                    </w:rPr>
                    <w:t xml:space="preserve">2 </w:t>
                  </w:r>
                  <w:r w:rsidR="00FC1337">
                    <w:rPr>
                      <w:rFonts w:ascii="Arial" w:hAnsi="Arial" w:cs="Arial"/>
                      <w:color w:val="000000"/>
                      <w:sz w:val="20"/>
                      <w:szCs w:val="20"/>
                    </w:rPr>
                    <w:t>months in</w:t>
                  </w:r>
                  <w:r w:rsidRPr="009125E7">
                    <w:rPr>
                      <w:rFonts w:ascii="Arial" w:hAnsi="Arial" w:cs="Arial"/>
                      <w:color w:val="000000"/>
                      <w:sz w:val="20"/>
                      <w:szCs w:val="20"/>
                    </w:rPr>
                    <w:t xml:space="preserve"> 2022 </w:t>
                  </w:r>
                  <w:r w:rsidR="00FC1337">
                    <w:rPr>
                      <w:rFonts w:ascii="Arial" w:hAnsi="Arial" w:cs="Arial"/>
                      <w:color w:val="000000"/>
                      <w:sz w:val="20"/>
                      <w:szCs w:val="20"/>
                    </w:rPr>
                    <w:t>over</w:t>
                  </w:r>
                </w:p>
                <w:p w14:paraId="10B75D03" w14:textId="4E3AE129" w:rsidR="00901AB5" w:rsidRPr="009125E7" w:rsidRDefault="00FC1337" w:rsidP="00901AB5">
                  <w:pPr>
                    <w:spacing w:before="40" w:after="40"/>
                    <w:jc w:val="center"/>
                    <w:rPr>
                      <w:rFonts w:ascii="Arial" w:hAnsi="Arial" w:cs="Arial"/>
                      <w:b/>
                      <w:bCs/>
                      <w:i/>
                      <w:iCs/>
                      <w:sz w:val="20"/>
                      <w:szCs w:val="20"/>
                    </w:rPr>
                  </w:pPr>
                  <w:r w:rsidRPr="007F6A49">
                    <w:rPr>
                      <w:rFonts w:ascii="Arial" w:hAnsi="Arial" w:cs="Arial"/>
                      <w:sz w:val="20"/>
                      <w:szCs w:val="20"/>
                    </w:rPr>
                    <w:t>the same period last year (%)</w:t>
                  </w:r>
                </w:p>
              </w:tc>
            </w:tr>
            <w:tr w:rsidR="00901AB5" w:rsidRPr="009125E7" w14:paraId="6AFF9D1C" w14:textId="77777777" w:rsidTr="00FC1337">
              <w:trPr>
                <w:jc w:val="center"/>
              </w:trPr>
              <w:tc>
                <w:tcPr>
                  <w:tcW w:w="4395" w:type="dxa"/>
                  <w:vAlign w:val="bottom"/>
                </w:tcPr>
                <w:p w14:paraId="466D70FE" w14:textId="768ACFDF" w:rsidR="00901AB5" w:rsidRPr="009125E7" w:rsidRDefault="00322768" w:rsidP="00901AB5">
                  <w:pPr>
                    <w:spacing w:before="40" w:after="40"/>
                    <w:rPr>
                      <w:rFonts w:ascii="Arial" w:hAnsi="Arial" w:cs="Arial"/>
                      <w:b/>
                      <w:bCs/>
                      <w:color w:val="000000"/>
                      <w:sz w:val="20"/>
                      <w:szCs w:val="20"/>
                    </w:rPr>
                  </w:pPr>
                  <w:r w:rsidRPr="007F6A49">
                    <w:rPr>
                      <w:rFonts w:ascii="Arial" w:hAnsi="Arial" w:cs="Arial"/>
                      <w:b/>
                      <w:bCs/>
                      <w:sz w:val="20"/>
                      <w:szCs w:val="20"/>
                    </w:rPr>
                    <w:t xml:space="preserve">Items with a value of over </w:t>
                  </w:r>
                  <w:r>
                    <w:rPr>
                      <w:rFonts w:ascii="Arial" w:hAnsi="Arial" w:cs="Arial"/>
                      <w:b/>
                      <w:bCs/>
                      <w:sz w:val="20"/>
                      <w:szCs w:val="20"/>
                    </w:rPr>
                    <w:t>5</w:t>
                  </w:r>
                  <w:r w:rsidRPr="007F6A49">
                    <w:rPr>
                      <w:rFonts w:ascii="Arial" w:hAnsi="Arial" w:cs="Arial"/>
                      <w:b/>
                      <w:bCs/>
                      <w:sz w:val="20"/>
                      <w:szCs w:val="20"/>
                    </w:rPr>
                    <w:t xml:space="preserve"> billion USD</w:t>
                  </w:r>
                </w:p>
              </w:tc>
              <w:tc>
                <w:tcPr>
                  <w:tcW w:w="1701" w:type="dxa"/>
                  <w:tcBorders>
                    <w:top w:val="single" w:sz="4" w:space="0" w:color="auto"/>
                  </w:tcBorders>
                </w:tcPr>
                <w:p w14:paraId="6F949C95" w14:textId="77777777" w:rsidR="00901AB5" w:rsidRPr="009125E7" w:rsidRDefault="00901AB5" w:rsidP="00901AB5">
                  <w:pPr>
                    <w:tabs>
                      <w:tab w:val="num" w:pos="0"/>
                      <w:tab w:val="left" w:pos="9475"/>
                    </w:tabs>
                    <w:spacing w:before="40" w:after="40" w:line="278" w:lineRule="auto"/>
                    <w:ind w:right="119"/>
                    <w:jc w:val="right"/>
                    <w:rPr>
                      <w:rFonts w:ascii="Arial" w:hAnsi="Arial" w:cs="Arial"/>
                      <w:b/>
                      <w:bCs/>
                      <w:i/>
                      <w:iCs/>
                      <w:sz w:val="20"/>
                      <w:szCs w:val="20"/>
                    </w:rPr>
                  </w:pPr>
                </w:p>
              </w:tc>
              <w:tc>
                <w:tcPr>
                  <w:tcW w:w="2675" w:type="dxa"/>
                  <w:tcBorders>
                    <w:top w:val="single" w:sz="4" w:space="0" w:color="auto"/>
                  </w:tcBorders>
                </w:tcPr>
                <w:p w14:paraId="3347F7F1" w14:textId="77777777" w:rsidR="00901AB5" w:rsidRPr="009125E7" w:rsidRDefault="00901AB5" w:rsidP="00901AB5">
                  <w:pPr>
                    <w:tabs>
                      <w:tab w:val="num" w:pos="0"/>
                      <w:tab w:val="left" w:pos="9475"/>
                    </w:tabs>
                    <w:spacing w:before="40" w:after="40" w:line="278" w:lineRule="auto"/>
                    <w:ind w:right="119"/>
                    <w:jc w:val="right"/>
                    <w:rPr>
                      <w:rFonts w:ascii="Arial" w:hAnsi="Arial" w:cs="Arial"/>
                      <w:b/>
                      <w:bCs/>
                      <w:i/>
                      <w:iCs/>
                      <w:sz w:val="20"/>
                      <w:szCs w:val="20"/>
                    </w:rPr>
                  </w:pPr>
                </w:p>
              </w:tc>
            </w:tr>
            <w:tr w:rsidR="00901AB5" w:rsidRPr="009125E7" w14:paraId="3C7BF532" w14:textId="77777777" w:rsidTr="00FC1337">
              <w:trPr>
                <w:jc w:val="center"/>
              </w:trPr>
              <w:tc>
                <w:tcPr>
                  <w:tcW w:w="4395" w:type="dxa"/>
                  <w:vAlign w:val="bottom"/>
                </w:tcPr>
                <w:p w14:paraId="6B3B1CBA" w14:textId="1512AAB3" w:rsidR="00901AB5" w:rsidRPr="009125E7" w:rsidRDefault="0065093F" w:rsidP="00901AB5">
                  <w:pPr>
                    <w:spacing w:before="40" w:after="60"/>
                    <w:ind w:firstLine="171"/>
                    <w:rPr>
                      <w:rFonts w:ascii="Arial" w:hAnsi="Arial" w:cs="Arial"/>
                      <w:sz w:val="20"/>
                      <w:szCs w:val="20"/>
                    </w:rPr>
                  </w:pPr>
                  <w:r w:rsidRPr="007F6A49">
                    <w:rPr>
                      <w:rFonts w:ascii="Arial" w:hAnsi="Arial" w:cs="Arial"/>
                      <w:sz w:val="20"/>
                      <w:szCs w:val="20"/>
                    </w:rPr>
                    <w:t xml:space="preserve">Phones all of </w:t>
                  </w:r>
                  <w:r>
                    <w:rPr>
                      <w:rFonts w:ascii="Arial" w:hAnsi="Arial" w:cs="Arial"/>
                      <w:sz w:val="20"/>
                      <w:szCs w:val="20"/>
                    </w:rPr>
                    <w:t xml:space="preserve">the </w:t>
                  </w:r>
                  <w:r w:rsidRPr="007F6A49">
                    <w:rPr>
                      <w:rFonts w:ascii="Arial" w:hAnsi="Arial" w:cs="Arial"/>
                      <w:sz w:val="20"/>
                      <w:szCs w:val="20"/>
                    </w:rPr>
                    <w:t>kinds and their parts</w:t>
                  </w:r>
                </w:p>
              </w:tc>
              <w:tc>
                <w:tcPr>
                  <w:tcW w:w="1701" w:type="dxa"/>
                  <w:vAlign w:val="bottom"/>
                </w:tcPr>
                <w:p w14:paraId="55C9F897" w14:textId="75622ADD" w:rsidR="00901AB5" w:rsidRPr="009125E7" w:rsidRDefault="00901AB5" w:rsidP="00901AB5">
                  <w:pPr>
                    <w:spacing w:before="40" w:after="60"/>
                    <w:ind w:right="317"/>
                    <w:jc w:val="right"/>
                    <w:rPr>
                      <w:rFonts w:ascii="Arial" w:hAnsi="Arial" w:cs="Arial"/>
                      <w:sz w:val="20"/>
                      <w:szCs w:val="20"/>
                    </w:rPr>
                  </w:pPr>
                  <w:r w:rsidRPr="009125E7">
                    <w:rPr>
                      <w:rFonts w:ascii="Arial" w:hAnsi="Arial" w:cs="Arial"/>
                      <w:sz w:val="20"/>
                      <w:szCs w:val="20"/>
                    </w:rPr>
                    <w:t>8</w:t>
                  </w:r>
                  <w:r w:rsidR="000F09E0">
                    <w:rPr>
                      <w:rFonts w:ascii="Arial" w:hAnsi="Arial" w:cs="Arial"/>
                      <w:sz w:val="20"/>
                      <w:szCs w:val="20"/>
                    </w:rPr>
                    <w:t>,</w:t>
                  </w:r>
                  <w:r>
                    <w:rPr>
                      <w:rFonts w:ascii="Arial" w:hAnsi="Arial" w:cs="Arial"/>
                      <w:sz w:val="20"/>
                      <w:szCs w:val="20"/>
                    </w:rPr>
                    <w:t>3</w:t>
                  </w:r>
                  <w:r w:rsidRPr="009125E7">
                    <w:rPr>
                      <w:rFonts w:ascii="Arial" w:hAnsi="Arial" w:cs="Arial"/>
                      <w:sz w:val="20"/>
                      <w:szCs w:val="20"/>
                    </w:rPr>
                    <w:t>03</w:t>
                  </w:r>
                </w:p>
              </w:tc>
              <w:tc>
                <w:tcPr>
                  <w:tcW w:w="2675" w:type="dxa"/>
                  <w:vAlign w:val="bottom"/>
                </w:tcPr>
                <w:p w14:paraId="40529DC9" w14:textId="1C0CE760" w:rsidR="00901AB5" w:rsidRPr="009125E7" w:rsidRDefault="00901AB5" w:rsidP="00901AB5">
                  <w:pPr>
                    <w:spacing w:before="40" w:after="60"/>
                    <w:ind w:right="885"/>
                    <w:jc w:val="right"/>
                    <w:rPr>
                      <w:rFonts w:ascii="Arial" w:hAnsi="Arial" w:cs="Arial"/>
                      <w:sz w:val="20"/>
                      <w:szCs w:val="20"/>
                    </w:rPr>
                  </w:pPr>
                  <w:r w:rsidRPr="009125E7">
                    <w:rPr>
                      <w:rFonts w:ascii="Arial" w:hAnsi="Arial" w:cs="Arial"/>
                      <w:sz w:val="20"/>
                      <w:szCs w:val="20"/>
                    </w:rPr>
                    <w:t>-</w:t>
                  </w:r>
                  <w:r>
                    <w:rPr>
                      <w:rFonts w:ascii="Arial" w:hAnsi="Arial" w:cs="Arial"/>
                      <w:sz w:val="20"/>
                      <w:szCs w:val="20"/>
                    </w:rPr>
                    <w:t>15</w:t>
                  </w:r>
                  <w:r w:rsidR="000F09E0">
                    <w:rPr>
                      <w:rFonts w:ascii="Arial" w:hAnsi="Arial" w:cs="Arial"/>
                      <w:sz w:val="20"/>
                      <w:szCs w:val="20"/>
                    </w:rPr>
                    <w:t>.</w:t>
                  </w:r>
                  <w:r>
                    <w:rPr>
                      <w:rFonts w:ascii="Arial" w:hAnsi="Arial" w:cs="Arial"/>
                      <w:sz w:val="20"/>
                      <w:szCs w:val="20"/>
                    </w:rPr>
                    <w:t>1</w:t>
                  </w:r>
                </w:p>
              </w:tc>
            </w:tr>
            <w:tr w:rsidR="00901AB5" w:rsidRPr="009125E7" w14:paraId="4FA329F2" w14:textId="77777777" w:rsidTr="00FC1337">
              <w:trPr>
                <w:jc w:val="center"/>
              </w:trPr>
              <w:tc>
                <w:tcPr>
                  <w:tcW w:w="4395" w:type="dxa"/>
                  <w:vAlign w:val="bottom"/>
                </w:tcPr>
                <w:p w14:paraId="7A7A5C72" w14:textId="2F56EFB8" w:rsidR="00901AB5" w:rsidRPr="009125E7" w:rsidRDefault="0065093F" w:rsidP="00901AB5">
                  <w:pPr>
                    <w:spacing w:before="40" w:after="60"/>
                    <w:ind w:firstLine="171"/>
                    <w:rPr>
                      <w:rFonts w:ascii="Arial" w:hAnsi="Arial" w:cs="Arial"/>
                      <w:sz w:val="20"/>
                      <w:szCs w:val="20"/>
                    </w:rPr>
                  </w:pPr>
                  <w:r w:rsidRPr="007F6A49">
                    <w:rPr>
                      <w:rFonts w:ascii="Arial" w:hAnsi="Arial" w:cs="Arial"/>
                      <w:sz w:val="20"/>
                      <w:szCs w:val="20"/>
                    </w:rPr>
                    <w:t>Electronic goods, computers</w:t>
                  </w:r>
                  <w:r>
                    <w:rPr>
                      <w:rFonts w:ascii="Arial" w:hAnsi="Arial" w:cs="Arial"/>
                      <w:sz w:val="20"/>
                      <w:szCs w:val="20"/>
                    </w:rPr>
                    <w:t>,</w:t>
                  </w:r>
                  <w:r w:rsidRPr="007F6A49">
                    <w:rPr>
                      <w:rFonts w:ascii="Arial" w:hAnsi="Arial" w:cs="Arial"/>
                      <w:sz w:val="20"/>
                      <w:szCs w:val="20"/>
                    </w:rPr>
                    <w:t xml:space="preserve"> and their parts</w:t>
                  </w:r>
                </w:p>
              </w:tc>
              <w:tc>
                <w:tcPr>
                  <w:tcW w:w="1701" w:type="dxa"/>
                  <w:vAlign w:val="bottom"/>
                </w:tcPr>
                <w:p w14:paraId="43398716" w14:textId="4DCDDD1F" w:rsidR="00901AB5" w:rsidRPr="009125E7" w:rsidRDefault="00901AB5" w:rsidP="00901AB5">
                  <w:pPr>
                    <w:spacing w:before="40" w:after="60"/>
                    <w:ind w:right="317"/>
                    <w:jc w:val="right"/>
                    <w:rPr>
                      <w:rFonts w:ascii="Arial" w:hAnsi="Arial" w:cs="Arial"/>
                      <w:sz w:val="20"/>
                      <w:szCs w:val="20"/>
                    </w:rPr>
                  </w:pPr>
                  <w:r>
                    <w:rPr>
                      <w:rFonts w:ascii="Arial" w:hAnsi="Arial" w:cs="Arial"/>
                      <w:sz w:val="20"/>
                      <w:szCs w:val="20"/>
                    </w:rPr>
                    <w:t>7</w:t>
                  </w:r>
                  <w:r w:rsidR="000F09E0">
                    <w:rPr>
                      <w:rFonts w:ascii="Arial" w:hAnsi="Arial" w:cs="Arial"/>
                      <w:sz w:val="20"/>
                      <w:szCs w:val="20"/>
                    </w:rPr>
                    <w:t>,</w:t>
                  </w:r>
                  <w:r>
                    <w:rPr>
                      <w:rFonts w:ascii="Arial" w:hAnsi="Arial" w:cs="Arial"/>
                      <w:sz w:val="20"/>
                      <w:szCs w:val="20"/>
                    </w:rPr>
                    <w:t>8</w:t>
                  </w:r>
                  <w:r w:rsidRPr="009125E7">
                    <w:rPr>
                      <w:rFonts w:ascii="Arial" w:hAnsi="Arial" w:cs="Arial"/>
                      <w:sz w:val="20"/>
                      <w:szCs w:val="20"/>
                    </w:rPr>
                    <w:t>10</w:t>
                  </w:r>
                </w:p>
              </w:tc>
              <w:tc>
                <w:tcPr>
                  <w:tcW w:w="2675" w:type="dxa"/>
                  <w:vAlign w:val="bottom"/>
                </w:tcPr>
                <w:p w14:paraId="110032A2" w14:textId="60DB949B" w:rsidR="00901AB5" w:rsidRPr="009125E7" w:rsidRDefault="00901AB5" w:rsidP="00901AB5">
                  <w:pPr>
                    <w:spacing w:before="40" w:after="60"/>
                    <w:ind w:right="885"/>
                    <w:jc w:val="right"/>
                    <w:rPr>
                      <w:rFonts w:ascii="Arial" w:hAnsi="Arial" w:cs="Arial"/>
                      <w:sz w:val="20"/>
                      <w:szCs w:val="20"/>
                    </w:rPr>
                  </w:pPr>
                  <w:r>
                    <w:rPr>
                      <w:rFonts w:ascii="Arial" w:hAnsi="Arial" w:cs="Arial"/>
                      <w:sz w:val="20"/>
                      <w:szCs w:val="20"/>
                    </w:rPr>
                    <w:t>7</w:t>
                  </w:r>
                  <w:r w:rsidR="000F09E0">
                    <w:rPr>
                      <w:rFonts w:ascii="Arial" w:hAnsi="Arial" w:cs="Arial"/>
                      <w:sz w:val="20"/>
                      <w:szCs w:val="20"/>
                    </w:rPr>
                    <w:t>.</w:t>
                  </w:r>
                  <w:r>
                    <w:rPr>
                      <w:rFonts w:ascii="Arial" w:hAnsi="Arial" w:cs="Arial"/>
                      <w:sz w:val="20"/>
                      <w:szCs w:val="20"/>
                    </w:rPr>
                    <w:t>4</w:t>
                  </w:r>
                </w:p>
              </w:tc>
            </w:tr>
            <w:tr w:rsidR="00901AB5" w:rsidRPr="00815DF2" w14:paraId="4DC1DBF3" w14:textId="77777777" w:rsidTr="00FC1337">
              <w:trPr>
                <w:jc w:val="center"/>
              </w:trPr>
              <w:tc>
                <w:tcPr>
                  <w:tcW w:w="4395" w:type="dxa"/>
                  <w:vAlign w:val="bottom"/>
                </w:tcPr>
                <w:p w14:paraId="418D127D" w14:textId="0F78B2FB" w:rsidR="00901AB5" w:rsidRPr="00815DF2" w:rsidRDefault="0065093F" w:rsidP="00901AB5">
                  <w:pPr>
                    <w:spacing w:before="40" w:after="60"/>
                    <w:ind w:firstLine="171"/>
                    <w:rPr>
                      <w:rFonts w:ascii="Arial" w:hAnsi="Arial" w:cs="Arial"/>
                      <w:sz w:val="20"/>
                      <w:szCs w:val="20"/>
                    </w:rPr>
                  </w:pPr>
                  <w:r>
                    <w:rPr>
                      <w:rFonts w:ascii="Arial" w:hAnsi="Arial" w:cs="Arial"/>
                      <w:sz w:val="20"/>
                      <w:szCs w:val="20"/>
                    </w:rPr>
                    <w:t xml:space="preserve">Other </w:t>
                  </w:r>
                  <w:r w:rsidRPr="007F6A49">
                    <w:rPr>
                      <w:rFonts w:ascii="Arial" w:hAnsi="Arial" w:cs="Arial"/>
                      <w:sz w:val="20"/>
                      <w:szCs w:val="20"/>
                    </w:rPr>
                    <w:t>Machinery, instrument, accessory</w:t>
                  </w:r>
                </w:p>
              </w:tc>
              <w:tc>
                <w:tcPr>
                  <w:tcW w:w="1701" w:type="dxa"/>
                  <w:vAlign w:val="bottom"/>
                </w:tcPr>
                <w:p w14:paraId="5C0B1CA0" w14:textId="7E340912" w:rsidR="00901AB5" w:rsidRPr="00815DF2" w:rsidRDefault="00901AB5" w:rsidP="00901AB5">
                  <w:pPr>
                    <w:spacing w:before="40" w:after="60"/>
                    <w:ind w:right="320" w:firstLine="171"/>
                    <w:jc w:val="right"/>
                    <w:rPr>
                      <w:rFonts w:ascii="Arial" w:hAnsi="Arial" w:cs="Arial"/>
                      <w:sz w:val="20"/>
                      <w:szCs w:val="20"/>
                    </w:rPr>
                  </w:pPr>
                  <w:r w:rsidRPr="00815DF2">
                    <w:rPr>
                      <w:rFonts w:ascii="Arial" w:hAnsi="Arial" w:cs="Arial"/>
                      <w:sz w:val="20"/>
                      <w:szCs w:val="20"/>
                    </w:rPr>
                    <w:t>6</w:t>
                  </w:r>
                  <w:r w:rsidR="000F09E0">
                    <w:rPr>
                      <w:rFonts w:ascii="Arial" w:hAnsi="Arial" w:cs="Arial"/>
                      <w:sz w:val="20"/>
                      <w:szCs w:val="20"/>
                    </w:rPr>
                    <w:t>,</w:t>
                  </w:r>
                  <w:r w:rsidRPr="00815DF2">
                    <w:rPr>
                      <w:rFonts w:ascii="Arial" w:hAnsi="Arial" w:cs="Arial"/>
                      <w:sz w:val="20"/>
                      <w:szCs w:val="20"/>
                    </w:rPr>
                    <w:t>000</w:t>
                  </w:r>
                </w:p>
              </w:tc>
              <w:tc>
                <w:tcPr>
                  <w:tcW w:w="2675" w:type="dxa"/>
                  <w:vAlign w:val="bottom"/>
                </w:tcPr>
                <w:p w14:paraId="31561073" w14:textId="6749B60B" w:rsidR="00901AB5" w:rsidRPr="00815DF2" w:rsidRDefault="00901AB5" w:rsidP="00901AB5">
                  <w:pPr>
                    <w:spacing w:before="40" w:after="60"/>
                    <w:ind w:right="885"/>
                    <w:jc w:val="right"/>
                    <w:rPr>
                      <w:rFonts w:ascii="Arial" w:hAnsi="Arial" w:cs="Arial"/>
                      <w:sz w:val="20"/>
                      <w:szCs w:val="20"/>
                    </w:rPr>
                  </w:pPr>
                  <w:r w:rsidRPr="00815DF2">
                    <w:rPr>
                      <w:rFonts w:ascii="Arial" w:hAnsi="Arial" w:cs="Arial"/>
                      <w:sz w:val="20"/>
                      <w:szCs w:val="20"/>
                    </w:rPr>
                    <w:t>6</w:t>
                  </w:r>
                  <w:r w:rsidR="000F09E0">
                    <w:rPr>
                      <w:rFonts w:ascii="Arial" w:hAnsi="Arial" w:cs="Arial"/>
                      <w:sz w:val="20"/>
                      <w:szCs w:val="20"/>
                    </w:rPr>
                    <w:t>.</w:t>
                  </w:r>
                  <w:r w:rsidRPr="00815DF2">
                    <w:rPr>
                      <w:rFonts w:ascii="Arial" w:hAnsi="Arial" w:cs="Arial"/>
                      <w:sz w:val="20"/>
                      <w:szCs w:val="20"/>
                    </w:rPr>
                    <w:t>9</w:t>
                  </w:r>
                </w:p>
              </w:tc>
            </w:tr>
            <w:tr w:rsidR="00901AB5" w:rsidRPr="009125E7" w14:paraId="1AB6D018" w14:textId="77777777" w:rsidTr="00FC1337">
              <w:trPr>
                <w:jc w:val="center"/>
              </w:trPr>
              <w:tc>
                <w:tcPr>
                  <w:tcW w:w="4395" w:type="dxa"/>
                  <w:vAlign w:val="bottom"/>
                </w:tcPr>
                <w:p w14:paraId="211FE0C1" w14:textId="6C4CE4CA" w:rsidR="00901AB5" w:rsidRPr="009125E7" w:rsidRDefault="0065093F" w:rsidP="00901AB5">
                  <w:pPr>
                    <w:spacing w:before="40" w:after="60"/>
                    <w:ind w:firstLine="171"/>
                    <w:rPr>
                      <w:rFonts w:ascii="Arial" w:hAnsi="Arial" w:cs="Arial"/>
                      <w:sz w:val="20"/>
                      <w:szCs w:val="20"/>
                    </w:rPr>
                  </w:pPr>
                  <w:r w:rsidRPr="007F6A49">
                    <w:rPr>
                      <w:rFonts w:ascii="Arial" w:hAnsi="Arial" w:cs="Arial"/>
                      <w:sz w:val="20"/>
                      <w:szCs w:val="20"/>
                    </w:rPr>
                    <w:t>Textiles and garments</w:t>
                  </w:r>
                  <w:r w:rsidR="00901AB5" w:rsidRPr="00E62B89">
                    <w:rPr>
                      <w:rFonts w:ascii="Arial" w:hAnsi="Arial" w:cs="Arial"/>
                      <w:sz w:val="20"/>
                      <w:szCs w:val="20"/>
                    </w:rPr>
                    <w:t xml:space="preserve"> </w:t>
                  </w:r>
                </w:p>
              </w:tc>
              <w:tc>
                <w:tcPr>
                  <w:tcW w:w="1701" w:type="dxa"/>
                  <w:vAlign w:val="bottom"/>
                </w:tcPr>
                <w:p w14:paraId="5EFE2008" w14:textId="7E4A3470" w:rsidR="00901AB5" w:rsidRPr="009125E7" w:rsidRDefault="00901AB5" w:rsidP="00901AB5">
                  <w:pPr>
                    <w:spacing w:before="40" w:after="60"/>
                    <w:ind w:right="317"/>
                    <w:jc w:val="right"/>
                    <w:rPr>
                      <w:rFonts w:ascii="Arial" w:hAnsi="Arial" w:cs="Arial"/>
                      <w:sz w:val="20"/>
                      <w:szCs w:val="20"/>
                    </w:rPr>
                  </w:pPr>
                  <w:r>
                    <w:rPr>
                      <w:rFonts w:ascii="Arial" w:hAnsi="Arial" w:cs="Arial"/>
                      <w:sz w:val="20"/>
                      <w:szCs w:val="20"/>
                    </w:rPr>
                    <w:t>5</w:t>
                  </w:r>
                  <w:r w:rsidR="000F09E0">
                    <w:rPr>
                      <w:rFonts w:ascii="Arial" w:hAnsi="Arial" w:cs="Arial"/>
                      <w:sz w:val="20"/>
                      <w:szCs w:val="20"/>
                    </w:rPr>
                    <w:t>,</w:t>
                  </w:r>
                  <w:r>
                    <w:rPr>
                      <w:rFonts w:ascii="Arial" w:hAnsi="Arial" w:cs="Arial"/>
                      <w:sz w:val="20"/>
                      <w:szCs w:val="20"/>
                    </w:rPr>
                    <w:t>8</w:t>
                  </w:r>
                  <w:r w:rsidRPr="009125E7">
                    <w:rPr>
                      <w:rFonts w:ascii="Arial" w:hAnsi="Arial" w:cs="Arial"/>
                      <w:sz w:val="20"/>
                      <w:szCs w:val="20"/>
                    </w:rPr>
                    <w:t>71</w:t>
                  </w:r>
                </w:p>
              </w:tc>
              <w:tc>
                <w:tcPr>
                  <w:tcW w:w="2675" w:type="dxa"/>
                  <w:vAlign w:val="bottom"/>
                </w:tcPr>
                <w:p w14:paraId="561FBD87" w14:textId="67464CDB" w:rsidR="00901AB5" w:rsidRPr="009125E7" w:rsidRDefault="00901AB5" w:rsidP="00901AB5">
                  <w:pPr>
                    <w:spacing w:before="40" w:after="60"/>
                    <w:ind w:right="885"/>
                    <w:jc w:val="right"/>
                    <w:rPr>
                      <w:rFonts w:ascii="Arial" w:hAnsi="Arial" w:cs="Arial"/>
                      <w:sz w:val="20"/>
                      <w:szCs w:val="20"/>
                    </w:rPr>
                  </w:pPr>
                  <w:r>
                    <w:rPr>
                      <w:rFonts w:ascii="Arial" w:hAnsi="Arial" w:cs="Arial"/>
                      <w:sz w:val="20"/>
                      <w:szCs w:val="20"/>
                    </w:rPr>
                    <w:t>30</w:t>
                  </w:r>
                  <w:r w:rsidR="000F09E0">
                    <w:rPr>
                      <w:rFonts w:ascii="Arial" w:hAnsi="Arial" w:cs="Arial"/>
                      <w:sz w:val="20"/>
                      <w:szCs w:val="20"/>
                    </w:rPr>
                    <w:t>.</w:t>
                  </w:r>
                  <w:r>
                    <w:rPr>
                      <w:rFonts w:ascii="Arial" w:hAnsi="Arial" w:cs="Arial"/>
                      <w:sz w:val="20"/>
                      <w:szCs w:val="20"/>
                    </w:rPr>
                    <w:t>9</w:t>
                  </w:r>
                </w:p>
              </w:tc>
            </w:tr>
          </w:tbl>
          <w:p w14:paraId="7259D958" w14:textId="77777777" w:rsidR="00901AB5" w:rsidRPr="00280837" w:rsidRDefault="00901AB5" w:rsidP="00901AB5">
            <w:pPr>
              <w:rPr>
                <w:rFonts w:eastAsia="Batang"/>
                <w:bCs/>
                <w:i/>
                <w:spacing w:val="-6"/>
                <w:sz w:val="16"/>
              </w:rPr>
            </w:pPr>
            <w:r>
              <w:rPr>
                <w:rFonts w:eastAsia="Batang"/>
                <w:bCs/>
                <w:i/>
                <w:noProof/>
                <w:spacing w:val="-6"/>
                <w:sz w:val="16"/>
                <w:lang w:val="en-GB" w:eastAsia="en-GB"/>
              </w:rPr>
              <w:lastRenderedPageBreak/>
              <mc:AlternateContent>
                <mc:Choice Requires="wps">
                  <w:drawing>
                    <wp:anchor distT="0" distB="0" distL="114300" distR="114300" simplePos="0" relativeHeight="251654144" behindDoc="0" locked="0" layoutInCell="1" allowOverlap="1" wp14:anchorId="1E281E67" wp14:editId="5B21EFC1">
                      <wp:simplePos x="0" y="0"/>
                      <wp:positionH relativeFrom="margin">
                        <wp:posOffset>-68580</wp:posOffset>
                      </wp:positionH>
                      <wp:positionV relativeFrom="paragraph">
                        <wp:posOffset>123825</wp:posOffset>
                      </wp:positionV>
                      <wp:extent cx="3550920" cy="2948940"/>
                      <wp:effectExtent l="0" t="0" r="0" b="381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0920" cy="2948940"/>
                              </a:xfrm>
                              <a:prstGeom prst="rect">
                                <a:avLst/>
                              </a:prstGeom>
                              <a:solidFill>
                                <a:srgbClr val="FFFFFF"/>
                              </a:solidFill>
                              <a:ln w="9525">
                                <a:noFill/>
                                <a:miter lim="800000"/>
                                <a:headEnd/>
                                <a:tailEnd/>
                              </a:ln>
                            </wps:spPr>
                            <wps:txbx>
                              <w:txbxContent>
                                <w:p w14:paraId="4CAE4A46" w14:textId="77777777" w:rsidR="004C7545" w:rsidRPr="00CC1EC3" w:rsidRDefault="004C7545" w:rsidP="004C7545">
                                  <w:pPr>
                                    <w:spacing w:before="40" w:after="40" w:line="288" w:lineRule="auto"/>
                                    <w:jc w:val="center"/>
                                    <w:rPr>
                                      <w:rFonts w:ascii="Arial" w:hAnsi="Arial" w:cs="Arial"/>
                                      <w:b/>
                                      <w:bCs/>
                                      <w:sz w:val="24"/>
                                      <w:szCs w:val="24"/>
                                    </w:rPr>
                                  </w:pPr>
                                  <w:r w:rsidRPr="00576686">
                                    <w:rPr>
                                      <w:rFonts w:ascii="Arial" w:hAnsi="Arial" w:cs="Arial"/>
                                      <w:b/>
                                      <w:bCs/>
                                      <w:sz w:val="24"/>
                                      <w:szCs w:val="24"/>
                                      <w:lang w:val="en-GB"/>
                                    </w:rPr>
                                    <w:t>Figure 1</w:t>
                                  </w:r>
                                  <w:r>
                                    <w:rPr>
                                      <w:rFonts w:ascii="Arial" w:hAnsi="Arial" w:cs="Arial"/>
                                      <w:b/>
                                      <w:bCs/>
                                      <w:sz w:val="24"/>
                                      <w:szCs w:val="24"/>
                                      <w:lang w:val="en-GB"/>
                                    </w:rPr>
                                    <w:t>2</w:t>
                                  </w:r>
                                  <w:r w:rsidRPr="00576686">
                                    <w:rPr>
                                      <w:rFonts w:ascii="Arial" w:hAnsi="Arial" w:cs="Arial"/>
                                      <w:b/>
                                      <w:bCs/>
                                      <w:sz w:val="24"/>
                                      <w:szCs w:val="24"/>
                                      <w:lang w:val="en-GB"/>
                                    </w:rPr>
                                    <w:t xml:space="preserve">. </w:t>
                                  </w:r>
                                  <w:r w:rsidRPr="00CC1EC3">
                                    <w:rPr>
                                      <w:rFonts w:ascii="Arial" w:hAnsi="Arial" w:cs="Arial"/>
                                      <w:b/>
                                      <w:bCs/>
                                      <w:sz w:val="24"/>
                                      <w:szCs w:val="24"/>
                                    </w:rPr>
                                    <w:t xml:space="preserve">Structure of </w:t>
                                  </w:r>
                                  <w:r>
                                    <w:rPr>
                                      <w:rFonts w:ascii="Arial" w:hAnsi="Arial" w:cs="Arial"/>
                                      <w:b/>
                                      <w:bCs/>
                                      <w:sz w:val="24"/>
                                      <w:szCs w:val="24"/>
                                    </w:rPr>
                                    <w:t>ex</w:t>
                                  </w:r>
                                  <w:r w:rsidRPr="00CC1EC3">
                                    <w:rPr>
                                      <w:rFonts w:ascii="Arial" w:hAnsi="Arial" w:cs="Arial"/>
                                      <w:b/>
                                      <w:bCs/>
                                      <w:sz w:val="24"/>
                                      <w:szCs w:val="24"/>
                                    </w:rPr>
                                    <w:t>ports of goods</w:t>
                                  </w:r>
                                </w:p>
                                <w:p w14:paraId="55642CAE" w14:textId="77777777" w:rsidR="004C7545" w:rsidRPr="00CC1EC3" w:rsidRDefault="004C7545" w:rsidP="004C7545">
                                  <w:pPr>
                                    <w:spacing w:before="40" w:after="40" w:line="288" w:lineRule="auto"/>
                                    <w:jc w:val="center"/>
                                    <w:rPr>
                                      <w:rFonts w:ascii="Arial" w:hAnsi="Arial" w:cs="Arial"/>
                                      <w:b/>
                                      <w:bCs/>
                                      <w:sz w:val="24"/>
                                      <w:szCs w:val="24"/>
                                    </w:rPr>
                                  </w:pPr>
                                  <w:r w:rsidRPr="00CC1EC3">
                                    <w:rPr>
                                      <w:rFonts w:ascii="Arial" w:hAnsi="Arial" w:cs="Arial"/>
                                      <w:b/>
                                      <w:bCs/>
                                      <w:sz w:val="24"/>
                                      <w:szCs w:val="24"/>
                                    </w:rPr>
                                    <w:t xml:space="preserve">in </w:t>
                                  </w:r>
                                  <w:r>
                                    <w:rPr>
                                      <w:rFonts w:ascii="Arial" w:hAnsi="Arial" w:cs="Arial"/>
                                      <w:b/>
                                      <w:bCs/>
                                      <w:sz w:val="24"/>
                                      <w:szCs w:val="24"/>
                                    </w:rPr>
                                    <w:t xml:space="preserve">2 months of </w:t>
                                  </w:r>
                                  <w:r w:rsidRPr="00CC1EC3">
                                    <w:rPr>
                                      <w:rFonts w:ascii="Arial" w:hAnsi="Arial" w:cs="Arial"/>
                                      <w:b/>
                                      <w:bCs/>
                                      <w:sz w:val="24"/>
                                      <w:szCs w:val="24"/>
                                    </w:rPr>
                                    <w:t>2022 by commodity group</w:t>
                                  </w:r>
                                </w:p>
                                <w:p w14:paraId="5750C1C0" w14:textId="77777777" w:rsidR="00E76926" w:rsidRDefault="00E76926" w:rsidP="00901AB5">
                                  <w:pPr>
                                    <w:jc w:val="center"/>
                                    <w:rPr>
                                      <w:rFonts w:ascii="Arial" w:hAnsi="Arial" w:cs="Arial"/>
                                      <w:b/>
                                      <w:bCs/>
                                      <w:sz w:val="24"/>
                                      <w:szCs w:val="24"/>
                                    </w:rPr>
                                  </w:pPr>
                                </w:p>
                                <w:p w14:paraId="42E566DB" w14:textId="62D244C4" w:rsidR="00E76926" w:rsidRDefault="00FF4AE7" w:rsidP="00901AB5">
                                  <w:pPr>
                                    <w:ind w:left="-993"/>
                                    <w:jc w:val="right"/>
                                    <w:rPr>
                                      <w:rFonts w:ascii="Arial" w:hAnsi="Arial" w:cs="Arial"/>
                                      <w:b/>
                                      <w:bCs/>
                                      <w:sz w:val="24"/>
                                      <w:szCs w:val="24"/>
                                    </w:rPr>
                                  </w:pPr>
                                  <w:r>
                                    <w:rPr>
                                      <w:noProof/>
                                    </w:rPr>
                                    <w:drawing>
                                      <wp:inline distT="0" distB="0" distL="0" distR="0" wp14:anchorId="609704A9" wp14:editId="224C00CD">
                                        <wp:extent cx="3266961" cy="1752600"/>
                                        <wp:effectExtent l="0" t="0" r="0" b="0"/>
                                        <wp:docPr id="29" name="Picture 29"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pie char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77478" cy="1758242"/>
                                                </a:xfrm>
                                                <a:prstGeom prst="rect">
                                                  <a:avLst/>
                                                </a:prstGeom>
                                                <a:noFill/>
                                                <a:ln>
                                                  <a:noFill/>
                                                </a:ln>
                                              </pic:spPr>
                                            </pic:pic>
                                          </a:graphicData>
                                        </a:graphic>
                                      </wp:inline>
                                    </w:drawing>
                                  </w:r>
                                </w:p>
                                <w:p w14:paraId="60B6693A" w14:textId="77777777" w:rsidR="00E76926" w:rsidRDefault="00E76926" w:rsidP="00901AB5">
                                  <w:pPr>
                                    <w:ind w:left="-993"/>
                                    <w:jc w:val="center"/>
                                    <w:rPr>
                                      <w:rFonts w:ascii="Arial" w:hAnsi="Arial" w:cs="Arial"/>
                                      <w:b/>
                                      <w:bCs/>
                                      <w:sz w:val="24"/>
                                      <w:szCs w:val="24"/>
                                    </w:rPr>
                                  </w:pPr>
                                </w:p>
                                <w:p w14:paraId="50EFCF4E" w14:textId="36C26CFA" w:rsidR="00E76926" w:rsidRPr="00271B83" w:rsidRDefault="00E76926" w:rsidP="00901AB5">
                                  <w:pPr>
                                    <w:ind w:left="-993"/>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281E67" id="_x0000_t202" coordsize="21600,21600" o:spt="202" path="m,l,21600r21600,l21600,xe">
                      <v:stroke joinstyle="miter"/>
                      <v:path gradientshapeok="t" o:connecttype="rect"/>
                    </v:shapetype>
                    <v:shape id="Text Box 2" o:spid="_x0000_s1026" type="#_x0000_t202" style="position:absolute;margin-left:-5.4pt;margin-top:9.75pt;width:279.6pt;height:232.2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" stroked="f">
                      <v:textbox>
                        <w:txbxContent>
                          <w:p w14:paraId="4CAE4A46" w14:textId="77777777" w:rsidR="004C7545" w:rsidRPr="00CC1EC3" w:rsidRDefault="004C7545" w:rsidP="004C7545">
                            <w:pPr>
                              <w:spacing w:before="40" w:after="40" w:line="288" w:lineRule="auto"/>
                              <w:jc w:val="center"/>
                              <w:rPr>
                                <w:rFonts w:ascii="Arial" w:hAnsi="Arial" w:cs="Arial"/>
                                <w:b/>
                                <w:bCs/>
                                <w:sz w:val="24"/>
                                <w:szCs w:val="24"/>
                              </w:rPr>
                            </w:pPr>
                            <w:r w:rsidRPr="00576686">
                              <w:rPr>
                                <w:rFonts w:ascii="Arial" w:hAnsi="Arial" w:cs="Arial"/>
                                <w:b/>
                                <w:bCs/>
                                <w:sz w:val="24"/>
                                <w:szCs w:val="24"/>
                                <w:lang w:val="en-GB"/>
                              </w:rPr>
                              <w:t>Figure 1</w:t>
                            </w:r>
                            <w:r>
                              <w:rPr>
                                <w:rFonts w:ascii="Arial" w:hAnsi="Arial" w:cs="Arial"/>
                                <w:b/>
                                <w:bCs/>
                                <w:sz w:val="24"/>
                                <w:szCs w:val="24"/>
                                <w:lang w:val="en-GB"/>
                              </w:rPr>
                              <w:t>2</w:t>
                            </w:r>
                            <w:r w:rsidRPr="00576686">
                              <w:rPr>
                                <w:rFonts w:ascii="Arial" w:hAnsi="Arial" w:cs="Arial"/>
                                <w:b/>
                                <w:bCs/>
                                <w:sz w:val="24"/>
                                <w:szCs w:val="24"/>
                                <w:lang w:val="en-GB"/>
                              </w:rPr>
                              <w:t xml:space="preserve">. </w:t>
                            </w:r>
                            <w:r w:rsidRPr="00CC1EC3">
                              <w:rPr>
                                <w:rFonts w:ascii="Arial" w:hAnsi="Arial" w:cs="Arial"/>
                                <w:b/>
                                <w:bCs/>
                                <w:sz w:val="24"/>
                                <w:szCs w:val="24"/>
                              </w:rPr>
                              <w:t xml:space="preserve">Structure of </w:t>
                            </w:r>
                            <w:r>
                              <w:rPr>
                                <w:rFonts w:ascii="Arial" w:hAnsi="Arial" w:cs="Arial"/>
                                <w:b/>
                                <w:bCs/>
                                <w:sz w:val="24"/>
                                <w:szCs w:val="24"/>
                              </w:rPr>
                              <w:t>ex</w:t>
                            </w:r>
                            <w:r w:rsidRPr="00CC1EC3">
                              <w:rPr>
                                <w:rFonts w:ascii="Arial" w:hAnsi="Arial" w:cs="Arial"/>
                                <w:b/>
                                <w:bCs/>
                                <w:sz w:val="24"/>
                                <w:szCs w:val="24"/>
                              </w:rPr>
                              <w:t>ports of goods</w:t>
                            </w:r>
                          </w:p>
                          <w:p w14:paraId="55642CAE" w14:textId="77777777" w:rsidR="004C7545" w:rsidRPr="00CC1EC3" w:rsidRDefault="004C7545" w:rsidP="004C7545">
                            <w:pPr>
                              <w:spacing w:before="40" w:after="40" w:line="288" w:lineRule="auto"/>
                              <w:jc w:val="center"/>
                              <w:rPr>
                                <w:rFonts w:ascii="Arial" w:hAnsi="Arial" w:cs="Arial"/>
                                <w:b/>
                                <w:bCs/>
                                <w:sz w:val="24"/>
                                <w:szCs w:val="24"/>
                              </w:rPr>
                            </w:pPr>
                            <w:r w:rsidRPr="00CC1EC3">
                              <w:rPr>
                                <w:rFonts w:ascii="Arial" w:hAnsi="Arial" w:cs="Arial"/>
                                <w:b/>
                                <w:bCs/>
                                <w:sz w:val="24"/>
                                <w:szCs w:val="24"/>
                              </w:rPr>
                              <w:t xml:space="preserve">in </w:t>
                            </w:r>
                            <w:r>
                              <w:rPr>
                                <w:rFonts w:ascii="Arial" w:hAnsi="Arial" w:cs="Arial"/>
                                <w:b/>
                                <w:bCs/>
                                <w:sz w:val="24"/>
                                <w:szCs w:val="24"/>
                              </w:rPr>
                              <w:t xml:space="preserve">2 months of </w:t>
                            </w:r>
                            <w:r w:rsidRPr="00CC1EC3">
                              <w:rPr>
                                <w:rFonts w:ascii="Arial" w:hAnsi="Arial" w:cs="Arial"/>
                                <w:b/>
                                <w:bCs/>
                                <w:sz w:val="24"/>
                                <w:szCs w:val="24"/>
                              </w:rPr>
                              <w:t>2022 by commodity group</w:t>
                            </w:r>
                          </w:p>
                          <w:p w14:paraId="5750C1C0" w14:textId="77777777" w:rsidR="00E76926" w:rsidRDefault="00E76926" w:rsidP="00901AB5">
                            <w:pPr>
                              <w:jc w:val="center"/>
                              <w:rPr>
                                <w:rFonts w:ascii="Arial" w:hAnsi="Arial" w:cs="Arial"/>
                                <w:b/>
                                <w:bCs/>
                                <w:sz w:val="24"/>
                                <w:szCs w:val="24"/>
                              </w:rPr>
                            </w:pPr>
                          </w:p>
                          <w:p w14:paraId="42E566DB" w14:textId="62D244C4" w:rsidR="00E76926" w:rsidRDefault="00FF4AE7" w:rsidP="00901AB5">
                            <w:pPr>
                              <w:ind w:left="-993"/>
                              <w:jc w:val="right"/>
                              <w:rPr>
                                <w:rFonts w:ascii="Arial" w:hAnsi="Arial" w:cs="Arial"/>
                                <w:b/>
                                <w:bCs/>
                                <w:sz w:val="24"/>
                                <w:szCs w:val="24"/>
                              </w:rPr>
                            </w:pPr>
                            <w:r>
                              <w:rPr>
                                <w:noProof/>
                              </w:rPr>
                              <w:drawing>
                                <wp:inline distT="0" distB="0" distL="0" distR="0" wp14:anchorId="609704A9" wp14:editId="224C00CD">
                                  <wp:extent cx="3266961" cy="1752600"/>
                                  <wp:effectExtent l="0" t="0" r="0" b="0"/>
                                  <wp:docPr id="29" name="Picture 29"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pie 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77478" cy="1758242"/>
                                          </a:xfrm>
                                          <a:prstGeom prst="rect">
                                            <a:avLst/>
                                          </a:prstGeom>
                                          <a:noFill/>
                                          <a:ln>
                                            <a:noFill/>
                                          </a:ln>
                                        </pic:spPr>
                                      </pic:pic>
                                    </a:graphicData>
                                  </a:graphic>
                                </wp:inline>
                              </w:drawing>
                            </w:r>
                          </w:p>
                          <w:p w14:paraId="60B6693A" w14:textId="77777777" w:rsidR="00E76926" w:rsidRDefault="00E76926" w:rsidP="00901AB5">
                            <w:pPr>
                              <w:ind w:left="-993"/>
                              <w:jc w:val="center"/>
                              <w:rPr>
                                <w:rFonts w:ascii="Arial" w:hAnsi="Arial" w:cs="Arial"/>
                                <w:b/>
                                <w:bCs/>
                                <w:sz w:val="24"/>
                                <w:szCs w:val="24"/>
                              </w:rPr>
                            </w:pPr>
                          </w:p>
                          <w:p w14:paraId="50EFCF4E" w14:textId="36C26CFA" w:rsidR="00E76926" w:rsidRPr="00271B83" w:rsidRDefault="00E76926" w:rsidP="00901AB5">
                            <w:pPr>
                              <w:ind w:left="-993"/>
                              <w:rPr>
                                <w:rFonts w:ascii="Arial" w:hAnsi="Arial" w:cs="Arial"/>
                                <w:sz w:val="24"/>
                                <w:szCs w:val="24"/>
                              </w:rPr>
                            </w:pPr>
                          </w:p>
                        </w:txbxContent>
                      </v:textbox>
                      <w10:wrap type="square" anchorx="margin"/>
                    </v:shape>
                  </w:pict>
                </mc:Fallback>
              </mc:AlternateContent>
            </w:r>
          </w:p>
          <w:p w14:paraId="43F7BEB6" w14:textId="77777777" w:rsidR="00F824EA" w:rsidRPr="00EA5E59" w:rsidRDefault="00F824EA" w:rsidP="00F824EA">
            <w:pPr>
              <w:spacing w:before="40" w:after="40" w:line="288" w:lineRule="auto"/>
              <w:jc w:val="both"/>
              <w:rPr>
                <w:rFonts w:eastAsia="Batang"/>
                <w:bCs/>
                <w:iCs/>
                <w:spacing w:val="-6"/>
                <w:lang w:val="en-GB"/>
              </w:rPr>
            </w:pPr>
            <w:r w:rsidRPr="00576686">
              <w:rPr>
                <w:rFonts w:eastAsia="Batang"/>
                <w:bCs/>
                <w:i/>
                <w:noProof/>
              </w:rPr>
              <w:t xml:space="preserve">Regarding the structure of export commodity groups in </w:t>
            </w:r>
            <w:r>
              <w:rPr>
                <w:rFonts w:eastAsia="Batang"/>
                <w:bCs/>
                <w:i/>
                <w:noProof/>
                <w:lang w:val="en-GB"/>
              </w:rPr>
              <w:t>2 months of</w:t>
            </w:r>
            <w:r w:rsidRPr="00576686">
              <w:rPr>
                <w:rFonts w:eastAsia="Batang"/>
                <w:bCs/>
                <w:i/>
                <w:noProof/>
              </w:rPr>
              <w:t xml:space="preserve"> 2022, </w:t>
            </w:r>
            <w:r w:rsidRPr="00576686">
              <w:rPr>
                <w:rFonts w:eastAsia="Batang"/>
                <w:bCs/>
                <w:iCs/>
                <w:noProof/>
                <w:lang w:val="en-GB"/>
              </w:rPr>
              <w:t xml:space="preserve">the group of </w:t>
            </w:r>
            <w:r w:rsidRPr="00576686">
              <w:rPr>
                <w:rFonts w:eastAsia="Batang"/>
                <w:bCs/>
                <w:iCs/>
                <w:noProof/>
              </w:rPr>
              <w:t xml:space="preserve">fuel and mineral products accounted for </w:t>
            </w:r>
            <w:r>
              <w:rPr>
                <w:rFonts w:eastAsia="Batang"/>
                <w:bCs/>
                <w:iCs/>
                <w:noProof/>
                <w:lang w:val="en-GB"/>
              </w:rPr>
              <w:t>1</w:t>
            </w:r>
            <w:r w:rsidRPr="00576686">
              <w:rPr>
                <w:rFonts w:eastAsia="Batang"/>
                <w:bCs/>
                <w:iCs/>
                <w:noProof/>
              </w:rPr>
              <w:t xml:space="preserve">%, </w:t>
            </w:r>
            <w:r>
              <w:rPr>
                <w:rFonts w:eastAsia="Batang"/>
                <w:bCs/>
                <w:iCs/>
                <w:noProof/>
                <w:lang w:val="en-GB"/>
              </w:rPr>
              <w:t xml:space="preserve">up 0.1 </w:t>
            </w:r>
            <w:r w:rsidRPr="00576686">
              <w:rPr>
                <w:rFonts w:eastAsia="Batang"/>
                <w:bCs/>
                <w:iCs/>
                <w:noProof/>
              </w:rPr>
              <w:t>percentage point</w:t>
            </w:r>
            <w:r>
              <w:rPr>
                <w:rFonts w:eastAsia="Batang"/>
                <w:bCs/>
                <w:iCs/>
                <w:noProof/>
                <w:lang w:val="en-GB"/>
              </w:rPr>
              <w:t xml:space="preserve"> over</w:t>
            </w:r>
            <w:r w:rsidRPr="00576686">
              <w:rPr>
                <w:rFonts w:eastAsia="Batang"/>
                <w:bCs/>
                <w:iCs/>
                <w:noProof/>
              </w:rPr>
              <w:t xml:space="preserve"> the same period last year</w:t>
            </w:r>
            <w:r>
              <w:rPr>
                <w:rFonts w:eastAsia="Batang"/>
                <w:bCs/>
                <w:iCs/>
                <w:noProof/>
                <w:lang w:val="en-GB"/>
              </w:rPr>
              <w:t>;</w:t>
            </w:r>
            <w:r w:rsidRPr="00576686">
              <w:rPr>
                <w:rFonts w:eastAsia="Batang"/>
                <w:bCs/>
                <w:iCs/>
                <w:noProof/>
                <w:lang w:val="en-GB"/>
              </w:rPr>
              <w:t xml:space="preserve"> processing industry </w:t>
            </w:r>
            <w:r>
              <w:rPr>
                <w:rFonts w:eastAsia="Batang"/>
                <w:bCs/>
                <w:iCs/>
                <w:noProof/>
                <w:lang w:val="en-GB"/>
              </w:rPr>
              <w:t>accounted</w:t>
            </w:r>
            <w:r w:rsidRPr="00576686">
              <w:rPr>
                <w:rFonts w:eastAsia="Batang"/>
                <w:bCs/>
                <w:iCs/>
                <w:noProof/>
                <w:lang w:val="en-GB"/>
              </w:rPr>
              <w:t xml:space="preserve"> for</w:t>
            </w:r>
            <w:r w:rsidRPr="00576686">
              <w:rPr>
                <w:rFonts w:eastAsia="Batang"/>
                <w:bCs/>
                <w:iCs/>
                <w:noProof/>
              </w:rPr>
              <w:t xml:space="preserve"> 8</w:t>
            </w:r>
            <w:r>
              <w:rPr>
                <w:rFonts w:eastAsia="Batang"/>
                <w:bCs/>
                <w:iCs/>
                <w:noProof/>
                <w:lang w:val="en-GB"/>
              </w:rPr>
              <w:t>9</w:t>
            </w:r>
            <w:r w:rsidRPr="00576686">
              <w:rPr>
                <w:rFonts w:eastAsia="Batang"/>
                <w:bCs/>
                <w:iCs/>
                <w:noProof/>
              </w:rPr>
              <w:t>.</w:t>
            </w:r>
            <w:r>
              <w:rPr>
                <w:rFonts w:eastAsia="Batang"/>
                <w:bCs/>
                <w:iCs/>
                <w:noProof/>
                <w:lang w:val="en-GB"/>
              </w:rPr>
              <w:t>4</w:t>
            </w:r>
            <w:r w:rsidRPr="00576686">
              <w:rPr>
                <w:rFonts w:eastAsia="Batang"/>
                <w:bCs/>
                <w:iCs/>
                <w:noProof/>
              </w:rPr>
              <w:t xml:space="preserve">%, down </w:t>
            </w:r>
            <w:r>
              <w:rPr>
                <w:rFonts w:eastAsia="Batang"/>
                <w:bCs/>
                <w:iCs/>
                <w:noProof/>
                <w:lang w:val="en-GB"/>
              </w:rPr>
              <w:t>0</w:t>
            </w:r>
            <w:r w:rsidRPr="00576686">
              <w:rPr>
                <w:rFonts w:eastAsia="Batang"/>
                <w:bCs/>
                <w:iCs/>
                <w:noProof/>
              </w:rPr>
              <w:t>.</w:t>
            </w:r>
            <w:r>
              <w:rPr>
                <w:rFonts w:eastAsia="Batang"/>
                <w:bCs/>
                <w:iCs/>
                <w:noProof/>
                <w:lang w:val="en-GB"/>
              </w:rPr>
              <w:t>8</w:t>
            </w:r>
            <w:r w:rsidRPr="00576686">
              <w:rPr>
                <w:rFonts w:eastAsia="Batang"/>
                <w:bCs/>
                <w:iCs/>
                <w:noProof/>
              </w:rPr>
              <w:t xml:space="preserve"> percentage points; aquatic products accounted for </w:t>
            </w:r>
            <w:r>
              <w:rPr>
                <w:rFonts w:eastAsia="Batang"/>
                <w:bCs/>
                <w:iCs/>
                <w:noProof/>
                <w:lang w:val="en-GB"/>
              </w:rPr>
              <w:t>2</w:t>
            </w:r>
            <w:r w:rsidRPr="00576686">
              <w:rPr>
                <w:rFonts w:eastAsia="Batang"/>
                <w:bCs/>
                <w:iCs/>
                <w:noProof/>
              </w:rPr>
              <w:t>.</w:t>
            </w:r>
            <w:r>
              <w:rPr>
                <w:rFonts w:eastAsia="Batang"/>
                <w:bCs/>
                <w:iCs/>
                <w:noProof/>
                <w:lang w:val="en-GB"/>
              </w:rPr>
              <w:t>7</w:t>
            </w:r>
            <w:r w:rsidRPr="00576686">
              <w:rPr>
                <w:rFonts w:eastAsia="Batang"/>
                <w:bCs/>
                <w:iCs/>
                <w:noProof/>
              </w:rPr>
              <w:t>%, up 0.</w:t>
            </w:r>
            <w:r>
              <w:rPr>
                <w:rFonts w:eastAsia="Batang"/>
                <w:bCs/>
                <w:iCs/>
                <w:noProof/>
                <w:lang w:val="en-GB"/>
              </w:rPr>
              <w:t>7</w:t>
            </w:r>
            <w:r w:rsidRPr="00576686">
              <w:rPr>
                <w:rFonts w:eastAsia="Batang"/>
                <w:bCs/>
                <w:iCs/>
                <w:noProof/>
              </w:rPr>
              <w:t xml:space="preserve"> percentage points;</w:t>
            </w:r>
            <w:r>
              <w:rPr>
                <w:rFonts w:eastAsia="Batang"/>
                <w:bCs/>
                <w:iCs/>
                <w:noProof/>
                <w:lang w:val="en-GB"/>
              </w:rPr>
              <w:t xml:space="preserve"> </w:t>
            </w:r>
            <w:r w:rsidRPr="00576686">
              <w:rPr>
                <w:rFonts w:eastAsia="Batang"/>
                <w:bCs/>
                <w:iCs/>
                <w:noProof/>
              </w:rPr>
              <w:t xml:space="preserve">agricultural and forestry products accounted for </w:t>
            </w:r>
            <w:r>
              <w:rPr>
                <w:rFonts w:eastAsia="Batang"/>
                <w:bCs/>
                <w:iCs/>
                <w:noProof/>
                <w:lang w:val="en-GB"/>
              </w:rPr>
              <w:t>6</w:t>
            </w:r>
            <w:r w:rsidRPr="00576686">
              <w:rPr>
                <w:rFonts w:eastAsia="Batang"/>
                <w:bCs/>
                <w:iCs/>
                <w:noProof/>
              </w:rPr>
              <w:t>.</w:t>
            </w:r>
            <w:r>
              <w:rPr>
                <w:rFonts w:eastAsia="Batang"/>
                <w:bCs/>
                <w:iCs/>
                <w:noProof/>
                <w:lang w:val="en-GB"/>
              </w:rPr>
              <w:t>9</w:t>
            </w:r>
            <w:r w:rsidRPr="00576686">
              <w:rPr>
                <w:rFonts w:eastAsia="Batang"/>
                <w:bCs/>
                <w:iCs/>
                <w:noProof/>
              </w:rPr>
              <w:t xml:space="preserve">%, </w:t>
            </w:r>
            <w:r>
              <w:rPr>
                <w:rFonts w:eastAsia="Batang"/>
                <w:bCs/>
                <w:iCs/>
                <w:noProof/>
                <w:lang w:val="en-GB"/>
              </w:rPr>
              <w:t>equaling the same period last year.</w:t>
            </w:r>
          </w:p>
          <w:p w14:paraId="522562A7" w14:textId="77777777" w:rsidR="0036660A" w:rsidRPr="00D64BE4" w:rsidRDefault="0036660A" w:rsidP="0036660A">
            <w:pPr>
              <w:tabs>
                <w:tab w:val="left" w:pos="900"/>
              </w:tabs>
              <w:spacing w:before="40" w:after="40" w:line="288" w:lineRule="auto"/>
              <w:ind w:firstLine="562"/>
              <w:jc w:val="both"/>
              <w:rPr>
                <w:b/>
                <w:bCs/>
                <w:i/>
                <w:iCs/>
              </w:rPr>
            </w:pPr>
            <w:r w:rsidRPr="00D64BE4">
              <w:rPr>
                <w:b/>
                <w:bCs/>
                <w:i/>
                <w:iCs/>
              </w:rPr>
              <w:t>Import of goods</w:t>
            </w:r>
          </w:p>
          <w:p w14:paraId="07312A8A" w14:textId="77777777" w:rsidR="00D861E2" w:rsidRDefault="00D861E2" w:rsidP="00D861E2">
            <w:pPr>
              <w:tabs>
                <w:tab w:val="num" w:pos="0"/>
                <w:tab w:val="left" w:pos="9475"/>
              </w:tabs>
              <w:spacing w:before="40" w:after="40" w:line="288" w:lineRule="auto"/>
              <w:ind w:right="6" w:firstLine="567"/>
              <w:jc w:val="both"/>
              <w:rPr>
                <w:bCs/>
                <w:lang w:val="de-DE"/>
              </w:rPr>
            </w:pPr>
            <w:r w:rsidRPr="000E3685">
              <w:rPr>
                <w:bCs/>
                <w:lang w:val="de-DE"/>
              </w:rPr>
              <w:t xml:space="preserve">Import turnover of goods in </w:t>
            </w:r>
            <w:r>
              <w:rPr>
                <w:bCs/>
                <w:lang w:val="de-DE"/>
              </w:rPr>
              <w:t>January</w:t>
            </w:r>
            <w:r w:rsidRPr="000E3685">
              <w:rPr>
                <w:bCs/>
                <w:lang w:val="de-DE"/>
              </w:rPr>
              <w:t xml:space="preserve"> 202</w:t>
            </w:r>
            <w:r>
              <w:rPr>
                <w:bCs/>
                <w:lang w:val="de-DE"/>
              </w:rPr>
              <w:t>2</w:t>
            </w:r>
            <w:r w:rsidRPr="000E3685">
              <w:rPr>
                <w:bCs/>
                <w:lang w:val="de-DE"/>
              </w:rPr>
              <w:t xml:space="preserve"> reached </w:t>
            </w:r>
            <w:r>
              <w:rPr>
                <w:bCs/>
                <w:lang w:val="de-DE"/>
              </w:rPr>
              <w:t>29</w:t>
            </w:r>
            <w:r w:rsidRPr="000E3685">
              <w:rPr>
                <w:bCs/>
                <w:lang w:val="de-DE"/>
              </w:rPr>
              <w:t>.</w:t>
            </w:r>
            <w:r>
              <w:rPr>
                <w:bCs/>
                <w:lang w:val="de-DE"/>
              </w:rPr>
              <w:t>45</w:t>
            </w:r>
            <w:r w:rsidRPr="000E3685">
              <w:rPr>
                <w:bCs/>
                <w:lang w:val="de-DE"/>
              </w:rPr>
              <w:t xml:space="preserve"> billion USD, </w:t>
            </w:r>
            <w:r>
              <w:rPr>
                <w:bCs/>
                <w:lang w:val="de-DE"/>
              </w:rPr>
              <w:t>51</w:t>
            </w:r>
            <w:r w:rsidRPr="000E3685">
              <w:rPr>
                <w:bCs/>
                <w:lang w:val="de-DE"/>
              </w:rPr>
              <w:t xml:space="preserve"> million USD lower than the </w:t>
            </w:r>
            <w:r w:rsidRPr="004F4283">
              <w:rPr>
                <w:bCs/>
              </w:rPr>
              <w:t>estimated figure</w:t>
            </w:r>
            <w:r w:rsidRPr="000E3685">
              <w:rPr>
                <w:bCs/>
                <w:lang w:val="de-DE"/>
              </w:rPr>
              <w:t>.</w:t>
            </w:r>
          </w:p>
          <w:p w14:paraId="0439AC87" w14:textId="77777777" w:rsidR="00D861E2" w:rsidRDefault="00D861E2" w:rsidP="00D861E2">
            <w:pPr>
              <w:tabs>
                <w:tab w:val="num" w:pos="0"/>
                <w:tab w:val="left" w:pos="9475"/>
              </w:tabs>
              <w:spacing w:before="40" w:after="40" w:line="288" w:lineRule="auto"/>
              <w:ind w:right="6" w:firstLine="567"/>
              <w:jc w:val="both"/>
              <w:rPr>
                <w:spacing w:val="-4"/>
                <w:lang w:val="de-DE"/>
              </w:rPr>
            </w:pPr>
            <w:r w:rsidRPr="000E3685">
              <w:rPr>
                <w:bCs/>
                <w:spacing w:val="-4"/>
                <w:lang w:val="de-DE"/>
              </w:rPr>
              <w:t xml:space="preserve">Import turnover of goods in </w:t>
            </w:r>
            <w:r>
              <w:rPr>
                <w:bCs/>
                <w:spacing w:val="-4"/>
                <w:lang w:val="de-DE"/>
              </w:rPr>
              <w:t>February</w:t>
            </w:r>
            <w:r w:rsidRPr="000E3685">
              <w:rPr>
                <w:bCs/>
                <w:spacing w:val="-4"/>
                <w:lang w:val="de-DE"/>
              </w:rPr>
              <w:t xml:space="preserve"> 2022 was estimated at 2</w:t>
            </w:r>
            <w:r>
              <w:rPr>
                <w:bCs/>
                <w:spacing w:val="-4"/>
                <w:lang w:val="de-DE"/>
              </w:rPr>
              <w:t>5</w:t>
            </w:r>
            <w:r w:rsidRPr="000E3685">
              <w:rPr>
                <w:bCs/>
                <w:spacing w:val="-4"/>
                <w:lang w:val="de-DE"/>
              </w:rPr>
              <w:t>.</w:t>
            </w:r>
            <w:r>
              <w:rPr>
                <w:bCs/>
                <w:spacing w:val="-4"/>
                <w:lang w:val="de-DE"/>
              </w:rPr>
              <w:t>28</w:t>
            </w:r>
            <w:r w:rsidRPr="000E3685">
              <w:rPr>
                <w:bCs/>
                <w:spacing w:val="-4"/>
                <w:lang w:val="de-DE"/>
              </w:rPr>
              <w:t xml:space="preserve"> billion USD, down </w:t>
            </w:r>
            <w:r>
              <w:rPr>
                <w:bCs/>
                <w:spacing w:val="-4"/>
                <w:lang w:val="de-DE"/>
              </w:rPr>
              <w:t>14</w:t>
            </w:r>
            <w:r w:rsidRPr="000E3685">
              <w:rPr>
                <w:bCs/>
                <w:spacing w:val="-4"/>
                <w:lang w:val="de-DE"/>
              </w:rPr>
              <w:t>.</w:t>
            </w:r>
            <w:r>
              <w:rPr>
                <w:bCs/>
                <w:spacing w:val="-4"/>
                <w:lang w:val="de-DE"/>
              </w:rPr>
              <w:t>2</w:t>
            </w:r>
            <w:r w:rsidRPr="000E3685">
              <w:rPr>
                <w:bCs/>
                <w:spacing w:val="-4"/>
                <w:lang w:val="de-DE"/>
              </w:rPr>
              <w:t xml:space="preserve">% over the previous month, of which the domestic economic sector gained </w:t>
            </w:r>
            <w:r>
              <w:rPr>
                <w:bCs/>
                <w:spacing w:val="-4"/>
                <w:lang w:val="de-DE"/>
              </w:rPr>
              <w:t>8.28</w:t>
            </w:r>
            <w:r w:rsidRPr="000E3685">
              <w:rPr>
                <w:bCs/>
                <w:spacing w:val="-4"/>
                <w:lang w:val="de-DE"/>
              </w:rPr>
              <w:t xml:space="preserve"> billion USD, down </w:t>
            </w:r>
            <w:r>
              <w:rPr>
                <w:bCs/>
                <w:spacing w:val="-4"/>
                <w:lang w:val="de-DE"/>
              </w:rPr>
              <w:t>17</w:t>
            </w:r>
            <w:r w:rsidRPr="000E3685">
              <w:rPr>
                <w:bCs/>
                <w:spacing w:val="-4"/>
                <w:lang w:val="de-DE"/>
              </w:rPr>
              <w:t>%; FDI sector reached 1</w:t>
            </w:r>
            <w:r>
              <w:rPr>
                <w:bCs/>
                <w:spacing w:val="-4"/>
                <w:lang w:val="de-DE"/>
              </w:rPr>
              <w:t>7</w:t>
            </w:r>
            <w:r w:rsidRPr="000E3685">
              <w:rPr>
                <w:bCs/>
                <w:spacing w:val="-4"/>
                <w:lang w:val="de-DE"/>
              </w:rPr>
              <w:t xml:space="preserve"> billion USD, down </w:t>
            </w:r>
            <w:r>
              <w:rPr>
                <w:bCs/>
                <w:spacing w:val="-4"/>
                <w:lang w:val="de-DE"/>
              </w:rPr>
              <w:t>12.7</w:t>
            </w:r>
            <w:r w:rsidRPr="000E3685">
              <w:rPr>
                <w:bCs/>
                <w:spacing w:val="-4"/>
                <w:lang w:val="de-DE"/>
              </w:rPr>
              <w:t xml:space="preserve">%. Compared to the same period last year, the import turnover of goods in </w:t>
            </w:r>
            <w:r>
              <w:rPr>
                <w:bCs/>
                <w:spacing w:val="-4"/>
                <w:lang w:val="de-DE"/>
              </w:rPr>
              <w:t>February</w:t>
            </w:r>
            <w:r w:rsidRPr="000E3685">
              <w:rPr>
                <w:bCs/>
                <w:spacing w:val="-4"/>
                <w:lang w:val="de-DE"/>
              </w:rPr>
              <w:t xml:space="preserve"> increased by </w:t>
            </w:r>
            <w:r>
              <w:rPr>
                <w:bCs/>
                <w:spacing w:val="-4"/>
                <w:lang w:val="de-DE"/>
              </w:rPr>
              <w:t>2</w:t>
            </w:r>
            <w:r w:rsidRPr="000E3685">
              <w:rPr>
                <w:bCs/>
                <w:spacing w:val="-4"/>
                <w:lang w:val="de-DE"/>
              </w:rPr>
              <w:t>1.</w:t>
            </w:r>
            <w:r>
              <w:rPr>
                <w:bCs/>
                <w:spacing w:val="-4"/>
                <w:lang w:val="de-DE"/>
              </w:rPr>
              <w:t>9</w:t>
            </w:r>
            <w:r w:rsidRPr="000E3685">
              <w:rPr>
                <w:bCs/>
                <w:spacing w:val="-4"/>
                <w:lang w:val="de-DE"/>
              </w:rPr>
              <w:t xml:space="preserve">%, of which the domestic economic sector increased by </w:t>
            </w:r>
            <w:r>
              <w:rPr>
                <w:bCs/>
                <w:spacing w:val="-4"/>
                <w:lang w:val="de-DE"/>
              </w:rPr>
              <w:t>2</w:t>
            </w:r>
            <w:r w:rsidRPr="000E3685">
              <w:rPr>
                <w:bCs/>
                <w:spacing w:val="-4"/>
                <w:lang w:val="de-DE"/>
              </w:rPr>
              <w:t>2.8%; the foreign</w:t>
            </w:r>
            <w:r>
              <w:rPr>
                <w:bCs/>
                <w:spacing w:val="-4"/>
                <w:lang w:val="de-DE"/>
              </w:rPr>
              <w:t xml:space="preserve"> direct investment</w:t>
            </w:r>
            <w:r w:rsidRPr="000E3685">
              <w:rPr>
                <w:bCs/>
                <w:spacing w:val="-4"/>
                <w:lang w:val="de-DE"/>
              </w:rPr>
              <w:t xml:space="preserve"> sector increased by </w:t>
            </w:r>
            <w:r>
              <w:rPr>
                <w:bCs/>
                <w:spacing w:val="-4"/>
                <w:lang w:val="de-DE"/>
              </w:rPr>
              <w:t>21</w:t>
            </w:r>
            <w:r w:rsidRPr="000E3685">
              <w:rPr>
                <w:bCs/>
                <w:spacing w:val="-4"/>
                <w:lang w:val="de-DE"/>
              </w:rPr>
              <w:t>.</w:t>
            </w:r>
            <w:r>
              <w:rPr>
                <w:bCs/>
                <w:spacing w:val="-4"/>
                <w:lang w:val="de-DE"/>
              </w:rPr>
              <w:t>4</w:t>
            </w:r>
            <w:r w:rsidRPr="000E3685">
              <w:rPr>
                <w:bCs/>
                <w:spacing w:val="-4"/>
                <w:lang w:val="de-DE"/>
              </w:rPr>
              <w:t>%.</w:t>
            </w:r>
            <w:r w:rsidRPr="007F75F0">
              <w:rPr>
                <w:spacing w:val="-4"/>
                <w:lang w:val="de-DE"/>
              </w:rPr>
              <w:t xml:space="preserve"> </w:t>
            </w:r>
          </w:p>
          <w:p w14:paraId="52243913" w14:textId="77777777" w:rsidR="002F2B2B" w:rsidRPr="002F2B2B" w:rsidRDefault="002F2B2B" w:rsidP="002F2B2B">
            <w:pPr>
              <w:tabs>
                <w:tab w:val="num" w:pos="0"/>
                <w:tab w:val="left" w:pos="9475"/>
              </w:tabs>
              <w:spacing w:before="40" w:after="40" w:line="288" w:lineRule="auto"/>
              <w:ind w:right="6" w:firstLine="567"/>
              <w:jc w:val="both"/>
              <w:rPr>
                <w:lang w:val="de-DE"/>
              </w:rPr>
            </w:pPr>
            <w:r w:rsidRPr="002F2B2B">
              <w:rPr>
                <w:lang w:val="de-DE"/>
              </w:rPr>
              <w:t>Generally, in the first two months of 2022, the import turnover of goods was estimated at 54.73 billion USD, up 15.9% over the same period last year, of which the domestic economic sector reached 18.25 billion USD, up 16.9%; the FDI sector reached 36.48 billion USD, up 15.4%.</w:t>
            </w:r>
          </w:p>
          <w:p w14:paraId="22706C44" w14:textId="522040C5" w:rsidR="0018111D" w:rsidRPr="0018111D" w:rsidRDefault="002F2B2B" w:rsidP="007469AE">
            <w:pPr>
              <w:tabs>
                <w:tab w:val="left" w:pos="9475"/>
              </w:tabs>
              <w:spacing w:before="40" w:after="40" w:line="288" w:lineRule="auto"/>
              <w:ind w:right="6" w:firstLine="460"/>
              <w:jc w:val="both"/>
              <w:rPr>
                <w:rFonts w:ascii="Arial" w:hAnsi="Arial" w:cs="Arial"/>
                <w:b/>
                <w:spacing w:val="-2"/>
                <w:sz w:val="22"/>
                <w:szCs w:val="20"/>
                <w:lang w:val="pl-PL"/>
              </w:rPr>
            </w:pPr>
            <w:r w:rsidRPr="002F2B2B">
              <w:rPr>
                <w:lang w:val="de-DE"/>
              </w:rPr>
              <w:t>In the first two months of 2022, there were 13 imported items worth over 1 billion USD, accounting for 71.6% of the total import turnover.</w:t>
            </w:r>
          </w:p>
          <w:p w14:paraId="48233F75" w14:textId="3A61A6D3" w:rsidR="00901AB5" w:rsidRPr="0018111D" w:rsidRDefault="00B61220" w:rsidP="007469AE">
            <w:pPr>
              <w:tabs>
                <w:tab w:val="left" w:pos="9475"/>
              </w:tabs>
              <w:spacing w:before="40" w:after="240" w:line="288" w:lineRule="auto"/>
              <w:ind w:right="6"/>
              <w:jc w:val="center"/>
              <w:rPr>
                <w:rFonts w:ascii="Arial" w:hAnsi="Arial" w:cs="Arial"/>
                <w:b/>
                <w:bCs/>
                <w:i/>
                <w:iCs/>
                <w:sz w:val="20"/>
                <w:szCs w:val="20"/>
              </w:rPr>
            </w:pPr>
            <w:r w:rsidRPr="00B72E99">
              <w:rPr>
                <w:rFonts w:ascii="Arial" w:hAnsi="Arial" w:cs="Arial"/>
                <w:b/>
                <w:spacing w:val="-2"/>
                <w:sz w:val="24"/>
                <w:szCs w:val="20"/>
                <w:lang w:val="pl-PL"/>
              </w:rPr>
              <w:t xml:space="preserve">Table 6. Value of some </w:t>
            </w:r>
            <w:r>
              <w:rPr>
                <w:rFonts w:ascii="Arial" w:hAnsi="Arial" w:cs="Arial"/>
                <w:b/>
                <w:spacing w:val="-2"/>
                <w:sz w:val="24"/>
                <w:szCs w:val="20"/>
                <w:lang w:val="pl-PL"/>
              </w:rPr>
              <w:t>imported</w:t>
            </w:r>
            <w:r w:rsidRPr="00B72E99">
              <w:rPr>
                <w:rFonts w:ascii="Arial" w:hAnsi="Arial" w:cs="Arial"/>
                <w:b/>
                <w:spacing w:val="-2"/>
                <w:sz w:val="24"/>
                <w:szCs w:val="20"/>
                <w:lang w:val="pl-PL"/>
              </w:rPr>
              <w:t xml:space="preserve"> goods in </w:t>
            </w:r>
            <w:r>
              <w:rPr>
                <w:rFonts w:ascii="Arial" w:hAnsi="Arial" w:cs="Arial"/>
                <w:b/>
                <w:spacing w:val="-2"/>
                <w:sz w:val="24"/>
                <w:szCs w:val="20"/>
                <w:lang w:val="pl-PL"/>
              </w:rPr>
              <w:t>the first 2 months of</w:t>
            </w:r>
            <w:r w:rsidRPr="00B72E99">
              <w:rPr>
                <w:rFonts w:ascii="Arial" w:hAnsi="Arial" w:cs="Arial"/>
                <w:b/>
                <w:spacing w:val="-2"/>
                <w:sz w:val="24"/>
                <w:szCs w:val="20"/>
                <w:lang w:val="pl-PL"/>
              </w:rPr>
              <w:t xml:space="preserve"> 2022</w:t>
            </w:r>
          </w:p>
          <w:p w14:paraId="0B463F47" w14:textId="253AA13C" w:rsidR="00901AB5" w:rsidRDefault="002614B0" w:rsidP="00901AB5">
            <w:pPr>
              <w:tabs>
                <w:tab w:val="num" w:pos="0"/>
                <w:tab w:val="left" w:pos="9475"/>
              </w:tabs>
              <w:spacing w:before="40"/>
              <w:ind w:right="329" w:firstLine="567"/>
              <w:jc w:val="right"/>
              <w:rPr>
                <w:rFonts w:ascii="Arial" w:hAnsi="Arial" w:cs="Arial"/>
                <w:b/>
                <w:bCs/>
                <w:i/>
                <w:iCs/>
                <w:sz w:val="20"/>
                <w:szCs w:val="20"/>
              </w:rPr>
            </w:pPr>
            <w:r>
              <w:rPr>
                <w:rFonts w:ascii="Arial" w:hAnsi="Arial" w:cs="Arial"/>
                <w:b/>
                <w:bCs/>
                <w:i/>
                <w:iCs/>
                <w:sz w:val="20"/>
                <w:szCs w:val="20"/>
              </w:rPr>
              <w:t>Mill.</w:t>
            </w:r>
            <w:r w:rsidR="00901AB5" w:rsidRPr="00A15161">
              <w:rPr>
                <w:rFonts w:ascii="Arial" w:hAnsi="Arial" w:cs="Arial"/>
                <w:b/>
                <w:bCs/>
                <w:i/>
                <w:iCs/>
                <w:sz w:val="20"/>
                <w:szCs w:val="20"/>
              </w:rPr>
              <w:t xml:space="preserve"> USD</w:t>
            </w:r>
          </w:p>
          <w:tbl>
            <w:tblPr>
              <w:tblStyle w:val="TableGrid"/>
              <w:tblW w:w="8992" w:type="dxa"/>
              <w:jc w:val="center"/>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701"/>
              <w:gridCol w:w="2896"/>
            </w:tblGrid>
            <w:tr w:rsidR="00901AB5" w:rsidRPr="002F1273" w14:paraId="5DF1EB24" w14:textId="77777777" w:rsidTr="00844B6B">
              <w:trPr>
                <w:jc w:val="center"/>
              </w:trPr>
              <w:tc>
                <w:tcPr>
                  <w:tcW w:w="4395" w:type="dxa"/>
                </w:tcPr>
                <w:p w14:paraId="20F63D1E" w14:textId="77777777" w:rsidR="00901AB5" w:rsidRPr="002F1273" w:rsidRDefault="00901AB5" w:rsidP="00901AB5">
                  <w:pPr>
                    <w:tabs>
                      <w:tab w:val="num" w:pos="0"/>
                      <w:tab w:val="left" w:pos="9475"/>
                    </w:tabs>
                    <w:spacing w:before="40" w:after="40" w:line="278" w:lineRule="auto"/>
                    <w:ind w:right="119"/>
                    <w:jc w:val="right"/>
                    <w:rPr>
                      <w:rFonts w:ascii="Arial" w:hAnsi="Arial" w:cs="Arial"/>
                      <w:b/>
                      <w:bCs/>
                      <w:i/>
                      <w:iCs/>
                      <w:sz w:val="20"/>
                      <w:szCs w:val="20"/>
                    </w:rPr>
                  </w:pPr>
                </w:p>
              </w:tc>
              <w:tc>
                <w:tcPr>
                  <w:tcW w:w="1701" w:type="dxa"/>
                  <w:tcBorders>
                    <w:top w:val="single" w:sz="4" w:space="0" w:color="auto"/>
                    <w:bottom w:val="single" w:sz="4" w:space="0" w:color="auto"/>
                  </w:tcBorders>
                </w:tcPr>
                <w:p w14:paraId="219375D3" w14:textId="53E0C232" w:rsidR="00901AB5" w:rsidRDefault="00844B6B" w:rsidP="00901AB5">
                  <w:pPr>
                    <w:spacing w:before="40" w:after="40"/>
                    <w:jc w:val="center"/>
                    <w:rPr>
                      <w:rFonts w:ascii="Arial" w:hAnsi="Arial" w:cs="Arial"/>
                      <w:color w:val="000000"/>
                      <w:sz w:val="20"/>
                      <w:szCs w:val="20"/>
                    </w:rPr>
                  </w:pPr>
                  <w:r w:rsidRPr="007F6A49">
                    <w:rPr>
                      <w:rFonts w:ascii="Arial" w:hAnsi="Arial" w:cs="Arial"/>
                      <w:sz w:val="20"/>
                      <w:szCs w:val="20"/>
                    </w:rPr>
                    <w:t>Estimate</w:t>
                  </w:r>
                  <w:r w:rsidR="00901AB5" w:rsidRPr="002F1273">
                    <w:rPr>
                      <w:rFonts w:ascii="Arial" w:hAnsi="Arial" w:cs="Arial"/>
                      <w:color w:val="000000"/>
                      <w:sz w:val="20"/>
                      <w:szCs w:val="20"/>
                    </w:rPr>
                    <w:t xml:space="preserve"> </w:t>
                  </w:r>
                </w:p>
                <w:p w14:paraId="311BF5E5" w14:textId="1D2DEF61" w:rsidR="00901AB5" w:rsidRDefault="00844B6B" w:rsidP="00901AB5">
                  <w:pPr>
                    <w:spacing w:before="40" w:after="40"/>
                    <w:jc w:val="center"/>
                    <w:rPr>
                      <w:rFonts w:ascii="Arial" w:hAnsi="Arial" w:cs="Arial"/>
                      <w:color w:val="000000"/>
                      <w:sz w:val="20"/>
                      <w:szCs w:val="20"/>
                    </w:rPr>
                  </w:pPr>
                  <w:r w:rsidRPr="002F1273">
                    <w:rPr>
                      <w:rFonts w:ascii="Arial" w:hAnsi="Arial" w:cs="Arial"/>
                      <w:color w:val="000000"/>
                      <w:sz w:val="20"/>
                      <w:szCs w:val="20"/>
                    </w:rPr>
                    <w:t xml:space="preserve">2 </w:t>
                  </w:r>
                  <w:r>
                    <w:rPr>
                      <w:rFonts w:ascii="Arial" w:hAnsi="Arial" w:cs="Arial"/>
                      <w:color w:val="000000"/>
                      <w:sz w:val="20"/>
                      <w:szCs w:val="20"/>
                    </w:rPr>
                    <w:t xml:space="preserve">months </w:t>
                  </w:r>
                </w:p>
                <w:p w14:paraId="18B52EA8" w14:textId="470C361F" w:rsidR="00901AB5" w:rsidRPr="002F1273" w:rsidRDefault="00901AB5" w:rsidP="00901AB5">
                  <w:pPr>
                    <w:spacing w:before="40" w:after="40"/>
                    <w:jc w:val="center"/>
                    <w:rPr>
                      <w:rFonts w:ascii="Arial" w:hAnsi="Arial" w:cs="Arial"/>
                      <w:b/>
                      <w:bCs/>
                      <w:i/>
                      <w:iCs/>
                      <w:sz w:val="20"/>
                      <w:szCs w:val="20"/>
                    </w:rPr>
                  </w:pPr>
                  <w:r w:rsidRPr="002F1273">
                    <w:rPr>
                      <w:rFonts w:ascii="Arial" w:hAnsi="Arial" w:cs="Arial"/>
                      <w:color w:val="000000"/>
                      <w:sz w:val="20"/>
                      <w:szCs w:val="20"/>
                    </w:rPr>
                    <w:t xml:space="preserve"> 2022</w:t>
                  </w:r>
                </w:p>
              </w:tc>
              <w:tc>
                <w:tcPr>
                  <w:tcW w:w="2896" w:type="dxa"/>
                  <w:tcBorders>
                    <w:top w:val="single" w:sz="4" w:space="0" w:color="auto"/>
                    <w:bottom w:val="single" w:sz="4" w:space="0" w:color="auto"/>
                  </w:tcBorders>
                </w:tcPr>
                <w:p w14:paraId="79CB9C0C" w14:textId="50ABC813" w:rsidR="00901AB5" w:rsidRDefault="00844B6B" w:rsidP="00901AB5">
                  <w:pPr>
                    <w:spacing w:before="40" w:after="40"/>
                    <w:jc w:val="center"/>
                    <w:rPr>
                      <w:rFonts w:ascii="Arial" w:hAnsi="Arial" w:cs="Arial"/>
                      <w:color w:val="000000"/>
                      <w:sz w:val="20"/>
                      <w:szCs w:val="20"/>
                    </w:rPr>
                  </w:pPr>
                  <w:r w:rsidRPr="007F6A49">
                    <w:rPr>
                      <w:rFonts w:ascii="Arial" w:hAnsi="Arial" w:cs="Arial"/>
                      <w:sz w:val="20"/>
                      <w:szCs w:val="20"/>
                    </w:rPr>
                    <w:t>Growth rate of</w:t>
                  </w:r>
                  <w:r w:rsidR="00901AB5" w:rsidRPr="002F1273">
                    <w:rPr>
                      <w:rFonts w:ascii="Arial" w:hAnsi="Arial" w:cs="Arial"/>
                      <w:color w:val="000000"/>
                      <w:sz w:val="20"/>
                      <w:szCs w:val="20"/>
                    </w:rPr>
                    <w:t xml:space="preserve"> </w:t>
                  </w:r>
                </w:p>
                <w:p w14:paraId="132E8155" w14:textId="5D13D0CE" w:rsidR="00901AB5" w:rsidRPr="002F1273" w:rsidRDefault="00901AB5" w:rsidP="00901AB5">
                  <w:pPr>
                    <w:spacing w:before="40" w:after="40"/>
                    <w:jc w:val="center"/>
                    <w:rPr>
                      <w:rFonts w:ascii="Arial" w:hAnsi="Arial" w:cs="Arial"/>
                      <w:color w:val="000000"/>
                      <w:sz w:val="20"/>
                      <w:szCs w:val="20"/>
                    </w:rPr>
                  </w:pPr>
                  <w:r w:rsidRPr="002F1273">
                    <w:rPr>
                      <w:rFonts w:ascii="Arial" w:hAnsi="Arial" w:cs="Arial"/>
                      <w:color w:val="000000"/>
                      <w:sz w:val="20"/>
                      <w:szCs w:val="20"/>
                    </w:rPr>
                    <w:t xml:space="preserve">2 </w:t>
                  </w:r>
                  <w:r w:rsidR="00844B6B">
                    <w:rPr>
                      <w:rFonts w:ascii="Arial" w:hAnsi="Arial" w:cs="Arial"/>
                      <w:color w:val="000000"/>
                      <w:sz w:val="20"/>
                      <w:szCs w:val="20"/>
                    </w:rPr>
                    <w:t>months of</w:t>
                  </w:r>
                  <w:r w:rsidRPr="002F1273">
                    <w:rPr>
                      <w:rFonts w:ascii="Arial" w:hAnsi="Arial" w:cs="Arial"/>
                      <w:color w:val="000000"/>
                      <w:sz w:val="20"/>
                      <w:szCs w:val="20"/>
                    </w:rPr>
                    <w:t xml:space="preserve"> 2022 </w:t>
                  </w:r>
                  <w:r w:rsidR="00844B6B">
                    <w:rPr>
                      <w:rFonts w:ascii="Arial" w:hAnsi="Arial" w:cs="Arial"/>
                      <w:color w:val="000000"/>
                      <w:sz w:val="20"/>
                      <w:szCs w:val="20"/>
                    </w:rPr>
                    <w:t>over</w:t>
                  </w:r>
                </w:p>
                <w:p w14:paraId="7A244EDA" w14:textId="3B4D9695" w:rsidR="00901AB5" w:rsidRPr="002F1273" w:rsidRDefault="00844B6B" w:rsidP="00901AB5">
                  <w:pPr>
                    <w:spacing w:before="40" w:after="40"/>
                    <w:jc w:val="center"/>
                    <w:rPr>
                      <w:rFonts w:ascii="Arial" w:hAnsi="Arial" w:cs="Arial"/>
                      <w:b/>
                      <w:bCs/>
                      <w:i/>
                      <w:iCs/>
                      <w:sz w:val="20"/>
                      <w:szCs w:val="20"/>
                    </w:rPr>
                  </w:pPr>
                  <w:r w:rsidRPr="007F6A49">
                    <w:rPr>
                      <w:rFonts w:ascii="Arial" w:hAnsi="Arial" w:cs="Arial"/>
                      <w:sz w:val="20"/>
                      <w:szCs w:val="20"/>
                    </w:rPr>
                    <w:t>the same period last year (%)</w:t>
                  </w:r>
                </w:p>
              </w:tc>
            </w:tr>
            <w:tr w:rsidR="00901AB5" w:rsidRPr="002F1273" w14:paraId="773640C8" w14:textId="77777777" w:rsidTr="00844B6B">
              <w:trPr>
                <w:jc w:val="center"/>
              </w:trPr>
              <w:tc>
                <w:tcPr>
                  <w:tcW w:w="4395" w:type="dxa"/>
                  <w:vAlign w:val="bottom"/>
                </w:tcPr>
                <w:p w14:paraId="24D6BE4A" w14:textId="553DD356" w:rsidR="00901AB5" w:rsidRPr="002F1273" w:rsidRDefault="00844B6B" w:rsidP="00901AB5">
                  <w:pPr>
                    <w:spacing w:before="40" w:after="40"/>
                    <w:rPr>
                      <w:rFonts w:ascii="Arial" w:hAnsi="Arial" w:cs="Arial"/>
                      <w:b/>
                      <w:bCs/>
                      <w:color w:val="000000"/>
                      <w:sz w:val="20"/>
                      <w:szCs w:val="20"/>
                    </w:rPr>
                  </w:pPr>
                  <w:r w:rsidRPr="007F6A49">
                    <w:rPr>
                      <w:rFonts w:ascii="Arial" w:hAnsi="Arial" w:cs="Arial"/>
                      <w:b/>
                      <w:bCs/>
                      <w:sz w:val="20"/>
                      <w:szCs w:val="20"/>
                    </w:rPr>
                    <w:t xml:space="preserve">Items with a value of over </w:t>
                  </w:r>
                  <w:r>
                    <w:rPr>
                      <w:rFonts w:ascii="Arial" w:hAnsi="Arial" w:cs="Arial"/>
                      <w:b/>
                      <w:bCs/>
                      <w:sz w:val="20"/>
                      <w:szCs w:val="20"/>
                    </w:rPr>
                    <w:t>5</w:t>
                  </w:r>
                  <w:r w:rsidRPr="007F6A49">
                    <w:rPr>
                      <w:rFonts w:ascii="Arial" w:hAnsi="Arial" w:cs="Arial"/>
                      <w:b/>
                      <w:bCs/>
                      <w:sz w:val="20"/>
                      <w:szCs w:val="20"/>
                    </w:rPr>
                    <w:t xml:space="preserve"> billion USD</w:t>
                  </w:r>
                </w:p>
              </w:tc>
              <w:tc>
                <w:tcPr>
                  <w:tcW w:w="1701" w:type="dxa"/>
                  <w:tcBorders>
                    <w:top w:val="single" w:sz="4" w:space="0" w:color="auto"/>
                  </w:tcBorders>
                </w:tcPr>
                <w:p w14:paraId="5D4EDA2C" w14:textId="77777777" w:rsidR="00901AB5" w:rsidRPr="002F1273" w:rsidRDefault="00901AB5" w:rsidP="00901AB5">
                  <w:pPr>
                    <w:tabs>
                      <w:tab w:val="num" w:pos="0"/>
                      <w:tab w:val="left" w:pos="9475"/>
                    </w:tabs>
                    <w:spacing w:before="40" w:after="40" w:line="278" w:lineRule="auto"/>
                    <w:ind w:right="119"/>
                    <w:jc w:val="right"/>
                    <w:rPr>
                      <w:rFonts w:ascii="Arial" w:hAnsi="Arial" w:cs="Arial"/>
                      <w:b/>
                      <w:bCs/>
                      <w:i/>
                      <w:iCs/>
                      <w:sz w:val="20"/>
                      <w:szCs w:val="20"/>
                    </w:rPr>
                  </w:pPr>
                </w:p>
              </w:tc>
              <w:tc>
                <w:tcPr>
                  <w:tcW w:w="2896" w:type="dxa"/>
                  <w:tcBorders>
                    <w:top w:val="single" w:sz="4" w:space="0" w:color="auto"/>
                  </w:tcBorders>
                </w:tcPr>
                <w:p w14:paraId="3514BA27" w14:textId="77777777" w:rsidR="00901AB5" w:rsidRPr="002F1273" w:rsidRDefault="00901AB5" w:rsidP="00901AB5">
                  <w:pPr>
                    <w:tabs>
                      <w:tab w:val="num" w:pos="0"/>
                      <w:tab w:val="left" w:pos="9475"/>
                    </w:tabs>
                    <w:spacing w:before="40" w:after="40" w:line="278" w:lineRule="auto"/>
                    <w:ind w:right="119"/>
                    <w:jc w:val="right"/>
                    <w:rPr>
                      <w:rFonts w:ascii="Arial" w:hAnsi="Arial" w:cs="Arial"/>
                      <w:b/>
                      <w:bCs/>
                      <w:i/>
                      <w:iCs/>
                      <w:sz w:val="20"/>
                      <w:szCs w:val="20"/>
                    </w:rPr>
                  </w:pPr>
                </w:p>
              </w:tc>
            </w:tr>
            <w:tr w:rsidR="00901AB5" w:rsidRPr="002F1273" w14:paraId="4B83BF3A" w14:textId="77777777" w:rsidTr="00844B6B">
              <w:trPr>
                <w:jc w:val="center"/>
              </w:trPr>
              <w:tc>
                <w:tcPr>
                  <w:tcW w:w="4395" w:type="dxa"/>
                  <w:tcBorders>
                    <w:bottom w:val="nil"/>
                  </w:tcBorders>
                  <w:vAlign w:val="bottom"/>
                </w:tcPr>
                <w:p w14:paraId="776037F5" w14:textId="7C7B49D5" w:rsidR="00901AB5" w:rsidRPr="002F1273" w:rsidRDefault="00797D97" w:rsidP="0018111D">
                  <w:pPr>
                    <w:spacing w:before="120" w:after="20"/>
                    <w:ind w:firstLine="171"/>
                    <w:rPr>
                      <w:rFonts w:ascii="Arial" w:hAnsi="Arial" w:cs="Arial"/>
                      <w:sz w:val="20"/>
                      <w:szCs w:val="20"/>
                    </w:rPr>
                  </w:pPr>
                  <w:r w:rsidRPr="00ED5531">
                    <w:rPr>
                      <w:rFonts w:ascii="Arial" w:hAnsi="Arial" w:cs="Arial"/>
                      <w:sz w:val="18"/>
                      <w:szCs w:val="18"/>
                    </w:rPr>
                    <w:t>Electronic devices</w:t>
                  </w:r>
                  <w:r>
                    <w:rPr>
                      <w:rFonts w:ascii="Arial" w:hAnsi="Arial" w:cs="Arial"/>
                      <w:sz w:val="18"/>
                      <w:szCs w:val="18"/>
                      <w:lang w:val="en-GB"/>
                    </w:rPr>
                    <w:t>,</w:t>
                  </w:r>
                  <w:r w:rsidRPr="00ED5531">
                    <w:rPr>
                      <w:rFonts w:ascii="Arial" w:hAnsi="Arial" w:cs="Arial"/>
                      <w:sz w:val="18"/>
                      <w:szCs w:val="18"/>
                    </w:rPr>
                    <w:t xml:space="preserve"> computers</w:t>
                  </w:r>
                  <w:r>
                    <w:rPr>
                      <w:rFonts w:ascii="Arial" w:hAnsi="Arial" w:cs="Arial"/>
                      <w:sz w:val="18"/>
                      <w:szCs w:val="18"/>
                    </w:rPr>
                    <w:t>,</w:t>
                  </w:r>
                  <w:r w:rsidRPr="00ED5531">
                    <w:rPr>
                      <w:rFonts w:ascii="Arial" w:hAnsi="Arial" w:cs="Arial"/>
                      <w:sz w:val="18"/>
                      <w:szCs w:val="18"/>
                    </w:rPr>
                    <w:t xml:space="preserve"> and their parts</w:t>
                  </w:r>
                </w:p>
              </w:tc>
              <w:tc>
                <w:tcPr>
                  <w:tcW w:w="1701" w:type="dxa"/>
                  <w:tcBorders>
                    <w:bottom w:val="nil"/>
                  </w:tcBorders>
                  <w:vAlign w:val="bottom"/>
                </w:tcPr>
                <w:p w14:paraId="414FA339" w14:textId="6519B9E5" w:rsidR="00901AB5" w:rsidRPr="002F1273" w:rsidRDefault="00901AB5" w:rsidP="0018111D">
                  <w:pPr>
                    <w:spacing w:before="120" w:after="20"/>
                    <w:ind w:right="323"/>
                    <w:jc w:val="right"/>
                    <w:rPr>
                      <w:rFonts w:ascii="Arial" w:hAnsi="Arial" w:cs="Arial"/>
                      <w:sz w:val="20"/>
                      <w:szCs w:val="20"/>
                    </w:rPr>
                  </w:pPr>
                  <w:r w:rsidRPr="002F1273">
                    <w:rPr>
                      <w:rFonts w:ascii="Arial" w:hAnsi="Arial" w:cs="Arial"/>
                      <w:sz w:val="20"/>
                      <w:szCs w:val="20"/>
                    </w:rPr>
                    <w:t>1</w:t>
                  </w:r>
                  <w:r>
                    <w:rPr>
                      <w:rFonts w:ascii="Arial" w:hAnsi="Arial" w:cs="Arial"/>
                      <w:sz w:val="20"/>
                      <w:szCs w:val="20"/>
                    </w:rPr>
                    <w:t>3</w:t>
                  </w:r>
                  <w:r w:rsidR="009C3E5E">
                    <w:rPr>
                      <w:rFonts w:ascii="Arial" w:hAnsi="Arial" w:cs="Arial"/>
                      <w:sz w:val="20"/>
                      <w:szCs w:val="20"/>
                    </w:rPr>
                    <w:t>,</w:t>
                  </w:r>
                  <w:r>
                    <w:rPr>
                      <w:rFonts w:ascii="Arial" w:hAnsi="Arial" w:cs="Arial"/>
                      <w:sz w:val="20"/>
                      <w:szCs w:val="20"/>
                    </w:rPr>
                    <w:t>4</w:t>
                  </w:r>
                  <w:r w:rsidRPr="002F1273">
                    <w:rPr>
                      <w:rFonts w:ascii="Arial" w:hAnsi="Arial" w:cs="Arial"/>
                      <w:sz w:val="20"/>
                      <w:szCs w:val="20"/>
                    </w:rPr>
                    <w:t>21</w:t>
                  </w:r>
                </w:p>
              </w:tc>
              <w:tc>
                <w:tcPr>
                  <w:tcW w:w="2896" w:type="dxa"/>
                  <w:tcBorders>
                    <w:bottom w:val="nil"/>
                  </w:tcBorders>
                  <w:vAlign w:val="bottom"/>
                </w:tcPr>
                <w:p w14:paraId="273586DE" w14:textId="2C556CCF" w:rsidR="00901AB5" w:rsidRPr="002F1273" w:rsidRDefault="00901AB5" w:rsidP="0018111D">
                  <w:pPr>
                    <w:spacing w:before="120" w:after="20"/>
                    <w:ind w:right="748"/>
                    <w:jc w:val="right"/>
                    <w:rPr>
                      <w:rFonts w:ascii="Arial" w:hAnsi="Arial" w:cs="Arial"/>
                      <w:sz w:val="20"/>
                      <w:szCs w:val="20"/>
                    </w:rPr>
                  </w:pPr>
                  <w:r>
                    <w:rPr>
                      <w:rFonts w:ascii="Arial" w:hAnsi="Arial" w:cs="Arial"/>
                      <w:sz w:val="20"/>
                      <w:szCs w:val="20"/>
                    </w:rPr>
                    <w:t>26</w:t>
                  </w:r>
                  <w:r w:rsidR="009C3E5E">
                    <w:rPr>
                      <w:rFonts w:ascii="Arial" w:hAnsi="Arial" w:cs="Arial"/>
                      <w:sz w:val="20"/>
                      <w:szCs w:val="20"/>
                    </w:rPr>
                    <w:t>.</w:t>
                  </w:r>
                  <w:r>
                    <w:rPr>
                      <w:rFonts w:ascii="Arial" w:hAnsi="Arial" w:cs="Arial"/>
                      <w:sz w:val="20"/>
                      <w:szCs w:val="20"/>
                    </w:rPr>
                    <w:t>4</w:t>
                  </w:r>
                </w:p>
              </w:tc>
            </w:tr>
            <w:tr w:rsidR="00901AB5" w:rsidRPr="002F1273" w14:paraId="3F1FA370" w14:textId="77777777" w:rsidTr="00844B6B">
              <w:trPr>
                <w:jc w:val="center"/>
              </w:trPr>
              <w:tc>
                <w:tcPr>
                  <w:tcW w:w="4395" w:type="dxa"/>
                  <w:tcBorders>
                    <w:top w:val="nil"/>
                    <w:bottom w:val="single" w:sz="4" w:space="0" w:color="auto"/>
                  </w:tcBorders>
                  <w:vAlign w:val="bottom"/>
                </w:tcPr>
                <w:p w14:paraId="184BDFFA" w14:textId="0B8806D8" w:rsidR="00901AB5" w:rsidRPr="002F1273" w:rsidRDefault="00797D97" w:rsidP="0018111D">
                  <w:pPr>
                    <w:spacing w:before="120" w:after="20"/>
                    <w:ind w:firstLine="171"/>
                    <w:rPr>
                      <w:rFonts w:ascii="Arial" w:hAnsi="Arial" w:cs="Arial"/>
                      <w:sz w:val="20"/>
                      <w:szCs w:val="20"/>
                    </w:rPr>
                  </w:pPr>
                  <w:r>
                    <w:rPr>
                      <w:rFonts w:ascii="Arial" w:hAnsi="Arial" w:cs="Arial"/>
                      <w:sz w:val="18"/>
                      <w:szCs w:val="18"/>
                    </w:rPr>
                    <w:t>Other m</w:t>
                  </w:r>
                  <w:r w:rsidRPr="00ED5531">
                    <w:rPr>
                      <w:rFonts w:ascii="Arial" w:hAnsi="Arial" w:cs="Arial"/>
                      <w:sz w:val="18"/>
                      <w:szCs w:val="18"/>
                    </w:rPr>
                    <w:t>achinery</w:t>
                  </w:r>
                  <w:r>
                    <w:rPr>
                      <w:rFonts w:ascii="Arial" w:hAnsi="Arial" w:cs="Arial"/>
                      <w:sz w:val="18"/>
                      <w:szCs w:val="18"/>
                    </w:rPr>
                    <w:t>,</w:t>
                  </w:r>
                  <w:r w:rsidRPr="00ED5531">
                    <w:rPr>
                      <w:rFonts w:ascii="Arial" w:hAnsi="Arial" w:cs="Arial"/>
                      <w:sz w:val="18"/>
                      <w:szCs w:val="18"/>
                    </w:rPr>
                    <w:t xml:space="preserve"> Instrument</w:t>
                  </w:r>
                  <w:r>
                    <w:rPr>
                      <w:rFonts w:ascii="Arial" w:hAnsi="Arial" w:cs="Arial"/>
                      <w:sz w:val="18"/>
                      <w:szCs w:val="18"/>
                    </w:rPr>
                    <w:t>,</w:t>
                  </w:r>
                  <w:r w:rsidRPr="00ED5531">
                    <w:rPr>
                      <w:rFonts w:ascii="Arial" w:hAnsi="Arial" w:cs="Arial"/>
                      <w:sz w:val="18"/>
                      <w:szCs w:val="18"/>
                    </w:rPr>
                    <w:t xml:space="preserve"> accessory</w:t>
                  </w:r>
                </w:p>
              </w:tc>
              <w:tc>
                <w:tcPr>
                  <w:tcW w:w="1701" w:type="dxa"/>
                  <w:tcBorders>
                    <w:top w:val="nil"/>
                    <w:bottom w:val="single" w:sz="4" w:space="0" w:color="auto"/>
                  </w:tcBorders>
                  <w:vAlign w:val="bottom"/>
                </w:tcPr>
                <w:p w14:paraId="31DC2D5F" w14:textId="632E6F7F" w:rsidR="00901AB5" w:rsidRPr="002F1273" w:rsidRDefault="00901AB5" w:rsidP="0018111D">
                  <w:pPr>
                    <w:spacing w:before="120" w:after="20"/>
                    <w:ind w:right="323"/>
                    <w:jc w:val="right"/>
                    <w:rPr>
                      <w:rFonts w:ascii="Arial" w:hAnsi="Arial" w:cs="Arial"/>
                      <w:sz w:val="20"/>
                      <w:szCs w:val="20"/>
                    </w:rPr>
                  </w:pPr>
                  <w:r>
                    <w:rPr>
                      <w:rFonts w:ascii="Arial" w:hAnsi="Arial" w:cs="Arial"/>
                      <w:sz w:val="20"/>
                      <w:szCs w:val="20"/>
                    </w:rPr>
                    <w:t>6</w:t>
                  </w:r>
                  <w:r w:rsidR="009C3E5E">
                    <w:rPr>
                      <w:rFonts w:ascii="Arial" w:hAnsi="Arial" w:cs="Arial"/>
                      <w:sz w:val="20"/>
                      <w:szCs w:val="20"/>
                    </w:rPr>
                    <w:t>,</w:t>
                  </w:r>
                  <w:r>
                    <w:rPr>
                      <w:rFonts w:ascii="Arial" w:hAnsi="Arial" w:cs="Arial"/>
                      <w:sz w:val="20"/>
                      <w:szCs w:val="20"/>
                    </w:rPr>
                    <w:t>77</w:t>
                  </w:r>
                  <w:r w:rsidRPr="002F1273">
                    <w:rPr>
                      <w:rFonts w:ascii="Arial" w:hAnsi="Arial" w:cs="Arial"/>
                      <w:sz w:val="20"/>
                      <w:szCs w:val="20"/>
                    </w:rPr>
                    <w:t>7</w:t>
                  </w:r>
                </w:p>
              </w:tc>
              <w:tc>
                <w:tcPr>
                  <w:tcW w:w="2896" w:type="dxa"/>
                  <w:tcBorders>
                    <w:top w:val="nil"/>
                    <w:bottom w:val="single" w:sz="4" w:space="0" w:color="auto"/>
                  </w:tcBorders>
                  <w:vAlign w:val="bottom"/>
                </w:tcPr>
                <w:p w14:paraId="66C56E26" w14:textId="6F005628" w:rsidR="00901AB5" w:rsidRPr="002F1273" w:rsidRDefault="00901AB5" w:rsidP="0018111D">
                  <w:pPr>
                    <w:spacing w:before="120" w:after="20"/>
                    <w:ind w:right="748"/>
                    <w:jc w:val="right"/>
                    <w:rPr>
                      <w:rFonts w:ascii="Arial" w:hAnsi="Arial" w:cs="Arial"/>
                      <w:sz w:val="20"/>
                      <w:szCs w:val="20"/>
                    </w:rPr>
                  </w:pPr>
                  <w:r>
                    <w:rPr>
                      <w:rFonts w:ascii="Arial" w:hAnsi="Arial" w:cs="Arial"/>
                      <w:sz w:val="20"/>
                      <w:szCs w:val="20"/>
                    </w:rPr>
                    <w:t>-0</w:t>
                  </w:r>
                  <w:r w:rsidR="009C3E5E">
                    <w:rPr>
                      <w:rFonts w:ascii="Arial" w:hAnsi="Arial" w:cs="Arial"/>
                      <w:sz w:val="20"/>
                      <w:szCs w:val="20"/>
                    </w:rPr>
                    <w:t>.</w:t>
                  </w:r>
                  <w:r>
                    <w:rPr>
                      <w:rFonts w:ascii="Arial" w:hAnsi="Arial" w:cs="Arial"/>
                      <w:sz w:val="20"/>
                      <w:szCs w:val="20"/>
                    </w:rPr>
                    <w:t>8</w:t>
                  </w:r>
                </w:p>
              </w:tc>
            </w:tr>
          </w:tbl>
          <w:p w14:paraId="3BCDCE4A" w14:textId="2F6DDC51" w:rsidR="00901AB5" w:rsidRPr="001A1172" w:rsidRDefault="007469AE" w:rsidP="00901AB5">
            <w:pPr>
              <w:tabs>
                <w:tab w:val="left" w:pos="9475"/>
              </w:tabs>
              <w:spacing w:before="40" w:after="40" w:line="288" w:lineRule="auto"/>
              <w:ind w:right="4" w:firstLine="567"/>
              <w:jc w:val="both"/>
              <w:rPr>
                <w:rStyle w:val="Strong"/>
                <w:rFonts w:eastAsia="Batang"/>
                <w:b w:val="0"/>
                <w:i/>
                <w:iCs/>
                <w:sz w:val="6"/>
              </w:rPr>
            </w:pPr>
            <w:r>
              <w:rPr>
                <w:rFonts w:eastAsia="Batang"/>
                <w:i/>
                <w:iCs/>
                <w:noProof/>
                <w:spacing w:val="-2"/>
                <w:lang w:val="en-GB" w:eastAsia="en-GB"/>
              </w:rPr>
              <w:lastRenderedPageBreak/>
              <mc:AlternateContent>
                <mc:Choice Requires="wps">
                  <w:drawing>
                    <wp:anchor distT="0" distB="0" distL="114300" distR="114300" simplePos="0" relativeHeight="251658240" behindDoc="0" locked="0" layoutInCell="1" allowOverlap="1" wp14:anchorId="50C55798" wp14:editId="7094AE0C">
                      <wp:simplePos x="0" y="0"/>
                      <wp:positionH relativeFrom="column">
                        <wp:posOffset>-16337</wp:posOffset>
                      </wp:positionH>
                      <wp:positionV relativeFrom="paragraph">
                        <wp:posOffset>21417</wp:posOffset>
                      </wp:positionV>
                      <wp:extent cx="3299460" cy="2964180"/>
                      <wp:effectExtent l="0" t="0" r="0" b="762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460" cy="2964180"/>
                              </a:xfrm>
                              <a:prstGeom prst="rect">
                                <a:avLst/>
                              </a:prstGeom>
                              <a:solidFill>
                                <a:srgbClr val="FFFFFF"/>
                              </a:solidFill>
                              <a:ln w="9525">
                                <a:noFill/>
                                <a:miter lim="800000"/>
                                <a:headEnd/>
                                <a:tailEnd/>
                              </a:ln>
                            </wps:spPr>
                            <wps:txbx>
                              <w:txbxContent>
                                <w:p w14:paraId="50035D29" w14:textId="77777777" w:rsidR="0016753D" w:rsidRPr="00D51E06" w:rsidRDefault="0016753D" w:rsidP="0016753D">
                                  <w:pPr>
                                    <w:jc w:val="center"/>
                                    <w:rPr>
                                      <w:rFonts w:ascii="Arial" w:hAnsi="Arial" w:cs="Arial"/>
                                      <w:b/>
                                      <w:bCs/>
                                      <w:sz w:val="24"/>
                                      <w:szCs w:val="24"/>
                                    </w:rPr>
                                  </w:pPr>
                                  <w:r w:rsidRPr="003360B6">
                                    <w:rPr>
                                      <w:rFonts w:ascii="Arial" w:hAnsi="Arial" w:cs="Arial"/>
                                      <w:b/>
                                      <w:bCs/>
                                      <w:sz w:val="24"/>
                                      <w:szCs w:val="24"/>
                                      <w:lang w:val="en-GB"/>
                                    </w:rPr>
                                    <w:t>Figure</w:t>
                                  </w:r>
                                  <w:r>
                                    <w:rPr>
                                      <w:rFonts w:ascii="Arial" w:hAnsi="Arial" w:cs="Arial"/>
                                      <w:b/>
                                      <w:bCs/>
                                      <w:sz w:val="24"/>
                                      <w:szCs w:val="24"/>
                                      <w:lang w:val="en-GB"/>
                                    </w:rPr>
                                    <w:t xml:space="preserve"> 13. </w:t>
                                  </w:r>
                                  <w:r w:rsidRPr="00D51E06">
                                    <w:rPr>
                                      <w:rFonts w:ascii="Arial" w:hAnsi="Arial" w:cs="Arial"/>
                                      <w:b/>
                                      <w:bCs/>
                                      <w:sz w:val="24"/>
                                      <w:szCs w:val="24"/>
                                    </w:rPr>
                                    <w:t xml:space="preserve">Structure of </w:t>
                                  </w:r>
                                  <w:r>
                                    <w:rPr>
                                      <w:rFonts w:ascii="Arial" w:hAnsi="Arial" w:cs="Arial"/>
                                      <w:b/>
                                      <w:bCs/>
                                      <w:sz w:val="24"/>
                                      <w:szCs w:val="24"/>
                                    </w:rPr>
                                    <w:t>im</w:t>
                                  </w:r>
                                  <w:r w:rsidRPr="00D51E06">
                                    <w:rPr>
                                      <w:rFonts w:ascii="Arial" w:hAnsi="Arial" w:cs="Arial"/>
                                      <w:b/>
                                      <w:bCs/>
                                      <w:sz w:val="24"/>
                                      <w:szCs w:val="24"/>
                                    </w:rPr>
                                    <w:t>ports of goods</w:t>
                                  </w:r>
                                </w:p>
                                <w:p w14:paraId="2C19DAEB" w14:textId="77777777" w:rsidR="0016753D" w:rsidRDefault="0016753D" w:rsidP="0016753D">
                                  <w:pPr>
                                    <w:spacing w:after="120"/>
                                    <w:jc w:val="center"/>
                                    <w:rPr>
                                      <w:rFonts w:ascii="Arial" w:hAnsi="Arial" w:cs="Arial"/>
                                      <w:b/>
                                      <w:bCs/>
                                      <w:sz w:val="24"/>
                                      <w:szCs w:val="24"/>
                                    </w:rPr>
                                  </w:pPr>
                                  <w:r>
                                    <w:rPr>
                                      <w:rFonts w:ascii="Arial" w:hAnsi="Arial" w:cs="Arial"/>
                                      <w:b/>
                                      <w:bCs/>
                                      <w:sz w:val="24"/>
                                      <w:szCs w:val="24"/>
                                    </w:rPr>
                                    <w:t>i</w:t>
                                  </w:r>
                                  <w:r w:rsidRPr="00D51E06">
                                    <w:rPr>
                                      <w:rFonts w:ascii="Arial" w:hAnsi="Arial" w:cs="Arial"/>
                                      <w:b/>
                                      <w:bCs/>
                                      <w:sz w:val="24"/>
                                      <w:szCs w:val="24"/>
                                    </w:rPr>
                                    <w:t xml:space="preserve">n </w:t>
                                  </w:r>
                                  <w:r>
                                    <w:rPr>
                                      <w:rFonts w:ascii="Arial" w:hAnsi="Arial" w:cs="Arial"/>
                                      <w:b/>
                                      <w:bCs/>
                                      <w:sz w:val="24"/>
                                      <w:szCs w:val="24"/>
                                    </w:rPr>
                                    <w:t xml:space="preserve">2 months of </w:t>
                                  </w:r>
                                  <w:r w:rsidRPr="00D51E06">
                                    <w:rPr>
                                      <w:rFonts w:ascii="Arial" w:hAnsi="Arial" w:cs="Arial"/>
                                      <w:b/>
                                      <w:bCs/>
                                      <w:sz w:val="24"/>
                                      <w:szCs w:val="24"/>
                                    </w:rPr>
                                    <w:t>202</w:t>
                                  </w:r>
                                  <w:r>
                                    <w:rPr>
                                      <w:rFonts w:ascii="Arial" w:hAnsi="Arial" w:cs="Arial"/>
                                      <w:b/>
                                      <w:bCs/>
                                      <w:sz w:val="24"/>
                                      <w:szCs w:val="24"/>
                                    </w:rPr>
                                    <w:t>2</w:t>
                                  </w:r>
                                  <w:r w:rsidRPr="00D51E06">
                                    <w:rPr>
                                      <w:rFonts w:ascii="Arial" w:hAnsi="Arial" w:cs="Arial"/>
                                      <w:b/>
                                      <w:bCs/>
                                      <w:sz w:val="24"/>
                                      <w:szCs w:val="24"/>
                                    </w:rPr>
                                    <w:t xml:space="preserve"> by commodity group</w:t>
                                  </w:r>
                                </w:p>
                                <w:p w14:paraId="092E6DAA" w14:textId="2C54BE46" w:rsidR="00E76926" w:rsidRPr="00B118BC" w:rsidRDefault="00084721" w:rsidP="007469AE">
                                  <w:pPr>
                                    <w:jc w:val="both"/>
                                    <w:rPr>
                                      <w:rFonts w:ascii="Arial" w:hAnsi="Arial" w:cs="Arial"/>
                                      <w:sz w:val="24"/>
                                      <w:szCs w:val="24"/>
                                    </w:rPr>
                                  </w:pPr>
                                  <w:r>
                                    <w:rPr>
                                      <w:noProof/>
                                    </w:rPr>
                                    <w:drawing>
                                      <wp:inline distT="0" distB="0" distL="0" distR="0" wp14:anchorId="1F37D800" wp14:editId="1634A62B">
                                        <wp:extent cx="3170109" cy="2116667"/>
                                        <wp:effectExtent l="0" t="0" r="0" b="0"/>
                                        <wp:docPr id="33" name="Picture 3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pie cha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81093" cy="212400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C55798" id="_x0000_s1027" type="#_x0000_t202" style="position:absolute;left:0;text-align:left;margin-left:-1.3pt;margin-top:1.7pt;width:259.8pt;height:23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" stroked="f">
                      <v:textbox>
                        <w:txbxContent>
                          <w:p w14:paraId="50035D29" w14:textId="77777777" w:rsidR="0016753D" w:rsidRPr="00D51E06" w:rsidRDefault="0016753D" w:rsidP="0016753D">
                            <w:pPr>
                              <w:jc w:val="center"/>
                              <w:rPr>
                                <w:rFonts w:ascii="Arial" w:hAnsi="Arial" w:cs="Arial"/>
                                <w:b/>
                                <w:bCs/>
                                <w:sz w:val="24"/>
                                <w:szCs w:val="24"/>
                              </w:rPr>
                            </w:pPr>
                            <w:r w:rsidRPr="003360B6">
                              <w:rPr>
                                <w:rFonts w:ascii="Arial" w:hAnsi="Arial" w:cs="Arial"/>
                                <w:b/>
                                <w:bCs/>
                                <w:sz w:val="24"/>
                                <w:szCs w:val="24"/>
                                <w:lang w:val="en-GB"/>
                              </w:rPr>
                              <w:t>Figure</w:t>
                            </w:r>
                            <w:r>
                              <w:rPr>
                                <w:rFonts w:ascii="Arial" w:hAnsi="Arial" w:cs="Arial"/>
                                <w:b/>
                                <w:bCs/>
                                <w:sz w:val="24"/>
                                <w:szCs w:val="24"/>
                                <w:lang w:val="en-GB"/>
                              </w:rPr>
                              <w:t xml:space="preserve"> 13. </w:t>
                            </w:r>
                            <w:r w:rsidRPr="00D51E06">
                              <w:rPr>
                                <w:rFonts w:ascii="Arial" w:hAnsi="Arial" w:cs="Arial"/>
                                <w:b/>
                                <w:bCs/>
                                <w:sz w:val="24"/>
                                <w:szCs w:val="24"/>
                              </w:rPr>
                              <w:t xml:space="preserve">Structure of </w:t>
                            </w:r>
                            <w:r>
                              <w:rPr>
                                <w:rFonts w:ascii="Arial" w:hAnsi="Arial" w:cs="Arial"/>
                                <w:b/>
                                <w:bCs/>
                                <w:sz w:val="24"/>
                                <w:szCs w:val="24"/>
                              </w:rPr>
                              <w:t>im</w:t>
                            </w:r>
                            <w:r w:rsidRPr="00D51E06">
                              <w:rPr>
                                <w:rFonts w:ascii="Arial" w:hAnsi="Arial" w:cs="Arial"/>
                                <w:b/>
                                <w:bCs/>
                                <w:sz w:val="24"/>
                                <w:szCs w:val="24"/>
                              </w:rPr>
                              <w:t>ports of goods</w:t>
                            </w:r>
                          </w:p>
                          <w:p w14:paraId="2C19DAEB" w14:textId="77777777" w:rsidR="0016753D" w:rsidRDefault="0016753D" w:rsidP="0016753D">
                            <w:pPr>
                              <w:spacing w:after="120"/>
                              <w:jc w:val="center"/>
                              <w:rPr>
                                <w:rFonts w:ascii="Arial" w:hAnsi="Arial" w:cs="Arial"/>
                                <w:b/>
                                <w:bCs/>
                                <w:sz w:val="24"/>
                                <w:szCs w:val="24"/>
                              </w:rPr>
                            </w:pPr>
                            <w:r>
                              <w:rPr>
                                <w:rFonts w:ascii="Arial" w:hAnsi="Arial" w:cs="Arial"/>
                                <w:b/>
                                <w:bCs/>
                                <w:sz w:val="24"/>
                                <w:szCs w:val="24"/>
                              </w:rPr>
                              <w:t>i</w:t>
                            </w:r>
                            <w:r w:rsidRPr="00D51E06">
                              <w:rPr>
                                <w:rFonts w:ascii="Arial" w:hAnsi="Arial" w:cs="Arial"/>
                                <w:b/>
                                <w:bCs/>
                                <w:sz w:val="24"/>
                                <w:szCs w:val="24"/>
                              </w:rPr>
                              <w:t xml:space="preserve">n </w:t>
                            </w:r>
                            <w:r>
                              <w:rPr>
                                <w:rFonts w:ascii="Arial" w:hAnsi="Arial" w:cs="Arial"/>
                                <w:b/>
                                <w:bCs/>
                                <w:sz w:val="24"/>
                                <w:szCs w:val="24"/>
                              </w:rPr>
                              <w:t xml:space="preserve">2 months of </w:t>
                            </w:r>
                            <w:r w:rsidRPr="00D51E06">
                              <w:rPr>
                                <w:rFonts w:ascii="Arial" w:hAnsi="Arial" w:cs="Arial"/>
                                <w:b/>
                                <w:bCs/>
                                <w:sz w:val="24"/>
                                <w:szCs w:val="24"/>
                              </w:rPr>
                              <w:t>202</w:t>
                            </w:r>
                            <w:r>
                              <w:rPr>
                                <w:rFonts w:ascii="Arial" w:hAnsi="Arial" w:cs="Arial"/>
                                <w:b/>
                                <w:bCs/>
                                <w:sz w:val="24"/>
                                <w:szCs w:val="24"/>
                              </w:rPr>
                              <w:t>2</w:t>
                            </w:r>
                            <w:r w:rsidRPr="00D51E06">
                              <w:rPr>
                                <w:rFonts w:ascii="Arial" w:hAnsi="Arial" w:cs="Arial"/>
                                <w:b/>
                                <w:bCs/>
                                <w:sz w:val="24"/>
                                <w:szCs w:val="24"/>
                              </w:rPr>
                              <w:t xml:space="preserve"> by commodity group</w:t>
                            </w:r>
                          </w:p>
                          <w:p w14:paraId="092E6DAA" w14:textId="2C54BE46" w:rsidR="00E76926" w:rsidRPr="00B118BC" w:rsidRDefault="00084721" w:rsidP="007469AE">
                            <w:pPr>
                              <w:jc w:val="both"/>
                              <w:rPr>
                                <w:rFonts w:ascii="Arial" w:hAnsi="Arial" w:cs="Arial"/>
                                <w:sz w:val="24"/>
                                <w:szCs w:val="24"/>
                              </w:rPr>
                            </w:pPr>
                            <w:r>
                              <w:rPr>
                                <w:noProof/>
                              </w:rPr>
                              <w:drawing>
                                <wp:inline distT="0" distB="0" distL="0" distR="0" wp14:anchorId="1F37D800" wp14:editId="1634A62B">
                                  <wp:extent cx="3170109" cy="2116667"/>
                                  <wp:effectExtent l="0" t="0" r="0" b="0"/>
                                  <wp:docPr id="33" name="Picture 3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pie ch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81093" cy="2124001"/>
                                          </a:xfrm>
                                          <a:prstGeom prst="rect">
                                            <a:avLst/>
                                          </a:prstGeom>
                                          <a:noFill/>
                                          <a:ln>
                                            <a:noFill/>
                                          </a:ln>
                                        </pic:spPr>
                                      </pic:pic>
                                    </a:graphicData>
                                  </a:graphic>
                                </wp:inline>
                              </w:drawing>
                            </w:r>
                          </w:p>
                        </w:txbxContent>
                      </v:textbox>
                      <w10:wrap type="square"/>
                    </v:shape>
                  </w:pict>
                </mc:Fallback>
              </mc:AlternateContent>
            </w:r>
          </w:p>
          <w:p w14:paraId="29E2AF76" w14:textId="30B87504" w:rsidR="006E225C" w:rsidRPr="00E35698" w:rsidRDefault="00901AB5" w:rsidP="006E225C">
            <w:pPr>
              <w:tabs>
                <w:tab w:val="left" w:pos="9475"/>
              </w:tabs>
              <w:spacing w:before="40" w:after="40" w:line="264" w:lineRule="auto"/>
              <w:ind w:right="6"/>
              <w:jc w:val="both"/>
              <w:rPr>
                <w:rStyle w:val="Strong"/>
                <w:rFonts w:eastAsia="Batang"/>
                <w:spacing w:val="-2"/>
              </w:rPr>
            </w:pPr>
            <w:r w:rsidRPr="00A2505E">
              <w:rPr>
                <w:rFonts w:eastAsia="Batang"/>
                <w:i/>
                <w:iCs/>
                <w:spacing w:val="-2"/>
              </w:rPr>
              <w:t xml:space="preserve"> </w:t>
            </w:r>
            <w:r w:rsidR="006E225C" w:rsidRPr="00CC1EC3">
              <w:rPr>
                <w:rFonts w:eastAsia="Batang"/>
                <w:i/>
                <w:iCs/>
                <w:noProof/>
                <w:spacing w:val="-2"/>
              </w:rPr>
              <w:t xml:space="preserve">Regarding the structure of imported goods in </w:t>
            </w:r>
            <w:r w:rsidR="006E225C">
              <w:rPr>
                <w:rFonts w:eastAsia="Batang"/>
                <w:i/>
                <w:iCs/>
                <w:noProof/>
                <w:spacing w:val="-2"/>
              </w:rPr>
              <w:t xml:space="preserve">2 months of </w:t>
            </w:r>
            <w:r w:rsidR="006E225C" w:rsidRPr="00CC1EC3">
              <w:rPr>
                <w:rFonts w:eastAsia="Batang"/>
                <w:i/>
                <w:iCs/>
                <w:noProof/>
                <w:spacing w:val="-2"/>
              </w:rPr>
              <w:t>202</w:t>
            </w:r>
            <w:r w:rsidR="006E225C">
              <w:rPr>
                <w:rFonts w:eastAsia="Batang"/>
                <w:i/>
                <w:iCs/>
                <w:noProof/>
                <w:spacing w:val="-2"/>
              </w:rPr>
              <w:t>2</w:t>
            </w:r>
            <w:r w:rsidR="006E225C" w:rsidRPr="00CC1EC3">
              <w:rPr>
                <w:rFonts w:eastAsia="Batang"/>
                <w:i/>
                <w:iCs/>
                <w:noProof/>
                <w:spacing w:val="-2"/>
              </w:rPr>
              <w:t xml:space="preserve">, </w:t>
            </w:r>
            <w:r w:rsidR="006E225C" w:rsidRPr="00CC1EC3">
              <w:rPr>
                <w:rFonts w:eastAsia="Batang"/>
                <w:noProof/>
                <w:spacing w:val="-2"/>
              </w:rPr>
              <w:t xml:space="preserve">the group of input materials </w:t>
            </w:r>
            <w:r w:rsidR="006E225C">
              <w:rPr>
                <w:rFonts w:eastAsia="Batang"/>
                <w:noProof/>
                <w:spacing w:val="-2"/>
              </w:rPr>
              <w:t>accounted</w:t>
            </w:r>
            <w:r w:rsidR="006E225C" w:rsidRPr="00CC1EC3">
              <w:rPr>
                <w:rFonts w:eastAsia="Batang"/>
                <w:noProof/>
                <w:spacing w:val="-2"/>
              </w:rPr>
              <w:t xml:space="preserve"> for 93.</w:t>
            </w:r>
            <w:r w:rsidR="006E225C">
              <w:rPr>
                <w:rFonts w:eastAsia="Batang"/>
                <w:noProof/>
                <w:spacing w:val="-2"/>
              </w:rPr>
              <w:t>8</w:t>
            </w:r>
            <w:r w:rsidR="006E225C" w:rsidRPr="00CC1EC3">
              <w:rPr>
                <w:rFonts w:eastAsia="Batang"/>
                <w:noProof/>
                <w:spacing w:val="-2"/>
              </w:rPr>
              <w:t xml:space="preserve">%, </w:t>
            </w:r>
            <w:r w:rsidR="006E225C" w:rsidRPr="00CC1EC3">
              <w:rPr>
                <w:rFonts w:eastAsia="Batang"/>
                <w:noProof/>
                <w:spacing w:val="-2"/>
                <w:lang w:val="en-GB"/>
              </w:rPr>
              <w:t>a rise of 0.</w:t>
            </w:r>
            <w:r w:rsidR="006E225C">
              <w:rPr>
                <w:rFonts w:eastAsia="Batang"/>
                <w:noProof/>
                <w:spacing w:val="-2"/>
                <w:lang w:val="en-GB"/>
              </w:rPr>
              <w:t>1</w:t>
            </w:r>
            <w:r w:rsidR="006E225C" w:rsidRPr="00CC1EC3">
              <w:rPr>
                <w:rFonts w:eastAsia="Batang"/>
                <w:noProof/>
                <w:spacing w:val="-2"/>
                <w:lang w:val="en-GB"/>
              </w:rPr>
              <w:t xml:space="preserve"> percentage points over </w:t>
            </w:r>
            <w:r w:rsidR="006E225C" w:rsidRPr="00CC1EC3">
              <w:rPr>
                <w:rFonts w:eastAsia="Batang"/>
                <w:bCs/>
                <w:noProof/>
                <w:spacing w:val="-2"/>
              </w:rPr>
              <w:t>last year,</w:t>
            </w:r>
            <w:r w:rsidR="006E225C" w:rsidRPr="00CC1EC3">
              <w:rPr>
                <w:rFonts w:eastAsia="Batang"/>
                <w:noProof/>
                <w:spacing w:val="-2"/>
              </w:rPr>
              <w:t xml:space="preserve"> in which machinery, equipment, accessory, means of transport and components </w:t>
            </w:r>
            <w:r w:rsidR="006E225C">
              <w:rPr>
                <w:rFonts w:eastAsia="Batang"/>
                <w:noProof/>
                <w:spacing w:val="-2"/>
              </w:rPr>
              <w:t>accounted</w:t>
            </w:r>
            <w:r w:rsidR="006E225C" w:rsidRPr="00CC1EC3">
              <w:rPr>
                <w:rFonts w:eastAsia="Batang"/>
                <w:noProof/>
                <w:spacing w:val="-2"/>
              </w:rPr>
              <w:t xml:space="preserve"> for 46.</w:t>
            </w:r>
            <w:r w:rsidR="006E225C">
              <w:rPr>
                <w:rFonts w:eastAsia="Batang"/>
                <w:noProof/>
                <w:spacing w:val="-2"/>
              </w:rPr>
              <w:t>6</w:t>
            </w:r>
            <w:r w:rsidR="006E225C" w:rsidRPr="00CC1EC3">
              <w:rPr>
                <w:rFonts w:eastAsia="Batang"/>
                <w:noProof/>
                <w:spacing w:val="-2"/>
              </w:rPr>
              <w:t xml:space="preserve">%, down </w:t>
            </w:r>
            <w:r w:rsidR="006E225C">
              <w:rPr>
                <w:rFonts w:eastAsia="Batang"/>
                <w:noProof/>
                <w:spacing w:val="-2"/>
              </w:rPr>
              <w:t>1</w:t>
            </w:r>
            <w:r w:rsidR="006E225C" w:rsidRPr="00CC1EC3">
              <w:rPr>
                <w:rFonts w:eastAsia="Batang"/>
                <w:noProof/>
                <w:spacing w:val="-2"/>
              </w:rPr>
              <w:t>.</w:t>
            </w:r>
            <w:r w:rsidR="006E225C">
              <w:rPr>
                <w:rFonts w:eastAsia="Batang"/>
                <w:noProof/>
                <w:spacing w:val="-2"/>
              </w:rPr>
              <w:t>6</w:t>
            </w:r>
            <w:r w:rsidR="006E225C" w:rsidRPr="00CC1EC3">
              <w:rPr>
                <w:rFonts w:eastAsia="Batang"/>
                <w:noProof/>
                <w:spacing w:val="-2"/>
              </w:rPr>
              <w:t xml:space="preserve"> percentage points; fuel and row materials accounting for </w:t>
            </w:r>
            <w:r w:rsidR="006E225C">
              <w:rPr>
                <w:rFonts w:eastAsia="Batang"/>
                <w:noProof/>
                <w:spacing w:val="-2"/>
              </w:rPr>
              <w:t>47</w:t>
            </w:r>
            <w:r w:rsidR="006E225C" w:rsidRPr="00CC1EC3">
              <w:rPr>
                <w:rFonts w:eastAsia="Batang"/>
                <w:noProof/>
                <w:spacing w:val="-2"/>
              </w:rPr>
              <w:t>.</w:t>
            </w:r>
            <w:r w:rsidR="006E225C">
              <w:rPr>
                <w:rFonts w:eastAsia="Batang"/>
                <w:noProof/>
                <w:spacing w:val="-2"/>
              </w:rPr>
              <w:t>2</w:t>
            </w:r>
            <w:r w:rsidR="006E225C" w:rsidRPr="00CC1EC3">
              <w:rPr>
                <w:rFonts w:eastAsia="Batang"/>
                <w:noProof/>
                <w:spacing w:val="-2"/>
              </w:rPr>
              <w:t xml:space="preserve">%, up </w:t>
            </w:r>
            <w:r w:rsidR="006E225C">
              <w:rPr>
                <w:rFonts w:eastAsia="Batang"/>
                <w:noProof/>
                <w:spacing w:val="-2"/>
              </w:rPr>
              <w:t>1</w:t>
            </w:r>
            <w:r w:rsidR="006E225C" w:rsidRPr="00CC1EC3">
              <w:rPr>
                <w:rFonts w:eastAsia="Batang"/>
                <w:noProof/>
                <w:spacing w:val="-2"/>
              </w:rPr>
              <w:t>.</w:t>
            </w:r>
            <w:r w:rsidR="006E225C">
              <w:rPr>
                <w:rFonts w:eastAsia="Batang"/>
                <w:noProof/>
                <w:spacing w:val="-2"/>
              </w:rPr>
              <w:t>7</w:t>
            </w:r>
            <w:r w:rsidR="006E225C" w:rsidRPr="00CC1EC3">
              <w:rPr>
                <w:rFonts w:eastAsia="Batang"/>
                <w:noProof/>
                <w:spacing w:val="-2"/>
              </w:rPr>
              <w:t xml:space="preserve"> percentage point. </w:t>
            </w:r>
            <w:r w:rsidR="006E225C">
              <w:rPr>
                <w:rFonts w:eastAsia="Batang"/>
                <w:noProof/>
                <w:spacing w:val="-2"/>
              </w:rPr>
              <w:t>The consumer</w:t>
            </w:r>
            <w:r w:rsidR="006E225C" w:rsidRPr="00CC1EC3">
              <w:rPr>
                <w:rFonts w:eastAsia="Batang"/>
                <w:noProof/>
                <w:spacing w:val="-2"/>
              </w:rPr>
              <w:t xml:space="preserve"> goods group accounted for 6.</w:t>
            </w:r>
            <w:r w:rsidR="006E225C">
              <w:rPr>
                <w:rFonts w:eastAsia="Batang"/>
                <w:noProof/>
                <w:spacing w:val="-2"/>
              </w:rPr>
              <w:t>2</w:t>
            </w:r>
            <w:r w:rsidR="006E225C" w:rsidRPr="00CC1EC3">
              <w:rPr>
                <w:rFonts w:eastAsia="Batang"/>
                <w:noProof/>
                <w:spacing w:val="-2"/>
              </w:rPr>
              <w:t xml:space="preserve">%, </w:t>
            </w:r>
            <w:r w:rsidR="006E225C" w:rsidRPr="00CC1EC3">
              <w:rPr>
                <w:rFonts w:eastAsia="Batang"/>
                <w:noProof/>
                <w:spacing w:val="-2"/>
                <w:lang w:val="en-GB"/>
              </w:rPr>
              <w:t>a drop of 0.</w:t>
            </w:r>
            <w:r w:rsidR="006E225C">
              <w:rPr>
                <w:rFonts w:eastAsia="Batang"/>
                <w:noProof/>
                <w:spacing w:val="-2"/>
                <w:lang w:val="en-GB"/>
              </w:rPr>
              <w:t>1</w:t>
            </w:r>
            <w:r w:rsidR="006E225C" w:rsidRPr="00CC1EC3">
              <w:rPr>
                <w:rFonts w:eastAsia="Batang"/>
                <w:noProof/>
                <w:spacing w:val="-2"/>
                <w:lang w:val="en-GB"/>
              </w:rPr>
              <w:t xml:space="preserve"> percentage points</w:t>
            </w:r>
            <w:r w:rsidR="006E225C" w:rsidRPr="00CC1EC3">
              <w:rPr>
                <w:rFonts w:eastAsia="Batang"/>
                <w:noProof/>
                <w:spacing w:val="-2"/>
              </w:rPr>
              <w:t>.</w:t>
            </w:r>
          </w:p>
          <w:p w14:paraId="30786CB2" w14:textId="751D0687" w:rsidR="0018111D" w:rsidRDefault="00A9619E" w:rsidP="0018111D">
            <w:pPr>
              <w:tabs>
                <w:tab w:val="left" w:pos="9475"/>
              </w:tabs>
              <w:spacing w:before="40" w:after="40" w:line="278" w:lineRule="auto"/>
              <w:ind w:left="-108" w:right="6" w:firstLine="675"/>
              <w:jc w:val="both"/>
            </w:pPr>
            <w:r w:rsidRPr="00CC1EC3">
              <w:rPr>
                <w:bCs/>
                <w:i/>
              </w:rPr>
              <w:t xml:space="preserve">Regarding the export and import market of goods in </w:t>
            </w:r>
            <w:r>
              <w:rPr>
                <w:bCs/>
                <w:i/>
                <w:lang w:val="en-GB"/>
              </w:rPr>
              <w:t>the 2 months of</w:t>
            </w:r>
            <w:r w:rsidRPr="00CC1EC3">
              <w:rPr>
                <w:bCs/>
                <w:i/>
              </w:rPr>
              <w:t xml:space="preserve"> 2022, </w:t>
            </w:r>
            <w:r w:rsidRPr="00CC1EC3">
              <w:rPr>
                <w:bCs/>
                <w:iCs/>
              </w:rPr>
              <w:t xml:space="preserve">the United States </w:t>
            </w:r>
            <w:r>
              <w:rPr>
                <w:bCs/>
                <w:iCs/>
                <w:lang w:val="en-GB"/>
              </w:rPr>
              <w:t>was</w:t>
            </w:r>
            <w:r w:rsidRPr="00CC1EC3">
              <w:rPr>
                <w:bCs/>
                <w:iCs/>
              </w:rPr>
              <w:t xml:space="preserve"> the largest export market of Viet</w:t>
            </w:r>
            <w:r>
              <w:rPr>
                <w:bCs/>
                <w:iCs/>
              </w:rPr>
              <w:t xml:space="preserve"> N</w:t>
            </w:r>
            <w:r w:rsidRPr="00CC1EC3">
              <w:rPr>
                <w:bCs/>
                <w:iCs/>
              </w:rPr>
              <w:t xml:space="preserve">am with an estimated turnover of </w:t>
            </w:r>
            <w:r>
              <w:rPr>
                <w:bCs/>
                <w:iCs/>
                <w:lang w:val="en-GB"/>
              </w:rPr>
              <w:t>18.3</w:t>
            </w:r>
            <w:r w:rsidRPr="00CC1EC3">
              <w:rPr>
                <w:bCs/>
                <w:iCs/>
              </w:rPr>
              <w:t xml:space="preserve"> billion USD. China </w:t>
            </w:r>
            <w:r>
              <w:rPr>
                <w:bCs/>
                <w:iCs/>
                <w:lang w:val="en-GB"/>
              </w:rPr>
              <w:t>was</w:t>
            </w:r>
            <w:r w:rsidRPr="00CC1EC3">
              <w:rPr>
                <w:bCs/>
                <w:iCs/>
              </w:rPr>
              <w:t xml:space="preserve"> Viet</w:t>
            </w:r>
            <w:r>
              <w:rPr>
                <w:bCs/>
                <w:iCs/>
              </w:rPr>
              <w:t xml:space="preserve"> N</w:t>
            </w:r>
            <w:r w:rsidRPr="00CC1EC3">
              <w:rPr>
                <w:bCs/>
                <w:iCs/>
              </w:rPr>
              <w:t xml:space="preserve">am's largest import market with an estimated turnover of </w:t>
            </w:r>
            <w:r>
              <w:rPr>
                <w:bCs/>
                <w:iCs/>
                <w:lang w:val="en-GB"/>
              </w:rPr>
              <w:t>20</w:t>
            </w:r>
            <w:r w:rsidRPr="00CC1EC3">
              <w:rPr>
                <w:bCs/>
                <w:iCs/>
              </w:rPr>
              <w:t>.</w:t>
            </w:r>
            <w:r>
              <w:rPr>
                <w:bCs/>
                <w:iCs/>
                <w:lang w:val="en-GB"/>
              </w:rPr>
              <w:t>8</w:t>
            </w:r>
            <w:r w:rsidRPr="00CC1EC3">
              <w:rPr>
                <w:bCs/>
                <w:iCs/>
              </w:rPr>
              <w:t xml:space="preserve"> billion USD. </w:t>
            </w:r>
            <w:r w:rsidR="0080279E">
              <w:rPr>
                <w:bCs/>
                <w:iCs/>
                <w:lang w:val="en-GB"/>
              </w:rPr>
              <w:t>T</w:t>
            </w:r>
            <w:r w:rsidR="0080279E" w:rsidRPr="00CC1EC3">
              <w:rPr>
                <w:bCs/>
                <w:iCs/>
              </w:rPr>
              <w:t xml:space="preserve">he trade surplus to the EU was estimated at </w:t>
            </w:r>
            <w:r w:rsidR="0080279E">
              <w:rPr>
                <w:bCs/>
                <w:iCs/>
                <w:lang w:val="en-GB"/>
              </w:rPr>
              <w:t>5</w:t>
            </w:r>
            <w:r w:rsidR="0080279E" w:rsidRPr="00CC1EC3">
              <w:rPr>
                <w:bCs/>
                <w:iCs/>
              </w:rPr>
              <w:t>.</w:t>
            </w:r>
            <w:r w:rsidR="0080279E">
              <w:rPr>
                <w:bCs/>
                <w:iCs/>
                <w:lang w:val="en-GB"/>
              </w:rPr>
              <w:t>5</w:t>
            </w:r>
            <w:r w:rsidR="0080279E" w:rsidRPr="00CC1EC3">
              <w:rPr>
                <w:bCs/>
                <w:iCs/>
              </w:rPr>
              <w:t xml:space="preserve"> billion USD, </w:t>
            </w:r>
            <w:r w:rsidR="0080279E">
              <w:rPr>
                <w:bCs/>
                <w:iCs/>
                <w:lang w:val="en-GB"/>
              </w:rPr>
              <w:t>up</w:t>
            </w:r>
            <w:r w:rsidR="0080279E" w:rsidRPr="00CC1EC3">
              <w:rPr>
                <w:bCs/>
                <w:iCs/>
              </w:rPr>
              <w:t xml:space="preserve"> </w:t>
            </w:r>
            <w:r w:rsidR="0080279E">
              <w:rPr>
                <w:bCs/>
                <w:iCs/>
                <w:lang w:val="en-GB"/>
              </w:rPr>
              <w:t>5</w:t>
            </w:r>
            <w:r w:rsidR="0080279E" w:rsidRPr="00CC1EC3">
              <w:rPr>
                <w:bCs/>
                <w:iCs/>
              </w:rPr>
              <w:t>6.</w:t>
            </w:r>
            <w:r w:rsidR="0080279E">
              <w:rPr>
                <w:bCs/>
                <w:iCs/>
                <w:lang w:val="en-GB"/>
              </w:rPr>
              <w:t>6</w:t>
            </w:r>
            <w:r w:rsidR="0080279E" w:rsidRPr="00CC1EC3">
              <w:rPr>
                <w:bCs/>
                <w:iCs/>
              </w:rPr>
              <w:t xml:space="preserve">% over the same period last year; </w:t>
            </w:r>
            <w:r w:rsidR="00AB0CAB">
              <w:rPr>
                <w:bCs/>
                <w:iCs/>
              </w:rPr>
              <w:t xml:space="preserve">the </w:t>
            </w:r>
            <w:r w:rsidR="0080279E" w:rsidRPr="00CC1EC3">
              <w:rPr>
                <w:bCs/>
                <w:iCs/>
              </w:rPr>
              <w:t xml:space="preserve">trade surplus to </w:t>
            </w:r>
            <w:r w:rsidR="0080279E">
              <w:rPr>
                <w:bCs/>
                <w:iCs/>
              </w:rPr>
              <w:t>Japan</w:t>
            </w:r>
            <w:r w:rsidR="0018111D" w:rsidRPr="004E7066">
              <w:t xml:space="preserve"> </w:t>
            </w:r>
            <w:r w:rsidR="00AB0CAB">
              <w:t xml:space="preserve">was </w:t>
            </w:r>
            <w:r w:rsidR="0018111D" w:rsidRPr="004E7066">
              <w:t xml:space="preserve">566 </w:t>
            </w:r>
            <w:r w:rsidR="00BE7E71">
              <w:t>million</w:t>
            </w:r>
            <w:r w:rsidR="0018111D" w:rsidRPr="004E7066">
              <w:t xml:space="preserve"> USD (</w:t>
            </w:r>
            <w:r w:rsidR="00BE7E71">
              <w:t>at the same period of</w:t>
            </w:r>
            <w:r w:rsidR="0018111D" w:rsidRPr="004E7066">
              <w:t xml:space="preserve"> 2021, </w:t>
            </w:r>
            <w:r w:rsidR="00AB0CAB">
              <w:t xml:space="preserve">the </w:t>
            </w:r>
            <w:r w:rsidR="00BE7E71">
              <w:t>trade</w:t>
            </w:r>
            <w:r w:rsidR="0018111D" w:rsidRPr="004E7066">
              <w:t xml:space="preserve"> </w:t>
            </w:r>
            <w:r w:rsidR="00BE7E71">
              <w:t>de</w:t>
            </w:r>
            <w:r w:rsidR="007E17BB">
              <w:t>f</w:t>
            </w:r>
            <w:r w:rsidR="00BE7E71">
              <w:t>i</w:t>
            </w:r>
            <w:r w:rsidR="007E17BB">
              <w:t>c</w:t>
            </w:r>
            <w:r w:rsidR="00BE7E71">
              <w:t xml:space="preserve">it was </w:t>
            </w:r>
            <w:r w:rsidR="0018111D" w:rsidRPr="004E7066">
              <w:t xml:space="preserve"> 237 </w:t>
            </w:r>
            <w:r w:rsidR="00BE7E71">
              <w:t>million</w:t>
            </w:r>
            <w:r w:rsidR="0018111D" w:rsidRPr="004E7066">
              <w:t xml:space="preserve"> USD)</w:t>
            </w:r>
            <w:r w:rsidR="0018111D" w:rsidRPr="002F1273">
              <w:t xml:space="preserve">; </w:t>
            </w:r>
            <w:r w:rsidR="00AB0CAB">
              <w:t>the trade</w:t>
            </w:r>
            <w:r w:rsidR="00AB0CAB" w:rsidRPr="004E7066">
              <w:t xml:space="preserve"> </w:t>
            </w:r>
            <w:r w:rsidR="00AB0CAB">
              <w:t>deficit from China was</w:t>
            </w:r>
            <w:r w:rsidR="0018111D" w:rsidRPr="002F1273">
              <w:t xml:space="preserve"> </w:t>
            </w:r>
            <w:r w:rsidR="0018111D">
              <w:t>13</w:t>
            </w:r>
            <w:r w:rsidR="00AB0CAB">
              <w:t>.</w:t>
            </w:r>
            <w:r w:rsidR="0018111D">
              <w:t>4</w:t>
            </w:r>
            <w:r w:rsidR="0018111D" w:rsidRPr="002F1273">
              <w:t xml:space="preserve"> </w:t>
            </w:r>
            <w:r w:rsidR="00035C86">
              <w:t>billion</w:t>
            </w:r>
            <w:r w:rsidR="0018111D" w:rsidRPr="002F1273">
              <w:t xml:space="preserve"> USD, </w:t>
            </w:r>
            <w:r w:rsidR="00035C86">
              <w:t>up</w:t>
            </w:r>
            <w:r w:rsidR="0018111D" w:rsidRPr="002F1273">
              <w:t xml:space="preserve"> </w:t>
            </w:r>
            <w:r w:rsidR="0018111D">
              <w:t>78</w:t>
            </w:r>
            <w:r w:rsidR="0018111D" w:rsidRPr="002F1273">
              <w:t>,</w:t>
            </w:r>
            <w:r w:rsidR="0018111D">
              <w:t>8</w:t>
            </w:r>
            <w:r w:rsidR="0018111D" w:rsidRPr="002F1273">
              <w:t xml:space="preserve">%; </w:t>
            </w:r>
            <w:r w:rsidR="00035C86">
              <w:t>the trade</w:t>
            </w:r>
            <w:r w:rsidR="00035C86" w:rsidRPr="004E7066">
              <w:t xml:space="preserve"> </w:t>
            </w:r>
            <w:r w:rsidR="00035C86">
              <w:t xml:space="preserve">deficit from South Korea was </w:t>
            </w:r>
            <w:r w:rsidR="0018111D">
              <w:t>6</w:t>
            </w:r>
            <w:r w:rsidR="00035C86">
              <w:t>.</w:t>
            </w:r>
            <w:r w:rsidR="0018111D">
              <w:t>5</w:t>
            </w:r>
            <w:r w:rsidR="0018111D" w:rsidRPr="002F1273">
              <w:t xml:space="preserve"> </w:t>
            </w:r>
            <w:r w:rsidR="00035C86">
              <w:t>billion</w:t>
            </w:r>
            <w:r w:rsidR="0018111D" w:rsidRPr="002F1273">
              <w:t xml:space="preserve"> USD, </w:t>
            </w:r>
            <w:r w:rsidR="00035C86">
              <w:t>up</w:t>
            </w:r>
            <w:r w:rsidR="0018111D" w:rsidRPr="002F1273">
              <w:t xml:space="preserve"> 2</w:t>
            </w:r>
            <w:r w:rsidR="0018111D">
              <w:t>4</w:t>
            </w:r>
            <w:r w:rsidR="00035C86">
              <w:t>.</w:t>
            </w:r>
            <w:r w:rsidR="0018111D">
              <w:t>4</w:t>
            </w:r>
            <w:r w:rsidR="0018111D" w:rsidRPr="002F1273">
              <w:t xml:space="preserve">%; </w:t>
            </w:r>
            <w:r w:rsidR="00035C86">
              <w:t>the trade</w:t>
            </w:r>
            <w:r w:rsidR="00035C86" w:rsidRPr="004E7066">
              <w:t xml:space="preserve"> </w:t>
            </w:r>
            <w:r w:rsidR="00035C86">
              <w:t>deficit from</w:t>
            </w:r>
            <w:r w:rsidR="0018111D" w:rsidRPr="002F1273">
              <w:t xml:space="preserve"> ASEAN </w:t>
            </w:r>
            <w:r w:rsidR="00035C86">
              <w:t xml:space="preserve">was </w:t>
            </w:r>
            <w:r w:rsidR="0018111D" w:rsidRPr="002F1273">
              <w:t>1</w:t>
            </w:r>
            <w:r w:rsidR="00035C86">
              <w:t>.</w:t>
            </w:r>
            <w:r w:rsidR="0018111D">
              <w:t>5</w:t>
            </w:r>
            <w:r w:rsidR="0018111D" w:rsidRPr="002F1273">
              <w:t xml:space="preserve"> </w:t>
            </w:r>
            <w:r w:rsidR="00035C86">
              <w:t xml:space="preserve">billion </w:t>
            </w:r>
            <w:r w:rsidR="0018111D" w:rsidRPr="002F1273">
              <w:t xml:space="preserve">USD, </w:t>
            </w:r>
            <w:r w:rsidR="00035C86">
              <w:t>down</w:t>
            </w:r>
            <w:r w:rsidR="0018111D">
              <w:t xml:space="preserve"> 18</w:t>
            </w:r>
            <w:r w:rsidR="00035C86">
              <w:t>.</w:t>
            </w:r>
            <w:r w:rsidR="0018111D">
              <w:t>1</w:t>
            </w:r>
            <w:r w:rsidR="0018111D" w:rsidRPr="002F1273">
              <w:t>%.</w:t>
            </w:r>
          </w:p>
          <w:p w14:paraId="75904F18" w14:textId="77777777" w:rsidR="008974C5" w:rsidRDefault="008974C5" w:rsidP="0018111D">
            <w:pPr>
              <w:tabs>
                <w:tab w:val="left" w:pos="9475"/>
              </w:tabs>
              <w:spacing w:before="40" w:after="40" w:line="278" w:lineRule="auto"/>
              <w:ind w:left="-108" w:right="6" w:firstLine="675"/>
              <w:jc w:val="both"/>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35"/>
            </w:tblGrid>
            <w:tr w:rsidR="008974C5" w14:paraId="2FBC7DA1" w14:textId="77777777" w:rsidTr="008974C5">
              <w:trPr>
                <w:jc w:val="center"/>
              </w:trPr>
              <w:tc>
                <w:tcPr>
                  <w:tcW w:w="8735" w:type="dxa"/>
                </w:tcPr>
                <w:p w14:paraId="5FA7E9DA" w14:textId="77777777" w:rsidR="008974C5" w:rsidRPr="0016527A" w:rsidRDefault="008974C5" w:rsidP="008974C5">
                  <w:pPr>
                    <w:tabs>
                      <w:tab w:val="num" w:pos="0"/>
                      <w:tab w:val="left" w:pos="9475"/>
                    </w:tabs>
                    <w:spacing w:before="40" w:after="40" w:line="269" w:lineRule="auto"/>
                    <w:ind w:right="6"/>
                    <w:jc w:val="center"/>
                    <w:rPr>
                      <w:rFonts w:ascii="Arial" w:hAnsi="Arial" w:cs="Arial"/>
                      <w:b/>
                      <w:iCs/>
                      <w:sz w:val="24"/>
                    </w:rPr>
                  </w:pPr>
                  <w:r w:rsidRPr="00EB4138">
                    <w:rPr>
                      <w:rFonts w:ascii="Arial" w:hAnsi="Arial" w:cs="Arial"/>
                      <w:b/>
                      <w:iCs/>
                      <w:sz w:val="24"/>
                    </w:rPr>
                    <w:t>Figure 1</w:t>
                  </w:r>
                  <w:r>
                    <w:rPr>
                      <w:rFonts w:ascii="Arial" w:hAnsi="Arial" w:cs="Arial"/>
                      <w:b/>
                      <w:iCs/>
                      <w:sz w:val="24"/>
                      <w:lang w:val="en-GB"/>
                    </w:rPr>
                    <w:t>4</w:t>
                  </w:r>
                  <w:r w:rsidRPr="00EB4138">
                    <w:rPr>
                      <w:rFonts w:ascii="Arial" w:hAnsi="Arial" w:cs="Arial"/>
                      <w:b/>
                      <w:iCs/>
                      <w:sz w:val="24"/>
                    </w:rPr>
                    <w:t xml:space="preserve">. </w:t>
                  </w:r>
                  <w:r>
                    <w:rPr>
                      <w:rFonts w:ascii="Arial" w:hAnsi="Arial" w:cs="Arial"/>
                      <w:b/>
                      <w:iCs/>
                      <w:sz w:val="24"/>
                    </w:rPr>
                    <w:t>Ex</w:t>
                  </w:r>
                  <w:r w:rsidRPr="00EB4138">
                    <w:rPr>
                      <w:rFonts w:ascii="Arial" w:hAnsi="Arial" w:cs="Arial"/>
                      <w:b/>
                      <w:iCs/>
                      <w:sz w:val="24"/>
                    </w:rPr>
                    <w:t>port</w:t>
                  </w:r>
                  <w:r>
                    <w:rPr>
                      <w:rFonts w:ascii="Arial" w:hAnsi="Arial" w:cs="Arial"/>
                      <w:b/>
                      <w:iCs/>
                      <w:sz w:val="24"/>
                    </w:rPr>
                    <w:t>s</w:t>
                  </w:r>
                  <w:r w:rsidRPr="00EB4138">
                    <w:rPr>
                      <w:rFonts w:ascii="Arial" w:hAnsi="Arial" w:cs="Arial"/>
                      <w:b/>
                      <w:iCs/>
                      <w:sz w:val="24"/>
                    </w:rPr>
                    <w:t xml:space="preserve"> and </w:t>
                  </w:r>
                  <w:r>
                    <w:rPr>
                      <w:rFonts w:ascii="Arial" w:hAnsi="Arial" w:cs="Arial"/>
                      <w:b/>
                      <w:iCs/>
                      <w:sz w:val="24"/>
                    </w:rPr>
                    <w:t>im</w:t>
                  </w:r>
                  <w:r w:rsidRPr="00EB4138">
                    <w:rPr>
                      <w:rFonts w:ascii="Arial" w:hAnsi="Arial" w:cs="Arial"/>
                      <w:b/>
                      <w:iCs/>
                      <w:sz w:val="24"/>
                    </w:rPr>
                    <w:t>port</w:t>
                  </w:r>
                  <w:r>
                    <w:rPr>
                      <w:rFonts w:ascii="Arial" w:hAnsi="Arial" w:cs="Arial"/>
                      <w:b/>
                      <w:iCs/>
                      <w:sz w:val="24"/>
                    </w:rPr>
                    <w:t>s</w:t>
                  </w:r>
                  <w:r w:rsidRPr="00EB4138">
                    <w:rPr>
                      <w:rFonts w:ascii="Arial" w:hAnsi="Arial" w:cs="Arial"/>
                      <w:b/>
                      <w:iCs/>
                      <w:sz w:val="24"/>
                    </w:rPr>
                    <w:t xml:space="preserve"> of goods in </w:t>
                  </w:r>
                  <w:r>
                    <w:rPr>
                      <w:rFonts w:ascii="Arial" w:hAnsi="Arial" w:cs="Arial"/>
                      <w:b/>
                      <w:iCs/>
                      <w:sz w:val="24"/>
                    </w:rPr>
                    <w:t xml:space="preserve">the first 2 months of </w:t>
                  </w:r>
                  <w:r w:rsidRPr="00EB4138">
                    <w:rPr>
                      <w:rFonts w:ascii="Arial" w:hAnsi="Arial" w:cs="Arial"/>
                      <w:b/>
                      <w:iCs/>
                      <w:sz w:val="24"/>
                    </w:rPr>
                    <w:t>202</w:t>
                  </w:r>
                  <w:r>
                    <w:rPr>
                      <w:rFonts w:ascii="Arial" w:hAnsi="Arial" w:cs="Arial"/>
                      <w:b/>
                      <w:iCs/>
                      <w:sz w:val="24"/>
                    </w:rPr>
                    <w:t>2</w:t>
                  </w:r>
                  <w:r w:rsidRPr="00EB4138">
                    <w:rPr>
                      <w:rFonts w:ascii="Arial" w:hAnsi="Arial" w:cs="Arial"/>
                      <w:b/>
                      <w:iCs/>
                      <w:sz w:val="24"/>
                    </w:rPr>
                    <w:t xml:space="preserve"> by market</w:t>
                  </w:r>
                </w:p>
                <w:p w14:paraId="57FA131F" w14:textId="390F0A34" w:rsidR="008974C5" w:rsidRDefault="008974C5" w:rsidP="0018111D">
                  <w:pPr>
                    <w:tabs>
                      <w:tab w:val="left" w:pos="9475"/>
                    </w:tabs>
                    <w:spacing w:before="40" w:after="40" w:line="278" w:lineRule="auto"/>
                    <w:ind w:right="6"/>
                    <w:jc w:val="both"/>
                  </w:pPr>
                  <w:r>
                    <w:rPr>
                      <w:noProof/>
                    </w:rPr>
                    <w:drawing>
                      <wp:inline distT="0" distB="0" distL="0" distR="0" wp14:anchorId="11072CCF" wp14:editId="5B4EB25A">
                        <wp:extent cx="5553075" cy="259842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53075" cy="2598420"/>
                                </a:xfrm>
                                <a:prstGeom prst="rect">
                                  <a:avLst/>
                                </a:prstGeom>
                                <a:noFill/>
                                <a:ln>
                                  <a:noFill/>
                                </a:ln>
                              </pic:spPr>
                            </pic:pic>
                          </a:graphicData>
                        </a:graphic>
                      </wp:inline>
                    </w:drawing>
                  </w:r>
                </w:p>
              </w:tc>
            </w:tr>
          </w:tbl>
          <w:p w14:paraId="4CA279D7" w14:textId="0BAB2C4C" w:rsidR="005545B9" w:rsidRPr="00901AB5" w:rsidRDefault="005545B9" w:rsidP="00901AB5">
            <w:pPr>
              <w:spacing w:before="40" w:after="40" w:line="288" w:lineRule="auto"/>
              <w:ind w:firstLine="746"/>
              <w:jc w:val="both"/>
            </w:pPr>
          </w:p>
        </w:tc>
      </w:tr>
    </w:tbl>
    <w:p w14:paraId="73C38FE8" w14:textId="77777777" w:rsidR="00133F16" w:rsidRDefault="00133F16" w:rsidP="00133F16">
      <w:pPr>
        <w:spacing w:before="40" w:after="40" w:line="288" w:lineRule="auto"/>
        <w:ind w:firstLine="709"/>
        <w:jc w:val="both"/>
        <w:rPr>
          <w:iCs/>
        </w:rPr>
      </w:pPr>
      <w:r w:rsidRPr="00337F83">
        <w:rPr>
          <w:iCs/>
        </w:rPr>
        <w:lastRenderedPageBreak/>
        <w:t xml:space="preserve">The balance of trade in goods in </w:t>
      </w:r>
      <w:r>
        <w:rPr>
          <w:iCs/>
          <w:lang w:val="en-GB"/>
        </w:rPr>
        <w:t>January 2022</w:t>
      </w:r>
      <w:r w:rsidRPr="00337F83">
        <w:rPr>
          <w:iCs/>
        </w:rPr>
        <w:t xml:space="preserve"> had a trade surplus of </w:t>
      </w:r>
      <w:r>
        <w:rPr>
          <w:iCs/>
          <w:lang w:val="en-GB"/>
        </w:rPr>
        <w:t>1.4</w:t>
      </w:r>
      <w:r w:rsidRPr="00337F83">
        <w:rPr>
          <w:iCs/>
        </w:rPr>
        <w:t xml:space="preserve"> billion USD</w:t>
      </w:r>
      <w:r>
        <w:rPr>
          <w:rStyle w:val="FootnoteReference"/>
          <w:iCs/>
        </w:rPr>
        <w:footnoteReference w:id="12"/>
      </w:r>
      <w:r w:rsidRPr="00337F83">
        <w:rPr>
          <w:iCs/>
        </w:rPr>
        <w:t xml:space="preserve">; in </w:t>
      </w:r>
      <w:r>
        <w:rPr>
          <w:iCs/>
          <w:lang w:val="en-GB"/>
        </w:rPr>
        <w:t xml:space="preserve">February </w:t>
      </w:r>
      <w:r w:rsidRPr="00337F83">
        <w:rPr>
          <w:iCs/>
        </w:rPr>
        <w:t>202</w:t>
      </w:r>
      <w:r>
        <w:rPr>
          <w:iCs/>
          <w:lang w:val="en-GB"/>
        </w:rPr>
        <w:t>2</w:t>
      </w:r>
      <w:r w:rsidRPr="00337F83">
        <w:rPr>
          <w:iCs/>
        </w:rPr>
        <w:t xml:space="preserve">, </w:t>
      </w:r>
      <w:r>
        <w:rPr>
          <w:iCs/>
          <w:lang w:val="en-GB"/>
        </w:rPr>
        <w:t xml:space="preserve">the </w:t>
      </w:r>
      <w:r w:rsidRPr="00337F83">
        <w:rPr>
          <w:iCs/>
        </w:rPr>
        <w:t xml:space="preserve">trade </w:t>
      </w:r>
      <w:r>
        <w:rPr>
          <w:iCs/>
          <w:lang w:val="en-GB"/>
        </w:rPr>
        <w:t>deficit</w:t>
      </w:r>
      <w:r w:rsidRPr="00337F83">
        <w:rPr>
          <w:iCs/>
        </w:rPr>
        <w:t xml:space="preserve"> </w:t>
      </w:r>
      <w:r>
        <w:rPr>
          <w:iCs/>
          <w:lang w:val="en-GB"/>
        </w:rPr>
        <w:t>wa</w:t>
      </w:r>
      <w:r w:rsidRPr="00337F83">
        <w:rPr>
          <w:iCs/>
        </w:rPr>
        <w:t xml:space="preserve">s </w:t>
      </w:r>
      <w:r>
        <w:rPr>
          <w:iCs/>
          <w:lang w:val="en-GB"/>
        </w:rPr>
        <w:t>estimated at 2</w:t>
      </w:r>
      <w:r w:rsidRPr="00337F83">
        <w:rPr>
          <w:iCs/>
        </w:rPr>
        <w:t>.</w:t>
      </w:r>
      <w:r>
        <w:rPr>
          <w:iCs/>
          <w:lang w:val="en-GB"/>
        </w:rPr>
        <w:t>34</w:t>
      </w:r>
      <w:r w:rsidRPr="00337F83">
        <w:rPr>
          <w:iCs/>
        </w:rPr>
        <w:t xml:space="preserve"> billion USD</w:t>
      </w:r>
      <w:r>
        <w:rPr>
          <w:iCs/>
          <w:lang w:val="en-GB"/>
        </w:rPr>
        <w:t xml:space="preserve">. Generally, in </w:t>
      </w:r>
      <w:r w:rsidRPr="000970B0">
        <w:rPr>
          <w:iCs/>
          <w:lang w:val="en-GB"/>
        </w:rPr>
        <w:t>the first 2 months of 2022, the trade balance of goods was estimated to have a trade deficit of 937 million USD (the same period last year, the trade surplus was 1.6 billion USD). In which, the domestic economic sector had a trade deficit of 3.96 billion USD; FDI sector (including crude oil) had a trade surplus of 3.02 billion USD.</w:t>
      </w:r>
    </w:p>
    <w:p w14:paraId="154F5FA3" w14:textId="77777777" w:rsidR="00DE2EFB" w:rsidRDefault="00E81E8E" w:rsidP="00DE2EFB">
      <w:pPr>
        <w:spacing w:before="40" w:after="40" w:line="281" w:lineRule="auto"/>
        <w:ind w:right="119" w:firstLine="567"/>
        <w:jc w:val="both"/>
        <w:rPr>
          <w:b/>
          <w:bCs/>
          <w:i/>
          <w:iCs/>
        </w:rPr>
      </w:pPr>
      <w:r w:rsidRPr="009F5D5F">
        <w:rPr>
          <w:b/>
          <w:bCs/>
          <w:i/>
          <w:iCs/>
        </w:rPr>
        <w:t xml:space="preserve">c) </w:t>
      </w:r>
      <w:r w:rsidR="00DE2EFB">
        <w:rPr>
          <w:b/>
          <w:bCs/>
          <w:i/>
          <w:iCs/>
        </w:rPr>
        <w:t>Consumer price index, gold price index, and US dollar</w:t>
      </w:r>
    </w:p>
    <w:p w14:paraId="736FED44" w14:textId="24A9DC4E" w:rsidR="00052D63" w:rsidRPr="00634789" w:rsidRDefault="00052D63" w:rsidP="00052D63">
      <w:pPr>
        <w:pStyle w:val="NormalWeb"/>
        <w:spacing w:before="40" w:beforeAutospacing="0" w:after="40" w:afterAutospacing="0" w:line="264" w:lineRule="auto"/>
        <w:ind w:firstLine="567"/>
        <w:jc w:val="both"/>
        <w:rPr>
          <w:i/>
          <w:spacing w:val="2"/>
          <w:sz w:val="28"/>
          <w:szCs w:val="28"/>
          <w:lang w:val="en-US"/>
        </w:rPr>
      </w:pPr>
      <w:r w:rsidRPr="00D72EF7">
        <w:rPr>
          <w:i/>
          <w:sz w:val="28"/>
          <w:szCs w:val="28"/>
          <w:lang w:val="en-US"/>
        </w:rPr>
        <w:t>Petrol prices increase</w:t>
      </w:r>
      <w:r>
        <w:rPr>
          <w:i/>
          <w:sz w:val="28"/>
          <w:szCs w:val="28"/>
          <w:lang w:val="en-US"/>
        </w:rPr>
        <w:t>d</w:t>
      </w:r>
      <w:r w:rsidRPr="00D72EF7">
        <w:rPr>
          <w:i/>
          <w:sz w:val="28"/>
          <w:szCs w:val="28"/>
          <w:lang w:val="en-US"/>
        </w:rPr>
        <w:t xml:space="preserve"> according to world fuel prices; </w:t>
      </w:r>
      <w:r>
        <w:rPr>
          <w:i/>
          <w:sz w:val="28"/>
          <w:szCs w:val="28"/>
          <w:lang w:val="en-US"/>
        </w:rPr>
        <w:t>t</w:t>
      </w:r>
      <w:r w:rsidRPr="00D72EF7">
        <w:rPr>
          <w:i/>
          <w:sz w:val="28"/>
          <w:szCs w:val="28"/>
          <w:lang w:val="en-US"/>
        </w:rPr>
        <w:t>he increase in food, food</w:t>
      </w:r>
      <w:r>
        <w:rPr>
          <w:i/>
          <w:sz w:val="28"/>
          <w:szCs w:val="28"/>
          <w:lang w:val="en-US"/>
        </w:rPr>
        <w:t>stuff</w:t>
      </w:r>
      <w:r w:rsidRPr="00D72EF7">
        <w:rPr>
          <w:i/>
          <w:sz w:val="28"/>
          <w:szCs w:val="28"/>
          <w:lang w:val="en-US"/>
        </w:rPr>
        <w:t xml:space="preserve">, </w:t>
      </w:r>
      <w:r w:rsidRPr="00634789">
        <w:rPr>
          <w:i/>
          <w:sz w:val="28"/>
          <w:szCs w:val="28"/>
          <w:lang w:val="en-US"/>
        </w:rPr>
        <w:t>outdoor eating and drinking</w:t>
      </w:r>
      <w:r>
        <w:rPr>
          <w:i/>
          <w:sz w:val="28"/>
          <w:szCs w:val="28"/>
          <w:lang w:val="en-US"/>
        </w:rPr>
        <w:t>,</w:t>
      </w:r>
      <w:r w:rsidRPr="00D72EF7">
        <w:rPr>
          <w:i/>
          <w:sz w:val="28"/>
          <w:szCs w:val="28"/>
          <w:lang w:val="en-US"/>
        </w:rPr>
        <w:t xml:space="preserve"> and public transport prices during the </w:t>
      </w:r>
      <w:r>
        <w:rPr>
          <w:i/>
          <w:sz w:val="28"/>
          <w:szCs w:val="28"/>
          <w:lang w:val="en-US"/>
        </w:rPr>
        <w:t>Nham Dan</w:t>
      </w:r>
      <w:r w:rsidRPr="00D72EF7">
        <w:rPr>
          <w:i/>
          <w:sz w:val="28"/>
          <w:szCs w:val="28"/>
          <w:lang w:val="en-US"/>
        </w:rPr>
        <w:t xml:space="preserve"> Lunar New Year </w:t>
      </w:r>
      <w:r>
        <w:rPr>
          <w:i/>
          <w:sz w:val="28"/>
          <w:szCs w:val="28"/>
          <w:lang w:val="en-US"/>
        </w:rPr>
        <w:t>we</w:t>
      </w:r>
      <w:r w:rsidRPr="00D72EF7">
        <w:rPr>
          <w:i/>
          <w:sz w:val="28"/>
          <w:szCs w:val="28"/>
          <w:lang w:val="en-US"/>
        </w:rPr>
        <w:t xml:space="preserve">re the main reasons </w:t>
      </w:r>
      <w:r w:rsidRPr="005D19D7">
        <w:rPr>
          <w:i/>
          <w:spacing w:val="2"/>
          <w:sz w:val="28"/>
          <w:szCs w:val="28"/>
          <w:lang w:val="en-US"/>
        </w:rPr>
        <w:t xml:space="preserve">that make the consumer price index (CPI) in </w:t>
      </w:r>
      <w:r w:rsidRPr="00D72EF7">
        <w:rPr>
          <w:i/>
          <w:sz w:val="28"/>
          <w:szCs w:val="28"/>
          <w:lang w:val="en-US"/>
        </w:rPr>
        <w:t>February</w:t>
      </w:r>
      <w:r w:rsidRPr="005D19D7">
        <w:rPr>
          <w:i/>
          <w:spacing w:val="2"/>
          <w:sz w:val="28"/>
          <w:szCs w:val="28"/>
          <w:lang w:val="en-US"/>
        </w:rPr>
        <w:t xml:space="preserve"> 2022 increase by </w:t>
      </w:r>
      <w:r w:rsidRPr="00D72EF7">
        <w:rPr>
          <w:i/>
          <w:sz w:val="28"/>
          <w:szCs w:val="28"/>
          <w:lang w:val="en-US"/>
        </w:rPr>
        <w:t>1</w:t>
      </w:r>
      <w:r w:rsidRPr="005D19D7">
        <w:rPr>
          <w:i/>
          <w:spacing w:val="2"/>
          <w:sz w:val="28"/>
          <w:szCs w:val="28"/>
          <w:lang w:val="en-US"/>
        </w:rPr>
        <w:t>% compared to the previous month</w:t>
      </w:r>
      <w:r>
        <w:rPr>
          <w:i/>
          <w:spacing w:val="2"/>
          <w:sz w:val="28"/>
          <w:szCs w:val="28"/>
          <w:lang w:val="en-US"/>
        </w:rPr>
        <w:t xml:space="preserve">; </w:t>
      </w:r>
      <w:r>
        <w:rPr>
          <w:i/>
          <w:sz w:val="28"/>
          <w:szCs w:val="28"/>
          <w:lang w:val="en-US"/>
        </w:rPr>
        <w:t xml:space="preserve">up </w:t>
      </w:r>
      <w:r w:rsidRPr="00D72EF7">
        <w:rPr>
          <w:i/>
          <w:sz w:val="28"/>
          <w:szCs w:val="28"/>
          <w:lang w:val="en-US"/>
        </w:rPr>
        <w:t xml:space="preserve">1.42% over the same period last year and </w:t>
      </w:r>
      <w:r>
        <w:rPr>
          <w:i/>
          <w:sz w:val="28"/>
          <w:szCs w:val="28"/>
          <w:lang w:val="en-US"/>
        </w:rPr>
        <w:t>up</w:t>
      </w:r>
      <w:r w:rsidRPr="00D72EF7">
        <w:rPr>
          <w:i/>
          <w:sz w:val="28"/>
          <w:szCs w:val="28"/>
          <w:lang w:val="en-US"/>
        </w:rPr>
        <w:t xml:space="preserve"> 1.2% compared to December 2021. On average, in the first 2 months of 2022, CPI increased by 1.68% over the same period last year; core inflation increased by 0.67%.</w:t>
      </w:r>
    </w:p>
    <w:p w14:paraId="44E0DE87" w14:textId="77777777" w:rsidR="00E67D16" w:rsidRPr="00D72EF7" w:rsidRDefault="00E67D16" w:rsidP="00E67D16">
      <w:pPr>
        <w:tabs>
          <w:tab w:val="left" w:pos="720"/>
        </w:tabs>
        <w:spacing w:before="40" w:after="40" w:line="280" w:lineRule="auto"/>
        <w:ind w:right="142"/>
        <w:jc w:val="center"/>
        <w:rPr>
          <w:rFonts w:ascii="Arial" w:hAnsi="Arial" w:cs="Arial"/>
          <w:b/>
          <w:sz w:val="24"/>
          <w:szCs w:val="24"/>
          <w:lang w:val="nl-NL"/>
        </w:rPr>
      </w:pPr>
      <w:r w:rsidRPr="00D72EF7">
        <w:rPr>
          <w:rFonts w:ascii="Arial" w:hAnsi="Arial" w:cs="Arial"/>
          <w:b/>
          <w:bCs/>
          <w:sz w:val="24"/>
          <w:szCs w:val="24"/>
          <w:lang w:val="af-ZA"/>
        </w:rPr>
        <w:t>Figure</w:t>
      </w:r>
      <w:r>
        <w:rPr>
          <w:rFonts w:ascii="Arial" w:hAnsi="Arial" w:cs="Arial"/>
          <w:b/>
          <w:sz w:val="24"/>
          <w:szCs w:val="24"/>
          <w:lang w:val="nl-NL"/>
        </w:rPr>
        <w:t xml:space="preserve"> 15. </w:t>
      </w:r>
      <w:r w:rsidRPr="00D72EF7">
        <w:rPr>
          <w:rFonts w:ascii="Arial" w:hAnsi="Arial" w:cs="Arial"/>
          <w:b/>
          <w:sz w:val="24"/>
          <w:szCs w:val="24"/>
          <w:lang w:val="nl-NL"/>
        </w:rPr>
        <w:t xml:space="preserve">CPI growth/decrease rate of </w:t>
      </w:r>
    </w:p>
    <w:p w14:paraId="01C5A90E" w14:textId="77777777" w:rsidR="00E67D16" w:rsidRDefault="00E67D16" w:rsidP="00E67D16">
      <w:pPr>
        <w:tabs>
          <w:tab w:val="left" w:pos="720"/>
        </w:tabs>
        <w:spacing w:before="40" w:after="40" w:line="280" w:lineRule="auto"/>
        <w:ind w:right="142"/>
        <w:jc w:val="center"/>
        <w:rPr>
          <w:rFonts w:ascii="Arial" w:hAnsi="Arial" w:cs="Arial"/>
          <w:b/>
          <w:sz w:val="24"/>
          <w:szCs w:val="24"/>
          <w:lang w:val="nl-NL"/>
        </w:rPr>
      </w:pPr>
      <w:r>
        <w:rPr>
          <w:rFonts w:ascii="Arial" w:hAnsi="Arial" w:cs="Arial"/>
          <w:b/>
          <w:sz w:val="24"/>
          <w:szCs w:val="24"/>
          <w:lang w:val="nl-NL"/>
        </w:rPr>
        <w:t>February</w:t>
      </w:r>
      <w:r w:rsidRPr="00D72EF7">
        <w:rPr>
          <w:rFonts w:ascii="Arial" w:hAnsi="Arial" w:cs="Arial"/>
          <w:b/>
          <w:sz w:val="24"/>
          <w:szCs w:val="24"/>
          <w:lang w:val="nl-NL"/>
        </w:rPr>
        <w:t xml:space="preserve"> and </w:t>
      </w:r>
      <w:r>
        <w:rPr>
          <w:rFonts w:ascii="Arial" w:hAnsi="Arial" w:cs="Arial"/>
          <w:b/>
          <w:sz w:val="24"/>
          <w:szCs w:val="24"/>
          <w:lang w:val="nl-NL"/>
        </w:rPr>
        <w:t>2</w:t>
      </w:r>
      <w:r w:rsidRPr="00D72EF7">
        <w:rPr>
          <w:rFonts w:ascii="Arial" w:hAnsi="Arial" w:cs="Arial"/>
          <w:b/>
          <w:sz w:val="24"/>
          <w:szCs w:val="24"/>
          <w:lang w:val="nl-NL"/>
        </w:rPr>
        <w:t xml:space="preserve"> months</w:t>
      </w:r>
      <w:r>
        <w:rPr>
          <w:rFonts w:ascii="Arial" w:hAnsi="Arial" w:cs="Arial"/>
          <w:b/>
          <w:sz w:val="24"/>
          <w:szCs w:val="24"/>
          <w:lang w:val="nl-NL"/>
        </w:rPr>
        <w:t xml:space="preserve"> in </w:t>
      </w:r>
      <w:r w:rsidRPr="00C16FE7">
        <w:rPr>
          <w:rFonts w:ascii="Arial" w:hAnsi="Arial" w:cs="Arial"/>
          <w:b/>
          <w:sz w:val="24"/>
          <w:szCs w:val="24"/>
          <w:lang w:val="nl-NL"/>
        </w:rPr>
        <w:t>the period of 201</w:t>
      </w:r>
      <w:r>
        <w:rPr>
          <w:rFonts w:ascii="Arial" w:hAnsi="Arial" w:cs="Arial"/>
          <w:b/>
          <w:sz w:val="24"/>
          <w:szCs w:val="24"/>
          <w:lang w:val="nl-NL"/>
        </w:rPr>
        <w:t>8-2022</w:t>
      </w:r>
      <w:r w:rsidRPr="00C16FE7">
        <w:rPr>
          <w:rFonts w:ascii="Arial" w:hAnsi="Arial" w:cs="Arial"/>
          <w:b/>
          <w:sz w:val="24"/>
          <w:szCs w:val="24"/>
          <w:lang w:val="nl-NL"/>
        </w:rPr>
        <w:t xml:space="preserve"> </w:t>
      </w:r>
      <w:r>
        <w:rPr>
          <w:rFonts w:ascii="Arial" w:hAnsi="Arial" w:cs="Arial"/>
          <w:b/>
          <w:sz w:val="24"/>
          <w:szCs w:val="24"/>
          <w:lang w:val="nl-NL"/>
        </w:rPr>
        <w:t>(%)</w:t>
      </w:r>
    </w:p>
    <w:p w14:paraId="7425550A" w14:textId="03EF846B" w:rsidR="00E81E8E" w:rsidRPr="00AB6D8D" w:rsidRDefault="00D52BBB" w:rsidP="00E81E8E">
      <w:pPr>
        <w:pStyle w:val="NormalWeb"/>
        <w:spacing w:before="40" w:beforeAutospacing="0" w:after="40" w:afterAutospacing="0" w:line="281" w:lineRule="auto"/>
        <w:jc w:val="center"/>
        <w:rPr>
          <w:i/>
          <w:sz w:val="28"/>
          <w:szCs w:val="28"/>
        </w:rPr>
      </w:pPr>
      <w:r>
        <w:rPr>
          <w:noProof/>
          <w:sz w:val="28"/>
          <w:szCs w:val="28"/>
          <w:lang w:val="en-US" w:eastAsia="en-US"/>
        </w:rPr>
        <w:drawing>
          <wp:inline distT="0" distB="0" distL="0" distR="0" wp14:anchorId="16B7B957" wp14:editId="214E087D">
            <wp:extent cx="5486400" cy="27432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73C6375" w14:textId="344D31B4" w:rsidR="00E81E8E" w:rsidRPr="00E81E8E" w:rsidRDefault="00A64AC6" w:rsidP="00EC2B6C">
      <w:pPr>
        <w:pStyle w:val="FootnoteText"/>
        <w:spacing w:before="40" w:after="40" w:line="254" w:lineRule="auto"/>
        <w:ind w:firstLine="567"/>
        <w:jc w:val="both"/>
        <w:rPr>
          <w:rStyle w:val="normalchar"/>
          <w:sz w:val="28"/>
          <w:szCs w:val="28"/>
          <w:lang w:val="nl-NL"/>
        </w:rPr>
      </w:pPr>
      <w:r w:rsidRPr="00A64AC6">
        <w:rPr>
          <w:rStyle w:val="normalchar"/>
          <w:sz w:val="28"/>
          <w:szCs w:val="28"/>
          <w:lang w:val="nl-NL"/>
        </w:rPr>
        <w:t>In the 1% increase of CPI in February 2022 compared to the previous month, there were 10 groups of goods and services with an increase in the price index and 1 group of goods with a decrease in the price index.</w:t>
      </w:r>
    </w:p>
    <w:p w14:paraId="1BD0145A" w14:textId="77777777" w:rsidR="00167187" w:rsidRPr="005028FA" w:rsidRDefault="00167187" w:rsidP="00167187">
      <w:pPr>
        <w:pStyle w:val="FootnoteText"/>
        <w:numPr>
          <w:ilvl w:val="0"/>
          <w:numId w:val="5"/>
        </w:numPr>
        <w:tabs>
          <w:tab w:val="left" w:pos="993"/>
        </w:tabs>
        <w:spacing w:before="40" w:after="40" w:line="254" w:lineRule="auto"/>
        <w:jc w:val="both"/>
        <w:rPr>
          <w:sz w:val="28"/>
          <w:szCs w:val="28"/>
          <w:lang w:val="nl-NL"/>
        </w:rPr>
      </w:pPr>
      <w:r w:rsidRPr="00D72EF7">
        <w:rPr>
          <w:sz w:val="28"/>
          <w:szCs w:val="28"/>
          <w:lang w:val="es-NI"/>
        </w:rPr>
        <w:t>Ten groups of goods and services with increasing price index include</w:t>
      </w:r>
      <w:r w:rsidRPr="00E81E8E">
        <w:rPr>
          <w:sz w:val="28"/>
          <w:szCs w:val="28"/>
          <w:lang w:val="es-NI"/>
        </w:rPr>
        <w:t>:</w:t>
      </w:r>
    </w:p>
    <w:p w14:paraId="55318DCB" w14:textId="6DA4D4C9" w:rsidR="007E3BCB" w:rsidRDefault="00E81E8E" w:rsidP="007E3BCB">
      <w:pPr>
        <w:pStyle w:val="FootnoteText"/>
        <w:spacing w:before="40" w:after="40" w:line="254" w:lineRule="auto"/>
        <w:ind w:firstLine="567"/>
        <w:jc w:val="both"/>
        <w:rPr>
          <w:sz w:val="28"/>
          <w:szCs w:val="28"/>
          <w:lang w:val="nl-NL"/>
        </w:rPr>
      </w:pPr>
      <w:r w:rsidRPr="00E81E8E">
        <w:rPr>
          <w:i/>
          <w:sz w:val="28"/>
          <w:szCs w:val="28"/>
          <w:lang w:val="es-NI"/>
        </w:rPr>
        <w:t xml:space="preserve">- </w:t>
      </w:r>
      <w:r w:rsidR="007E3BCB">
        <w:rPr>
          <w:i/>
          <w:sz w:val="28"/>
          <w:szCs w:val="28"/>
          <w:lang w:val="nl-NL"/>
        </w:rPr>
        <w:t>The transport</w:t>
      </w:r>
      <w:r w:rsidR="007E3BCB" w:rsidRPr="00387E47">
        <w:rPr>
          <w:i/>
          <w:sz w:val="28"/>
          <w:szCs w:val="28"/>
          <w:lang w:val="nl-NL"/>
        </w:rPr>
        <w:t xml:space="preserve"> group</w:t>
      </w:r>
      <w:r w:rsidR="007E3BCB" w:rsidRPr="00387E47">
        <w:rPr>
          <w:sz w:val="28"/>
          <w:szCs w:val="28"/>
          <w:lang w:val="es-NI"/>
        </w:rPr>
        <w:t xml:space="preserve"> </w:t>
      </w:r>
      <w:r w:rsidR="007E3BCB" w:rsidRPr="00D87205">
        <w:rPr>
          <w:sz w:val="28"/>
          <w:szCs w:val="28"/>
          <w:lang w:val="nl-NL"/>
        </w:rPr>
        <w:t>had the highest increase with 2.35% due to the influence of petrol and oil price adjustments on January 21</w:t>
      </w:r>
      <w:r w:rsidR="007E3BCB" w:rsidRPr="00622552">
        <w:rPr>
          <w:sz w:val="28"/>
          <w:szCs w:val="28"/>
          <w:vertAlign w:val="superscript"/>
          <w:lang w:val="nl-NL"/>
        </w:rPr>
        <w:t>st</w:t>
      </w:r>
      <w:r w:rsidR="007E3BCB" w:rsidRPr="00D87205">
        <w:rPr>
          <w:sz w:val="28"/>
          <w:szCs w:val="28"/>
          <w:lang w:val="nl-NL"/>
        </w:rPr>
        <w:t xml:space="preserve">, 2022, February </w:t>
      </w:r>
      <w:r w:rsidR="007E3BCB">
        <w:rPr>
          <w:sz w:val="28"/>
          <w:szCs w:val="28"/>
          <w:lang w:val="nl-NL"/>
        </w:rPr>
        <w:t>11</w:t>
      </w:r>
      <w:r w:rsidR="007E3BCB" w:rsidRPr="00DF29DC">
        <w:rPr>
          <w:sz w:val="28"/>
          <w:szCs w:val="28"/>
          <w:vertAlign w:val="superscript"/>
          <w:lang w:val="nl-NL"/>
        </w:rPr>
        <w:t>th</w:t>
      </w:r>
      <w:r w:rsidR="007E3BCB" w:rsidRPr="00D87205">
        <w:rPr>
          <w:sz w:val="28"/>
          <w:szCs w:val="28"/>
          <w:lang w:val="nl-NL"/>
        </w:rPr>
        <w:t>, 2022</w:t>
      </w:r>
      <w:r w:rsidR="007E3BCB">
        <w:rPr>
          <w:sz w:val="28"/>
          <w:szCs w:val="28"/>
          <w:lang w:val="nl-NL"/>
        </w:rPr>
        <w:t>,</w:t>
      </w:r>
      <w:r w:rsidR="007E3BCB" w:rsidRPr="00D87205">
        <w:rPr>
          <w:sz w:val="28"/>
          <w:szCs w:val="28"/>
          <w:lang w:val="nl-NL"/>
        </w:rPr>
        <w:t xml:space="preserve"> and February 21</w:t>
      </w:r>
      <w:r w:rsidR="007E3BCB" w:rsidRPr="00622552">
        <w:rPr>
          <w:sz w:val="28"/>
          <w:szCs w:val="28"/>
          <w:vertAlign w:val="superscript"/>
          <w:lang w:val="nl-NL"/>
        </w:rPr>
        <w:t>st</w:t>
      </w:r>
      <w:r w:rsidR="007E3BCB" w:rsidRPr="00D87205">
        <w:rPr>
          <w:sz w:val="28"/>
          <w:szCs w:val="28"/>
          <w:lang w:val="nl-NL"/>
        </w:rPr>
        <w:t>, 2022</w:t>
      </w:r>
      <w:r w:rsidR="007E3BCB">
        <w:rPr>
          <w:sz w:val="28"/>
          <w:szCs w:val="28"/>
          <w:lang w:val="nl-NL"/>
        </w:rPr>
        <w:t xml:space="preserve">, </w:t>
      </w:r>
      <w:r w:rsidR="007E3BCB" w:rsidRPr="00D87205">
        <w:rPr>
          <w:sz w:val="28"/>
          <w:szCs w:val="28"/>
          <w:lang w:val="nl-NL"/>
        </w:rPr>
        <w:t xml:space="preserve">the </w:t>
      </w:r>
      <w:r w:rsidR="007E3BCB">
        <w:rPr>
          <w:sz w:val="28"/>
          <w:szCs w:val="28"/>
          <w:lang w:val="nl-NL"/>
        </w:rPr>
        <w:t>p</w:t>
      </w:r>
      <w:r w:rsidR="007E3BCB" w:rsidRPr="00622552">
        <w:rPr>
          <w:sz w:val="28"/>
          <w:szCs w:val="28"/>
          <w:lang w:val="nl-NL"/>
        </w:rPr>
        <w:t>etrol</w:t>
      </w:r>
      <w:r w:rsidR="007E3BCB" w:rsidRPr="00D87205">
        <w:rPr>
          <w:sz w:val="28"/>
          <w:szCs w:val="28"/>
          <w:lang w:val="nl-NL"/>
        </w:rPr>
        <w:t xml:space="preserve"> price index increased by 5.8% (</w:t>
      </w:r>
      <w:r w:rsidR="007E3BCB" w:rsidRPr="00622552">
        <w:rPr>
          <w:sz w:val="28"/>
          <w:szCs w:val="28"/>
          <w:lang w:val="nl-NL"/>
        </w:rPr>
        <w:t>the impact of making the general CPI increase by 0.21 percentage points</w:t>
      </w:r>
      <w:r w:rsidR="007E3BCB" w:rsidRPr="00D87205">
        <w:rPr>
          <w:sz w:val="28"/>
          <w:szCs w:val="28"/>
          <w:lang w:val="nl-NL"/>
        </w:rPr>
        <w:t xml:space="preserve">). In addition, the price of passenger transport by road increased by 3.92% because </w:t>
      </w:r>
      <w:r w:rsidR="007E3BCB" w:rsidRPr="00D87205">
        <w:rPr>
          <w:sz w:val="28"/>
          <w:szCs w:val="28"/>
          <w:lang w:val="nl-NL"/>
        </w:rPr>
        <w:lastRenderedPageBreak/>
        <w:t>some transport businesses declared an increase in surcharge prices when the price of gasoline increased and the impact of the epidemic limited the number of passengers; train fares increased by 7.95% due to the increase in ticket prices by the Vietnam Railways Corporation</w:t>
      </w:r>
      <w:r w:rsidR="007E3BCB" w:rsidRPr="00E81E8E">
        <w:rPr>
          <w:rStyle w:val="FootnoteReference"/>
          <w:sz w:val="28"/>
          <w:szCs w:val="28"/>
          <w:lang w:val="nl-NL"/>
        </w:rPr>
        <w:footnoteReference w:id="13"/>
      </w:r>
      <w:r w:rsidR="007E3BCB" w:rsidRPr="00E81E8E">
        <w:rPr>
          <w:sz w:val="28"/>
          <w:szCs w:val="28"/>
          <w:lang w:val="nl-NL"/>
        </w:rPr>
        <w:t xml:space="preserve">; </w:t>
      </w:r>
      <w:r w:rsidR="007E3BCB" w:rsidRPr="00622552">
        <w:rPr>
          <w:sz w:val="28"/>
          <w:szCs w:val="28"/>
          <w:lang w:val="nl-NL"/>
        </w:rPr>
        <w:t>vehicle maintenance service prices increased by 0.91%, car wash</w:t>
      </w:r>
      <w:r w:rsidR="007E3BCB">
        <w:rPr>
          <w:sz w:val="28"/>
          <w:szCs w:val="28"/>
          <w:lang w:val="nl-NL"/>
        </w:rPr>
        <w:t>,</w:t>
      </w:r>
      <w:r w:rsidR="007E3BCB" w:rsidRPr="00622552">
        <w:rPr>
          <w:sz w:val="28"/>
          <w:szCs w:val="28"/>
          <w:lang w:val="nl-NL"/>
        </w:rPr>
        <w:t xml:space="preserve"> and pump services increased by 1.34% due to the increased demand for travel, repair</w:t>
      </w:r>
      <w:r w:rsidR="007E3BCB">
        <w:rPr>
          <w:sz w:val="28"/>
          <w:szCs w:val="28"/>
          <w:lang w:val="nl-NL"/>
        </w:rPr>
        <w:t>,</w:t>
      </w:r>
      <w:r w:rsidR="007E3BCB" w:rsidRPr="00622552">
        <w:rPr>
          <w:sz w:val="28"/>
          <w:szCs w:val="28"/>
          <w:lang w:val="nl-NL"/>
        </w:rPr>
        <w:t xml:space="preserve"> and maintenance</w:t>
      </w:r>
      <w:r w:rsidR="007E3BCB" w:rsidRPr="00E81E8E">
        <w:rPr>
          <w:sz w:val="28"/>
          <w:szCs w:val="28"/>
          <w:lang w:val="nl-NL"/>
        </w:rPr>
        <w:t>.</w:t>
      </w:r>
    </w:p>
    <w:p w14:paraId="5E601AA8" w14:textId="7831C751" w:rsidR="00E81E8E" w:rsidRPr="00E81E8E" w:rsidRDefault="00E81E8E" w:rsidP="00EC2B6C">
      <w:pPr>
        <w:pStyle w:val="FootnoteText"/>
        <w:spacing w:before="40" w:after="40" w:line="254" w:lineRule="auto"/>
        <w:ind w:firstLine="567"/>
        <w:jc w:val="both"/>
        <w:rPr>
          <w:rStyle w:val="normalchar"/>
          <w:sz w:val="28"/>
          <w:szCs w:val="28"/>
          <w:lang w:val="nl-NL"/>
        </w:rPr>
      </w:pPr>
      <w:r w:rsidRPr="00E81E8E">
        <w:rPr>
          <w:rStyle w:val="normalchar"/>
          <w:i/>
          <w:sz w:val="28"/>
          <w:szCs w:val="28"/>
          <w:lang w:val="nl-NL"/>
        </w:rPr>
        <w:t xml:space="preserve">- </w:t>
      </w:r>
      <w:r w:rsidR="005F4C09" w:rsidRPr="005F4C09">
        <w:rPr>
          <w:rStyle w:val="normalchar"/>
          <w:i/>
          <w:sz w:val="28"/>
          <w:szCs w:val="28"/>
          <w:lang w:val="nl-NL"/>
        </w:rPr>
        <w:t xml:space="preserve">Food and catering services </w:t>
      </w:r>
      <w:r w:rsidR="005F4C09" w:rsidRPr="005F4C09">
        <w:rPr>
          <w:rStyle w:val="normalchar"/>
          <w:iCs/>
          <w:sz w:val="28"/>
          <w:szCs w:val="28"/>
          <w:lang w:val="nl-NL"/>
        </w:rPr>
        <w:t>increased by 1.54% (making the general CPI increase by 0.52 percentage points), of which: Food increased by 0.35</w:t>
      </w:r>
      <w:r w:rsidR="005F4C09" w:rsidRPr="005F4C09">
        <w:rPr>
          <w:rStyle w:val="normalchar"/>
          <w:iCs/>
          <w:sz w:val="28"/>
          <w:szCs w:val="28"/>
          <w:lang w:val="vi-VN"/>
        </w:rPr>
        <w:t>%</w:t>
      </w:r>
      <w:r w:rsidR="005F4C09" w:rsidRPr="00E81E8E">
        <w:rPr>
          <w:rStyle w:val="FootnoteReference"/>
          <w:sz w:val="28"/>
          <w:szCs w:val="28"/>
          <w:lang w:val="nl-NL"/>
        </w:rPr>
        <w:footnoteReference w:id="14"/>
      </w:r>
      <w:r w:rsidRPr="00E81E8E">
        <w:rPr>
          <w:rStyle w:val="normalchar"/>
          <w:sz w:val="28"/>
          <w:szCs w:val="28"/>
          <w:lang w:val="nl-NL"/>
        </w:rPr>
        <w:t xml:space="preserve"> (</w:t>
      </w:r>
      <w:r w:rsidR="00591A18" w:rsidRPr="00591A18">
        <w:rPr>
          <w:iCs/>
          <w:sz w:val="28"/>
          <w:szCs w:val="28"/>
        </w:rPr>
        <w:t>making the general CPI increase by 0.01 percentage points); foodstuff increased by 1.69%</w:t>
      </w:r>
      <w:r w:rsidR="00591A18" w:rsidRPr="00E81E8E">
        <w:rPr>
          <w:rStyle w:val="FootnoteReference"/>
          <w:sz w:val="28"/>
          <w:szCs w:val="28"/>
          <w:lang w:val="nl-NL"/>
        </w:rPr>
        <w:footnoteReference w:id="15"/>
      </w:r>
      <w:r w:rsidRPr="00E81E8E">
        <w:rPr>
          <w:rStyle w:val="normalchar"/>
          <w:sz w:val="28"/>
          <w:szCs w:val="28"/>
          <w:lang w:val="nl-NL"/>
        </w:rPr>
        <w:t xml:space="preserve"> </w:t>
      </w:r>
      <w:r w:rsidR="00A042CA" w:rsidRPr="00A042CA">
        <w:rPr>
          <w:rStyle w:val="normalchar"/>
          <w:sz w:val="28"/>
          <w:szCs w:val="28"/>
          <w:lang w:val="nl-NL"/>
        </w:rPr>
        <w:t>(making the general CPI increase by 0.36 percentage points); outdoor eating and drinking increased by 1.68% (making the general CPI increase by 0.15 percentage points).</w:t>
      </w:r>
    </w:p>
    <w:p w14:paraId="348FC119" w14:textId="77777777" w:rsidR="003D7A53" w:rsidRDefault="00E81E8E" w:rsidP="00EC2B6C">
      <w:pPr>
        <w:pStyle w:val="FootnoteText"/>
        <w:spacing w:before="20" w:line="283" w:lineRule="auto"/>
        <w:ind w:firstLine="567"/>
        <w:jc w:val="both"/>
        <w:rPr>
          <w:spacing w:val="-2"/>
          <w:sz w:val="28"/>
          <w:szCs w:val="28"/>
          <w:lang w:val="nl-NL"/>
        </w:rPr>
      </w:pPr>
      <w:r w:rsidRPr="00EC2B6C">
        <w:rPr>
          <w:i/>
          <w:spacing w:val="-2"/>
          <w:sz w:val="28"/>
          <w:szCs w:val="28"/>
          <w:lang w:val="es-NI"/>
        </w:rPr>
        <w:t xml:space="preserve">- </w:t>
      </w:r>
      <w:r w:rsidR="003D7A53" w:rsidRPr="00387E47">
        <w:rPr>
          <w:i/>
          <w:sz w:val="28"/>
          <w:szCs w:val="28"/>
          <w:lang w:val="en-US"/>
        </w:rPr>
        <w:t>Housing and construction materials</w:t>
      </w:r>
      <w:r w:rsidR="003D7A53" w:rsidRPr="00D87205">
        <w:rPr>
          <w:spacing w:val="-2"/>
          <w:sz w:val="28"/>
          <w:szCs w:val="28"/>
          <w:lang w:val="nl-NL"/>
        </w:rPr>
        <w:t xml:space="preserve"> increased by 0.92% due to </w:t>
      </w:r>
      <w:r w:rsidR="003D7A53">
        <w:rPr>
          <w:spacing w:val="-2"/>
          <w:sz w:val="28"/>
          <w:szCs w:val="28"/>
          <w:lang w:val="vi-VN"/>
        </w:rPr>
        <w:t xml:space="preserve">an </w:t>
      </w:r>
      <w:r w:rsidR="003D7A53" w:rsidRPr="00D87205">
        <w:rPr>
          <w:spacing w:val="-2"/>
          <w:sz w:val="28"/>
          <w:szCs w:val="28"/>
          <w:lang w:val="nl-NL"/>
        </w:rPr>
        <w:t>8.32% increase in kerosene price; gas price increased by 3.5%; electricity and water prices increased by 1.01% and 4.73% respectively due to high demand for electricity and water during the Lunar New Year.</w:t>
      </w:r>
    </w:p>
    <w:p w14:paraId="120F9797" w14:textId="3FFC0C83" w:rsidR="00E81E8E" w:rsidRPr="00EC2B6C" w:rsidRDefault="00E81E8E" w:rsidP="00EC2B6C">
      <w:pPr>
        <w:pStyle w:val="FootnoteText"/>
        <w:spacing w:before="20" w:line="283" w:lineRule="auto"/>
        <w:ind w:firstLine="567"/>
        <w:jc w:val="both"/>
        <w:rPr>
          <w:sz w:val="28"/>
          <w:szCs w:val="28"/>
          <w:lang w:val="es-NI"/>
        </w:rPr>
      </w:pPr>
      <w:r w:rsidRPr="00EC2B6C">
        <w:rPr>
          <w:i/>
          <w:sz w:val="28"/>
          <w:szCs w:val="28"/>
        </w:rPr>
        <w:t xml:space="preserve">- </w:t>
      </w:r>
      <w:r w:rsidR="00856E7D" w:rsidRPr="00387E47">
        <w:rPr>
          <w:i/>
          <w:sz w:val="28"/>
          <w:szCs w:val="28"/>
          <w:lang w:val="nl-NL"/>
        </w:rPr>
        <w:t>The education group</w:t>
      </w:r>
      <w:r w:rsidR="00856E7D" w:rsidRPr="00387E47">
        <w:rPr>
          <w:sz w:val="28"/>
          <w:szCs w:val="28"/>
          <w:lang w:val="nl-NL"/>
        </w:rPr>
        <w:t xml:space="preserve"> </w:t>
      </w:r>
      <w:r w:rsidR="00856E7D" w:rsidRPr="00141A99">
        <w:rPr>
          <w:i/>
          <w:sz w:val="28"/>
          <w:szCs w:val="28"/>
          <w:lang w:val="es-NI"/>
        </w:rPr>
        <w:t xml:space="preserve">and </w:t>
      </w:r>
      <w:r w:rsidR="00856E7D" w:rsidRPr="00387E47">
        <w:rPr>
          <w:i/>
          <w:sz w:val="28"/>
          <w:szCs w:val="28"/>
          <w:lang w:val="es-NI"/>
        </w:rPr>
        <w:t>Culture, entertainment, and tourism groups</w:t>
      </w:r>
      <w:r w:rsidR="00856E7D" w:rsidRPr="00387E47">
        <w:rPr>
          <w:sz w:val="28"/>
          <w:szCs w:val="28"/>
        </w:rPr>
        <w:t xml:space="preserve"> </w:t>
      </w:r>
      <w:r w:rsidR="00856E7D" w:rsidRPr="0015743F">
        <w:rPr>
          <w:sz w:val="28"/>
          <w:szCs w:val="28"/>
          <w:lang w:val="es-NI"/>
        </w:rPr>
        <w:t xml:space="preserve">with an increase of </w:t>
      </w:r>
      <w:r w:rsidR="00856E7D" w:rsidRPr="00D87205">
        <w:rPr>
          <w:sz w:val="28"/>
          <w:szCs w:val="28"/>
          <w:lang w:val="es-NI"/>
        </w:rPr>
        <w:t xml:space="preserve">0.51%, of which </w:t>
      </w:r>
      <w:r w:rsidR="00856E7D">
        <w:rPr>
          <w:sz w:val="28"/>
          <w:szCs w:val="28"/>
          <w:lang w:val="es-NI"/>
        </w:rPr>
        <w:t>c</w:t>
      </w:r>
      <w:r w:rsidR="00856E7D" w:rsidRPr="0015743F">
        <w:rPr>
          <w:sz w:val="28"/>
          <w:szCs w:val="28"/>
          <w:lang w:val="es-NI"/>
        </w:rPr>
        <w:t xml:space="preserve">ulture, entertainment, and tourism groups </w:t>
      </w:r>
      <w:r w:rsidR="00856E7D" w:rsidRPr="00D87205">
        <w:rPr>
          <w:sz w:val="28"/>
          <w:szCs w:val="28"/>
          <w:lang w:val="es-NI"/>
        </w:rPr>
        <w:t xml:space="preserve">increased due to </w:t>
      </w:r>
      <w:r w:rsidR="00856E7D" w:rsidRPr="0015743F">
        <w:rPr>
          <w:sz w:val="28"/>
          <w:szCs w:val="28"/>
          <w:lang w:val="es-NI"/>
        </w:rPr>
        <w:t>increased demand for tourism and entertainment during the Lunar New Year and Valentine's Day</w:t>
      </w:r>
      <w:r w:rsidR="000E58FE" w:rsidRPr="00EC2B6C">
        <w:rPr>
          <w:rStyle w:val="FootnoteReference"/>
          <w:sz w:val="28"/>
          <w:szCs w:val="28"/>
          <w:lang w:val="en-US"/>
        </w:rPr>
        <w:footnoteReference w:id="16"/>
      </w:r>
      <w:r w:rsidR="00856E7D" w:rsidRPr="0015743F">
        <w:rPr>
          <w:sz w:val="28"/>
          <w:szCs w:val="28"/>
          <w:lang w:val="es-NI"/>
        </w:rPr>
        <w:t xml:space="preserve"> on February 14</w:t>
      </w:r>
      <w:r w:rsidR="00856E7D" w:rsidRPr="0015743F">
        <w:rPr>
          <w:sz w:val="28"/>
          <w:szCs w:val="28"/>
          <w:vertAlign w:val="superscript"/>
          <w:lang w:val="es-NI"/>
        </w:rPr>
        <w:t>th</w:t>
      </w:r>
      <w:r w:rsidRPr="00EC2B6C">
        <w:rPr>
          <w:sz w:val="28"/>
          <w:szCs w:val="28"/>
          <w:lang w:val="es-NI"/>
        </w:rPr>
        <w:t>.</w:t>
      </w:r>
    </w:p>
    <w:p w14:paraId="4B2AAF8B" w14:textId="77777777" w:rsidR="00184EDC" w:rsidRDefault="00184EDC" w:rsidP="00184EDC">
      <w:pPr>
        <w:pStyle w:val="FootnoteText"/>
        <w:spacing w:before="20" w:line="283" w:lineRule="auto"/>
        <w:ind w:firstLine="567"/>
        <w:jc w:val="both"/>
        <w:rPr>
          <w:sz w:val="28"/>
          <w:szCs w:val="28"/>
          <w:lang w:val="en-US"/>
        </w:rPr>
      </w:pPr>
      <w:r w:rsidRPr="00EC2B6C">
        <w:rPr>
          <w:i/>
          <w:sz w:val="28"/>
          <w:szCs w:val="28"/>
        </w:rPr>
        <w:t>-</w:t>
      </w:r>
      <w:r w:rsidRPr="00EC2B6C">
        <w:rPr>
          <w:sz w:val="28"/>
          <w:szCs w:val="28"/>
        </w:rPr>
        <w:t xml:space="preserve"> </w:t>
      </w:r>
      <w:r w:rsidRPr="00387E47">
        <w:rPr>
          <w:i/>
          <w:iCs/>
          <w:sz w:val="28"/>
          <w:szCs w:val="28"/>
        </w:rPr>
        <w:t>Beverage and cigarettes</w:t>
      </w:r>
      <w:r w:rsidRPr="00D87205">
        <w:rPr>
          <w:sz w:val="28"/>
          <w:szCs w:val="28"/>
          <w:lang w:val="en-US"/>
        </w:rPr>
        <w:t xml:space="preserve"> increased by 0.37% due to consumer demand during Tet, so the prices of beverages and cigarettes of all kinds increased</w:t>
      </w:r>
      <w:r w:rsidRPr="00EC2B6C">
        <w:rPr>
          <w:sz w:val="28"/>
          <w:szCs w:val="28"/>
        </w:rPr>
        <w:t>.</w:t>
      </w:r>
    </w:p>
    <w:p w14:paraId="3F9D5557" w14:textId="77777777" w:rsidR="00184EDC" w:rsidRPr="00EC2B6C" w:rsidRDefault="00184EDC" w:rsidP="00184EDC">
      <w:pPr>
        <w:pStyle w:val="FootnoteText"/>
        <w:spacing w:before="20" w:line="283" w:lineRule="auto"/>
        <w:ind w:firstLine="567"/>
        <w:jc w:val="both"/>
        <w:rPr>
          <w:sz w:val="28"/>
          <w:szCs w:val="28"/>
          <w:lang w:val="es-NI"/>
        </w:rPr>
      </w:pPr>
      <w:r w:rsidRPr="0015743F">
        <w:rPr>
          <w:i/>
          <w:sz w:val="28"/>
          <w:szCs w:val="28"/>
          <w:lang w:val="es-NI"/>
        </w:rPr>
        <w:t>-</w:t>
      </w:r>
      <w:r w:rsidRPr="00D87205">
        <w:rPr>
          <w:sz w:val="28"/>
          <w:szCs w:val="28"/>
          <w:lang w:val="es-NI"/>
        </w:rPr>
        <w:t xml:space="preserve"> </w:t>
      </w:r>
      <w:r w:rsidRPr="00387E47">
        <w:rPr>
          <w:i/>
          <w:sz w:val="28"/>
          <w:szCs w:val="28"/>
          <w:lang w:val="en-US"/>
        </w:rPr>
        <w:t>Household appliances</w:t>
      </w:r>
      <w:r w:rsidRPr="00D87205">
        <w:rPr>
          <w:sz w:val="28"/>
          <w:szCs w:val="28"/>
          <w:lang w:val="es-NI"/>
        </w:rPr>
        <w:t xml:space="preserve"> increased by 0.19%.</w:t>
      </w:r>
    </w:p>
    <w:p w14:paraId="11DFCF63" w14:textId="77777777" w:rsidR="00184EDC" w:rsidRDefault="00184EDC" w:rsidP="00184EDC">
      <w:pPr>
        <w:pStyle w:val="FootnoteText"/>
        <w:spacing w:before="20" w:line="283" w:lineRule="auto"/>
        <w:ind w:firstLine="567"/>
        <w:jc w:val="both"/>
        <w:rPr>
          <w:sz w:val="28"/>
          <w:szCs w:val="28"/>
          <w:lang w:val="es-NI"/>
        </w:rPr>
      </w:pPr>
      <w:r w:rsidRPr="00EC2B6C">
        <w:rPr>
          <w:i/>
          <w:sz w:val="28"/>
          <w:szCs w:val="28"/>
          <w:lang w:val="es-NI"/>
        </w:rPr>
        <w:t xml:space="preserve">- </w:t>
      </w:r>
      <w:r w:rsidRPr="00387E47">
        <w:rPr>
          <w:i/>
          <w:sz w:val="28"/>
          <w:szCs w:val="28"/>
          <w:lang w:val="es-NI"/>
        </w:rPr>
        <w:t>Garments, hats, and shoes</w:t>
      </w:r>
      <w:r w:rsidRPr="00D87205">
        <w:rPr>
          <w:sz w:val="28"/>
          <w:szCs w:val="28"/>
          <w:lang w:val="es-NI"/>
        </w:rPr>
        <w:t xml:space="preserve"> increased by 0.07% due to higher prices of laundry,</w:t>
      </w:r>
      <w:r>
        <w:rPr>
          <w:sz w:val="28"/>
          <w:szCs w:val="28"/>
          <w:lang w:val="es-NI"/>
        </w:rPr>
        <w:t xml:space="preserve"> clothes rental, and shoe repair</w:t>
      </w:r>
      <w:r w:rsidRPr="00EC2B6C">
        <w:rPr>
          <w:sz w:val="28"/>
          <w:szCs w:val="28"/>
          <w:lang w:val="es-NI"/>
        </w:rPr>
        <w:t>.</w:t>
      </w:r>
    </w:p>
    <w:p w14:paraId="5223C834" w14:textId="77777777" w:rsidR="00184EDC" w:rsidRPr="00EC2B6C" w:rsidRDefault="00184EDC" w:rsidP="00184EDC">
      <w:pPr>
        <w:pStyle w:val="FootnoteText"/>
        <w:spacing w:before="20" w:line="283" w:lineRule="auto"/>
        <w:ind w:firstLine="567"/>
        <w:jc w:val="both"/>
        <w:rPr>
          <w:sz w:val="28"/>
          <w:szCs w:val="28"/>
          <w:lang w:val="nl-NL"/>
        </w:rPr>
      </w:pPr>
      <w:r w:rsidRPr="0015743F">
        <w:rPr>
          <w:i/>
          <w:sz w:val="28"/>
          <w:szCs w:val="28"/>
          <w:lang w:val="nl-NL"/>
        </w:rPr>
        <w:t>-</w:t>
      </w:r>
      <w:r w:rsidRPr="00D87205">
        <w:rPr>
          <w:sz w:val="28"/>
          <w:szCs w:val="28"/>
          <w:lang w:val="nl-NL"/>
        </w:rPr>
        <w:t xml:space="preserve"> </w:t>
      </w:r>
      <w:r w:rsidRPr="00387E47">
        <w:rPr>
          <w:i/>
          <w:sz w:val="28"/>
          <w:szCs w:val="28"/>
          <w:lang w:val="nl-NL"/>
        </w:rPr>
        <w:t>Medicine and medical service group</w:t>
      </w:r>
      <w:r w:rsidRPr="00D87205">
        <w:rPr>
          <w:sz w:val="28"/>
          <w:szCs w:val="28"/>
          <w:lang w:val="nl-NL"/>
        </w:rPr>
        <w:t xml:space="preserve"> increased by 0.03%.</w:t>
      </w:r>
    </w:p>
    <w:p w14:paraId="169DDDC4" w14:textId="77777777" w:rsidR="0020168B" w:rsidRPr="00EC2B6C" w:rsidRDefault="0020168B" w:rsidP="0020168B">
      <w:pPr>
        <w:pStyle w:val="FootnoteText"/>
        <w:spacing w:before="20" w:line="283" w:lineRule="auto"/>
        <w:ind w:firstLine="567"/>
        <w:jc w:val="both"/>
        <w:rPr>
          <w:sz w:val="28"/>
          <w:szCs w:val="28"/>
          <w:lang w:val="nl-NL"/>
        </w:rPr>
      </w:pPr>
      <w:r w:rsidRPr="0015743F">
        <w:rPr>
          <w:i/>
          <w:sz w:val="28"/>
          <w:szCs w:val="28"/>
          <w:lang w:val="nl-NL"/>
        </w:rPr>
        <w:lastRenderedPageBreak/>
        <w:t>-</w:t>
      </w:r>
      <w:r w:rsidRPr="00D87205">
        <w:rPr>
          <w:sz w:val="28"/>
          <w:szCs w:val="28"/>
          <w:lang w:val="nl-NL"/>
        </w:rPr>
        <w:t xml:space="preserve"> </w:t>
      </w:r>
      <w:r w:rsidRPr="00387E47">
        <w:rPr>
          <w:i/>
          <w:sz w:val="28"/>
          <w:szCs w:val="28"/>
          <w:lang w:val="en-US"/>
        </w:rPr>
        <w:t>Other goods and services</w:t>
      </w:r>
      <w:r w:rsidRPr="00D87205">
        <w:rPr>
          <w:sz w:val="28"/>
          <w:szCs w:val="28"/>
          <w:lang w:val="nl-NL"/>
        </w:rPr>
        <w:t xml:space="preserve"> increased by 0.22% because the price of jewelry group increased by 2.6% according to the domestic gold price; hair cutting and shampooing services increased by 0.2%; wedding services increased by 0.35%; </w:t>
      </w:r>
      <w:r>
        <w:rPr>
          <w:sz w:val="28"/>
          <w:szCs w:val="28"/>
          <w:lang w:val="nl-NL"/>
        </w:rPr>
        <w:t>t</w:t>
      </w:r>
      <w:r w:rsidRPr="00D87205">
        <w:rPr>
          <w:sz w:val="28"/>
          <w:szCs w:val="28"/>
          <w:lang w:val="nl-NL"/>
        </w:rPr>
        <w:t>he demand for worship items on the occasion of the full moon in January increased, so the prices of these items increased by 0.24%.</w:t>
      </w:r>
    </w:p>
    <w:p w14:paraId="6D213499" w14:textId="458215ED" w:rsidR="00E81E8E" w:rsidRPr="00EC2B6C" w:rsidRDefault="00E81E8E" w:rsidP="00EC2B6C">
      <w:pPr>
        <w:pStyle w:val="FootnoteText"/>
        <w:spacing w:before="20" w:line="283" w:lineRule="auto"/>
        <w:ind w:firstLine="567"/>
        <w:jc w:val="both"/>
        <w:rPr>
          <w:sz w:val="28"/>
          <w:szCs w:val="28"/>
        </w:rPr>
      </w:pPr>
      <w:r w:rsidRPr="00EC2B6C">
        <w:rPr>
          <w:sz w:val="28"/>
          <w:szCs w:val="28"/>
          <w:lang w:val="es-NI"/>
        </w:rPr>
        <w:t xml:space="preserve"> (2) </w:t>
      </w:r>
      <w:r w:rsidR="00646D63" w:rsidRPr="00D87205">
        <w:rPr>
          <w:sz w:val="28"/>
          <w:szCs w:val="28"/>
          <w:lang w:val="en-US"/>
        </w:rPr>
        <w:t xml:space="preserve">The group of goods and services with a decrease in price index are: </w:t>
      </w:r>
      <w:r w:rsidR="00646D63" w:rsidRPr="00387E47">
        <w:rPr>
          <w:i/>
          <w:sz w:val="28"/>
          <w:szCs w:val="28"/>
          <w:lang w:val="es-NI"/>
        </w:rPr>
        <w:t>Postal services and telecommunications</w:t>
      </w:r>
      <w:r w:rsidR="00646D63" w:rsidRPr="00D87205">
        <w:rPr>
          <w:sz w:val="28"/>
          <w:szCs w:val="28"/>
          <w:lang w:val="en-US"/>
        </w:rPr>
        <w:t xml:space="preserve"> decreased by 0.04%.</w:t>
      </w:r>
    </w:p>
    <w:p w14:paraId="2DEBC0B4" w14:textId="311488B7" w:rsidR="00E81E8E" w:rsidRPr="00EC2B6C" w:rsidRDefault="008C213C" w:rsidP="00EC2B6C">
      <w:pPr>
        <w:pStyle w:val="FootnoteText"/>
        <w:spacing w:before="20" w:line="283" w:lineRule="auto"/>
        <w:ind w:firstLine="567"/>
        <w:jc w:val="both"/>
        <w:rPr>
          <w:rStyle w:val="normalchar"/>
          <w:sz w:val="28"/>
          <w:szCs w:val="28"/>
          <w:lang w:val="nl-NL"/>
        </w:rPr>
      </w:pPr>
      <w:r w:rsidRPr="008C213C">
        <w:rPr>
          <w:rStyle w:val="normalchar"/>
          <w:sz w:val="28"/>
          <w:szCs w:val="28"/>
          <w:lang w:val="nl-NL"/>
        </w:rPr>
        <w:t>Core inflation</w:t>
      </w:r>
      <w:r w:rsidR="00E81E8E" w:rsidRPr="00EC2B6C">
        <w:rPr>
          <w:rStyle w:val="FootnoteReference"/>
          <w:sz w:val="28"/>
          <w:szCs w:val="28"/>
          <w:lang w:val="nl-NL"/>
        </w:rPr>
        <w:footnoteReference w:id="17"/>
      </w:r>
      <w:r w:rsidR="00E81E8E" w:rsidRPr="00EC2B6C">
        <w:rPr>
          <w:rStyle w:val="normalchar"/>
          <w:sz w:val="28"/>
          <w:szCs w:val="28"/>
          <w:lang w:val="nl-NL"/>
        </w:rPr>
        <w:t xml:space="preserve"> </w:t>
      </w:r>
      <w:r w:rsidR="009E13B7" w:rsidRPr="009E13B7">
        <w:rPr>
          <w:rStyle w:val="normalchar"/>
          <w:sz w:val="28"/>
          <w:szCs w:val="28"/>
          <w:lang w:val="nl-NL"/>
        </w:rPr>
        <w:t>in February 2022 increased by 0.49% over the previous month, by 0.68% over the same period last year. The average core inflation in the first two months of this year increased by 0.67% over the same period in 2021.</w:t>
      </w:r>
    </w:p>
    <w:p w14:paraId="38BA2149" w14:textId="77777777" w:rsidR="00224923" w:rsidRPr="00EC2B6C" w:rsidRDefault="00224923" w:rsidP="00224923">
      <w:pPr>
        <w:pStyle w:val="FootnoteText"/>
        <w:spacing w:before="40" w:after="40" w:line="283" w:lineRule="auto"/>
        <w:ind w:firstLine="567"/>
        <w:jc w:val="both"/>
        <w:rPr>
          <w:sz w:val="28"/>
          <w:szCs w:val="28"/>
          <w:lang w:val="es-NI"/>
        </w:rPr>
      </w:pPr>
      <w:r w:rsidRPr="00D87205">
        <w:rPr>
          <w:sz w:val="28"/>
          <w:szCs w:val="28"/>
          <w:lang w:val="es-NI"/>
        </w:rPr>
        <w:t xml:space="preserve">The domestic gold price fluctuated in the same direction as the world gold price when inflation in many countries increased and </w:t>
      </w:r>
      <w:r>
        <w:rPr>
          <w:sz w:val="28"/>
          <w:szCs w:val="28"/>
          <w:lang w:val="es-NI"/>
        </w:rPr>
        <w:t>was</w:t>
      </w:r>
      <w:r w:rsidRPr="00D87205">
        <w:rPr>
          <w:sz w:val="28"/>
          <w:szCs w:val="28"/>
          <w:lang w:val="es-NI"/>
        </w:rPr>
        <w:t xml:space="preserve"> concerned about the impact of the war between Russia and Ukraine. The average world gold price as of February 24</w:t>
      </w:r>
      <w:r w:rsidRPr="00C37120">
        <w:rPr>
          <w:sz w:val="28"/>
          <w:szCs w:val="28"/>
          <w:vertAlign w:val="superscript"/>
          <w:lang w:val="es-NI"/>
        </w:rPr>
        <w:t>th</w:t>
      </w:r>
      <w:r w:rsidRPr="00D87205">
        <w:rPr>
          <w:sz w:val="28"/>
          <w:szCs w:val="28"/>
          <w:lang w:val="es-NI"/>
        </w:rPr>
        <w:t>, 2022 increased by 2.4% compared to January 2022. Domestically, the demand for gold shopping on the Day of God of Wealth and Valentine's Day on February 14</w:t>
      </w:r>
      <w:r w:rsidRPr="00C37120">
        <w:rPr>
          <w:sz w:val="28"/>
          <w:szCs w:val="28"/>
          <w:vertAlign w:val="superscript"/>
          <w:lang w:val="es-NI"/>
        </w:rPr>
        <w:t>th</w:t>
      </w:r>
      <w:r w:rsidRPr="00D87205">
        <w:rPr>
          <w:sz w:val="28"/>
          <w:szCs w:val="28"/>
          <w:lang w:val="es-NI"/>
        </w:rPr>
        <w:t xml:space="preserve"> made the gold price index in February 2022 increase by 1.85% compared to the previous month; </w:t>
      </w:r>
      <w:r w:rsidRPr="00387E47">
        <w:rPr>
          <w:spacing w:val="-4"/>
          <w:sz w:val="28"/>
          <w:szCs w:val="28"/>
          <w:lang w:val="es-NI"/>
        </w:rPr>
        <w:t xml:space="preserve">increased by </w:t>
      </w:r>
      <w:r w:rsidRPr="00D87205">
        <w:rPr>
          <w:sz w:val="28"/>
          <w:szCs w:val="28"/>
          <w:lang w:val="es-NI"/>
        </w:rPr>
        <w:t xml:space="preserve">2.95% compared to December 2021; </w:t>
      </w:r>
      <w:r w:rsidRPr="00387E47">
        <w:rPr>
          <w:spacing w:val="-4"/>
          <w:sz w:val="28"/>
          <w:szCs w:val="28"/>
          <w:lang w:val="es-NI"/>
        </w:rPr>
        <w:t xml:space="preserve">increased by </w:t>
      </w:r>
      <w:r w:rsidRPr="00D87205">
        <w:rPr>
          <w:sz w:val="28"/>
          <w:szCs w:val="28"/>
          <w:lang w:val="es-NI"/>
        </w:rPr>
        <w:t>1.53% over the same period last year and an average increase of 0.72% in the first 2 months of 2022.</w:t>
      </w:r>
    </w:p>
    <w:p w14:paraId="7981397A" w14:textId="77777777" w:rsidR="008D1C16" w:rsidRPr="00EC2B6C" w:rsidRDefault="008D1C16" w:rsidP="008D1C16">
      <w:pPr>
        <w:pStyle w:val="FootnoteText"/>
        <w:spacing w:before="40" w:after="40" w:line="283" w:lineRule="auto"/>
        <w:ind w:firstLine="567"/>
        <w:jc w:val="both"/>
        <w:rPr>
          <w:sz w:val="28"/>
          <w:szCs w:val="28"/>
          <w:lang w:val="es-NI"/>
        </w:rPr>
      </w:pPr>
      <w:r w:rsidRPr="00D87205">
        <w:rPr>
          <w:sz w:val="28"/>
          <w:szCs w:val="28"/>
          <w:lang w:val="es-NI"/>
        </w:rPr>
        <w:t xml:space="preserve">The US dollar in the world market </w:t>
      </w:r>
      <w:r>
        <w:rPr>
          <w:sz w:val="28"/>
          <w:szCs w:val="28"/>
          <w:lang w:val="es-NI"/>
        </w:rPr>
        <w:t>wa</w:t>
      </w:r>
      <w:r w:rsidRPr="00D87205">
        <w:rPr>
          <w:sz w:val="28"/>
          <w:szCs w:val="28"/>
          <w:lang w:val="es-NI"/>
        </w:rPr>
        <w:t>s quite stable. Domestically, due to the guaranteed supply, the US dollar price index in February 2022 decreased by 0.28% compared to the previous month; down 0.59% compared to December 2021; down 0.84% ​​over the same period last year and the average in the first 2 months of 2022 decreased by 0.79%.</w:t>
      </w:r>
    </w:p>
    <w:p w14:paraId="7243F8EB" w14:textId="781478B4" w:rsidR="00F71440" w:rsidRPr="00CB5730" w:rsidRDefault="00F71440" w:rsidP="00F71440">
      <w:pPr>
        <w:pStyle w:val="ListParagraph"/>
        <w:tabs>
          <w:tab w:val="left" w:pos="567"/>
        </w:tabs>
        <w:spacing w:before="40" w:after="40" w:line="283" w:lineRule="auto"/>
        <w:ind w:left="0" w:right="119" w:firstLine="567"/>
        <w:contextualSpacing w:val="0"/>
        <w:jc w:val="both"/>
        <w:rPr>
          <w:b/>
          <w:bCs/>
          <w:i/>
          <w:iCs/>
          <w:lang w:val="fr-FR"/>
        </w:rPr>
      </w:pPr>
      <w:r w:rsidRPr="00CB5730">
        <w:rPr>
          <w:b/>
          <w:bCs/>
          <w:i/>
          <w:iCs/>
          <w:lang w:val="fr-FR"/>
        </w:rPr>
        <w:t xml:space="preserve">d) </w:t>
      </w:r>
      <w:r w:rsidR="007875A8">
        <w:rPr>
          <w:b/>
          <w:bCs/>
          <w:i/>
          <w:iCs/>
        </w:rPr>
        <w:t>Transport</w:t>
      </w:r>
    </w:p>
    <w:p w14:paraId="37E71372" w14:textId="77777777" w:rsidR="00AA0BEB" w:rsidRDefault="00AA0BEB" w:rsidP="00F71440">
      <w:pPr>
        <w:spacing w:before="40" w:after="40" w:line="259" w:lineRule="auto"/>
        <w:ind w:right="119" w:firstLine="567"/>
        <w:jc w:val="both"/>
        <w:rPr>
          <w:rStyle w:val="Emphasis"/>
          <w:color w:val="0E101A"/>
        </w:rPr>
      </w:pPr>
      <w:r>
        <w:rPr>
          <w:rStyle w:val="Emphasis"/>
          <w:color w:val="0E101A"/>
        </w:rPr>
        <w:t>Passenger transport in February increased month-on-month as people's travel demand increased during the Lunar New Year, but freight transport decreased because the transportation of goods for the Tet holiday took place in January. Compared to the same period last year, passenger transport decreased by 13.1% in passengers carried, decreased by 18.8% in passengers traffic, and cargo transport increased by 14.3% in freight carried, increased by 18.6% in freight traffic. </w:t>
      </w:r>
    </w:p>
    <w:p w14:paraId="59D9E82A" w14:textId="77777777" w:rsidR="009A6EA3" w:rsidRPr="00387E47" w:rsidRDefault="009A6EA3" w:rsidP="009A6EA3">
      <w:pPr>
        <w:spacing w:before="120" w:after="120" w:line="264" w:lineRule="auto"/>
        <w:ind w:firstLine="720"/>
        <w:jc w:val="both"/>
        <w:rPr>
          <w:i/>
          <w:iCs/>
          <w:lang w:val="en-GB"/>
        </w:rPr>
      </w:pPr>
      <w:r w:rsidRPr="00387E47">
        <w:rPr>
          <w:i/>
          <w:iCs/>
        </w:rPr>
        <w:lastRenderedPageBreak/>
        <w:t xml:space="preserve">Generally, </w:t>
      </w:r>
      <w:r>
        <w:rPr>
          <w:rStyle w:val="Emphasis"/>
          <w:color w:val="0E101A"/>
        </w:rPr>
        <w:t>in the first 2 months of</w:t>
      </w:r>
      <w:r w:rsidRPr="00387E47">
        <w:rPr>
          <w:i/>
          <w:iCs/>
        </w:rPr>
        <w:t xml:space="preserve"> 202</w:t>
      </w:r>
      <w:r>
        <w:rPr>
          <w:i/>
          <w:iCs/>
        </w:rPr>
        <w:t>2</w:t>
      </w:r>
      <w:r w:rsidRPr="00387E47">
        <w:rPr>
          <w:i/>
          <w:iCs/>
        </w:rPr>
        <w:t xml:space="preserve">, passenger carried decreased by </w:t>
      </w:r>
      <w:r>
        <w:rPr>
          <w:i/>
          <w:iCs/>
        </w:rPr>
        <w:t>21.8</w:t>
      </w:r>
      <w:r w:rsidRPr="00387E47">
        <w:rPr>
          <w:i/>
          <w:iCs/>
        </w:rPr>
        <w:t xml:space="preserve">% compared to the same period last year, passenger traffic decreased by </w:t>
      </w:r>
      <w:r>
        <w:rPr>
          <w:i/>
          <w:iCs/>
        </w:rPr>
        <w:t>27.2</w:t>
      </w:r>
      <w:r w:rsidRPr="00387E47">
        <w:rPr>
          <w:i/>
          <w:iCs/>
        </w:rPr>
        <w:t xml:space="preserve">%, freight carried </w:t>
      </w:r>
      <w:r>
        <w:rPr>
          <w:i/>
          <w:iCs/>
        </w:rPr>
        <w:t>in</w:t>
      </w:r>
      <w:r w:rsidRPr="00387E47">
        <w:rPr>
          <w:i/>
          <w:iCs/>
        </w:rPr>
        <w:t xml:space="preserve">creased by </w:t>
      </w:r>
      <w:r>
        <w:rPr>
          <w:i/>
          <w:iCs/>
        </w:rPr>
        <w:t>6.9</w:t>
      </w:r>
      <w:r w:rsidRPr="00387E47">
        <w:rPr>
          <w:i/>
          <w:iCs/>
        </w:rPr>
        <w:t xml:space="preserve">%, and freight traffic </w:t>
      </w:r>
      <w:r>
        <w:rPr>
          <w:i/>
          <w:iCs/>
        </w:rPr>
        <w:t>in</w:t>
      </w:r>
      <w:r w:rsidRPr="00387E47">
        <w:rPr>
          <w:i/>
          <w:iCs/>
        </w:rPr>
        <w:t xml:space="preserve">creased by </w:t>
      </w:r>
      <w:r>
        <w:rPr>
          <w:i/>
          <w:iCs/>
        </w:rPr>
        <w:t>9.9</w:t>
      </w:r>
      <w:r w:rsidRPr="00387E47">
        <w:rPr>
          <w:i/>
          <w:iCs/>
        </w:rPr>
        <w:t>%.</w:t>
      </w:r>
    </w:p>
    <w:p w14:paraId="5B953E8A" w14:textId="77777777" w:rsidR="00444888" w:rsidRPr="00387E47" w:rsidRDefault="00444888" w:rsidP="00444888">
      <w:pPr>
        <w:spacing w:before="120" w:after="120" w:line="264" w:lineRule="auto"/>
        <w:ind w:firstLine="720"/>
        <w:jc w:val="both"/>
        <w:rPr>
          <w:spacing w:val="-2"/>
          <w:lang w:val="fr-FR"/>
        </w:rPr>
      </w:pPr>
      <w:bookmarkStart w:id="3" w:name="_Hlk86823183"/>
      <w:r w:rsidRPr="00387E47">
        <w:rPr>
          <w:i/>
          <w:iCs/>
          <w:spacing w:val="-2"/>
          <w:lang w:val="fr-FR"/>
        </w:rPr>
        <w:t>Passengers</w:t>
      </w:r>
      <w:r>
        <w:rPr>
          <w:i/>
          <w:iCs/>
          <w:spacing w:val="-2"/>
          <w:lang w:val="fr-FR"/>
        </w:rPr>
        <w:t xml:space="preserve"> </w:t>
      </w:r>
      <w:r w:rsidRPr="00387E47">
        <w:rPr>
          <w:i/>
          <w:iCs/>
          <w:spacing w:val="-2"/>
          <w:lang w:val="fr-FR"/>
        </w:rPr>
        <w:t>carried</w:t>
      </w:r>
      <w:r w:rsidRPr="00387E47">
        <w:rPr>
          <w:spacing w:val="-2"/>
          <w:lang w:val="fr-FR"/>
        </w:rPr>
        <w:t xml:space="preserve"> in </w:t>
      </w:r>
      <w:r>
        <w:rPr>
          <w:lang w:val="pt-BR"/>
        </w:rPr>
        <w:t xml:space="preserve">February </w:t>
      </w:r>
      <w:r w:rsidRPr="00387E47">
        <w:rPr>
          <w:spacing w:val="-2"/>
          <w:lang w:val="fr-FR"/>
        </w:rPr>
        <w:t>202</w:t>
      </w:r>
      <w:r>
        <w:rPr>
          <w:spacing w:val="-2"/>
          <w:lang w:val="fr-FR"/>
        </w:rPr>
        <w:t>2</w:t>
      </w:r>
      <w:r w:rsidRPr="00387E47">
        <w:rPr>
          <w:spacing w:val="-2"/>
          <w:lang w:val="fr-FR"/>
        </w:rPr>
        <w:t xml:space="preserve"> were</w:t>
      </w:r>
      <w:r>
        <w:rPr>
          <w:spacing w:val="-2"/>
          <w:lang w:val="fr-FR"/>
        </w:rPr>
        <w:t xml:space="preserve"> </w:t>
      </w:r>
      <w:r w:rsidRPr="00387E47">
        <w:rPr>
          <w:spacing w:val="-2"/>
          <w:lang w:val="fr-FR"/>
        </w:rPr>
        <w:t xml:space="preserve">estimated at </w:t>
      </w:r>
      <w:r>
        <w:rPr>
          <w:spacing w:val="-2"/>
          <w:lang w:val="fr-FR"/>
        </w:rPr>
        <w:t>285.7</w:t>
      </w:r>
      <w:r w:rsidRPr="00387E47">
        <w:rPr>
          <w:spacing w:val="-2"/>
          <w:lang w:val="fr-FR"/>
        </w:rPr>
        <w:t xml:space="preserve"> million</w:t>
      </w:r>
      <w:r>
        <w:rPr>
          <w:spacing w:val="-2"/>
          <w:lang w:val="fr-FR"/>
        </w:rPr>
        <w:t xml:space="preserve"> </w:t>
      </w:r>
      <w:r w:rsidRPr="00387E47">
        <w:rPr>
          <w:spacing w:val="-2"/>
          <w:lang w:val="fr-FR"/>
        </w:rPr>
        <w:t xml:space="preserve">persons, increased by </w:t>
      </w:r>
      <w:r>
        <w:rPr>
          <w:spacing w:val="-2"/>
          <w:lang w:val="fr-FR"/>
        </w:rPr>
        <w:t>13.1</w:t>
      </w:r>
      <w:r w:rsidRPr="00387E47">
        <w:rPr>
          <w:spacing w:val="-2"/>
          <w:lang w:val="fr-FR"/>
        </w:rPr>
        <w:t xml:space="preserve">% compared to the </w:t>
      </w:r>
      <w:r w:rsidRPr="00387E47">
        <w:rPr>
          <w:lang w:val="pt-BR"/>
        </w:rPr>
        <w:t>previous month</w:t>
      </w:r>
      <w:r w:rsidRPr="00387E47">
        <w:rPr>
          <w:spacing w:val="-2"/>
          <w:lang w:val="fr-FR"/>
        </w:rPr>
        <w:t>, and passenger</w:t>
      </w:r>
      <w:r>
        <w:rPr>
          <w:spacing w:val="-2"/>
          <w:lang w:val="fr-FR"/>
        </w:rPr>
        <w:t xml:space="preserve"> </w:t>
      </w:r>
      <w:r w:rsidRPr="00387E47">
        <w:rPr>
          <w:spacing w:val="-2"/>
          <w:lang w:val="fr-FR"/>
        </w:rPr>
        <w:t>traffic</w:t>
      </w:r>
      <w:r>
        <w:rPr>
          <w:spacing w:val="-2"/>
          <w:lang w:val="fr-FR"/>
        </w:rPr>
        <w:t xml:space="preserve"> </w:t>
      </w:r>
      <w:r w:rsidRPr="00387E47">
        <w:rPr>
          <w:spacing w:val="-2"/>
          <w:lang w:val="fr-FR"/>
        </w:rPr>
        <w:t xml:space="preserve">was </w:t>
      </w:r>
      <w:r>
        <w:rPr>
          <w:spacing w:val="-2"/>
          <w:lang w:val="fr-FR"/>
        </w:rPr>
        <w:t>11.1</w:t>
      </w:r>
      <w:r w:rsidRPr="00387E47">
        <w:rPr>
          <w:spacing w:val="-2"/>
          <w:lang w:val="fr-FR"/>
        </w:rPr>
        <w:t xml:space="preserve"> billion passengers-km, increased by </w:t>
      </w:r>
      <w:r>
        <w:rPr>
          <w:spacing w:val="-2"/>
        </w:rPr>
        <w:t>10</w:t>
      </w:r>
      <w:r w:rsidRPr="00387E47">
        <w:rPr>
          <w:spacing w:val="-2"/>
          <w:lang w:val="fr-FR"/>
        </w:rPr>
        <w:t>%. Generally, in</w:t>
      </w:r>
      <w:r>
        <w:rPr>
          <w:spacing w:val="-2"/>
          <w:lang w:val="fr-FR"/>
        </w:rPr>
        <w:t xml:space="preserve"> the first</w:t>
      </w:r>
      <w:r w:rsidRPr="00387E47">
        <w:rPr>
          <w:spacing w:val="-2"/>
          <w:lang w:val="fr-FR"/>
        </w:rPr>
        <w:t xml:space="preserve"> </w:t>
      </w:r>
      <w:r>
        <w:rPr>
          <w:spacing w:val="-2"/>
          <w:lang w:val="fr-FR"/>
        </w:rPr>
        <w:t>2</w:t>
      </w:r>
      <w:r w:rsidRPr="00387E47">
        <w:rPr>
          <w:spacing w:val="-2"/>
          <w:lang w:val="fr-FR"/>
        </w:rPr>
        <w:t xml:space="preserve"> months of 202</w:t>
      </w:r>
      <w:r>
        <w:rPr>
          <w:spacing w:val="-2"/>
          <w:lang w:val="fr-FR"/>
        </w:rPr>
        <w:t>2</w:t>
      </w:r>
      <w:r w:rsidRPr="00387E47">
        <w:rPr>
          <w:spacing w:val="-2"/>
          <w:lang w:val="fr-FR"/>
        </w:rPr>
        <w:t>, passenger</w:t>
      </w:r>
      <w:r>
        <w:rPr>
          <w:spacing w:val="-2"/>
          <w:lang w:val="fr-FR"/>
        </w:rPr>
        <w:t xml:space="preserve"> </w:t>
      </w:r>
      <w:r w:rsidRPr="00387E47">
        <w:rPr>
          <w:spacing w:val="-2"/>
          <w:lang w:val="fr-FR"/>
        </w:rPr>
        <w:t>carried</w:t>
      </w:r>
      <w:r>
        <w:rPr>
          <w:spacing w:val="-2"/>
          <w:lang w:val="fr-FR"/>
        </w:rPr>
        <w:t xml:space="preserve"> </w:t>
      </w:r>
      <w:r w:rsidRPr="00387E47">
        <w:rPr>
          <w:spacing w:val="-2"/>
          <w:lang w:val="fr-FR"/>
        </w:rPr>
        <w:t xml:space="preserve">reached </w:t>
      </w:r>
      <w:r>
        <w:rPr>
          <w:spacing w:val="-2"/>
          <w:lang w:val="fr-FR"/>
        </w:rPr>
        <w:t xml:space="preserve"> 538.5</w:t>
      </w:r>
      <w:r w:rsidRPr="00387E47">
        <w:rPr>
          <w:spacing w:val="-2"/>
          <w:lang w:val="fr-FR"/>
        </w:rPr>
        <w:t xml:space="preserve"> million</w:t>
      </w:r>
      <w:r>
        <w:rPr>
          <w:spacing w:val="-2"/>
          <w:lang w:val="fr-FR"/>
        </w:rPr>
        <w:t xml:space="preserve"> passengers, a decrease of 21.8</w:t>
      </w:r>
      <w:r w:rsidRPr="00387E47">
        <w:rPr>
          <w:spacing w:val="-2"/>
          <w:lang w:val="fr-FR"/>
        </w:rPr>
        <w:t>% over the same</w:t>
      </w:r>
      <w:r>
        <w:rPr>
          <w:spacing w:val="-2"/>
          <w:lang w:val="fr-FR"/>
        </w:rPr>
        <w:t xml:space="preserve"> </w:t>
      </w:r>
      <w:r w:rsidRPr="00387E47">
        <w:rPr>
          <w:spacing w:val="-2"/>
          <w:lang w:val="fr-FR"/>
        </w:rPr>
        <w:t>period last year (the same</w:t>
      </w:r>
      <w:r>
        <w:rPr>
          <w:spacing w:val="-2"/>
          <w:lang w:val="fr-FR"/>
        </w:rPr>
        <w:t xml:space="preserve"> </w:t>
      </w:r>
      <w:r w:rsidRPr="00387E47">
        <w:rPr>
          <w:spacing w:val="-2"/>
          <w:lang w:val="fr-FR"/>
        </w:rPr>
        <w:t>period of 202</w:t>
      </w:r>
      <w:r>
        <w:rPr>
          <w:spacing w:val="-2"/>
          <w:lang w:val="fr-FR"/>
        </w:rPr>
        <w:t>1</w:t>
      </w:r>
      <w:r w:rsidRPr="00387E47">
        <w:rPr>
          <w:spacing w:val="-2"/>
          <w:lang w:val="fr-FR"/>
        </w:rPr>
        <w:t xml:space="preserve"> down </w:t>
      </w:r>
      <w:r>
        <w:rPr>
          <w:spacing w:val="-2"/>
          <w:lang w:val="fr-FR"/>
        </w:rPr>
        <w:t>21.1</w:t>
      </w:r>
      <w:r w:rsidRPr="00387E47">
        <w:rPr>
          <w:spacing w:val="-2"/>
          <w:lang w:val="fr-FR"/>
        </w:rPr>
        <w:t>%), the passenger</w:t>
      </w:r>
      <w:r>
        <w:rPr>
          <w:spacing w:val="-2"/>
          <w:lang w:val="fr-FR"/>
        </w:rPr>
        <w:t xml:space="preserve"> </w:t>
      </w:r>
      <w:r w:rsidRPr="00387E47">
        <w:rPr>
          <w:spacing w:val="-2"/>
          <w:lang w:val="fr-FR"/>
        </w:rPr>
        <w:t>traffic</w:t>
      </w:r>
      <w:r>
        <w:rPr>
          <w:spacing w:val="-2"/>
          <w:lang w:val="fr-FR"/>
        </w:rPr>
        <w:t xml:space="preserve"> </w:t>
      </w:r>
      <w:r w:rsidRPr="00387E47">
        <w:rPr>
          <w:spacing w:val="-2"/>
          <w:lang w:val="fr-FR"/>
        </w:rPr>
        <w:t xml:space="preserve">gained </w:t>
      </w:r>
      <w:r>
        <w:rPr>
          <w:spacing w:val="-2"/>
          <w:lang w:val="fr-FR"/>
        </w:rPr>
        <w:t>21.3</w:t>
      </w:r>
      <w:r w:rsidRPr="00387E47">
        <w:rPr>
          <w:spacing w:val="-2"/>
          <w:lang w:val="fr-FR"/>
        </w:rPr>
        <w:t xml:space="preserve"> billion passengers-km, down </w:t>
      </w:r>
      <w:r>
        <w:rPr>
          <w:spacing w:val="-2"/>
          <w:lang w:val="fr-FR"/>
        </w:rPr>
        <w:t>27.2</w:t>
      </w:r>
      <w:r w:rsidRPr="00387E47">
        <w:rPr>
          <w:spacing w:val="-2"/>
          <w:lang w:val="fr-FR"/>
        </w:rPr>
        <w:t>% (the same</w:t>
      </w:r>
      <w:r>
        <w:rPr>
          <w:spacing w:val="-2"/>
          <w:lang w:val="fr-FR"/>
        </w:rPr>
        <w:t xml:space="preserve"> </w:t>
      </w:r>
      <w:r w:rsidRPr="00387E47">
        <w:rPr>
          <w:spacing w:val="-2"/>
          <w:lang w:val="fr-FR"/>
        </w:rPr>
        <w:t>period of 202</w:t>
      </w:r>
      <w:r>
        <w:rPr>
          <w:spacing w:val="-2"/>
          <w:lang w:val="fr-FR"/>
        </w:rPr>
        <w:t>1</w:t>
      </w:r>
      <w:r w:rsidRPr="00387E47">
        <w:rPr>
          <w:spacing w:val="-2"/>
          <w:lang w:val="fr-FR"/>
        </w:rPr>
        <w:t xml:space="preserve"> decreased by </w:t>
      </w:r>
      <w:r>
        <w:rPr>
          <w:spacing w:val="-2"/>
          <w:lang w:val="fr-FR"/>
        </w:rPr>
        <w:t>28.8</w:t>
      </w:r>
      <w:r w:rsidRPr="00387E47">
        <w:rPr>
          <w:spacing w:val="-2"/>
          <w:lang w:val="fr-FR"/>
        </w:rPr>
        <w:t xml:space="preserve">%). </w:t>
      </w:r>
      <w:bookmarkEnd w:id="3"/>
      <w:r w:rsidRPr="00387E47">
        <w:rPr>
          <w:spacing w:val="-2"/>
          <w:lang w:val="fr-FR"/>
        </w:rPr>
        <w:t>Of which</w:t>
      </w:r>
      <w:r>
        <w:rPr>
          <w:spacing w:val="-2"/>
          <w:lang w:val="fr-FR"/>
        </w:rPr>
        <w:t xml:space="preserve">, </w:t>
      </w:r>
      <w:r w:rsidRPr="00387E47">
        <w:rPr>
          <w:spacing w:val="-2"/>
          <w:lang w:val="fr-FR"/>
        </w:rPr>
        <w:t>domestic</w:t>
      </w:r>
      <w:r>
        <w:rPr>
          <w:spacing w:val="-2"/>
          <w:lang w:val="fr-FR"/>
        </w:rPr>
        <w:t xml:space="preserve"> </w:t>
      </w:r>
      <w:r w:rsidRPr="00387E47">
        <w:rPr>
          <w:spacing w:val="-2"/>
          <w:lang w:val="fr-FR"/>
        </w:rPr>
        <w:t>passengers</w:t>
      </w:r>
      <w:r>
        <w:rPr>
          <w:spacing w:val="-2"/>
          <w:lang w:val="fr-FR"/>
        </w:rPr>
        <w:t xml:space="preserve"> </w:t>
      </w:r>
      <w:r w:rsidRPr="00387E47">
        <w:rPr>
          <w:spacing w:val="-2"/>
          <w:lang w:val="fr-FR"/>
        </w:rPr>
        <w:t>carriage</w:t>
      </w:r>
      <w:r>
        <w:rPr>
          <w:spacing w:val="-2"/>
          <w:lang w:val="fr-FR"/>
        </w:rPr>
        <w:t xml:space="preserve"> </w:t>
      </w:r>
      <w:r w:rsidRPr="00387E47">
        <w:rPr>
          <w:spacing w:val="-2"/>
          <w:lang w:val="fr-FR"/>
        </w:rPr>
        <w:t>gained</w:t>
      </w:r>
      <w:r>
        <w:rPr>
          <w:spacing w:val="-2"/>
          <w:lang w:val="fr-FR"/>
        </w:rPr>
        <w:t xml:space="preserve"> nearly 538.5</w:t>
      </w:r>
      <w:r w:rsidRPr="00387E47">
        <w:rPr>
          <w:spacing w:val="-2"/>
          <w:lang w:val="fr-FR"/>
        </w:rPr>
        <w:t xml:space="preserve"> million passengers, down </w:t>
      </w:r>
      <w:r>
        <w:rPr>
          <w:spacing w:val="-2"/>
          <w:lang w:val="fr-FR"/>
        </w:rPr>
        <w:t>21.8</w:t>
      </w:r>
      <w:r w:rsidRPr="00387E47">
        <w:rPr>
          <w:spacing w:val="-2"/>
          <w:lang w:val="fr-FR"/>
        </w:rPr>
        <w:t xml:space="preserve">% and </w:t>
      </w:r>
      <w:r>
        <w:rPr>
          <w:spacing w:val="-2"/>
          <w:lang w:val="fr-FR"/>
        </w:rPr>
        <w:t>21.3</w:t>
      </w:r>
      <w:r w:rsidRPr="00387E47">
        <w:rPr>
          <w:spacing w:val="-2"/>
          <w:lang w:val="fr-FR"/>
        </w:rPr>
        <w:t xml:space="preserve"> billion passengers-km, down </w:t>
      </w:r>
      <w:r>
        <w:rPr>
          <w:spacing w:val="-2"/>
          <w:lang w:val="fr-FR"/>
        </w:rPr>
        <w:t>26.6</w:t>
      </w:r>
      <w:r w:rsidRPr="00387E47">
        <w:rPr>
          <w:spacing w:val="-2"/>
          <w:lang w:val="fr-FR"/>
        </w:rPr>
        <w:t>%;</w:t>
      </w:r>
      <w:r>
        <w:rPr>
          <w:spacing w:val="-2"/>
          <w:lang w:val="fr-FR"/>
        </w:rPr>
        <w:t xml:space="preserve"> </w:t>
      </w:r>
      <w:r w:rsidRPr="00387E47">
        <w:rPr>
          <w:spacing w:val="-2"/>
          <w:lang w:val="fr-FR"/>
        </w:rPr>
        <w:t>overseas</w:t>
      </w:r>
      <w:r>
        <w:rPr>
          <w:spacing w:val="-2"/>
          <w:lang w:val="fr-FR"/>
        </w:rPr>
        <w:t xml:space="preserve"> </w:t>
      </w:r>
      <w:r w:rsidRPr="00387E47">
        <w:rPr>
          <w:spacing w:val="-2"/>
          <w:lang w:val="fr-FR"/>
        </w:rPr>
        <w:t>passengers</w:t>
      </w:r>
      <w:r>
        <w:rPr>
          <w:spacing w:val="-2"/>
          <w:lang w:val="fr-FR"/>
        </w:rPr>
        <w:t xml:space="preserve"> </w:t>
      </w:r>
      <w:r w:rsidRPr="00387E47">
        <w:rPr>
          <w:spacing w:val="-2"/>
          <w:lang w:val="fr-FR"/>
        </w:rPr>
        <w:t>carriage</w:t>
      </w:r>
      <w:r>
        <w:rPr>
          <w:spacing w:val="-2"/>
          <w:lang w:val="fr-FR"/>
        </w:rPr>
        <w:t xml:space="preserve"> </w:t>
      </w:r>
      <w:r w:rsidRPr="00387E47">
        <w:rPr>
          <w:spacing w:val="-2"/>
          <w:lang w:val="fr-FR"/>
        </w:rPr>
        <w:t xml:space="preserve">achieved </w:t>
      </w:r>
      <w:r>
        <w:rPr>
          <w:spacing w:val="-2"/>
          <w:lang w:val="fr-FR"/>
        </w:rPr>
        <w:t>11.6</w:t>
      </w:r>
      <w:r w:rsidRPr="00387E47">
        <w:rPr>
          <w:spacing w:val="-2"/>
          <w:lang w:val="fr-FR"/>
        </w:rPr>
        <w:t xml:space="preserve"> thousand</w:t>
      </w:r>
      <w:r>
        <w:rPr>
          <w:spacing w:val="-2"/>
          <w:lang w:val="fr-FR"/>
        </w:rPr>
        <w:t xml:space="preserve"> </w:t>
      </w:r>
      <w:r w:rsidRPr="00387E47">
        <w:rPr>
          <w:spacing w:val="-2"/>
          <w:lang w:val="fr-FR"/>
        </w:rPr>
        <w:t xml:space="preserve">passengers, decreasing by </w:t>
      </w:r>
      <w:r>
        <w:rPr>
          <w:spacing w:val="-2"/>
          <w:lang w:val="fr-FR"/>
        </w:rPr>
        <w:t>81.2</w:t>
      </w:r>
      <w:r w:rsidRPr="00387E47">
        <w:rPr>
          <w:spacing w:val="-2"/>
          <w:lang w:val="fr-FR"/>
        </w:rPr>
        <w:t xml:space="preserve">% and </w:t>
      </w:r>
      <w:r>
        <w:rPr>
          <w:spacing w:val="-2"/>
          <w:lang w:val="fr-FR"/>
        </w:rPr>
        <w:t>21.6</w:t>
      </w:r>
      <w:r w:rsidRPr="00387E47">
        <w:rPr>
          <w:spacing w:val="-2"/>
          <w:lang w:val="fr-FR"/>
        </w:rPr>
        <w:t xml:space="preserve"> million passengers-km, went down by 9</w:t>
      </w:r>
      <w:r>
        <w:rPr>
          <w:spacing w:val="-2"/>
          <w:lang w:val="fr-FR"/>
        </w:rPr>
        <w:t>1.9</w:t>
      </w:r>
      <w:r w:rsidRPr="00387E47">
        <w:rPr>
          <w:spacing w:val="-2"/>
          <w:lang w:val="fr-FR"/>
        </w:rPr>
        <w:t>%.</w:t>
      </w:r>
    </w:p>
    <w:p w14:paraId="5A32EF35" w14:textId="397FB860" w:rsidR="00C952FB" w:rsidRPr="008536C7" w:rsidRDefault="00C952FB" w:rsidP="008536C7">
      <w:pPr>
        <w:pStyle w:val="FootnoteText"/>
        <w:spacing w:before="40" w:after="40" w:line="283" w:lineRule="auto"/>
        <w:ind w:firstLine="567"/>
        <w:jc w:val="both"/>
        <w:rPr>
          <w:sz w:val="28"/>
          <w:szCs w:val="28"/>
          <w:lang w:val="es-NI"/>
        </w:rPr>
      </w:pPr>
      <w:r w:rsidRPr="008536C7">
        <w:rPr>
          <w:sz w:val="28"/>
          <w:szCs w:val="28"/>
          <w:lang w:val="es-NI"/>
        </w:rPr>
        <w:t>By types of transport, all types in the first 2 months of this year decreased compared to the same period last year because the number of Covid-19 cases in localities increased rapidly, so people also restricted their movement.</w:t>
      </w:r>
    </w:p>
    <w:p w14:paraId="16C654B9" w14:textId="77777777" w:rsidR="00F71440" w:rsidRPr="00E03E4D" w:rsidRDefault="00F71440" w:rsidP="00F71440">
      <w:pPr>
        <w:spacing w:before="40" w:after="40" w:line="288" w:lineRule="auto"/>
        <w:ind w:right="119"/>
        <w:jc w:val="center"/>
        <w:rPr>
          <w:rFonts w:ascii="Arial" w:hAnsi="Arial" w:cs="Arial"/>
          <w:b/>
          <w:bCs/>
          <w:sz w:val="2"/>
          <w:szCs w:val="24"/>
          <w:lang w:val="fr-FR"/>
        </w:rPr>
      </w:pPr>
    </w:p>
    <w:p w14:paraId="078D75B1" w14:textId="77777777" w:rsidR="00DF516D" w:rsidRDefault="00DF516D" w:rsidP="00DF516D">
      <w:pPr>
        <w:spacing w:before="120" w:after="120" w:line="276" w:lineRule="auto"/>
        <w:jc w:val="center"/>
        <w:rPr>
          <w:b/>
          <w:bCs/>
          <w:iCs/>
          <w:lang w:val="fr-FR"/>
        </w:rPr>
      </w:pPr>
      <w:r w:rsidRPr="00C24002">
        <w:rPr>
          <w:b/>
          <w:bCs/>
          <w:iCs/>
          <w:lang w:val="fr-FR"/>
        </w:rPr>
        <w:t xml:space="preserve">Table 6. Carriage of passengers in </w:t>
      </w:r>
      <w:r w:rsidRPr="00C24002">
        <w:rPr>
          <w:b/>
          <w:bCs/>
          <w:lang w:val="fr-FR"/>
        </w:rPr>
        <w:t>the first 2 months of</w:t>
      </w:r>
      <w:r w:rsidRPr="00C24002">
        <w:rPr>
          <w:b/>
          <w:bCs/>
          <w:iCs/>
          <w:lang w:val="fr-FR"/>
        </w:rPr>
        <w:t xml:space="preserve"> 2022</w:t>
      </w:r>
    </w:p>
    <w:p w14:paraId="58E8BB60" w14:textId="77777777" w:rsidR="00DF516D" w:rsidRPr="00C24002" w:rsidRDefault="00DF516D" w:rsidP="00DF516D">
      <w:pPr>
        <w:spacing w:before="120" w:after="120" w:line="276" w:lineRule="auto"/>
        <w:jc w:val="center"/>
        <w:rPr>
          <w:b/>
          <w:bCs/>
          <w:iCs/>
          <w:lang w:val="fr-FR"/>
        </w:rPr>
      </w:pPr>
      <w:r w:rsidRPr="00C24002">
        <w:rPr>
          <w:b/>
          <w:bCs/>
          <w:iCs/>
          <w:lang w:val="fr-FR"/>
        </w:rPr>
        <w:t>by types of transport</w:t>
      </w:r>
    </w:p>
    <w:p w14:paraId="65F8D564" w14:textId="448398E6" w:rsidR="00DF516D" w:rsidRPr="00C24002" w:rsidRDefault="00DF516D" w:rsidP="00DF516D">
      <w:pPr>
        <w:spacing w:before="120" w:after="120" w:line="276" w:lineRule="auto"/>
        <w:jc w:val="center"/>
        <w:rPr>
          <w:b/>
          <w:bCs/>
          <w:iCs/>
          <w:lang w:val="fr-FR"/>
        </w:rPr>
      </w:pPr>
      <w:r w:rsidRPr="00C24002">
        <w:rPr>
          <w:b/>
          <w:bCs/>
          <w:iCs/>
          <w:lang w:val="fr-FR"/>
        </w:rPr>
        <w:t xml:space="preserve"> </w:t>
      </w:r>
    </w:p>
    <w:p w14:paraId="75438818" w14:textId="77777777" w:rsidR="00F71440" w:rsidRPr="0011680F" w:rsidRDefault="00F71440" w:rsidP="00F71440">
      <w:pPr>
        <w:spacing w:before="120" w:after="120" w:line="293" w:lineRule="auto"/>
        <w:jc w:val="center"/>
        <w:rPr>
          <w:rFonts w:ascii="Arial" w:hAnsi="Arial" w:cs="Arial"/>
          <w:b/>
          <w:bCs/>
          <w:sz w:val="2"/>
          <w:szCs w:val="24"/>
          <w:lang w:val="fr-FR"/>
        </w:rPr>
      </w:pPr>
    </w:p>
    <w:tbl>
      <w:tblPr>
        <w:tblW w:w="9219" w:type="dxa"/>
        <w:jc w:val="right"/>
        <w:tblLook w:val="04A0" w:firstRow="1" w:lastRow="0" w:firstColumn="1" w:lastColumn="0" w:noHBand="0" w:noVBand="1"/>
      </w:tblPr>
      <w:tblGrid>
        <w:gridCol w:w="2063"/>
        <w:gridCol w:w="1951"/>
        <w:gridCol w:w="2110"/>
        <w:gridCol w:w="272"/>
        <w:gridCol w:w="1531"/>
        <w:gridCol w:w="1292"/>
      </w:tblGrid>
      <w:tr w:rsidR="00A004EC" w:rsidRPr="00387E47" w14:paraId="53D6C29E" w14:textId="77777777" w:rsidTr="008E0A94">
        <w:trPr>
          <w:trHeight w:val="418"/>
          <w:jc w:val="right"/>
        </w:trPr>
        <w:tc>
          <w:tcPr>
            <w:tcW w:w="2063" w:type="dxa"/>
            <w:tcBorders>
              <w:top w:val="single" w:sz="4" w:space="0" w:color="auto"/>
              <w:left w:val="nil"/>
              <w:bottom w:val="nil"/>
              <w:right w:val="nil"/>
            </w:tcBorders>
            <w:vAlign w:val="center"/>
            <w:hideMark/>
          </w:tcPr>
          <w:p w14:paraId="3614C588" w14:textId="77777777" w:rsidR="00A004EC" w:rsidRPr="00387E47" w:rsidRDefault="00A004EC" w:rsidP="008E0A94">
            <w:pPr>
              <w:spacing w:before="40" w:after="40" w:line="276" w:lineRule="auto"/>
              <w:rPr>
                <w:sz w:val="20"/>
                <w:szCs w:val="20"/>
                <w:lang w:val="en-GB" w:eastAsia="vi-VN"/>
              </w:rPr>
            </w:pPr>
            <w:r w:rsidRPr="00387E47">
              <w:rPr>
                <w:sz w:val="20"/>
                <w:szCs w:val="20"/>
                <w:lang w:eastAsia="vi-VN"/>
              </w:rPr>
              <w:t> </w:t>
            </w:r>
          </w:p>
        </w:tc>
        <w:tc>
          <w:tcPr>
            <w:tcW w:w="4061" w:type="dxa"/>
            <w:gridSpan w:val="2"/>
            <w:tcBorders>
              <w:top w:val="single" w:sz="4" w:space="0" w:color="auto"/>
              <w:left w:val="nil"/>
              <w:bottom w:val="single" w:sz="4" w:space="0" w:color="auto"/>
              <w:right w:val="nil"/>
            </w:tcBorders>
            <w:vAlign w:val="center"/>
            <w:hideMark/>
          </w:tcPr>
          <w:p w14:paraId="55EAC114" w14:textId="77777777" w:rsidR="00A004EC" w:rsidRPr="00387E47" w:rsidRDefault="00A004EC" w:rsidP="008E0A94">
            <w:pPr>
              <w:spacing w:before="40" w:after="40" w:line="276" w:lineRule="auto"/>
              <w:jc w:val="center"/>
              <w:rPr>
                <w:sz w:val="20"/>
                <w:szCs w:val="20"/>
                <w:lang w:eastAsia="vi-VN"/>
              </w:rPr>
            </w:pPr>
            <w:r w:rsidRPr="00387E47">
              <w:rPr>
                <w:iCs/>
                <w:sz w:val="20"/>
                <w:szCs w:val="20"/>
                <w:lang w:eastAsia="vi-VN"/>
              </w:rPr>
              <w:t xml:space="preserve">Number of passengers </w:t>
            </w:r>
          </w:p>
        </w:tc>
        <w:tc>
          <w:tcPr>
            <w:tcW w:w="272" w:type="dxa"/>
            <w:tcBorders>
              <w:top w:val="single" w:sz="4" w:space="0" w:color="auto"/>
              <w:left w:val="nil"/>
              <w:bottom w:val="single" w:sz="4" w:space="0" w:color="auto"/>
              <w:right w:val="nil"/>
            </w:tcBorders>
            <w:vAlign w:val="center"/>
            <w:hideMark/>
          </w:tcPr>
          <w:p w14:paraId="29FE11D4" w14:textId="77777777" w:rsidR="00A004EC" w:rsidRPr="00387E47" w:rsidRDefault="00A004EC" w:rsidP="008E0A94">
            <w:pPr>
              <w:spacing w:before="40" w:after="40" w:line="276" w:lineRule="auto"/>
              <w:jc w:val="center"/>
              <w:rPr>
                <w:color w:val="000000"/>
                <w:sz w:val="20"/>
                <w:szCs w:val="20"/>
                <w:lang w:val="en-GB" w:eastAsia="vi-VN"/>
              </w:rPr>
            </w:pPr>
            <w:r w:rsidRPr="00387E47">
              <w:rPr>
                <w:color w:val="000000"/>
                <w:sz w:val="20"/>
                <w:szCs w:val="20"/>
                <w:lang w:eastAsia="vi-VN"/>
              </w:rPr>
              <w:t> </w:t>
            </w:r>
          </w:p>
        </w:tc>
        <w:tc>
          <w:tcPr>
            <w:tcW w:w="2823" w:type="dxa"/>
            <w:gridSpan w:val="2"/>
            <w:tcBorders>
              <w:top w:val="single" w:sz="4" w:space="0" w:color="auto"/>
              <w:left w:val="nil"/>
              <w:bottom w:val="single" w:sz="4" w:space="0" w:color="auto"/>
              <w:right w:val="nil"/>
            </w:tcBorders>
            <w:vAlign w:val="center"/>
            <w:hideMark/>
          </w:tcPr>
          <w:p w14:paraId="12FECBA2" w14:textId="77777777" w:rsidR="00A004EC" w:rsidRPr="00387E47" w:rsidRDefault="00A004EC" w:rsidP="008E0A94">
            <w:pPr>
              <w:spacing w:before="40" w:after="40" w:line="276" w:lineRule="auto"/>
              <w:jc w:val="center"/>
              <w:rPr>
                <w:color w:val="000000"/>
                <w:sz w:val="20"/>
                <w:szCs w:val="20"/>
                <w:lang w:eastAsia="vi-VN"/>
              </w:rPr>
            </w:pPr>
            <w:r>
              <w:rPr>
                <w:color w:val="000000"/>
                <w:sz w:val="20"/>
                <w:szCs w:val="20"/>
                <w:lang w:val="en-GB" w:eastAsia="vi-VN"/>
              </w:rPr>
              <w:t xml:space="preserve">The </w:t>
            </w:r>
            <w:r w:rsidRPr="00387E47">
              <w:rPr>
                <w:color w:val="000000"/>
                <w:sz w:val="20"/>
                <w:szCs w:val="20"/>
                <w:lang w:eastAsia="vi-VN"/>
              </w:rPr>
              <w:t>growth rate</w:t>
            </w:r>
            <w:r w:rsidRPr="00387E47">
              <w:rPr>
                <w:color w:val="000000"/>
                <w:sz w:val="20"/>
                <w:szCs w:val="20"/>
                <w:lang w:eastAsia="vi-VN"/>
              </w:rPr>
              <w:br/>
              <w:t>compared to the same period last year (%)</w:t>
            </w:r>
          </w:p>
        </w:tc>
      </w:tr>
      <w:tr w:rsidR="00A004EC" w:rsidRPr="00387E47" w14:paraId="7DF6E747" w14:textId="77777777" w:rsidTr="008E0A94">
        <w:trPr>
          <w:trHeight w:val="411"/>
          <w:jc w:val="right"/>
        </w:trPr>
        <w:tc>
          <w:tcPr>
            <w:tcW w:w="2063" w:type="dxa"/>
            <w:vAlign w:val="center"/>
            <w:hideMark/>
          </w:tcPr>
          <w:p w14:paraId="70F50D26" w14:textId="77777777" w:rsidR="00A004EC" w:rsidRPr="00387E47" w:rsidRDefault="00A004EC" w:rsidP="008E0A94">
            <w:pPr>
              <w:spacing w:line="276" w:lineRule="auto"/>
              <w:rPr>
                <w:color w:val="000000"/>
                <w:sz w:val="20"/>
                <w:szCs w:val="20"/>
                <w:lang w:eastAsia="vi-VN"/>
              </w:rPr>
            </w:pPr>
          </w:p>
        </w:tc>
        <w:tc>
          <w:tcPr>
            <w:tcW w:w="1951" w:type="dxa"/>
            <w:tcBorders>
              <w:top w:val="single" w:sz="4" w:space="0" w:color="auto"/>
              <w:left w:val="nil"/>
              <w:bottom w:val="single" w:sz="4" w:space="0" w:color="auto"/>
              <w:right w:val="nil"/>
            </w:tcBorders>
            <w:vAlign w:val="center"/>
            <w:hideMark/>
          </w:tcPr>
          <w:p w14:paraId="04065E46" w14:textId="77777777" w:rsidR="00A004EC" w:rsidRPr="00387E47" w:rsidRDefault="00A004EC" w:rsidP="008E0A94">
            <w:pPr>
              <w:spacing w:before="40" w:after="40" w:line="276" w:lineRule="auto"/>
              <w:jc w:val="center"/>
              <w:rPr>
                <w:sz w:val="20"/>
                <w:szCs w:val="20"/>
                <w:lang w:eastAsia="vi-VN"/>
              </w:rPr>
            </w:pPr>
            <w:r w:rsidRPr="00387E47">
              <w:rPr>
                <w:sz w:val="20"/>
                <w:szCs w:val="20"/>
                <w:lang w:eastAsia="vi-VN"/>
              </w:rPr>
              <w:t>Carried</w:t>
            </w:r>
            <w:r w:rsidRPr="00387E47">
              <w:rPr>
                <w:sz w:val="20"/>
                <w:szCs w:val="20"/>
                <w:lang w:eastAsia="vi-VN"/>
              </w:rPr>
              <w:br/>
              <w:t>(Mill. passengers)</w:t>
            </w:r>
          </w:p>
        </w:tc>
        <w:tc>
          <w:tcPr>
            <w:tcW w:w="2110" w:type="dxa"/>
            <w:tcBorders>
              <w:top w:val="single" w:sz="4" w:space="0" w:color="auto"/>
              <w:left w:val="nil"/>
              <w:bottom w:val="single" w:sz="4" w:space="0" w:color="auto"/>
              <w:right w:val="nil"/>
            </w:tcBorders>
            <w:vAlign w:val="center"/>
            <w:hideMark/>
          </w:tcPr>
          <w:p w14:paraId="035B5376" w14:textId="77777777" w:rsidR="00A004EC" w:rsidRPr="00387E47" w:rsidRDefault="00A004EC" w:rsidP="008E0A94">
            <w:pPr>
              <w:spacing w:before="40" w:after="40" w:line="276" w:lineRule="auto"/>
              <w:jc w:val="center"/>
              <w:rPr>
                <w:sz w:val="20"/>
                <w:szCs w:val="20"/>
                <w:lang w:eastAsia="vi-VN"/>
              </w:rPr>
            </w:pPr>
            <w:r w:rsidRPr="00387E47">
              <w:rPr>
                <w:sz w:val="20"/>
                <w:szCs w:val="20"/>
                <w:lang w:eastAsia="vi-VN"/>
              </w:rPr>
              <w:t>Traffic</w:t>
            </w:r>
            <w:r w:rsidRPr="00387E47">
              <w:rPr>
                <w:sz w:val="20"/>
                <w:szCs w:val="20"/>
                <w:lang w:eastAsia="vi-VN"/>
              </w:rPr>
              <w:br/>
              <w:t>(Bill. passengers-km)</w:t>
            </w:r>
          </w:p>
        </w:tc>
        <w:tc>
          <w:tcPr>
            <w:tcW w:w="272" w:type="dxa"/>
            <w:tcBorders>
              <w:top w:val="single" w:sz="4" w:space="0" w:color="auto"/>
              <w:left w:val="nil"/>
              <w:bottom w:val="single" w:sz="4" w:space="0" w:color="auto"/>
              <w:right w:val="nil"/>
            </w:tcBorders>
            <w:vAlign w:val="center"/>
            <w:hideMark/>
          </w:tcPr>
          <w:p w14:paraId="619D99E6" w14:textId="77777777" w:rsidR="00A004EC" w:rsidRPr="00387E47" w:rsidRDefault="00A004EC" w:rsidP="008E0A94">
            <w:pPr>
              <w:spacing w:before="40" w:after="40" w:line="276" w:lineRule="auto"/>
              <w:jc w:val="center"/>
              <w:rPr>
                <w:sz w:val="20"/>
                <w:szCs w:val="20"/>
                <w:lang w:val="en-GB" w:eastAsia="vi-VN"/>
              </w:rPr>
            </w:pPr>
            <w:r w:rsidRPr="00387E47">
              <w:rPr>
                <w:sz w:val="20"/>
                <w:szCs w:val="20"/>
                <w:lang w:eastAsia="vi-VN"/>
              </w:rPr>
              <w:t> </w:t>
            </w:r>
          </w:p>
        </w:tc>
        <w:tc>
          <w:tcPr>
            <w:tcW w:w="1531" w:type="dxa"/>
            <w:tcBorders>
              <w:top w:val="single" w:sz="4" w:space="0" w:color="auto"/>
              <w:left w:val="nil"/>
              <w:bottom w:val="single" w:sz="4" w:space="0" w:color="auto"/>
              <w:right w:val="nil"/>
            </w:tcBorders>
            <w:vAlign w:val="center"/>
            <w:hideMark/>
          </w:tcPr>
          <w:p w14:paraId="76260A0E" w14:textId="77777777" w:rsidR="00A004EC" w:rsidRPr="00387E47" w:rsidRDefault="00A004EC" w:rsidP="008E0A94">
            <w:pPr>
              <w:spacing w:before="40" w:after="40" w:line="276" w:lineRule="auto"/>
              <w:jc w:val="center"/>
              <w:rPr>
                <w:sz w:val="20"/>
                <w:szCs w:val="20"/>
                <w:lang w:eastAsia="vi-VN"/>
              </w:rPr>
            </w:pPr>
            <w:r w:rsidRPr="00387E47">
              <w:rPr>
                <w:sz w:val="20"/>
                <w:szCs w:val="20"/>
                <w:lang w:eastAsia="vi-VN"/>
              </w:rPr>
              <w:t>Carried</w:t>
            </w:r>
          </w:p>
        </w:tc>
        <w:tc>
          <w:tcPr>
            <w:tcW w:w="1292" w:type="dxa"/>
            <w:tcBorders>
              <w:top w:val="single" w:sz="4" w:space="0" w:color="auto"/>
              <w:left w:val="nil"/>
              <w:bottom w:val="single" w:sz="4" w:space="0" w:color="auto"/>
              <w:right w:val="nil"/>
            </w:tcBorders>
            <w:vAlign w:val="center"/>
            <w:hideMark/>
          </w:tcPr>
          <w:p w14:paraId="2C5CC4CE" w14:textId="77777777" w:rsidR="00A004EC" w:rsidRPr="00387E47" w:rsidRDefault="00A004EC" w:rsidP="008E0A94">
            <w:pPr>
              <w:spacing w:before="40" w:after="40" w:line="276" w:lineRule="auto"/>
              <w:jc w:val="center"/>
              <w:rPr>
                <w:sz w:val="20"/>
                <w:szCs w:val="20"/>
                <w:lang w:eastAsia="vi-VN"/>
              </w:rPr>
            </w:pPr>
            <w:r w:rsidRPr="00387E47">
              <w:rPr>
                <w:sz w:val="20"/>
                <w:szCs w:val="20"/>
                <w:lang w:eastAsia="vi-VN"/>
              </w:rPr>
              <w:t>Traffic</w:t>
            </w:r>
          </w:p>
        </w:tc>
      </w:tr>
      <w:tr w:rsidR="00A004EC" w:rsidRPr="00387E47" w14:paraId="5700C81D" w14:textId="77777777" w:rsidTr="008E0A94">
        <w:trPr>
          <w:trHeight w:val="372"/>
          <w:jc w:val="right"/>
        </w:trPr>
        <w:tc>
          <w:tcPr>
            <w:tcW w:w="2063" w:type="dxa"/>
            <w:noWrap/>
            <w:vAlign w:val="bottom"/>
            <w:hideMark/>
          </w:tcPr>
          <w:p w14:paraId="041383D6" w14:textId="77777777" w:rsidR="00A004EC" w:rsidRPr="00387E47" w:rsidRDefault="00A004EC" w:rsidP="008E0A94">
            <w:pPr>
              <w:spacing w:before="40" w:after="40" w:line="276" w:lineRule="auto"/>
              <w:rPr>
                <w:b/>
                <w:bCs/>
                <w:sz w:val="20"/>
                <w:szCs w:val="20"/>
                <w:lang w:eastAsia="vi-VN"/>
              </w:rPr>
            </w:pPr>
            <w:r w:rsidRPr="00387E47">
              <w:rPr>
                <w:b/>
                <w:bCs/>
                <w:sz w:val="20"/>
                <w:szCs w:val="20"/>
                <w:lang w:eastAsia="vi-VN"/>
              </w:rPr>
              <w:t>Total</w:t>
            </w:r>
          </w:p>
        </w:tc>
        <w:tc>
          <w:tcPr>
            <w:tcW w:w="1951" w:type="dxa"/>
            <w:tcBorders>
              <w:top w:val="single" w:sz="4" w:space="0" w:color="auto"/>
              <w:left w:val="nil"/>
              <w:bottom w:val="nil"/>
              <w:right w:val="nil"/>
            </w:tcBorders>
            <w:noWrap/>
            <w:vAlign w:val="bottom"/>
            <w:hideMark/>
          </w:tcPr>
          <w:p w14:paraId="7BB551BA" w14:textId="77777777" w:rsidR="00A004EC" w:rsidRDefault="00A004EC" w:rsidP="008E0A94">
            <w:pPr>
              <w:spacing w:before="240"/>
              <w:ind w:right="395"/>
              <w:jc w:val="right"/>
              <w:rPr>
                <w:rFonts w:ascii="Arial" w:hAnsi="Arial" w:cs="Arial"/>
                <w:b/>
                <w:bCs/>
                <w:sz w:val="20"/>
                <w:szCs w:val="20"/>
              </w:rPr>
            </w:pPr>
            <w:r>
              <w:rPr>
                <w:rFonts w:ascii="Arial" w:hAnsi="Arial" w:cs="Arial"/>
                <w:b/>
                <w:bCs/>
                <w:sz w:val="20"/>
                <w:szCs w:val="20"/>
              </w:rPr>
              <w:t xml:space="preserve">     538.5 </w:t>
            </w:r>
          </w:p>
        </w:tc>
        <w:tc>
          <w:tcPr>
            <w:tcW w:w="2110" w:type="dxa"/>
            <w:tcBorders>
              <w:top w:val="single" w:sz="4" w:space="0" w:color="auto"/>
              <w:left w:val="nil"/>
              <w:bottom w:val="nil"/>
              <w:right w:val="nil"/>
            </w:tcBorders>
            <w:noWrap/>
            <w:vAlign w:val="bottom"/>
            <w:hideMark/>
          </w:tcPr>
          <w:p w14:paraId="760D341E" w14:textId="77777777" w:rsidR="00A004EC" w:rsidRDefault="00A004EC" w:rsidP="008E0A94">
            <w:pPr>
              <w:spacing w:before="240"/>
              <w:ind w:right="550"/>
              <w:jc w:val="right"/>
              <w:rPr>
                <w:rFonts w:ascii="Arial" w:hAnsi="Arial" w:cs="Arial"/>
                <w:b/>
                <w:bCs/>
                <w:sz w:val="20"/>
                <w:szCs w:val="20"/>
              </w:rPr>
            </w:pPr>
            <w:r>
              <w:rPr>
                <w:rFonts w:ascii="Arial" w:hAnsi="Arial" w:cs="Arial"/>
                <w:b/>
                <w:bCs/>
                <w:sz w:val="20"/>
                <w:szCs w:val="20"/>
              </w:rPr>
              <w:t xml:space="preserve">       21.3 </w:t>
            </w:r>
          </w:p>
        </w:tc>
        <w:tc>
          <w:tcPr>
            <w:tcW w:w="272" w:type="dxa"/>
            <w:tcBorders>
              <w:top w:val="single" w:sz="4" w:space="0" w:color="auto"/>
              <w:left w:val="nil"/>
              <w:bottom w:val="nil"/>
              <w:right w:val="nil"/>
            </w:tcBorders>
            <w:noWrap/>
            <w:vAlign w:val="bottom"/>
            <w:hideMark/>
          </w:tcPr>
          <w:p w14:paraId="7395644C" w14:textId="77777777" w:rsidR="00A004EC" w:rsidRPr="00FA7D1C" w:rsidRDefault="00A004EC" w:rsidP="008E0A94">
            <w:pPr>
              <w:spacing w:before="240" w:after="60"/>
              <w:jc w:val="right"/>
              <w:rPr>
                <w:rFonts w:ascii="Arial" w:hAnsi="Arial" w:cs="Arial"/>
                <w:b/>
                <w:bCs/>
                <w:sz w:val="20"/>
                <w:szCs w:val="20"/>
                <w:lang w:eastAsia="vi-VN"/>
              </w:rPr>
            </w:pPr>
          </w:p>
        </w:tc>
        <w:tc>
          <w:tcPr>
            <w:tcW w:w="1531" w:type="dxa"/>
            <w:tcBorders>
              <w:top w:val="single" w:sz="4" w:space="0" w:color="auto"/>
              <w:left w:val="nil"/>
              <w:bottom w:val="nil"/>
              <w:right w:val="nil"/>
            </w:tcBorders>
            <w:noWrap/>
            <w:vAlign w:val="bottom"/>
            <w:hideMark/>
          </w:tcPr>
          <w:p w14:paraId="4535AC1F" w14:textId="77777777" w:rsidR="00A004EC" w:rsidRDefault="00A004EC" w:rsidP="008E0A94">
            <w:pPr>
              <w:spacing w:before="240"/>
              <w:ind w:right="350"/>
              <w:jc w:val="right"/>
              <w:rPr>
                <w:rFonts w:ascii="Arial" w:hAnsi="Arial" w:cs="Arial"/>
                <w:b/>
                <w:bCs/>
                <w:color w:val="000000"/>
                <w:sz w:val="20"/>
                <w:szCs w:val="20"/>
              </w:rPr>
            </w:pPr>
            <w:r>
              <w:rPr>
                <w:rFonts w:ascii="Arial" w:hAnsi="Arial" w:cs="Arial"/>
                <w:b/>
                <w:bCs/>
                <w:color w:val="000000"/>
                <w:sz w:val="20"/>
                <w:szCs w:val="20"/>
              </w:rPr>
              <w:t>-21.8</w:t>
            </w:r>
          </w:p>
        </w:tc>
        <w:tc>
          <w:tcPr>
            <w:tcW w:w="1292" w:type="dxa"/>
            <w:tcBorders>
              <w:top w:val="single" w:sz="4" w:space="0" w:color="auto"/>
              <w:left w:val="nil"/>
              <w:bottom w:val="nil"/>
              <w:right w:val="nil"/>
            </w:tcBorders>
            <w:noWrap/>
            <w:vAlign w:val="bottom"/>
            <w:hideMark/>
          </w:tcPr>
          <w:p w14:paraId="37190C7C" w14:textId="77777777" w:rsidR="00A004EC" w:rsidRDefault="00A004EC" w:rsidP="008E0A94">
            <w:pPr>
              <w:spacing w:before="240"/>
              <w:ind w:right="316"/>
              <w:jc w:val="right"/>
              <w:rPr>
                <w:rFonts w:ascii="Arial" w:hAnsi="Arial" w:cs="Arial"/>
                <w:b/>
                <w:bCs/>
                <w:color w:val="000000"/>
                <w:sz w:val="20"/>
                <w:szCs w:val="20"/>
              </w:rPr>
            </w:pPr>
            <w:r>
              <w:rPr>
                <w:rFonts w:ascii="Arial" w:hAnsi="Arial" w:cs="Arial"/>
                <w:b/>
                <w:bCs/>
                <w:color w:val="000000"/>
                <w:sz w:val="20"/>
                <w:szCs w:val="20"/>
              </w:rPr>
              <w:t>-27.2</w:t>
            </w:r>
          </w:p>
        </w:tc>
      </w:tr>
      <w:tr w:rsidR="00A004EC" w:rsidRPr="00387E47" w14:paraId="2ED8E0E0" w14:textId="77777777" w:rsidTr="008E0A94">
        <w:trPr>
          <w:cantSplit/>
          <w:trHeight w:val="315"/>
          <w:jc w:val="right"/>
        </w:trPr>
        <w:tc>
          <w:tcPr>
            <w:tcW w:w="2063" w:type="dxa"/>
            <w:noWrap/>
            <w:vAlign w:val="bottom"/>
            <w:hideMark/>
          </w:tcPr>
          <w:p w14:paraId="5409DCEC" w14:textId="77777777" w:rsidR="00A004EC" w:rsidRPr="00387E47" w:rsidRDefault="00A004EC" w:rsidP="008E0A94">
            <w:pPr>
              <w:spacing w:before="40" w:after="40" w:line="276" w:lineRule="auto"/>
              <w:ind w:firstLineChars="100" w:firstLine="200"/>
              <w:rPr>
                <w:sz w:val="20"/>
                <w:szCs w:val="20"/>
              </w:rPr>
            </w:pPr>
            <w:r w:rsidRPr="00387E47">
              <w:rPr>
                <w:sz w:val="20"/>
                <w:szCs w:val="20"/>
              </w:rPr>
              <w:t>Railway</w:t>
            </w:r>
          </w:p>
        </w:tc>
        <w:tc>
          <w:tcPr>
            <w:tcW w:w="1951" w:type="dxa"/>
            <w:noWrap/>
            <w:vAlign w:val="bottom"/>
            <w:hideMark/>
          </w:tcPr>
          <w:p w14:paraId="196D2227" w14:textId="77777777" w:rsidR="00A004EC" w:rsidRDefault="00A004EC" w:rsidP="008E0A94">
            <w:pPr>
              <w:spacing w:before="120"/>
              <w:ind w:right="395"/>
              <w:jc w:val="right"/>
              <w:rPr>
                <w:rFonts w:ascii="Arial" w:hAnsi="Arial" w:cs="Arial"/>
                <w:sz w:val="20"/>
                <w:szCs w:val="20"/>
              </w:rPr>
            </w:pPr>
            <w:r>
              <w:rPr>
                <w:rFonts w:ascii="Arial" w:hAnsi="Arial" w:cs="Arial"/>
                <w:sz w:val="20"/>
                <w:szCs w:val="20"/>
              </w:rPr>
              <w:t xml:space="preserve">         0.4 </w:t>
            </w:r>
          </w:p>
        </w:tc>
        <w:tc>
          <w:tcPr>
            <w:tcW w:w="2110" w:type="dxa"/>
            <w:noWrap/>
            <w:vAlign w:val="bottom"/>
            <w:hideMark/>
          </w:tcPr>
          <w:p w14:paraId="0AC3F289" w14:textId="77777777" w:rsidR="00A004EC" w:rsidRDefault="00A004EC" w:rsidP="008E0A94">
            <w:pPr>
              <w:spacing w:before="120"/>
              <w:ind w:right="550"/>
              <w:jc w:val="right"/>
              <w:rPr>
                <w:rFonts w:ascii="Arial" w:hAnsi="Arial" w:cs="Arial"/>
                <w:sz w:val="20"/>
                <w:szCs w:val="20"/>
              </w:rPr>
            </w:pPr>
            <w:r>
              <w:rPr>
                <w:rFonts w:ascii="Arial" w:hAnsi="Arial" w:cs="Arial"/>
                <w:sz w:val="20"/>
                <w:szCs w:val="20"/>
              </w:rPr>
              <w:t xml:space="preserve">         0.2 </w:t>
            </w:r>
          </w:p>
        </w:tc>
        <w:tc>
          <w:tcPr>
            <w:tcW w:w="272" w:type="dxa"/>
            <w:noWrap/>
            <w:vAlign w:val="bottom"/>
            <w:hideMark/>
          </w:tcPr>
          <w:p w14:paraId="1A3C265F" w14:textId="77777777" w:rsidR="00A004EC" w:rsidRPr="00FA7D1C" w:rsidRDefault="00A004EC" w:rsidP="008E0A94">
            <w:pPr>
              <w:spacing w:before="120" w:after="60"/>
              <w:jc w:val="right"/>
              <w:rPr>
                <w:rFonts w:ascii="Arial" w:hAnsi="Arial" w:cs="Arial"/>
                <w:sz w:val="20"/>
                <w:szCs w:val="20"/>
                <w:lang w:eastAsia="vi-VN"/>
              </w:rPr>
            </w:pPr>
          </w:p>
        </w:tc>
        <w:tc>
          <w:tcPr>
            <w:tcW w:w="1531" w:type="dxa"/>
            <w:noWrap/>
            <w:vAlign w:val="bottom"/>
            <w:hideMark/>
          </w:tcPr>
          <w:p w14:paraId="1098D19F" w14:textId="77777777" w:rsidR="00A004EC" w:rsidRDefault="00A004EC" w:rsidP="008E0A94">
            <w:pPr>
              <w:spacing w:before="120"/>
              <w:ind w:right="350"/>
              <w:jc w:val="right"/>
              <w:rPr>
                <w:rFonts w:ascii="Arial" w:hAnsi="Arial" w:cs="Arial"/>
                <w:color w:val="000000"/>
                <w:sz w:val="20"/>
                <w:szCs w:val="20"/>
              </w:rPr>
            </w:pPr>
            <w:r>
              <w:rPr>
                <w:rFonts w:ascii="Arial" w:hAnsi="Arial" w:cs="Arial"/>
                <w:color w:val="000000"/>
                <w:sz w:val="20"/>
                <w:szCs w:val="20"/>
              </w:rPr>
              <w:t>-16.2</w:t>
            </w:r>
          </w:p>
        </w:tc>
        <w:tc>
          <w:tcPr>
            <w:tcW w:w="1292" w:type="dxa"/>
            <w:noWrap/>
            <w:vAlign w:val="bottom"/>
            <w:hideMark/>
          </w:tcPr>
          <w:p w14:paraId="51AE82B3" w14:textId="77777777" w:rsidR="00A004EC" w:rsidRDefault="00A004EC" w:rsidP="008E0A94">
            <w:pPr>
              <w:spacing w:before="120"/>
              <w:ind w:right="316"/>
              <w:jc w:val="right"/>
              <w:rPr>
                <w:rFonts w:ascii="Arial" w:hAnsi="Arial" w:cs="Arial"/>
                <w:color w:val="000000"/>
                <w:sz w:val="20"/>
                <w:szCs w:val="20"/>
              </w:rPr>
            </w:pPr>
            <w:r>
              <w:rPr>
                <w:rFonts w:ascii="Arial" w:hAnsi="Arial" w:cs="Arial"/>
                <w:color w:val="000000"/>
                <w:sz w:val="20"/>
                <w:szCs w:val="20"/>
              </w:rPr>
              <w:t>-26.9</w:t>
            </w:r>
          </w:p>
        </w:tc>
      </w:tr>
      <w:tr w:rsidR="00A004EC" w:rsidRPr="00387E47" w14:paraId="291395C5" w14:textId="77777777" w:rsidTr="008E0A94">
        <w:trPr>
          <w:cantSplit/>
          <w:trHeight w:val="315"/>
          <w:jc w:val="right"/>
        </w:trPr>
        <w:tc>
          <w:tcPr>
            <w:tcW w:w="2063" w:type="dxa"/>
            <w:noWrap/>
            <w:vAlign w:val="bottom"/>
            <w:hideMark/>
          </w:tcPr>
          <w:p w14:paraId="5137AEAA" w14:textId="77777777" w:rsidR="00A004EC" w:rsidRPr="00387E47" w:rsidRDefault="00A004EC" w:rsidP="008E0A94">
            <w:pPr>
              <w:spacing w:before="40" w:after="40" w:line="276" w:lineRule="auto"/>
              <w:ind w:firstLineChars="100" w:firstLine="200"/>
              <w:rPr>
                <w:sz w:val="20"/>
                <w:szCs w:val="20"/>
              </w:rPr>
            </w:pPr>
            <w:r w:rsidRPr="00387E47">
              <w:rPr>
                <w:sz w:val="20"/>
                <w:szCs w:val="20"/>
              </w:rPr>
              <w:t>Seaway</w:t>
            </w:r>
          </w:p>
        </w:tc>
        <w:tc>
          <w:tcPr>
            <w:tcW w:w="1951" w:type="dxa"/>
            <w:noWrap/>
            <w:vAlign w:val="bottom"/>
            <w:hideMark/>
          </w:tcPr>
          <w:p w14:paraId="60349FEC" w14:textId="77777777" w:rsidR="00A004EC" w:rsidRDefault="00A004EC" w:rsidP="008E0A94">
            <w:pPr>
              <w:spacing w:before="120"/>
              <w:ind w:right="395"/>
              <w:jc w:val="right"/>
              <w:rPr>
                <w:rFonts w:ascii="Arial" w:hAnsi="Arial" w:cs="Arial"/>
                <w:sz w:val="20"/>
                <w:szCs w:val="20"/>
              </w:rPr>
            </w:pPr>
            <w:r>
              <w:rPr>
                <w:rFonts w:ascii="Arial" w:hAnsi="Arial" w:cs="Arial"/>
                <w:sz w:val="20"/>
                <w:szCs w:val="20"/>
              </w:rPr>
              <w:t xml:space="preserve">         0.9 </w:t>
            </w:r>
          </w:p>
        </w:tc>
        <w:tc>
          <w:tcPr>
            <w:tcW w:w="2110" w:type="dxa"/>
            <w:noWrap/>
            <w:vAlign w:val="bottom"/>
            <w:hideMark/>
          </w:tcPr>
          <w:p w14:paraId="5DE81DB7" w14:textId="77777777" w:rsidR="00A004EC" w:rsidRDefault="00A004EC" w:rsidP="008E0A94">
            <w:pPr>
              <w:spacing w:before="120"/>
              <w:ind w:right="550"/>
              <w:jc w:val="right"/>
              <w:rPr>
                <w:rFonts w:ascii="Arial" w:hAnsi="Arial" w:cs="Arial"/>
                <w:sz w:val="20"/>
                <w:szCs w:val="20"/>
              </w:rPr>
            </w:pPr>
            <w:r>
              <w:rPr>
                <w:rFonts w:ascii="Arial" w:hAnsi="Arial" w:cs="Arial"/>
                <w:sz w:val="20"/>
                <w:szCs w:val="20"/>
              </w:rPr>
              <w:t xml:space="preserve">         0.06 </w:t>
            </w:r>
          </w:p>
        </w:tc>
        <w:tc>
          <w:tcPr>
            <w:tcW w:w="272" w:type="dxa"/>
            <w:noWrap/>
            <w:vAlign w:val="bottom"/>
            <w:hideMark/>
          </w:tcPr>
          <w:p w14:paraId="2CC8CE6C" w14:textId="77777777" w:rsidR="00A004EC" w:rsidRPr="00FA7D1C" w:rsidRDefault="00A004EC" w:rsidP="008E0A94">
            <w:pPr>
              <w:spacing w:before="120" w:after="60"/>
              <w:jc w:val="right"/>
              <w:rPr>
                <w:rFonts w:ascii="Arial" w:hAnsi="Arial" w:cs="Arial"/>
                <w:sz w:val="20"/>
                <w:szCs w:val="20"/>
                <w:lang w:eastAsia="vi-VN"/>
              </w:rPr>
            </w:pPr>
          </w:p>
        </w:tc>
        <w:tc>
          <w:tcPr>
            <w:tcW w:w="1531" w:type="dxa"/>
            <w:noWrap/>
            <w:vAlign w:val="bottom"/>
            <w:hideMark/>
          </w:tcPr>
          <w:p w14:paraId="2EA3D004" w14:textId="77777777" w:rsidR="00A004EC" w:rsidRDefault="00A004EC" w:rsidP="008E0A94">
            <w:pPr>
              <w:spacing w:before="120"/>
              <w:ind w:right="350"/>
              <w:jc w:val="right"/>
              <w:rPr>
                <w:rFonts w:ascii="Arial" w:hAnsi="Arial" w:cs="Arial"/>
                <w:color w:val="000000"/>
                <w:sz w:val="20"/>
                <w:szCs w:val="20"/>
              </w:rPr>
            </w:pPr>
            <w:r>
              <w:rPr>
                <w:rFonts w:ascii="Arial" w:hAnsi="Arial" w:cs="Arial"/>
                <w:color w:val="000000"/>
                <w:sz w:val="20"/>
                <w:szCs w:val="20"/>
              </w:rPr>
              <w:t>-24.5</w:t>
            </w:r>
          </w:p>
        </w:tc>
        <w:tc>
          <w:tcPr>
            <w:tcW w:w="1292" w:type="dxa"/>
            <w:noWrap/>
            <w:vAlign w:val="bottom"/>
            <w:hideMark/>
          </w:tcPr>
          <w:p w14:paraId="5D6FE791" w14:textId="77777777" w:rsidR="00A004EC" w:rsidRDefault="00A004EC" w:rsidP="008E0A94">
            <w:pPr>
              <w:spacing w:before="120"/>
              <w:ind w:right="316"/>
              <w:jc w:val="right"/>
              <w:rPr>
                <w:rFonts w:ascii="Arial" w:hAnsi="Arial" w:cs="Arial"/>
                <w:color w:val="000000"/>
                <w:sz w:val="20"/>
                <w:szCs w:val="20"/>
              </w:rPr>
            </w:pPr>
            <w:r>
              <w:rPr>
                <w:rFonts w:ascii="Arial" w:hAnsi="Arial" w:cs="Arial"/>
                <w:color w:val="000000"/>
                <w:sz w:val="20"/>
                <w:szCs w:val="20"/>
              </w:rPr>
              <w:t>-28.6</w:t>
            </w:r>
          </w:p>
        </w:tc>
      </w:tr>
      <w:tr w:rsidR="00A004EC" w:rsidRPr="00387E47" w14:paraId="21E17FEB" w14:textId="77777777" w:rsidTr="008E0A94">
        <w:trPr>
          <w:cantSplit/>
          <w:trHeight w:val="315"/>
          <w:jc w:val="right"/>
        </w:trPr>
        <w:tc>
          <w:tcPr>
            <w:tcW w:w="2063" w:type="dxa"/>
            <w:noWrap/>
            <w:vAlign w:val="bottom"/>
            <w:hideMark/>
          </w:tcPr>
          <w:p w14:paraId="6F657636" w14:textId="77777777" w:rsidR="00A004EC" w:rsidRPr="00387E47" w:rsidRDefault="00A004EC" w:rsidP="008E0A94">
            <w:pPr>
              <w:spacing w:before="40" w:after="40" w:line="276" w:lineRule="auto"/>
              <w:ind w:firstLineChars="100" w:firstLine="200"/>
              <w:rPr>
                <w:sz w:val="20"/>
                <w:szCs w:val="20"/>
              </w:rPr>
            </w:pPr>
            <w:r w:rsidRPr="00387E47">
              <w:rPr>
                <w:sz w:val="20"/>
                <w:szCs w:val="20"/>
              </w:rPr>
              <w:t>Inland waterway</w:t>
            </w:r>
          </w:p>
        </w:tc>
        <w:tc>
          <w:tcPr>
            <w:tcW w:w="1951" w:type="dxa"/>
            <w:noWrap/>
            <w:vAlign w:val="bottom"/>
            <w:hideMark/>
          </w:tcPr>
          <w:p w14:paraId="2274F90B" w14:textId="77777777" w:rsidR="00A004EC" w:rsidRDefault="00A004EC" w:rsidP="008E0A94">
            <w:pPr>
              <w:spacing w:before="120"/>
              <w:ind w:right="395"/>
              <w:jc w:val="right"/>
              <w:rPr>
                <w:rFonts w:ascii="Arial" w:hAnsi="Arial" w:cs="Arial"/>
                <w:sz w:val="20"/>
                <w:szCs w:val="20"/>
              </w:rPr>
            </w:pPr>
            <w:r>
              <w:rPr>
                <w:rFonts w:ascii="Arial" w:hAnsi="Arial" w:cs="Arial"/>
                <w:sz w:val="20"/>
                <w:szCs w:val="20"/>
              </w:rPr>
              <w:t xml:space="preserve">       38.4 </w:t>
            </w:r>
          </w:p>
        </w:tc>
        <w:tc>
          <w:tcPr>
            <w:tcW w:w="2110" w:type="dxa"/>
            <w:noWrap/>
            <w:vAlign w:val="bottom"/>
            <w:hideMark/>
          </w:tcPr>
          <w:p w14:paraId="7C82E58C" w14:textId="77777777" w:rsidR="00A004EC" w:rsidRDefault="00A004EC" w:rsidP="008E0A94">
            <w:pPr>
              <w:spacing w:before="120"/>
              <w:ind w:right="550"/>
              <w:jc w:val="right"/>
              <w:rPr>
                <w:rFonts w:ascii="Arial" w:hAnsi="Arial" w:cs="Arial"/>
                <w:sz w:val="20"/>
                <w:szCs w:val="20"/>
              </w:rPr>
            </w:pPr>
            <w:r>
              <w:rPr>
                <w:rFonts w:ascii="Arial" w:hAnsi="Arial" w:cs="Arial"/>
                <w:sz w:val="20"/>
                <w:szCs w:val="20"/>
              </w:rPr>
              <w:t xml:space="preserve">         0.6 </w:t>
            </w:r>
          </w:p>
        </w:tc>
        <w:tc>
          <w:tcPr>
            <w:tcW w:w="272" w:type="dxa"/>
            <w:noWrap/>
            <w:vAlign w:val="bottom"/>
            <w:hideMark/>
          </w:tcPr>
          <w:p w14:paraId="44AD21CC" w14:textId="77777777" w:rsidR="00A004EC" w:rsidRPr="00FA7D1C" w:rsidRDefault="00A004EC" w:rsidP="008E0A94">
            <w:pPr>
              <w:spacing w:before="120" w:after="60"/>
              <w:jc w:val="right"/>
              <w:rPr>
                <w:rFonts w:ascii="Arial" w:hAnsi="Arial" w:cs="Arial"/>
                <w:sz w:val="20"/>
                <w:szCs w:val="20"/>
                <w:lang w:eastAsia="vi-VN"/>
              </w:rPr>
            </w:pPr>
          </w:p>
        </w:tc>
        <w:tc>
          <w:tcPr>
            <w:tcW w:w="1531" w:type="dxa"/>
            <w:noWrap/>
            <w:vAlign w:val="bottom"/>
            <w:hideMark/>
          </w:tcPr>
          <w:p w14:paraId="40F6655A" w14:textId="77777777" w:rsidR="00A004EC" w:rsidRDefault="00A004EC" w:rsidP="008E0A94">
            <w:pPr>
              <w:spacing w:before="120"/>
              <w:ind w:right="350"/>
              <w:jc w:val="right"/>
              <w:rPr>
                <w:rFonts w:ascii="Arial" w:hAnsi="Arial" w:cs="Arial"/>
                <w:color w:val="000000"/>
                <w:sz w:val="20"/>
                <w:szCs w:val="20"/>
              </w:rPr>
            </w:pPr>
            <w:r>
              <w:rPr>
                <w:rFonts w:ascii="Arial" w:hAnsi="Arial" w:cs="Arial"/>
                <w:color w:val="000000"/>
                <w:sz w:val="20"/>
                <w:szCs w:val="20"/>
              </w:rPr>
              <w:t>-12.1</w:t>
            </w:r>
          </w:p>
        </w:tc>
        <w:tc>
          <w:tcPr>
            <w:tcW w:w="1292" w:type="dxa"/>
            <w:noWrap/>
            <w:vAlign w:val="bottom"/>
            <w:hideMark/>
          </w:tcPr>
          <w:p w14:paraId="479B0A28" w14:textId="77777777" w:rsidR="00A004EC" w:rsidRDefault="00A004EC" w:rsidP="008E0A94">
            <w:pPr>
              <w:spacing w:before="120"/>
              <w:ind w:right="316"/>
              <w:jc w:val="right"/>
              <w:rPr>
                <w:rFonts w:ascii="Arial" w:hAnsi="Arial" w:cs="Arial"/>
                <w:color w:val="000000"/>
                <w:sz w:val="20"/>
                <w:szCs w:val="20"/>
              </w:rPr>
            </w:pPr>
            <w:r>
              <w:rPr>
                <w:rFonts w:ascii="Arial" w:hAnsi="Arial" w:cs="Arial"/>
                <w:color w:val="000000"/>
                <w:sz w:val="20"/>
                <w:szCs w:val="20"/>
              </w:rPr>
              <w:t>-23.5</w:t>
            </w:r>
          </w:p>
        </w:tc>
      </w:tr>
      <w:tr w:rsidR="00A004EC" w:rsidRPr="00387E47" w14:paraId="44198ECE" w14:textId="77777777" w:rsidTr="008E0A94">
        <w:trPr>
          <w:cantSplit/>
          <w:trHeight w:val="315"/>
          <w:jc w:val="right"/>
        </w:trPr>
        <w:tc>
          <w:tcPr>
            <w:tcW w:w="2063" w:type="dxa"/>
            <w:noWrap/>
            <w:vAlign w:val="bottom"/>
            <w:hideMark/>
          </w:tcPr>
          <w:p w14:paraId="62F5169D" w14:textId="77777777" w:rsidR="00A004EC" w:rsidRPr="00387E47" w:rsidRDefault="00A004EC" w:rsidP="008E0A94">
            <w:pPr>
              <w:spacing w:before="40" w:after="40" w:line="276" w:lineRule="auto"/>
              <w:ind w:firstLineChars="100" w:firstLine="200"/>
              <w:rPr>
                <w:sz w:val="20"/>
                <w:szCs w:val="20"/>
              </w:rPr>
            </w:pPr>
            <w:r w:rsidRPr="00387E47">
              <w:rPr>
                <w:sz w:val="20"/>
                <w:szCs w:val="20"/>
              </w:rPr>
              <w:t>Road</w:t>
            </w:r>
          </w:p>
        </w:tc>
        <w:tc>
          <w:tcPr>
            <w:tcW w:w="1951" w:type="dxa"/>
            <w:noWrap/>
            <w:vAlign w:val="bottom"/>
            <w:hideMark/>
          </w:tcPr>
          <w:p w14:paraId="6F71605F" w14:textId="77777777" w:rsidR="00A004EC" w:rsidRDefault="00A004EC" w:rsidP="008E0A94">
            <w:pPr>
              <w:spacing w:before="120"/>
              <w:ind w:right="395"/>
              <w:jc w:val="right"/>
              <w:rPr>
                <w:rFonts w:ascii="Arial" w:hAnsi="Arial" w:cs="Arial"/>
                <w:sz w:val="20"/>
                <w:szCs w:val="20"/>
              </w:rPr>
            </w:pPr>
            <w:r>
              <w:rPr>
                <w:rFonts w:ascii="Arial" w:hAnsi="Arial" w:cs="Arial"/>
                <w:sz w:val="20"/>
                <w:szCs w:val="20"/>
              </w:rPr>
              <w:t xml:space="preserve">     496.9 </w:t>
            </w:r>
          </w:p>
        </w:tc>
        <w:tc>
          <w:tcPr>
            <w:tcW w:w="2110" w:type="dxa"/>
            <w:noWrap/>
            <w:vAlign w:val="bottom"/>
            <w:hideMark/>
          </w:tcPr>
          <w:p w14:paraId="6B8B0675" w14:textId="77777777" w:rsidR="00A004EC" w:rsidRDefault="00A004EC" w:rsidP="008E0A94">
            <w:pPr>
              <w:spacing w:before="120"/>
              <w:ind w:right="550"/>
              <w:jc w:val="right"/>
              <w:rPr>
                <w:rFonts w:ascii="Arial" w:hAnsi="Arial" w:cs="Arial"/>
                <w:sz w:val="20"/>
                <w:szCs w:val="20"/>
              </w:rPr>
            </w:pPr>
            <w:r>
              <w:rPr>
                <w:rFonts w:ascii="Arial" w:hAnsi="Arial" w:cs="Arial"/>
                <w:sz w:val="20"/>
                <w:szCs w:val="20"/>
              </w:rPr>
              <w:t xml:space="preserve">       18.5 </w:t>
            </w:r>
          </w:p>
        </w:tc>
        <w:tc>
          <w:tcPr>
            <w:tcW w:w="272" w:type="dxa"/>
            <w:noWrap/>
            <w:vAlign w:val="bottom"/>
            <w:hideMark/>
          </w:tcPr>
          <w:p w14:paraId="4F83B0B6" w14:textId="77777777" w:rsidR="00A004EC" w:rsidRPr="00FA7D1C" w:rsidRDefault="00A004EC" w:rsidP="008E0A94">
            <w:pPr>
              <w:spacing w:before="120" w:after="60"/>
              <w:jc w:val="right"/>
              <w:rPr>
                <w:rFonts w:ascii="Arial" w:hAnsi="Arial" w:cs="Arial"/>
                <w:sz w:val="20"/>
                <w:szCs w:val="20"/>
                <w:lang w:eastAsia="vi-VN"/>
              </w:rPr>
            </w:pPr>
          </w:p>
        </w:tc>
        <w:tc>
          <w:tcPr>
            <w:tcW w:w="1531" w:type="dxa"/>
            <w:noWrap/>
            <w:vAlign w:val="bottom"/>
            <w:hideMark/>
          </w:tcPr>
          <w:p w14:paraId="0A1F19DA" w14:textId="77777777" w:rsidR="00A004EC" w:rsidRDefault="00A004EC" w:rsidP="008E0A94">
            <w:pPr>
              <w:spacing w:before="120"/>
              <w:ind w:right="350"/>
              <w:jc w:val="right"/>
              <w:rPr>
                <w:rFonts w:ascii="Arial" w:hAnsi="Arial" w:cs="Arial"/>
                <w:color w:val="000000"/>
                <w:sz w:val="20"/>
                <w:szCs w:val="20"/>
              </w:rPr>
            </w:pPr>
            <w:r>
              <w:rPr>
                <w:rFonts w:ascii="Arial" w:hAnsi="Arial" w:cs="Arial"/>
                <w:color w:val="000000"/>
                <w:sz w:val="20"/>
                <w:szCs w:val="20"/>
              </w:rPr>
              <w:t>-22.2</w:t>
            </w:r>
          </w:p>
        </w:tc>
        <w:tc>
          <w:tcPr>
            <w:tcW w:w="1292" w:type="dxa"/>
            <w:noWrap/>
            <w:vAlign w:val="bottom"/>
            <w:hideMark/>
          </w:tcPr>
          <w:p w14:paraId="662F6A9A" w14:textId="77777777" w:rsidR="00A004EC" w:rsidRDefault="00A004EC" w:rsidP="008E0A94">
            <w:pPr>
              <w:spacing w:before="120"/>
              <w:ind w:right="316"/>
              <w:jc w:val="right"/>
              <w:rPr>
                <w:rFonts w:ascii="Arial" w:hAnsi="Arial" w:cs="Arial"/>
                <w:color w:val="000000"/>
                <w:sz w:val="20"/>
                <w:szCs w:val="20"/>
              </w:rPr>
            </w:pPr>
            <w:r>
              <w:rPr>
                <w:rFonts w:ascii="Arial" w:hAnsi="Arial" w:cs="Arial"/>
                <w:color w:val="000000"/>
                <w:sz w:val="20"/>
                <w:szCs w:val="20"/>
              </w:rPr>
              <w:t>-22.9</w:t>
            </w:r>
          </w:p>
        </w:tc>
      </w:tr>
      <w:tr w:rsidR="00A004EC" w:rsidRPr="00387E47" w14:paraId="30A56FF3" w14:textId="77777777" w:rsidTr="008E0A94">
        <w:trPr>
          <w:cantSplit/>
          <w:trHeight w:val="315"/>
          <w:jc w:val="right"/>
        </w:trPr>
        <w:tc>
          <w:tcPr>
            <w:tcW w:w="2063" w:type="dxa"/>
            <w:tcBorders>
              <w:top w:val="nil"/>
              <w:left w:val="nil"/>
              <w:bottom w:val="single" w:sz="4" w:space="0" w:color="auto"/>
              <w:right w:val="nil"/>
            </w:tcBorders>
            <w:noWrap/>
            <w:vAlign w:val="bottom"/>
            <w:hideMark/>
          </w:tcPr>
          <w:p w14:paraId="23884E27" w14:textId="77777777" w:rsidR="00A004EC" w:rsidRPr="00387E47" w:rsidRDefault="00A004EC" w:rsidP="008E0A94">
            <w:pPr>
              <w:spacing w:before="40" w:after="40" w:line="276" w:lineRule="auto"/>
              <w:ind w:firstLineChars="100" w:firstLine="200"/>
              <w:rPr>
                <w:sz w:val="20"/>
                <w:szCs w:val="20"/>
              </w:rPr>
            </w:pPr>
            <w:r w:rsidRPr="00387E47">
              <w:rPr>
                <w:sz w:val="20"/>
                <w:szCs w:val="20"/>
              </w:rPr>
              <w:t>Airway</w:t>
            </w:r>
          </w:p>
        </w:tc>
        <w:tc>
          <w:tcPr>
            <w:tcW w:w="1951" w:type="dxa"/>
            <w:tcBorders>
              <w:top w:val="nil"/>
              <w:left w:val="nil"/>
              <w:bottom w:val="single" w:sz="4" w:space="0" w:color="auto"/>
              <w:right w:val="nil"/>
            </w:tcBorders>
            <w:noWrap/>
            <w:vAlign w:val="bottom"/>
            <w:hideMark/>
          </w:tcPr>
          <w:p w14:paraId="3F2AF56D" w14:textId="77777777" w:rsidR="00A004EC" w:rsidRDefault="00A004EC" w:rsidP="008E0A94">
            <w:pPr>
              <w:spacing w:before="120"/>
              <w:ind w:right="395"/>
              <w:jc w:val="right"/>
              <w:rPr>
                <w:rFonts w:ascii="Arial" w:hAnsi="Arial" w:cs="Arial"/>
                <w:sz w:val="20"/>
                <w:szCs w:val="20"/>
              </w:rPr>
            </w:pPr>
            <w:r>
              <w:rPr>
                <w:rFonts w:ascii="Arial" w:hAnsi="Arial" w:cs="Arial"/>
                <w:sz w:val="20"/>
                <w:szCs w:val="20"/>
              </w:rPr>
              <w:t xml:space="preserve">         1.9 </w:t>
            </w:r>
          </w:p>
        </w:tc>
        <w:tc>
          <w:tcPr>
            <w:tcW w:w="2110" w:type="dxa"/>
            <w:tcBorders>
              <w:top w:val="nil"/>
              <w:left w:val="nil"/>
              <w:bottom w:val="single" w:sz="4" w:space="0" w:color="auto"/>
              <w:right w:val="nil"/>
            </w:tcBorders>
            <w:noWrap/>
            <w:vAlign w:val="bottom"/>
            <w:hideMark/>
          </w:tcPr>
          <w:p w14:paraId="6E162678" w14:textId="77777777" w:rsidR="00A004EC" w:rsidRDefault="00A004EC" w:rsidP="008E0A94">
            <w:pPr>
              <w:spacing w:before="120"/>
              <w:ind w:right="550"/>
              <w:jc w:val="right"/>
              <w:rPr>
                <w:rFonts w:ascii="Arial" w:hAnsi="Arial" w:cs="Arial"/>
                <w:sz w:val="20"/>
                <w:szCs w:val="20"/>
              </w:rPr>
            </w:pPr>
            <w:r>
              <w:rPr>
                <w:rFonts w:ascii="Arial" w:hAnsi="Arial" w:cs="Arial"/>
                <w:sz w:val="20"/>
                <w:szCs w:val="20"/>
              </w:rPr>
              <w:t xml:space="preserve">         2.0 </w:t>
            </w:r>
          </w:p>
        </w:tc>
        <w:tc>
          <w:tcPr>
            <w:tcW w:w="272" w:type="dxa"/>
            <w:tcBorders>
              <w:top w:val="nil"/>
              <w:left w:val="nil"/>
              <w:bottom w:val="single" w:sz="4" w:space="0" w:color="auto"/>
              <w:right w:val="nil"/>
            </w:tcBorders>
            <w:noWrap/>
            <w:vAlign w:val="bottom"/>
            <w:hideMark/>
          </w:tcPr>
          <w:p w14:paraId="62CEBB8F" w14:textId="77777777" w:rsidR="00A004EC" w:rsidRPr="00FA7D1C" w:rsidRDefault="00A004EC" w:rsidP="008E0A94">
            <w:pPr>
              <w:spacing w:before="120" w:after="60"/>
              <w:jc w:val="right"/>
              <w:rPr>
                <w:rFonts w:ascii="Arial" w:hAnsi="Arial" w:cs="Arial"/>
                <w:sz w:val="20"/>
                <w:szCs w:val="20"/>
                <w:lang w:eastAsia="vi-VN"/>
              </w:rPr>
            </w:pPr>
          </w:p>
        </w:tc>
        <w:tc>
          <w:tcPr>
            <w:tcW w:w="1531" w:type="dxa"/>
            <w:tcBorders>
              <w:top w:val="nil"/>
              <w:left w:val="nil"/>
              <w:bottom w:val="single" w:sz="4" w:space="0" w:color="auto"/>
              <w:right w:val="nil"/>
            </w:tcBorders>
            <w:noWrap/>
            <w:vAlign w:val="bottom"/>
            <w:hideMark/>
          </w:tcPr>
          <w:p w14:paraId="2FFE416E" w14:textId="77777777" w:rsidR="00A004EC" w:rsidRDefault="00A004EC" w:rsidP="008E0A94">
            <w:pPr>
              <w:spacing w:before="120"/>
              <w:ind w:right="350"/>
              <w:jc w:val="right"/>
              <w:rPr>
                <w:rFonts w:ascii="Arial" w:hAnsi="Arial" w:cs="Arial"/>
                <w:color w:val="000000"/>
                <w:sz w:val="20"/>
                <w:szCs w:val="20"/>
              </w:rPr>
            </w:pPr>
            <w:r>
              <w:rPr>
                <w:rFonts w:ascii="Arial" w:hAnsi="Arial" w:cs="Arial"/>
                <w:color w:val="000000"/>
                <w:sz w:val="20"/>
                <w:szCs w:val="20"/>
              </w:rPr>
              <w:t>-53.9</w:t>
            </w:r>
          </w:p>
        </w:tc>
        <w:tc>
          <w:tcPr>
            <w:tcW w:w="1292" w:type="dxa"/>
            <w:tcBorders>
              <w:top w:val="nil"/>
              <w:left w:val="nil"/>
              <w:bottom w:val="single" w:sz="4" w:space="0" w:color="auto"/>
              <w:right w:val="nil"/>
            </w:tcBorders>
            <w:noWrap/>
            <w:vAlign w:val="bottom"/>
            <w:hideMark/>
          </w:tcPr>
          <w:p w14:paraId="4820E2B1" w14:textId="77777777" w:rsidR="00A004EC" w:rsidRDefault="00A004EC" w:rsidP="008E0A94">
            <w:pPr>
              <w:spacing w:before="120"/>
              <w:ind w:right="316"/>
              <w:jc w:val="right"/>
              <w:rPr>
                <w:rFonts w:ascii="Arial" w:hAnsi="Arial" w:cs="Arial"/>
                <w:color w:val="000000"/>
                <w:sz w:val="20"/>
                <w:szCs w:val="20"/>
              </w:rPr>
            </w:pPr>
            <w:r>
              <w:rPr>
                <w:rFonts w:ascii="Arial" w:hAnsi="Arial" w:cs="Arial"/>
                <w:color w:val="000000"/>
                <w:sz w:val="20"/>
                <w:szCs w:val="20"/>
              </w:rPr>
              <w:t>-43.3</w:t>
            </w:r>
          </w:p>
        </w:tc>
      </w:tr>
    </w:tbl>
    <w:p w14:paraId="6DD6F9A7" w14:textId="23755DC0" w:rsidR="00437B85" w:rsidRDefault="00437B85" w:rsidP="00437B85">
      <w:pPr>
        <w:spacing w:before="120" w:after="120" w:line="264" w:lineRule="auto"/>
        <w:ind w:firstLine="720"/>
        <w:jc w:val="both"/>
        <w:rPr>
          <w:rFonts w:eastAsia="Calibri"/>
          <w:lang w:val="es-NI" w:eastAsia="x-none"/>
        </w:rPr>
      </w:pPr>
      <w:bookmarkStart w:id="4" w:name="_Hlk86823246"/>
      <w:r w:rsidRPr="00387E47">
        <w:rPr>
          <w:bCs/>
          <w:i/>
          <w:spacing w:val="-4"/>
          <w:lang w:val="fr-FR"/>
        </w:rPr>
        <w:t>Freight</w:t>
      </w:r>
      <w:r>
        <w:rPr>
          <w:bCs/>
          <w:i/>
          <w:spacing w:val="-4"/>
          <w:lang w:val="fr-FR"/>
        </w:rPr>
        <w:t xml:space="preserve"> </w:t>
      </w:r>
      <w:r w:rsidRPr="00387E47">
        <w:rPr>
          <w:bCs/>
          <w:i/>
          <w:spacing w:val="-4"/>
          <w:lang w:val="fr-FR"/>
        </w:rPr>
        <w:t>carried</w:t>
      </w:r>
      <w:r w:rsidRPr="00387E47">
        <w:rPr>
          <w:bCs/>
          <w:iCs/>
          <w:spacing w:val="-4"/>
          <w:lang w:val="fr-FR"/>
        </w:rPr>
        <w:t xml:space="preserve"> </w:t>
      </w:r>
      <w:r w:rsidRPr="008536C7">
        <w:rPr>
          <w:rFonts w:eastAsia="Calibri"/>
          <w:lang w:val="es-NI" w:eastAsia="x-none"/>
        </w:rPr>
        <w:t>in February 2022 was estimated at 166.7 million tons, decreased by 4.4% compared to the previous month, and freight traffic 31 billion tons- km, down 4.9%. Generally, in the first 2 months, freight carried reached 341.1 million tons, up 6.9% against the similar period last year (the same period in 2021 increased by 8.7%), freight traffic gained 63.6 billion tons-km, up 9.9% (the same period of 2021 increased by 4.2%)</w:t>
      </w:r>
      <w:bookmarkEnd w:id="4"/>
      <w:r w:rsidRPr="008536C7">
        <w:rPr>
          <w:rFonts w:eastAsia="Calibri"/>
          <w:lang w:val="es-NI" w:eastAsia="x-none"/>
        </w:rPr>
        <w:t xml:space="preserve">, of which domestic freight carried recorded 335.8 million tons, an increase of  7% and 39.7 billion tons-km, up 12%; </w:t>
      </w:r>
      <w:r w:rsidRPr="008536C7">
        <w:rPr>
          <w:rFonts w:eastAsia="Calibri"/>
          <w:lang w:val="es-NI" w:eastAsia="x-none"/>
        </w:rPr>
        <w:lastRenderedPageBreak/>
        <w:t>oversea freight reached 5.3 million tons, increasing by 1.5% and 23.9 billion tons-km, up 6.5%.</w:t>
      </w:r>
    </w:p>
    <w:p w14:paraId="689A582D" w14:textId="77777777" w:rsidR="007469AE" w:rsidRPr="00387E47" w:rsidRDefault="007469AE" w:rsidP="00437B85">
      <w:pPr>
        <w:spacing w:before="120" w:after="120" w:line="264" w:lineRule="auto"/>
        <w:ind w:firstLine="720"/>
        <w:jc w:val="both"/>
        <w:rPr>
          <w:bCs/>
          <w:iCs/>
          <w:lang w:val="fr-FR"/>
        </w:rPr>
      </w:pPr>
    </w:p>
    <w:p w14:paraId="2EA5E750" w14:textId="77777777" w:rsidR="00F71440" w:rsidRPr="00E51A29" w:rsidRDefault="00F71440" w:rsidP="00F71440">
      <w:pPr>
        <w:spacing w:before="120"/>
        <w:jc w:val="center"/>
        <w:rPr>
          <w:rFonts w:ascii="Arial" w:hAnsi="Arial" w:cs="Arial"/>
          <w:b/>
          <w:bCs/>
          <w:sz w:val="2"/>
          <w:szCs w:val="24"/>
          <w:lang w:val="fr-FR"/>
        </w:rPr>
      </w:pPr>
    </w:p>
    <w:p w14:paraId="71F0680E" w14:textId="77777777" w:rsidR="005414DF" w:rsidRDefault="005414DF" w:rsidP="00F71440">
      <w:pPr>
        <w:spacing w:before="120"/>
        <w:jc w:val="center"/>
        <w:rPr>
          <w:b/>
          <w:bCs/>
          <w:lang w:val="fr-FR"/>
        </w:rPr>
      </w:pPr>
      <w:r w:rsidRPr="00C24002">
        <w:rPr>
          <w:b/>
          <w:bCs/>
        </w:rPr>
        <w:t xml:space="preserve">Table 7. </w:t>
      </w:r>
      <w:r w:rsidRPr="00C24002">
        <w:rPr>
          <w:b/>
          <w:bCs/>
          <w:lang w:val="fr-FR"/>
        </w:rPr>
        <w:t xml:space="preserve">Carriage of freight in </w:t>
      </w:r>
      <w:r w:rsidRPr="00C24002">
        <w:rPr>
          <w:b/>
          <w:bCs/>
          <w:iCs/>
          <w:lang w:val="fr-FR"/>
        </w:rPr>
        <w:t>the first 2 months of</w:t>
      </w:r>
      <w:r w:rsidRPr="00C24002">
        <w:rPr>
          <w:b/>
          <w:bCs/>
          <w:lang w:val="fr-FR"/>
        </w:rPr>
        <w:t xml:space="preserve">  2022</w:t>
      </w:r>
    </w:p>
    <w:p w14:paraId="177BCFF5" w14:textId="5B6FFAAB" w:rsidR="00F71440" w:rsidRPr="00653776" w:rsidRDefault="005414DF" w:rsidP="00F71440">
      <w:pPr>
        <w:spacing w:before="120"/>
        <w:jc w:val="center"/>
        <w:rPr>
          <w:rFonts w:ascii="Arial" w:hAnsi="Arial" w:cs="Arial"/>
          <w:b/>
          <w:bCs/>
          <w:sz w:val="4"/>
          <w:szCs w:val="4"/>
          <w:lang w:val="fr-FR"/>
        </w:rPr>
      </w:pPr>
      <w:r>
        <w:rPr>
          <w:b/>
          <w:bCs/>
          <w:lang w:val="fr-FR"/>
        </w:rPr>
        <w:t xml:space="preserve"> </w:t>
      </w:r>
      <w:r w:rsidRPr="00C24002">
        <w:rPr>
          <w:b/>
          <w:bCs/>
          <w:lang w:val="fr-FR"/>
        </w:rPr>
        <w:t>by types of transport</w:t>
      </w:r>
    </w:p>
    <w:p w14:paraId="03E59517" w14:textId="77777777" w:rsidR="00F71440" w:rsidRPr="00E64F1F" w:rsidRDefault="00F71440" w:rsidP="00F71440">
      <w:pPr>
        <w:spacing w:before="120"/>
        <w:jc w:val="center"/>
        <w:rPr>
          <w:rFonts w:ascii="Arial" w:hAnsi="Arial" w:cs="Arial"/>
          <w:b/>
          <w:bCs/>
          <w:sz w:val="2"/>
          <w:szCs w:val="24"/>
          <w:lang w:val="fr-FR"/>
        </w:rPr>
      </w:pPr>
    </w:p>
    <w:tbl>
      <w:tblPr>
        <w:tblW w:w="8382" w:type="dxa"/>
        <w:jc w:val="center"/>
        <w:tblLook w:val="04A0" w:firstRow="1" w:lastRow="0" w:firstColumn="1" w:lastColumn="0" w:noHBand="0" w:noVBand="1"/>
      </w:tblPr>
      <w:tblGrid>
        <w:gridCol w:w="2197"/>
        <w:gridCol w:w="1418"/>
        <w:gridCol w:w="1621"/>
        <w:gridCol w:w="311"/>
        <w:gridCol w:w="1310"/>
        <w:gridCol w:w="1525"/>
      </w:tblGrid>
      <w:tr w:rsidR="00E14EBC" w:rsidRPr="00387E47" w14:paraId="0D3AB16D" w14:textId="77777777" w:rsidTr="008E0A94">
        <w:trPr>
          <w:trHeight w:val="466"/>
          <w:jc w:val="center"/>
        </w:trPr>
        <w:tc>
          <w:tcPr>
            <w:tcW w:w="2197" w:type="dxa"/>
            <w:tcBorders>
              <w:top w:val="single" w:sz="4" w:space="0" w:color="auto"/>
              <w:left w:val="nil"/>
              <w:bottom w:val="nil"/>
              <w:right w:val="nil"/>
            </w:tcBorders>
            <w:vAlign w:val="center"/>
            <w:hideMark/>
          </w:tcPr>
          <w:p w14:paraId="082489A3" w14:textId="77777777" w:rsidR="00E14EBC" w:rsidRPr="00387E47" w:rsidRDefault="00E14EBC" w:rsidP="008E0A94">
            <w:pPr>
              <w:spacing w:line="276" w:lineRule="auto"/>
              <w:rPr>
                <w:sz w:val="22"/>
                <w:szCs w:val="22"/>
                <w:lang w:val="en-GB" w:eastAsia="vi-VN"/>
              </w:rPr>
            </w:pPr>
            <w:r w:rsidRPr="00387E47">
              <w:rPr>
                <w:sz w:val="22"/>
                <w:szCs w:val="22"/>
                <w:lang w:eastAsia="vi-VN"/>
              </w:rPr>
              <w:t> </w:t>
            </w:r>
          </w:p>
        </w:tc>
        <w:tc>
          <w:tcPr>
            <w:tcW w:w="3039" w:type="dxa"/>
            <w:gridSpan w:val="2"/>
            <w:tcBorders>
              <w:top w:val="single" w:sz="4" w:space="0" w:color="auto"/>
              <w:left w:val="nil"/>
              <w:bottom w:val="single" w:sz="4" w:space="0" w:color="auto"/>
              <w:right w:val="nil"/>
            </w:tcBorders>
            <w:vAlign w:val="center"/>
            <w:hideMark/>
          </w:tcPr>
          <w:p w14:paraId="7CC0D9C6" w14:textId="77777777" w:rsidR="00E14EBC" w:rsidRPr="00387E47" w:rsidRDefault="00E14EBC" w:rsidP="008E0A94">
            <w:pPr>
              <w:spacing w:line="276" w:lineRule="auto"/>
              <w:jc w:val="center"/>
              <w:rPr>
                <w:color w:val="000000"/>
                <w:sz w:val="22"/>
                <w:szCs w:val="22"/>
                <w:lang w:eastAsia="vi-VN"/>
              </w:rPr>
            </w:pPr>
            <w:r w:rsidRPr="00387E47">
              <w:rPr>
                <w:color w:val="000000"/>
                <w:sz w:val="22"/>
                <w:szCs w:val="22"/>
                <w:lang w:eastAsia="vi-VN"/>
              </w:rPr>
              <w:t>Quantity of goods</w:t>
            </w:r>
          </w:p>
        </w:tc>
        <w:tc>
          <w:tcPr>
            <w:tcW w:w="311" w:type="dxa"/>
            <w:tcBorders>
              <w:top w:val="single" w:sz="4" w:space="0" w:color="auto"/>
              <w:left w:val="nil"/>
              <w:bottom w:val="single" w:sz="4" w:space="0" w:color="auto"/>
              <w:right w:val="nil"/>
            </w:tcBorders>
            <w:vAlign w:val="center"/>
            <w:hideMark/>
          </w:tcPr>
          <w:p w14:paraId="0D6F7D8A" w14:textId="77777777" w:rsidR="00E14EBC" w:rsidRPr="00387E47" w:rsidRDefault="00E14EBC" w:rsidP="008E0A94">
            <w:pPr>
              <w:spacing w:line="276" w:lineRule="auto"/>
              <w:jc w:val="center"/>
              <w:rPr>
                <w:color w:val="000000"/>
                <w:sz w:val="22"/>
                <w:szCs w:val="22"/>
                <w:lang w:val="en-GB" w:eastAsia="vi-VN"/>
              </w:rPr>
            </w:pPr>
            <w:r w:rsidRPr="00387E47">
              <w:rPr>
                <w:color w:val="000000"/>
                <w:sz w:val="22"/>
                <w:szCs w:val="22"/>
                <w:lang w:eastAsia="vi-VN"/>
              </w:rPr>
              <w:t> </w:t>
            </w:r>
          </w:p>
        </w:tc>
        <w:tc>
          <w:tcPr>
            <w:tcW w:w="2835" w:type="dxa"/>
            <w:gridSpan w:val="2"/>
            <w:tcBorders>
              <w:top w:val="single" w:sz="4" w:space="0" w:color="auto"/>
              <w:left w:val="nil"/>
              <w:bottom w:val="single" w:sz="4" w:space="0" w:color="auto"/>
              <w:right w:val="nil"/>
            </w:tcBorders>
            <w:vAlign w:val="center"/>
            <w:hideMark/>
          </w:tcPr>
          <w:p w14:paraId="092FCD4F" w14:textId="77777777" w:rsidR="00E14EBC" w:rsidRDefault="00E14EBC" w:rsidP="008E0A94">
            <w:pPr>
              <w:spacing w:before="60" w:after="60" w:line="276" w:lineRule="auto"/>
              <w:jc w:val="center"/>
              <w:rPr>
                <w:color w:val="000000"/>
                <w:sz w:val="22"/>
                <w:szCs w:val="22"/>
                <w:lang w:eastAsia="vi-VN"/>
              </w:rPr>
            </w:pPr>
            <w:r w:rsidRPr="00387E47">
              <w:rPr>
                <w:color w:val="000000"/>
                <w:sz w:val="22"/>
                <w:szCs w:val="22"/>
                <w:lang w:eastAsia="vi-VN"/>
              </w:rPr>
              <w:t xml:space="preserve">The growth rate </w:t>
            </w:r>
          </w:p>
          <w:p w14:paraId="09E40FB1" w14:textId="77777777" w:rsidR="00E14EBC" w:rsidRPr="00387E47" w:rsidRDefault="00E14EBC" w:rsidP="008E0A94">
            <w:pPr>
              <w:spacing w:before="60" w:after="60" w:line="276" w:lineRule="auto"/>
              <w:jc w:val="center"/>
              <w:rPr>
                <w:color w:val="000000"/>
                <w:sz w:val="22"/>
                <w:szCs w:val="22"/>
                <w:lang w:eastAsia="vi-VN"/>
              </w:rPr>
            </w:pPr>
            <w:r w:rsidRPr="00387E47">
              <w:rPr>
                <w:color w:val="000000"/>
                <w:sz w:val="22"/>
                <w:szCs w:val="22"/>
                <w:lang w:eastAsia="vi-VN"/>
              </w:rPr>
              <w:t>compared to the same period last year (%)</w:t>
            </w:r>
          </w:p>
        </w:tc>
      </w:tr>
      <w:tr w:rsidR="00E14EBC" w:rsidRPr="00387E47" w14:paraId="69A40DDA" w14:textId="77777777" w:rsidTr="008E0A94">
        <w:trPr>
          <w:trHeight w:val="416"/>
          <w:jc w:val="center"/>
        </w:trPr>
        <w:tc>
          <w:tcPr>
            <w:tcW w:w="2197" w:type="dxa"/>
            <w:vAlign w:val="center"/>
            <w:hideMark/>
          </w:tcPr>
          <w:p w14:paraId="1FB557F3" w14:textId="77777777" w:rsidR="00E14EBC" w:rsidRPr="00387E47" w:rsidRDefault="00E14EBC" w:rsidP="008E0A94">
            <w:pPr>
              <w:spacing w:line="276" w:lineRule="auto"/>
              <w:rPr>
                <w:color w:val="000000"/>
                <w:sz w:val="22"/>
                <w:szCs w:val="22"/>
                <w:lang w:eastAsia="vi-VN"/>
              </w:rPr>
            </w:pPr>
          </w:p>
        </w:tc>
        <w:tc>
          <w:tcPr>
            <w:tcW w:w="1418" w:type="dxa"/>
            <w:tcBorders>
              <w:top w:val="single" w:sz="4" w:space="0" w:color="auto"/>
              <w:left w:val="nil"/>
              <w:bottom w:val="single" w:sz="4" w:space="0" w:color="auto"/>
              <w:right w:val="nil"/>
            </w:tcBorders>
            <w:vAlign w:val="center"/>
            <w:hideMark/>
          </w:tcPr>
          <w:p w14:paraId="0AFBC558" w14:textId="77777777" w:rsidR="00E14EBC" w:rsidRPr="00387E47" w:rsidRDefault="00E14EBC" w:rsidP="008E0A94">
            <w:pPr>
              <w:spacing w:before="40" w:after="40" w:line="276" w:lineRule="auto"/>
              <w:jc w:val="center"/>
              <w:rPr>
                <w:sz w:val="22"/>
                <w:szCs w:val="22"/>
                <w:lang w:eastAsia="vi-VN"/>
              </w:rPr>
            </w:pPr>
            <w:r w:rsidRPr="00387E47">
              <w:rPr>
                <w:sz w:val="22"/>
                <w:szCs w:val="22"/>
                <w:lang w:eastAsia="vi-VN"/>
              </w:rPr>
              <w:t>Carried</w:t>
            </w:r>
            <w:r w:rsidRPr="00387E47">
              <w:rPr>
                <w:sz w:val="22"/>
                <w:szCs w:val="22"/>
                <w:lang w:eastAsia="vi-VN"/>
              </w:rPr>
              <w:br/>
              <w:t>(Mill. tons)</w:t>
            </w:r>
          </w:p>
        </w:tc>
        <w:tc>
          <w:tcPr>
            <w:tcW w:w="1621" w:type="dxa"/>
            <w:tcBorders>
              <w:top w:val="single" w:sz="4" w:space="0" w:color="auto"/>
              <w:left w:val="nil"/>
              <w:bottom w:val="single" w:sz="4" w:space="0" w:color="auto"/>
              <w:right w:val="nil"/>
            </w:tcBorders>
            <w:vAlign w:val="center"/>
            <w:hideMark/>
          </w:tcPr>
          <w:p w14:paraId="77CE800E" w14:textId="77777777" w:rsidR="00E14EBC" w:rsidRPr="00387E47" w:rsidRDefault="00E14EBC" w:rsidP="008E0A94">
            <w:pPr>
              <w:spacing w:before="40" w:after="40" w:line="276" w:lineRule="auto"/>
              <w:jc w:val="center"/>
              <w:rPr>
                <w:sz w:val="22"/>
                <w:szCs w:val="22"/>
                <w:lang w:eastAsia="vi-VN"/>
              </w:rPr>
            </w:pPr>
            <w:r w:rsidRPr="00387E47">
              <w:rPr>
                <w:sz w:val="22"/>
                <w:szCs w:val="22"/>
                <w:lang w:eastAsia="vi-VN"/>
              </w:rPr>
              <w:t>Traffic</w:t>
            </w:r>
            <w:r w:rsidRPr="00387E47">
              <w:rPr>
                <w:sz w:val="22"/>
                <w:szCs w:val="22"/>
                <w:lang w:eastAsia="vi-VN"/>
              </w:rPr>
              <w:br/>
              <w:t>(Bill. tons-km)</w:t>
            </w:r>
          </w:p>
        </w:tc>
        <w:tc>
          <w:tcPr>
            <w:tcW w:w="311" w:type="dxa"/>
            <w:tcBorders>
              <w:top w:val="single" w:sz="4" w:space="0" w:color="auto"/>
              <w:left w:val="nil"/>
              <w:bottom w:val="single" w:sz="4" w:space="0" w:color="auto"/>
              <w:right w:val="nil"/>
            </w:tcBorders>
            <w:vAlign w:val="center"/>
            <w:hideMark/>
          </w:tcPr>
          <w:p w14:paraId="4813970A" w14:textId="77777777" w:rsidR="00E14EBC" w:rsidRPr="00387E47" w:rsidRDefault="00E14EBC" w:rsidP="008E0A94">
            <w:pPr>
              <w:spacing w:line="276" w:lineRule="auto"/>
              <w:rPr>
                <w:sz w:val="22"/>
                <w:szCs w:val="22"/>
                <w:lang w:eastAsia="vi-VN"/>
              </w:rPr>
            </w:pPr>
          </w:p>
        </w:tc>
        <w:tc>
          <w:tcPr>
            <w:tcW w:w="1310" w:type="dxa"/>
            <w:tcBorders>
              <w:top w:val="single" w:sz="4" w:space="0" w:color="auto"/>
              <w:left w:val="nil"/>
              <w:bottom w:val="single" w:sz="4" w:space="0" w:color="auto"/>
              <w:right w:val="nil"/>
            </w:tcBorders>
            <w:vAlign w:val="center"/>
            <w:hideMark/>
          </w:tcPr>
          <w:p w14:paraId="32964183" w14:textId="77777777" w:rsidR="00E14EBC" w:rsidRPr="00387E47" w:rsidRDefault="00E14EBC" w:rsidP="008E0A94">
            <w:pPr>
              <w:spacing w:line="276" w:lineRule="auto"/>
              <w:jc w:val="center"/>
              <w:rPr>
                <w:sz w:val="22"/>
                <w:szCs w:val="22"/>
                <w:lang w:val="en-GB" w:eastAsia="vi-VN"/>
              </w:rPr>
            </w:pPr>
            <w:r w:rsidRPr="00387E47">
              <w:rPr>
                <w:sz w:val="22"/>
                <w:szCs w:val="22"/>
                <w:lang w:eastAsia="vi-VN"/>
              </w:rPr>
              <w:t>Carried</w:t>
            </w:r>
          </w:p>
        </w:tc>
        <w:tc>
          <w:tcPr>
            <w:tcW w:w="1525" w:type="dxa"/>
            <w:tcBorders>
              <w:top w:val="single" w:sz="4" w:space="0" w:color="auto"/>
              <w:left w:val="nil"/>
              <w:bottom w:val="single" w:sz="4" w:space="0" w:color="auto"/>
              <w:right w:val="nil"/>
            </w:tcBorders>
            <w:vAlign w:val="center"/>
            <w:hideMark/>
          </w:tcPr>
          <w:p w14:paraId="495C0120" w14:textId="77777777" w:rsidR="00E14EBC" w:rsidRPr="00387E47" w:rsidRDefault="00E14EBC" w:rsidP="008E0A94">
            <w:pPr>
              <w:spacing w:line="276" w:lineRule="auto"/>
              <w:jc w:val="center"/>
              <w:rPr>
                <w:sz w:val="22"/>
                <w:szCs w:val="22"/>
                <w:lang w:eastAsia="vi-VN"/>
              </w:rPr>
            </w:pPr>
            <w:r w:rsidRPr="00387E47">
              <w:rPr>
                <w:sz w:val="22"/>
                <w:szCs w:val="22"/>
                <w:lang w:eastAsia="vi-VN"/>
              </w:rPr>
              <w:t>Traffic</w:t>
            </w:r>
          </w:p>
        </w:tc>
      </w:tr>
      <w:tr w:rsidR="00E14EBC" w:rsidRPr="00387E47" w14:paraId="1C2FB4B5" w14:textId="77777777" w:rsidTr="008E0A94">
        <w:trPr>
          <w:cantSplit/>
          <w:trHeight w:val="340"/>
          <w:jc w:val="center"/>
        </w:trPr>
        <w:tc>
          <w:tcPr>
            <w:tcW w:w="2197" w:type="dxa"/>
            <w:noWrap/>
            <w:vAlign w:val="center"/>
            <w:hideMark/>
          </w:tcPr>
          <w:p w14:paraId="55B44D3E" w14:textId="77777777" w:rsidR="00E14EBC" w:rsidRPr="00387E47" w:rsidRDefault="00E14EBC" w:rsidP="008E0A94">
            <w:pPr>
              <w:spacing w:before="120" w:after="100" w:line="276" w:lineRule="auto"/>
              <w:rPr>
                <w:b/>
                <w:bCs/>
                <w:sz w:val="22"/>
                <w:szCs w:val="22"/>
                <w:lang w:eastAsia="vi-VN"/>
              </w:rPr>
            </w:pPr>
            <w:r w:rsidRPr="00387E47">
              <w:rPr>
                <w:b/>
                <w:bCs/>
                <w:sz w:val="22"/>
                <w:szCs w:val="22"/>
                <w:lang w:eastAsia="vi-VN"/>
              </w:rPr>
              <w:t>Total</w:t>
            </w:r>
          </w:p>
        </w:tc>
        <w:tc>
          <w:tcPr>
            <w:tcW w:w="1418" w:type="dxa"/>
            <w:tcBorders>
              <w:top w:val="single" w:sz="4" w:space="0" w:color="auto"/>
              <w:left w:val="nil"/>
              <w:bottom w:val="nil"/>
              <w:right w:val="nil"/>
            </w:tcBorders>
            <w:noWrap/>
            <w:vAlign w:val="bottom"/>
            <w:hideMark/>
          </w:tcPr>
          <w:p w14:paraId="010436B1" w14:textId="77777777" w:rsidR="00E14EBC" w:rsidRDefault="00E14EBC" w:rsidP="008E0A94">
            <w:pPr>
              <w:spacing w:before="120" w:after="60" w:line="288" w:lineRule="auto"/>
              <w:ind w:right="238"/>
              <w:jc w:val="right"/>
              <w:rPr>
                <w:rFonts w:ascii="Arial" w:hAnsi="Arial" w:cs="Arial"/>
                <w:b/>
                <w:bCs/>
                <w:sz w:val="20"/>
                <w:szCs w:val="20"/>
                <w:lang w:eastAsia="vi-VN"/>
              </w:rPr>
            </w:pPr>
            <w:r>
              <w:rPr>
                <w:rFonts w:ascii="Arial" w:hAnsi="Arial" w:cs="Arial"/>
                <w:b/>
                <w:bCs/>
                <w:sz w:val="20"/>
                <w:szCs w:val="20"/>
                <w:lang w:eastAsia="vi-VN"/>
              </w:rPr>
              <w:t xml:space="preserve">341.1 </w:t>
            </w:r>
          </w:p>
        </w:tc>
        <w:tc>
          <w:tcPr>
            <w:tcW w:w="1621" w:type="dxa"/>
            <w:tcBorders>
              <w:top w:val="single" w:sz="4" w:space="0" w:color="auto"/>
              <w:left w:val="nil"/>
              <w:bottom w:val="nil"/>
              <w:right w:val="nil"/>
            </w:tcBorders>
            <w:noWrap/>
            <w:vAlign w:val="bottom"/>
            <w:hideMark/>
          </w:tcPr>
          <w:p w14:paraId="19B2DEBF" w14:textId="77777777" w:rsidR="00E14EBC" w:rsidRDefault="00E14EBC" w:rsidP="008E0A94">
            <w:pPr>
              <w:spacing w:before="120" w:after="60" w:line="288" w:lineRule="auto"/>
              <w:ind w:right="344"/>
              <w:jc w:val="right"/>
              <w:rPr>
                <w:rFonts w:ascii="Arial" w:hAnsi="Arial" w:cs="Arial"/>
                <w:b/>
                <w:bCs/>
                <w:sz w:val="20"/>
                <w:szCs w:val="20"/>
                <w:lang w:eastAsia="vi-VN"/>
              </w:rPr>
            </w:pPr>
            <w:r>
              <w:rPr>
                <w:rFonts w:ascii="Arial" w:hAnsi="Arial" w:cs="Arial"/>
                <w:b/>
                <w:bCs/>
                <w:sz w:val="20"/>
                <w:szCs w:val="20"/>
                <w:lang w:eastAsia="vi-VN"/>
              </w:rPr>
              <w:t xml:space="preserve">63.6 </w:t>
            </w:r>
          </w:p>
        </w:tc>
        <w:tc>
          <w:tcPr>
            <w:tcW w:w="311" w:type="dxa"/>
            <w:tcBorders>
              <w:top w:val="single" w:sz="4" w:space="0" w:color="auto"/>
              <w:left w:val="nil"/>
              <w:bottom w:val="nil"/>
              <w:right w:val="nil"/>
            </w:tcBorders>
            <w:noWrap/>
            <w:vAlign w:val="center"/>
            <w:hideMark/>
          </w:tcPr>
          <w:p w14:paraId="7E1812EF" w14:textId="77777777" w:rsidR="00E14EBC" w:rsidRPr="001D5C9A" w:rsidRDefault="00E14EBC" w:rsidP="008E0A94">
            <w:pPr>
              <w:spacing w:before="120" w:after="60" w:line="288" w:lineRule="auto"/>
              <w:jc w:val="right"/>
              <w:rPr>
                <w:rFonts w:ascii="Arial" w:hAnsi="Arial" w:cs="Arial"/>
                <w:b/>
                <w:bCs/>
                <w:sz w:val="20"/>
                <w:szCs w:val="20"/>
                <w:lang w:eastAsia="vi-VN"/>
              </w:rPr>
            </w:pPr>
          </w:p>
        </w:tc>
        <w:tc>
          <w:tcPr>
            <w:tcW w:w="1310" w:type="dxa"/>
            <w:tcBorders>
              <w:top w:val="single" w:sz="4" w:space="0" w:color="auto"/>
              <w:left w:val="nil"/>
              <w:bottom w:val="nil"/>
              <w:right w:val="nil"/>
            </w:tcBorders>
            <w:noWrap/>
            <w:vAlign w:val="bottom"/>
            <w:hideMark/>
          </w:tcPr>
          <w:p w14:paraId="7C9B6673" w14:textId="77777777" w:rsidR="00E14EBC" w:rsidRPr="00117D02" w:rsidRDefault="00E14EBC" w:rsidP="008E0A94">
            <w:pPr>
              <w:spacing w:before="120" w:after="60" w:line="288" w:lineRule="auto"/>
              <w:ind w:right="379"/>
              <w:jc w:val="right"/>
              <w:rPr>
                <w:rFonts w:ascii="Arial" w:hAnsi="Arial" w:cs="Arial"/>
                <w:b/>
                <w:bCs/>
                <w:sz w:val="20"/>
                <w:szCs w:val="20"/>
                <w:lang w:eastAsia="vi-VN"/>
              </w:rPr>
            </w:pPr>
            <w:r w:rsidRPr="00117D02">
              <w:rPr>
                <w:rFonts w:ascii="Arial" w:hAnsi="Arial" w:cs="Arial"/>
                <w:b/>
                <w:bCs/>
                <w:sz w:val="20"/>
                <w:szCs w:val="20"/>
                <w:lang w:eastAsia="vi-VN"/>
              </w:rPr>
              <w:t>6</w:t>
            </w:r>
            <w:r>
              <w:rPr>
                <w:rFonts w:ascii="Arial" w:hAnsi="Arial" w:cs="Arial"/>
                <w:b/>
                <w:bCs/>
                <w:sz w:val="20"/>
                <w:szCs w:val="20"/>
                <w:lang w:eastAsia="vi-VN"/>
              </w:rPr>
              <w:t>.</w:t>
            </w:r>
            <w:r w:rsidRPr="00117D02">
              <w:rPr>
                <w:rFonts w:ascii="Arial" w:hAnsi="Arial" w:cs="Arial"/>
                <w:b/>
                <w:bCs/>
                <w:sz w:val="20"/>
                <w:szCs w:val="20"/>
                <w:lang w:eastAsia="vi-VN"/>
              </w:rPr>
              <w:t>9</w:t>
            </w:r>
          </w:p>
        </w:tc>
        <w:tc>
          <w:tcPr>
            <w:tcW w:w="1525" w:type="dxa"/>
            <w:tcBorders>
              <w:top w:val="single" w:sz="4" w:space="0" w:color="auto"/>
              <w:left w:val="nil"/>
              <w:bottom w:val="nil"/>
              <w:right w:val="nil"/>
            </w:tcBorders>
            <w:noWrap/>
            <w:vAlign w:val="bottom"/>
            <w:hideMark/>
          </w:tcPr>
          <w:p w14:paraId="70B64987" w14:textId="77777777" w:rsidR="00E14EBC" w:rsidRPr="00117D02" w:rsidRDefault="00E14EBC" w:rsidP="008E0A94">
            <w:pPr>
              <w:spacing w:before="120" w:after="60" w:line="288" w:lineRule="auto"/>
              <w:ind w:right="345"/>
              <w:jc w:val="right"/>
              <w:rPr>
                <w:rFonts w:ascii="Arial" w:hAnsi="Arial" w:cs="Arial"/>
                <w:b/>
                <w:bCs/>
                <w:sz w:val="20"/>
                <w:szCs w:val="20"/>
                <w:lang w:eastAsia="vi-VN"/>
              </w:rPr>
            </w:pPr>
            <w:r w:rsidRPr="00117D02">
              <w:rPr>
                <w:rFonts w:ascii="Arial" w:hAnsi="Arial" w:cs="Arial"/>
                <w:b/>
                <w:bCs/>
                <w:sz w:val="20"/>
                <w:szCs w:val="20"/>
                <w:lang w:eastAsia="vi-VN"/>
              </w:rPr>
              <w:t>9</w:t>
            </w:r>
            <w:r>
              <w:rPr>
                <w:rFonts w:ascii="Arial" w:hAnsi="Arial" w:cs="Arial"/>
                <w:b/>
                <w:bCs/>
                <w:sz w:val="20"/>
                <w:szCs w:val="20"/>
                <w:lang w:eastAsia="vi-VN"/>
              </w:rPr>
              <w:t>.</w:t>
            </w:r>
            <w:r w:rsidRPr="00117D02">
              <w:rPr>
                <w:rFonts w:ascii="Arial" w:hAnsi="Arial" w:cs="Arial"/>
                <w:b/>
                <w:bCs/>
                <w:sz w:val="20"/>
                <w:szCs w:val="20"/>
                <w:lang w:eastAsia="vi-VN"/>
              </w:rPr>
              <w:t>9</w:t>
            </w:r>
          </w:p>
        </w:tc>
      </w:tr>
      <w:tr w:rsidR="00E14EBC" w:rsidRPr="00387E47" w14:paraId="7057FD70" w14:textId="77777777" w:rsidTr="008E0A94">
        <w:trPr>
          <w:cantSplit/>
          <w:trHeight w:val="340"/>
          <w:jc w:val="center"/>
        </w:trPr>
        <w:tc>
          <w:tcPr>
            <w:tcW w:w="2197" w:type="dxa"/>
            <w:noWrap/>
            <w:vAlign w:val="bottom"/>
            <w:hideMark/>
          </w:tcPr>
          <w:p w14:paraId="6D34568C" w14:textId="77777777" w:rsidR="00E14EBC" w:rsidRPr="00387E47" w:rsidRDefault="00E14EBC" w:rsidP="008E0A94">
            <w:pPr>
              <w:spacing w:before="40" w:after="40" w:line="276" w:lineRule="auto"/>
              <w:ind w:firstLineChars="100" w:firstLine="220"/>
              <w:rPr>
                <w:sz w:val="22"/>
                <w:szCs w:val="22"/>
              </w:rPr>
            </w:pPr>
            <w:r w:rsidRPr="00387E47">
              <w:rPr>
                <w:sz w:val="22"/>
                <w:szCs w:val="22"/>
              </w:rPr>
              <w:t>Railway</w:t>
            </w:r>
          </w:p>
        </w:tc>
        <w:tc>
          <w:tcPr>
            <w:tcW w:w="1418" w:type="dxa"/>
            <w:noWrap/>
            <w:vAlign w:val="bottom"/>
            <w:hideMark/>
          </w:tcPr>
          <w:p w14:paraId="0BE92E0D" w14:textId="77777777" w:rsidR="00E14EBC" w:rsidRDefault="00E14EBC" w:rsidP="008E0A94">
            <w:pPr>
              <w:spacing w:before="40" w:after="40"/>
              <w:ind w:right="238" w:firstLine="318"/>
              <w:jc w:val="right"/>
              <w:rPr>
                <w:rFonts w:ascii="Arial" w:hAnsi="Arial" w:cs="Arial"/>
                <w:sz w:val="20"/>
                <w:szCs w:val="20"/>
                <w:lang w:eastAsia="vi-VN"/>
              </w:rPr>
            </w:pPr>
            <w:r>
              <w:rPr>
                <w:rFonts w:ascii="Arial" w:hAnsi="Arial" w:cs="Arial"/>
                <w:sz w:val="20"/>
                <w:szCs w:val="20"/>
                <w:lang w:eastAsia="vi-VN"/>
              </w:rPr>
              <w:t xml:space="preserve">0.8 </w:t>
            </w:r>
          </w:p>
        </w:tc>
        <w:tc>
          <w:tcPr>
            <w:tcW w:w="1621" w:type="dxa"/>
            <w:noWrap/>
            <w:vAlign w:val="bottom"/>
            <w:hideMark/>
          </w:tcPr>
          <w:p w14:paraId="0B985F80" w14:textId="77777777" w:rsidR="00E14EBC" w:rsidRDefault="00E14EBC" w:rsidP="008E0A94">
            <w:pPr>
              <w:spacing w:before="40" w:after="40"/>
              <w:ind w:right="344" w:firstLine="318"/>
              <w:jc w:val="right"/>
              <w:rPr>
                <w:rFonts w:ascii="Arial" w:hAnsi="Arial" w:cs="Arial"/>
                <w:sz w:val="20"/>
                <w:szCs w:val="20"/>
                <w:lang w:eastAsia="vi-VN"/>
              </w:rPr>
            </w:pPr>
            <w:r>
              <w:rPr>
                <w:rFonts w:ascii="Arial" w:hAnsi="Arial" w:cs="Arial"/>
                <w:sz w:val="20"/>
                <w:szCs w:val="20"/>
                <w:lang w:eastAsia="vi-VN"/>
              </w:rPr>
              <w:t xml:space="preserve">0.7 </w:t>
            </w:r>
          </w:p>
        </w:tc>
        <w:tc>
          <w:tcPr>
            <w:tcW w:w="311" w:type="dxa"/>
            <w:noWrap/>
            <w:vAlign w:val="center"/>
            <w:hideMark/>
          </w:tcPr>
          <w:p w14:paraId="6F945C82" w14:textId="77777777" w:rsidR="00E14EBC" w:rsidRDefault="00E14EBC" w:rsidP="008E0A94">
            <w:pPr>
              <w:spacing w:before="40" w:after="40"/>
              <w:ind w:firstLine="318"/>
              <w:jc w:val="right"/>
              <w:rPr>
                <w:rFonts w:ascii="Arial" w:hAnsi="Arial" w:cs="Arial"/>
                <w:sz w:val="20"/>
                <w:szCs w:val="20"/>
                <w:lang w:eastAsia="vi-VN"/>
              </w:rPr>
            </w:pPr>
          </w:p>
        </w:tc>
        <w:tc>
          <w:tcPr>
            <w:tcW w:w="1310" w:type="dxa"/>
            <w:noWrap/>
            <w:vAlign w:val="bottom"/>
            <w:hideMark/>
          </w:tcPr>
          <w:p w14:paraId="29ADCB1C" w14:textId="77777777" w:rsidR="00E14EBC" w:rsidRPr="00117D02" w:rsidRDefault="00E14EBC" w:rsidP="008E0A94">
            <w:pPr>
              <w:spacing w:before="40" w:after="40"/>
              <w:ind w:right="379" w:firstLine="318"/>
              <w:jc w:val="right"/>
              <w:rPr>
                <w:rFonts w:ascii="Arial" w:hAnsi="Arial" w:cs="Arial"/>
                <w:sz w:val="20"/>
                <w:szCs w:val="20"/>
                <w:lang w:eastAsia="vi-VN"/>
              </w:rPr>
            </w:pPr>
            <w:r w:rsidRPr="00117D02">
              <w:rPr>
                <w:rFonts w:ascii="Arial" w:hAnsi="Arial" w:cs="Arial"/>
                <w:sz w:val="20"/>
                <w:szCs w:val="20"/>
                <w:lang w:eastAsia="vi-VN"/>
              </w:rPr>
              <w:t>10</w:t>
            </w:r>
            <w:r>
              <w:rPr>
                <w:rFonts w:ascii="Arial" w:hAnsi="Arial" w:cs="Arial"/>
                <w:sz w:val="20"/>
                <w:szCs w:val="20"/>
                <w:lang w:eastAsia="vi-VN"/>
              </w:rPr>
              <w:t>.</w:t>
            </w:r>
            <w:r w:rsidRPr="00117D02">
              <w:rPr>
                <w:rFonts w:ascii="Arial" w:hAnsi="Arial" w:cs="Arial"/>
                <w:sz w:val="20"/>
                <w:szCs w:val="20"/>
                <w:lang w:eastAsia="vi-VN"/>
              </w:rPr>
              <w:t>8</w:t>
            </w:r>
          </w:p>
        </w:tc>
        <w:tc>
          <w:tcPr>
            <w:tcW w:w="1525" w:type="dxa"/>
            <w:noWrap/>
            <w:vAlign w:val="bottom"/>
            <w:hideMark/>
          </w:tcPr>
          <w:p w14:paraId="0B55A999" w14:textId="77777777" w:rsidR="00E14EBC" w:rsidRPr="00117D02" w:rsidRDefault="00E14EBC" w:rsidP="008E0A94">
            <w:pPr>
              <w:spacing w:before="40" w:after="40"/>
              <w:ind w:right="345" w:firstLine="318"/>
              <w:jc w:val="right"/>
              <w:rPr>
                <w:rFonts w:ascii="Arial" w:hAnsi="Arial" w:cs="Arial"/>
                <w:sz w:val="20"/>
                <w:szCs w:val="20"/>
                <w:lang w:eastAsia="vi-VN"/>
              </w:rPr>
            </w:pPr>
            <w:r w:rsidRPr="00117D02">
              <w:rPr>
                <w:rFonts w:ascii="Arial" w:hAnsi="Arial" w:cs="Arial"/>
                <w:sz w:val="20"/>
                <w:szCs w:val="20"/>
                <w:lang w:eastAsia="vi-VN"/>
              </w:rPr>
              <w:t>38</w:t>
            </w:r>
            <w:r>
              <w:rPr>
                <w:rFonts w:ascii="Arial" w:hAnsi="Arial" w:cs="Arial"/>
                <w:sz w:val="20"/>
                <w:szCs w:val="20"/>
                <w:lang w:eastAsia="vi-VN"/>
              </w:rPr>
              <w:t>.</w:t>
            </w:r>
            <w:r w:rsidRPr="00117D02">
              <w:rPr>
                <w:rFonts w:ascii="Arial" w:hAnsi="Arial" w:cs="Arial"/>
                <w:sz w:val="20"/>
                <w:szCs w:val="20"/>
                <w:lang w:eastAsia="vi-VN"/>
              </w:rPr>
              <w:t>8</w:t>
            </w:r>
          </w:p>
        </w:tc>
      </w:tr>
      <w:tr w:rsidR="00E14EBC" w:rsidRPr="00387E47" w14:paraId="4083B9C1" w14:textId="77777777" w:rsidTr="008E0A94">
        <w:trPr>
          <w:cantSplit/>
          <w:trHeight w:val="340"/>
          <w:jc w:val="center"/>
        </w:trPr>
        <w:tc>
          <w:tcPr>
            <w:tcW w:w="2197" w:type="dxa"/>
            <w:noWrap/>
            <w:vAlign w:val="bottom"/>
            <w:hideMark/>
          </w:tcPr>
          <w:p w14:paraId="7AA2ADFE" w14:textId="77777777" w:rsidR="00E14EBC" w:rsidRPr="00387E47" w:rsidRDefault="00E14EBC" w:rsidP="008E0A94">
            <w:pPr>
              <w:spacing w:before="40" w:after="40" w:line="276" w:lineRule="auto"/>
              <w:ind w:firstLineChars="100" w:firstLine="220"/>
              <w:rPr>
                <w:sz w:val="22"/>
                <w:szCs w:val="22"/>
              </w:rPr>
            </w:pPr>
            <w:r w:rsidRPr="00387E47">
              <w:rPr>
                <w:sz w:val="22"/>
                <w:szCs w:val="22"/>
              </w:rPr>
              <w:t>Seaway</w:t>
            </w:r>
          </w:p>
        </w:tc>
        <w:tc>
          <w:tcPr>
            <w:tcW w:w="1418" w:type="dxa"/>
            <w:noWrap/>
            <w:vAlign w:val="bottom"/>
            <w:hideMark/>
          </w:tcPr>
          <w:p w14:paraId="4DF9D04D" w14:textId="77777777" w:rsidR="00E14EBC" w:rsidRDefault="00E14EBC" w:rsidP="008E0A94">
            <w:pPr>
              <w:spacing w:before="40" w:after="40"/>
              <w:ind w:right="238" w:firstLine="318"/>
              <w:jc w:val="right"/>
              <w:rPr>
                <w:rFonts w:ascii="Arial" w:hAnsi="Arial" w:cs="Arial"/>
                <w:sz w:val="20"/>
                <w:szCs w:val="20"/>
                <w:lang w:eastAsia="vi-VN"/>
              </w:rPr>
            </w:pPr>
            <w:r>
              <w:rPr>
                <w:rFonts w:ascii="Arial" w:hAnsi="Arial" w:cs="Arial"/>
                <w:sz w:val="20"/>
                <w:szCs w:val="20"/>
                <w:lang w:eastAsia="vi-VN"/>
              </w:rPr>
              <w:t xml:space="preserve">14.9 </w:t>
            </w:r>
          </w:p>
        </w:tc>
        <w:tc>
          <w:tcPr>
            <w:tcW w:w="1621" w:type="dxa"/>
            <w:noWrap/>
            <w:vAlign w:val="bottom"/>
            <w:hideMark/>
          </w:tcPr>
          <w:p w14:paraId="03B8EA86" w14:textId="77777777" w:rsidR="00E14EBC" w:rsidRDefault="00E14EBC" w:rsidP="008E0A94">
            <w:pPr>
              <w:spacing w:before="40" w:after="40"/>
              <w:ind w:right="344" w:firstLine="318"/>
              <w:jc w:val="right"/>
              <w:rPr>
                <w:rFonts w:ascii="Arial" w:hAnsi="Arial" w:cs="Arial"/>
                <w:sz w:val="20"/>
                <w:szCs w:val="20"/>
                <w:lang w:eastAsia="vi-VN"/>
              </w:rPr>
            </w:pPr>
            <w:r>
              <w:rPr>
                <w:rFonts w:ascii="Arial" w:hAnsi="Arial" w:cs="Arial"/>
                <w:sz w:val="20"/>
                <w:szCs w:val="20"/>
                <w:lang w:eastAsia="vi-VN"/>
              </w:rPr>
              <w:t xml:space="preserve">31.0 </w:t>
            </w:r>
          </w:p>
        </w:tc>
        <w:tc>
          <w:tcPr>
            <w:tcW w:w="311" w:type="dxa"/>
            <w:noWrap/>
            <w:vAlign w:val="center"/>
            <w:hideMark/>
          </w:tcPr>
          <w:p w14:paraId="6809D445" w14:textId="77777777" w:rsidR="00E14EBC" w:rsidRDefault="00E14EBC" w:rsidP="008E0A94">
            <w:pPr>
              <w:spacing w:before="40" w:after="40"/>
              <w:ind w:firstLine="318"/>
              <w:jc w:val="right"/>
              <w:rPr>
                <w:rFonts w:ascii="Arial" w:hAnsi="Arial" w:cs="Arial"/>
                <w:sz w:val="20"/>
                <w:szCs w:val="20"/>
                <w:lang w:eastAsia="vi-VN"/>
              </w:rPr>
            </w:pPr>
          </w:p>
        </w:tc>
        <w:tc>
          <w:tcPr>
            <w:tcW w:w="1310" w:type="dxa"/>
            <w:noWrap/>
            <w:vAlign w:val="bottom"/>
            <w:hideMark/>
          </w:tcPr>
          <w:p w14:paraId="5C2140BE" w14:textId="77777777" w:rsidR="00E14EBC" w:rsidRPr="00117D02" w:rsidRDefault="00E14EBC" w:rsidP="008E0A94">
            <w:pPr>
              <w:spacing w:before="40" w:after="40"/>
              <w:ind w:right="379" w:firstLine="318"/>
              <w:jc w:val="right"/>
              <w:rPr>
                <w:rFonts w:ascii="Arial" w:hAnsi="Arial" w:cs="Arial"/>
                <w:sz w:val="20"/>
                <w:szCs w:val="20"/>
                <w:lang w:eastAsia="vi-VN"/>
              </w:rPr>
            </w:pPr>
            <w:r w:rsidRPr="00117D02">
              <w:rPr>
                <w:rFonts w:ascii="Arial" w:hAnsi="Arial" w:cs="Arial"/>
                <w:sz w:val="20"/>
                <w:szCs w:val="20"/>
                <w:lang w:eastAsia="vi-VN"/>
              </w:rPr>
              <w:t>8</w:t>
            </w:r>
            <w:r>
              <w:rPr>
                <w:rFonts w:ascii="Arial" w:hAnsi="Arial" w:cs="Arial"/>
                <w:sz w:val="20"/>
                <w:szCs w:val="20"/>
                <w:lang w:eastAsia="vi-VN"/>
              </w:rPr>
              <w:t>.</w:t>
            </w:r>
            <w:r w:rsidRPr="00117D02">
              <w:rPr>
                <w:rFonts w:ascii="Arial" w:hAnsi="Arial" w:cs="Arial"/>
                <w:sz w:val="20"/>
                <w:szCs w:val="20"/>
                <w:lang w:eastAsia="vi-VN"/>
              </w:rPr>
              <w:t>5</w:t>
            </w:r>
          </w:p>
        </w:tc>
        <w:tc>
          <w:tcPr>
            <w:tcW w:w="1525" w:type="dxa"/>
            <w:noWrap/>
            <w:vAlign w:val="bottom"/>
            <w:hideMark/>
          </w:tcPr>
          <w:p w14:paraId="02BDA586" w14:textId="77777777" w:rsidR="00E14EBC" w:rsidRPr="00117D02" w:rsidRDefault="00E14EBC" w:rsidP="008E0A94">
            <w:pPr>
              <w:spacing w:before="40" w:after="40"/>
              <w:ind w:right="345" w:firstLine="318"/>
              <w:jc w:val="right"/>
              <w:rPr>
                <w:rFonts w:ascii="Arial" w:hAnsi="Arial" w:cs="Arial"/>
                <w:sz w:val="20"/>
                <w:szCs w:val="20"/>
                <w:lang w:eastAsia="vi-VN"/>
              </w:rPr>
            </w:pPr>
            <w:r w:rsidRPr="00117D02">
              <w:rPr>
                <w:rFonts w:ascii="Arial" w:hAnsi="Arial" w:cs="Arial"/>
                <w:sz w:val="20"/>
                <w:szCs w:val="20"/>
                <w:lang w:eastAsia="vi-VN"/>
              </w:rPr>
              <w:t>12</w:t>
            </w:r>
            <w:r>
              <w:rPr>
                <w:rFonts w:ascii="Arial" w:hAnsi="Arial" w:cs="Arial"/>
                <w:sz w:val="20"/>
                <w:szCs w:val="20"/>
                <w:lang w:eastAsia="vi-VN"/>
              </w:rPr>
              <w:t>.</w:t>
            </w:r>
            <w:r w:rsidRPr="00117D02">
              <w:rPr>
                <w:rFonts w:ascii="Arial" w:hAnsi="Arial" w:cs="Arial"/>
                <w:sz w:val="20"/>
                <w:szCs w:val="20"/>
                <w:lang w:eastAsia="vi-VN"/>
              </w:rPr>
              <w:t>2</w:t>
            </w:r>
          </w:p>
        </w:tc>
      </w:tr>
      <w:tr w:rsidR="00E14EBC" w:rsidRPr="00387E47" w14:paraId="72015959" w14:textId="77777777" w:rsidTr="008E0A94">
        <w:trPr>
          <w:cantSplit/>
          <w:trHeight w:val="340"/>
          <w:jc w:val="center"/>
        </w:trPr>
        <w:tc>
          <w:tcPr>
            <w:tcW w:w="2197" w:type="dxa"/>
            <w:noWrap/>
            <w:vAlign w:val="bottom"/>
            <w:hideMark/>
          </w:tcPr>
          <w:p w14:paraId="187A042C" w14:textId="77777777" w:rsidR="00E14EBC" w:rsidRPr="00387E47" w:rsidRDefault="00E14EBC" w:rsidP="008E0A94">
            <w:pPr>
              <w:spacing w:before="40" w:after="40" w:line="276" w:lineRule="auto"/>
              <w:ind w:firstLineChars="100" w:firstLine="220"/>
              <w:rPr>
                <w:sz w:val="22"/>
                <w:szCs w:val="22"/>
              </w:rPr>
            </w:pPr>
            <w:r w:rsidRPr="00387E47">
              <w:rPr>
                <w:sz w:val="22"/>
                <w:szCs w:val="22"/>
              </w:rPr>
              <w:t>Inland waterway</w:t>
            </w:r>
          </w:p>
        </w:tc>
        <w:tc>
          <w:tcPr>
            <w:tcW w:w="1418" w:type="dxa"/>
            <w:noWrap/>
            <w:vAlign w:val="bottom"/>
            <w:hideMark/>
          </w:tcPr>
          <w:p w14:paraId="1BFEDB69" w14:textId="77777777" w:rsidR="00E14EBC" w:rsidRDefault="00E14EBC" w:rsidP="008E0A94">
            <w:pPr>
              <w:spacing w:before="40" w:after="40"/>
              <w:ind w:right="238" w:firstLine="318"/>
              <w:jc w:val="right"/>
              <w:rPr>
                <w:rFonts w:ascii="Arial" w:hAnsi="Arial" w:cs="Arial"/>
                <w:sz w:val="20"/>
                <w:szCs w:val="20"/>
                <w:lang w:eastAsia="vi-VN"/>
              </w:rPr>
            </w:pPr>
            <w:r>
              <w:rPr>
                <w:rFonts w:ascii="Arial" w:hAnsi="Arial" w:cs="Arial"/>
                <w:sz w:val="20"/>
                <w:szCs w:val="20"/>
                <w:lang w:eastAsia="vi-VN"/>
              </w:rPr>
              <w:t xml:space="preserve">50.8 </w:t>
            </w:r>
          </w:p>
        </w:tc>
        <w:tc>
          <w:tcPr>
            <w:tcW w:w="1621" w:type="dxa"/>
            <w:noWrap/>
            <w:vAlign w:val="bottom"/>
            <w:hideMark/>
          </w:tcPr>
          <w:p w14:paraId="1B34134E" w14:textId="77777777" w:rsidR="00E14EBC" w:rsidRDefault="00E14EBC" w:rsidP="008E0A94">
            <w:pPr>
              <w:spacing w:before="40" w:after="40"/>
              <w:ind w:right="344" w:firstLine="318"/>
              <w:jc w:val="right"/>
              <w:rPr>
                <w:rFonts w:ascii="Arial" w:hAnsi="Arial" w:cs="Arial"/>
                <w:sz w:val="20"/>
                <w:szCs w:val="20"/>
                <w:lang w:eastAsia="vi-VN"/>
              </w:rPr>
            </w:pPr>
            <w:r>
              <w:rPr>
                <w:rFonts w:ascii="Arial" w:hAnsi="Arial" w:cs="Arial"/>
                <w:sz w:val="20"/>
                <w:szCs w:val="20"/>
                <w:lang w:eastAsia="vi-VN"/>
              </w:rPr>
              <w:t xml:space="preserve">11.3 </w:t>
            </w:r>
          </w:p>
        </w:tc>
        <w:tc>
          <w:tcPr>
            <w:tcW w:w="311" w:type="dxa"/>
            <w:noWrap/>
            <w:vAlign w:val="center"/>
            <w:hideMark/>
          </w:tcPr>
          <w:p w14:paraId="37D547BE" w14:textId="77777777" w:rsidR="00E14EBC" w:rsidRDefault="00E14EBC" w:rsidP="008E0A94">
            <w:pPr>
              <w:spacing w:before="40" w:after="40"/>
              <w:ind w:firstLine="318"/>
              <w:jc w:val="right"/>
              <w:rPr>
                <w:rFonts w:ascii="Arial" w:hAnsi="Arial" w:cs="Arial"/>
                <w:sz w:val="20"/>
                <w:szCs w:val="20"/>
                <w:lang w:eastAsia="vi-VN"/>
              </w:rPr>
            </w:pPr>
          </w:p>
        </w:tc>
        <w:tc>
          <w:tcPr>
            <w:tcW w:w="1310" w:type="dxa"/>
            <w:noWrap/>
            <w:vAlign w:val="bottom"/>
            <w:hideMark/>
          </w:tcPr>
          <w:p w14:paraId="0C2E048A" w14:textId="77777777" w:rsidR="00E14EBC" w:rsidRPr="00117D02" w:rsidRDefault="00E14EBC" w:rsidP="008E0A94">
            <w:pPr>
              <w:spacing w:before="40" w:after="40"/>
              <w:ind w:right="379" w:firstLine="318"/>
              <w:jc w:val="right"/>
              <w:rPr>
                <w:rFonts w:ascii="Arial" w:hAnsi="Arial" w:cs="Arial"/>
                <w:sz w:val="20"/>
                <w:szCs w:val="20"/>
                <w:lang w:eastAsia="vi-VN"/>
              </w:rPr>
            </w:pPr>
            <w:r w:rsidRPr="00117D02">
              <w:rPr>
                <w:rFonts w:ascii="Arial" w:hAnsi="Arial" w:cs="Arial"/>
                <w:sz w:val="20"/>
                <w:szCs w:val="20"/>
                <w:lang w:eastAsia="vi-VN"/>
              </w:rPr>
              <w:t>-3</w:t>
            </w:r>
            <w:r>
              <w:rPr>
                <w:rFonts w:ascii="Arial" w:hAnsi="Arial" w:cs="Arial"/>
                <w:sz w:val="20"/>
                <w:szCs w:val="20"/>
                <w:lang w:eastAsia="vi-VN"/>
              </w:rPr>
              <w:t>.</w:t>
            </w:r>
            <w:r w:rsidRPr="00117D02">
              <w:rPr>
                <w:rFonts w:ascii="Arial" w:hAnsi="Arial" w:cs="Arial"/>
                <w:sz w:val="20"/>
                <w:szCs w:val="20"/>
                <w:lang w:eastAsia="vi-VN"/>
              </w:rPr>
              <w:t>6</w:t>
            </w:r>
          </w:p>
        </w:tc>
        <w:tc>
          <w:tcPr>
            <w:tcW w:w="1525" w:type="dxa"/>
            <w:noWrap/>
            <w:vAlign w:val="bottom"/>
            <w:hideMark/>
          </w:tcPr>
          <w:p w14:paraId="5C70E4AB" w14:textId="77777777" w:rsidR="00E14EBC" w:rsidRPr="00117D02" w:rsidRDefault="00E14EBC" w:rsidP="008E0A94">
            <w:pPr>
              <w:spacing w:before="40" w:after="40"/>
              <w:ind w:right="345" w:firstLine="318"/>
              <w:jc w:val="right"/>
              <w:rPr>
                <w:rFonts w:ascii="Arial" w:hAnsi="Arial" w:cs="Arial"/>
                <w:sz w:val="20"/>
                <w:szCs w:val="20"/>
                <w:lang w:eastAsia="vi-VN"/>
              </w:rPr>
            </w:pPr>
            <w:r w:rsidRPr="00117D02">
              <w:rPr>
                <w:rFonts w:ascii="Arial" w:hAnsi="Arial" w:cs="Arial"/>
                <w:sz w:val="20"/>
                <w:szCs w:val="20"/>
                <w:lang w:eastAsia="vi-VN"/>
              </w:rPr>
              <w:t>-0</w:t>
            </w:r>
            <w:r>
              <w:rPr>
                <w:rFonts w:ascii="Arial" w:hAnsi="Arial" w:cs="Arial"/>
                <w:sz w:val="20"/>
                <w:szCs w:val="20"/>
                <w:lang w:eastAsia="vi-VN"/>
              </w:rPr>
              <w:t>.</w:t>
            </w:r>
            <w:r w:rsidRPr="00117D02">
              <w:rPr>
                <w:rFonts w:ascii="Arial" w:hAnsi="Arial" w:cs="Arial"/>
                <w:sz w:val="20"/>
                <w:szCs w:val="20"/>
                <w:lang w:eastAsia="vi-VN"/>
              </w:rPr>
              <w:t>2</w:t>
            </w:r>
          </w:p>
        </w:tc>
      </w:tr>
      <w:tr w:rsidR="00E14EBC" w:rsidRPr="00387E47" w14:paraId="1E35AEB6" w14:textId="77777777" w:rsidTr="008E0A94">
        <w:trPr>
          <w:cantSplit/>
          <w:trHeight w:val="340"/>
          <w:jc w:val="center"/>
        </w:trPr>
        <w:tc>
          <w:tcPr>
            <w:tcW w:w="2197" w:type="dxa"/>
            <w:noWrap/>
            <w:vAlign w:val="bottom"/>
            <w:hideMark/>
          </w:tcPr>
          <w:p w14:paraId="38CD9462" w14:textId="77777777" w:rsidR="00E14EBC" w:rsidRPr="00387E47" w:rsidRDefault="00E14EBC" w:rsidP="008E0A94">
            <w:pPr>
              <w:spacing w:before="40" w:after="40" w:line="276" w:lineRule="auto"/>
              <w:ind w:firstLineChars="100" w:firstLine="220"/>
              <w:rPr>
                <w:sz w:val="22"/>
                <w:szCs w:val="22"/>
              </w:rPr>
            </w:pPr>
            <w:r w:rsidRPr="00387E47">
              <w:rPr>
                <w:sz w:val="22"/>
                <w:szCs w:val="22"/>
              </w:rPr>
              <w:t>Road</w:t>
            </w:r>
          </w:p>
        </w:tc>
        <w:tc>
          <w:tcPr>
            <w:tcW w:w="1418" w:type="dxa"/>
            <w:noWrap/>
            <w:vAlign w:val="bottom"/>
            <w:hideMark/>
          </w:tcPr>
          <w:p w14:paraId="41C2408E" w14:textId="77777777" w:rsidR="00E14EBC" w:rsidRDefault="00E14EBC" w:rsidP="008E0A94">
            <w:pPr>
              <w:spacing w:before="40" w:after="40"/>
              <w:ind w:right="238" w:firstLine="318"/>
              <w:jc w:val="right"/>
              <w:rPr>
                <w:rFonts w:ascii="Arial" w:hAnsi="Arial" w:cs="Arial"/>
                <w:sz w:val="20"/>
                <w:szCs w:val="20"/>
                <w:lang w:eastAsia="vi-VN"/>
              </w:rPr>
            </w:pPr>
            <w:r>
              <w:rPr>
                <w:rFonts w:ascii="Arial" w:hAnsi="Arial" w:cs="Arial"/>
                <w:sz w:val="20"/>
                <w:szCs w:val="20"/>
                <w:lang w:eastAsia="vi-VN"/>
              </w:rPr>
              <w:t xml:space="preserve">274.6 </w:t>
            </w:r>
          </w:p>
        </w:tc>
        <w:tc>
          <w:tcPr>
            <w:tcW w:w="1621" w:type="dxa"/>
            <w:noWrap/>
            <w:vAlign w:val="bottom"/>
            <w:hideMark/>
          </w:tcPr>
          <w:p w14:paraId="54334FF7" w14:textId="77777777" w:rsidR="00E14EBC" w:rsidRDefault="00E14EBC" w:rsidP="008E0A94">
            <w:pPr>
              <w:spacing w:before="40" w:after="40"/>
              <w:ind w:right="344" w:firstLine="318"/>
              <w:jc w:val="right"/>
              <w:rPr>
                <w:rFonts w:ascii="Arial" w:hAnsi="Arial" w:cs="Arial"/>
                <w:sz w:val="20"/>
                <w:szCs w:val="20"/>
                <w:lang w:eastAsia="vi-VN"/>
              </w:rPr>
            </w:pPr>
            <w:r>
              <w:rPr>
                <w:rFonts w:ascii="Arial" w:hAnsi="Arial" w:cs="Arial"/>
                <w:sz w:val="20"/>
                <w:szCs w:val="20"/>
                <w:lang w:eastAsia="vi-VN"/>
              </w:rPr>
              <w:t xml:space="preserve">19.4 </w:t>
            </w:r>
          </w:p>
        </w:tc>
        <w:tc>
          <w:tcPr>
            <w:tcW w:w="311" w:type="dxa"/>
            <w:noWrap/>
            <w:vAlign w:val="center"/>
            <w:hideMark/>
          </w:tcPr>
          <w:p w14:paraId="4F8FA267" w14:textId="77777777" w:rsidR="00E14EBC" w:rsidRDefault="00E14EBC" w:rsidP="008E0A94">
            <w:pPr>
              <w:spacing w:before="40" w:after="40"/>
              <w:ind w:firstLine="318"/>
              <w:jc w:val="right"/>
              <w:rPr>
                <w:rFonts w:ascii="Arial" w:hAnsi="Arial" w:cs="Arial"/>
                <w:sz w:val="20"/>
                <w:szCs w:val="20"/>
                <w:lang w:eastAsia="vi-VN"/>
              </w:rPr>
            </w:pPr>
          </w:p>
        </w:tc>
        <w:tc>
          <w:tcPr>
            <w:tcW w:w="1310" w:type="dxa"/>
            <w:noWrap/>
            <w:vAlign w:val="bottom"/>
            <w:hideMark/>
          </w:tcPr>
          <w:p w14:paraId="545623EE" w14:textId="77777777" w:rsidR="00E14EBC" w:rsidRPr="00117D02" w:rsidRDefault="00E14EBC" w:rsidP="008E0A94">
            <w:pPr>
              <w:spacing w:before="40" w:after="40"/>
              <w:ind w:right="379" w:firstLine="318"/>
              <w:jc w:val="right"/>
              <w:rPr>
                <w:rFonts w:ascii="Arial" w:hAnsi="Arial" w:cs="Arial"/>
                <w:sz w:val="20"/>
                <w:szCs w:val="20"/>
                <w:lang w:eastAsia="vi-VN"/>
              </w:rPr>
            </w:pPr>
            <w:r w:rsidRPr="00117D02">
              <w:rPr>
                <w:rFonts w:ascii="Arial" w:hAnsi="Arial" w:cs="Arial"/>
                <w:sz w:val="20"/>
                <w:szCs w:val="20"/>
                <w:lang w:eastAsia="vi-VN"/>
              </w:rPr>
              <w:t>9</w:t>
            </w:r>
            <w:r>
              <w:rPr>
                <w:rFonts w:ascii="Arial" w:hAnsi="Arial" w:cs="Arial"/>
                <w:sz w:val="20"/>
                <w:szCs w:val="20"/>
                <w:lang w:eastAsia="vi-VN"/>
              </w:rPr>
              <w:t>.</w:t>
            </w:r>
            <w:r w:rsidRPr="00117D02">
              <w:rPr>
                <w:rFonts w:ascii="Arial" w:hAnsi="Arial" w:cs="Arial"/>
                <w:sz w:val="20"/>
                <w:szCs w:val="20"/>
                <w:lang w:eastAsia="vi-VN"/>
              </w:rPr>
              <w:t>0</w:t>
            </w:r>
          </w:p>
        </w:tc>
        <w:tc>
          <w:tcPr>
            <w:tcW w:w="1525" w:type="dxa"/>
            <w:noWrap/>
            <w:vAlign w:val="bottom"/>
            <w:hideMark/>
          </w:tcPr>
          <w:p w14:paraId="07AD4B7D" w14:textId="77777777" w:rsidR="00E14EBC" w:rsidRPr="00117D02" w:rsidRDefault="00E14EBC" w:rsidP="008E0A94">
            <w:pPr>
              <w:spacing w:before="40" w:after="40"/>
              <w:ind w:right="345" w:firstLine="318"/>
              <w:jc w:val="right"/>
              <w:rPr>
                <w:rFonts w:ascii="Arial" w:hAnsi="Arial" w:cs="Arial"/>
                <w:sz w:val="20"/>
                <w:szCs w:val="20"/>
                <w:lang w:eastAsia="vi-VN"/>
              </w:rPr>
            </w:pPr>
            <w:r w:rsidRPr="00117D02">
              <w:rPr>
                <w:rFonts w:ascii="Arial" w:hAnsi="Arial" w:cs="Arial"/>
                <w:sz w:val="20"/>
                <w:szCs w:val="20"/>
                <w:lang w:eastAsia="vi-VN"/>
              </w:rPr>
              <w:t>8</w:t>
            </w:r>
            <w:r>
              <w:rPr>
                <w:rFonts w:ascii="Arial" w:hAnsi="Arial" w:cs="Arial"/>
                <w:sz w:val="20"/>
                <w:szCs w:val="20"/>
                <w:lang w:eastAsia="vi-VN"/>
              </w:rPr>
              <w:t>.</w:t>
            </w:r>
            <w:r w:rsidRPr="00117D02">
              <w:rPr>
                <w:rFonts w:ascii="Arial" w:hAnsi="Arial" w:cs="Arial"/>
                <w:sz w:val="20"/>
                <w:szCs w:val="20"/>
                <w:lang w:eastAsia="vi-VN"/>
              </w:rPr>
              <w:t>0</w:t>
            </w:r>
          </w:p>
        </w:tc>
      </w:tr>
      <w:tr w:rsidR="00E14EBC" w:rsidRPr="00387E47" w14:paraId="47B9BFF6" w14:textId="77777777" w:rsidTr="008E0A94">
        <w:trPr>
          <w:cantSplit/>
          <w:trHeight w:val="340"/>
          <w:jc w:val="center"/>
        </w:trPr>
        <w:tc>
          <w:tcPr>
            <w:tcW w:w="2197" w:type="dxa"/>
            <w:tcBorders>
              <w:top w:val="nil"/>
              <w:left w:val="nil"/>
              <w:bottom w:val="single" w:sz="4" w:space="0" w:color="auto"/>
              <w:right w:val="nil"/>
            </w:tcBorders>
            <w:noWrap/>
            <w:vAlign w:val="bottom"/>
            <w:hideMark/>
          </w:tcPr>
          <w:p w14:paraId="0C7C4DB8" w14:textId="77777777" w:rsidR="00E14EBC" w:rsidRPr="00387E47" w:rsidRDefault="00E14EBC" w:rsidP="008E0A94">
            <w:pPr>
              <w:spacing w:before="40" w:after="40" w:line="276" w:lineRule="auto"/>
              <w:ind w:firstLineChars="100" w:firstLine="220"/>
              <w:rPr>
                <w:sz w:val="22"/>
                <w:szCs w:val="22"/>
              </w:rPr>
            </w:pPr>
            <w:r w:rsidRPr="00387E47">
              <w:rPr>
                <w:sz w:val="22"/>
                <w:szCs w:val="22"/>
              </w:rPr>
              <w:t>Airway</w:t>
            </w:r>
          </w:p>
        </w:tc>
        <w:tc>
          <w:tcPr>
            <w:tcW w:w="1418" w:type="dxa"/>
            <w:tcBorders>
              <w:top w:val="nil"/>
              <w:left w:val="nil"/>
              <w:bottom w:val="single" w:sz="4" w:space="0" w:color="auto"/>
              <w:right w:val="nil"/>
            </w:tcBorders>
            <w:noWrap/>
            <w:vAlign w:val="bottom"/>
            <w:hideMark/>
          </w:tcPr>
          <w:p w14:paraId="17BE37E8" w14:textId="77777777" w:rsidR="00E14EBC" w:rsidRDefault="00E14EBC" w:rsidP="008E0A94">
            <w:pPr>
              <w:spacing w:before="40" w:after="40"/>
              <w:ind w:right="238" w:firstLine="318"/>
              <w:jc w:val="right"/>
              <w:rPr>
                <w:rFonts w:ascii="Arial" w:hAnsi="Arial" w:cs="Arial"/>
                <w:sz w:val="20"/>
                <w:szCs w:val="20"/>
                <w:lang w:eastAsia="vi-VN"/>
              </w:rPr>
            </w:pPr>
            <w:r>
              <w:rPr>
                <w:rFonts w:ascii="Arial" w:hAnsi="Arial" w:cs="Arial"/>
                <w:sz w:val="20"/>
                <w:szCs w:val="20"/>
                <w:lang w:eastAsia="vi-VN"/>
              </w:rPr>
              <w:t xml:space="preserve">  0.06 </w:t>
            </w:r>
          </w:p>
        </w:tc>
        <w:tc>
          <w:tcPr>
            <w:tcW w:w="1621" w:type="dxa"/>
            <w:tcBorders>
              <w:top w:val="nil"/>
              <w:left w:val="nil"/>
              <w:bottom w:val="single" w:sz="4" w:space="0" w:color="auto"/>
              <w:right w:val="nil"/>
            </w:tcBorders>
            <w:noWrap/>
            <w:vAlign w:val="bottom"/>
            <w:hideMark/>
          </w:tcPr>
          <w:p w14:paraId="77736B43" w14:textId="77777777" w:rsidR="00E14EBC" w:rsidRDefault="00E14EBC" w:rsidP="008E0A94">
            <w:pPr>
              <w:spacing w:before="40" w:after="40"/>
              <w:ind w:right="344" w:firstLine="318"/>
              <w:jc w:val="right"/>
              <w:rPr>
                <w:rFonts w:ascii="Arial" w:hAnsi="Arial" w:cs="Arial"/>
                <w:sz w:val="20"/>
                <w:szCs w:val="20"/>
                <w:lang w:eastAsia="vi-VN"/>
              </w:rPr>
            </w:pPr>
            <w:r>
              <w:rPr>
                <w:rFonts w:ascii="Arial" w:hAnsi="Arial" w:cs="Arial"/>
                <w:sz w:val="20"/>
                <w:szCs w:val="20"/>
                <w:lang w:eastAsia="vi-VN"/>
              </w:rPr>
              <w:t xml:space="preserve">1.2 </w:t>
            </w:r>
          </w:p>
        </w:tc>
        <w:tc>
          <w:tcPr>
            <w:tcW w:w="311" w:type="dxa"/>
            <w:tcBorders>
              <w:top w:val="nil"/>
              <w:left w:val="nil"/>
              <w:bottom w:val="single" w:sz="4" w:space="0" w:color="auto"/>
              <w:right w:val="nil"/>
            </w:tcBorders>
            <w:noWrap/>
            <w:vAlign w:val="center"/>
            <w:hideMark/>
          </w:tcPr>
          <w:p w14:paraId="21E6DB15" w14:textId="77777777" w:rsidR="00E14EBC" w:rsidRDefault="00E14EBC" w:rsidP="008E0A94">
            <w:pPr>
              <w:spacing w:before="40" w:after="40"/>
              <w:ind w:firstLine="318"/>
              <w:jc w:val="right"/>
              <w:rPr>
                <w:rFonts w:ascii="Arial" w:hAnsi="Arial" w:cs="Arial"/>
                <w:sz w:val="20"/>
                <w:szCs w:val="20"/>
                <w:lang w:eastAsia="vi-VN"/>
              </w:rPr>
            </w:pPr>
          </w:p>
        </w:tc>
        <w:tc>
          <w:tcPr>
            <w:tcW w:w="1310" w:type="dxa"/>
            <w:tcBorders>
              <w:top w:val="nil"/>
              <w:left w:val="nil"/>
              <w:bottom w:val="single" w:sz="4" w:space="0" w:color="auto"/>
              <w:right w:val="nil"/>
            </w:tcBorders>
            <w:noWrap/>
            <w:vAlign w:val="bottom"/>
            <w:hideMark/>
          </w:tcPr>
          <w:p w14:paraId="306F8447" w14:textId="77777777" w:rsidR="00E14EBC" w:rsidRPr="00117D02" w:rsidRDefault="00E14EBC" w:rsidP="008E0A94">
            <w:pPr>
              <w:spacing w:before="40" w:after="40"/>
              <w:ind w:right="379" w:firstLine="318"/>
              <w:jc w:val="right"/>
              <w:rPr>
                <w:rFonts w:ascii="Arial" w:hAnsi="Arial" w:cs="Arial"/>
                <w:sz w:val="20"/>
                <w:szCs w:val="20"/>
                <w:lang w:eastAsia="vi-VN"/>
              </w:rPr>
            </w:pPr>
            <w:r w:rsidRPr="00117D02">
              <w:rPr>
                <w:rFonts w:ascii="Arial" w:hAnsi="Arial" w:cs="Arial"/>
                <w:sz w:val="20"/>
                <w:szCs w:val="20"/>
                <w:lang w:eastAsia="vi-VN"/>
              </w:rPr>
              <w:t>64</w:t>
            </w:r>
            <w:r>
              <w:rPr>
                <w:rFonts w:ascii="Arial" w:hAnsi="Arial" w:cs="Arial"/>
                <w:sz w:val="20"/>
                <w:szCs w:val="20"/>
                <w:lang w:eastAsia="vi-VN"/>
              </w:rPr>
              <w:t>.</w:t>
            </w:r>
            <w:r w:rsidRPr="00117D02">
              <w:rPr>
                <w:rFonts w:ascii="Arial" w:hAnsi="Arial" w:cs="Arial"/>
                <w:sz w:val="20"/>
                <w:szCs w:val="20"/>
                <w:lang w:eastAsia="vi-VN"/>
              </w:rPr>
              <w:t>2</w:t>
            </w:r>
          </w:p>
        </w:tc>
        <w:tc>
          <w:tcPr>
            <w:tcW w:w="1525" w:type="dxa"/>
            <w:tcBorders>
              <w:top w:val="nil"/>
              <w:left w:val="nil"/>
              <w:bottom w:val="single" w:sz="4" w:space="0" w:color="auto"/>
              <w:right w:val="nil"/>
            </w:tcBorders>
            <w:noWrap/>
            <w:vAlign w:val="bottom"/>
            <w:hideMark/>
          </w:tcPr>
          <w:p w14:paraId="413274DB" w14:textId="77777777" w:rsidR="00E14EBC" w:rsidRPr="00117D02" w:rsidRDefault="00E14EBC" w:rsidP="008E0A94">
            <w:pPr>
              <w:spacing w:before="40" w:after="40"/>
              <w:ind w:right="345" w:firstLine="318"/>
              <w:jc w:val="right"/>
              <w:rPr>
                <w:rFonts w:ascii="Arial" w:hAnsi="Arial" w:cs="Arial"/>
                <w:sz w:val="20"/>
                <w:szCs w:val="20"/>
                <w:lang w:eastAsia="vi-VN"/>
              </w:rPr>
            </w:pPr>
            <w:r w:rsidRPr="00117D02">
              <w:rPr>
                <w:rFonts w:ascii="Arial" w:hAnsi="Arial" w:cs="Arial"/>
                <w:sz w:val="20"/>
                <w:szCs w:val="20"/>
                <w:lang w:eastAsia="vi-VN"/>
              </w:rPr>
              <w:t>170</w:t>
            </w:r>
            <w:r>
              <w:rPr>
                <w:rFonts w:ascii="Arial" w:hAnsi="Arial" w:cs="Arial"/>
                <w:sz w:val="20"/>
                <w:szCs w:val="20"/>
                <w:lang w:eastAsia="vi-VN"/>
              </w:rPr>
              <w:t>.</w:t>
            </w:r>
            <w:r w:rsidRPr="00117D02">
              <w:rPr>
                <w:rFonts w:ascii="Arial" w:hAnsi="Arial" w:cs="Arial"/>
                <w:sz w:val="20"/>
                <w:szCs w:val="20"/>
                <w:lang w:eastAsia="vi-VN"/>
              </w:rPr>
              <w:t>9</w:t>
            </w:r>
          </w:p>
        </w:tc>
      </w:tr>
    </w:tbl>
    <w:p w14:paraId="1BB49061" w14:textId="77777777" w:rsidR="007469AE" w:rsidRDefault="007469AE" w:rsidP="00F71440">
      <w:pPr>
        <w:spacing w:before="240" w:after="40" w:line="288" w:lineRule="auto"/>
        <w:ind w:firstLine="567"/>
        <w:jc w:val="both"/>
        <w:rPr>
          <w:b/>
          <w:bCs/>
          <w:i/>
          <w:iCs/>
          <w:lang w:val="en-GB"/>
        </w:rPr>
      </w:pPr>
    </w:p>
    <w:p w14:paraId="7609990C" w14:textId="0435B6DB" w:rsidR="00F71440" w:rsidRPr="00B013B5" w:rsidRDefault="00F71440" w:rsidP="00F71440">
      <w:pPr>
        <w:spacing w:before="240" w:after="40" w:line="288" w:lineRule="auto"/>
        <w:ind w:firstLine="567"/>
        <w:jc w:val="both"/>
        <w:rPr>
          <w:b/>
          <w:bCs/>
          <w:i/>
        </w:rPr>
      </w:pPr>
      <w:r>
        <w:rPr>
          <w:b/>
          <w:bCs/>
          <w:i/>
          <w:iCs/>
          <w:lang w:val="en-GB"/>
        </w:rPr>
        <w:t>đ</w:t>
      </w:r>
      <w:r w:rsidRPr="00B013B5">
        <w:rPr>
          <w:b/>
          <w:bCs/>
          <w:i/>
          <w:iCs/>
        </w:rPr>
        <w:t xml:space="preserve">) </w:t>
      </w:r>
      <w:r w:rsidR="003158CD">
        <w:rPr>
          <w:b/>
          <w:bCs/>
          <w:i/>
          <w:iCs/>
        </w:rPr>
        <w:t>International visitors to Viet Nam</w:t>
      </w:r>
      <w:r w:rsidRPr="00B013B5">
        <w:rPr>
          <w:rStyle w:val="FootnoteReference"/>
          <w:b/>
          <w:bCs/>
          <w:i/>
          <w:iCs/>
        </w:rPr>
        <w:footnoteReference w:id="18"/>
      </w:r>
    </w:p>
    <w:p w14:paraId="3F192C65" w14:textId="77777777" w:rsidR="00543CE0" w:rsidRDefault="00543CE0" w:rsidP="00543CE0">
      <w:pPr>
        <w:shd w:val="clear" w:color="auto" w:fill="FFFFFF"/>
        <w:spacing w:before="40" w:after="40"/>
        <w:jc w:val="both"/>
        <w:rPr>
          <w:i/>
          <w:iCs/>
        </w:rPr>
      </w:pPr>
      <w:r>
        <w:rPr>
          <w:i/>
          <w:iCs/>
          <w:spacing w:val="-4"/>
        </w:rPr>
        <w:tab/>
      </w:r>
      <w:r w:rsidRPr="00B04515">
        <w:rPr>
          <w:i/>
          <w:iCs/>
        </w:rPr>
        <w:t xml:space="preserve">International visitors to our country in </w:t>
      </w:r>
      <w:r>
        <w:rPr>
          <w:i/>
          <w:iCs/>
        </w:rPr>
        <w:t>February</w:t>
      </w:r>
      <w:r>
        <w:rPr>
          <w:rStyle w:val="FootnoteReference"/>
          <w:i/>
          <w:iCs/>
        </w:rPr>
        <w:footnoteReference w:id="19"/>
      </w:r>
      <w:r w:rsidRPr="00B04515">
        <w:rPr>
          <w:i/>
          <w:iCs/>
        </w:rPr>
        <w:t xml:space="preserve"> increased by </w:t>
      </w:r>
      <w:r>
        <w:rPr>
          <w:i/>
          <w:iCs/>
        </w:rPr>
        <w:t>49.6</w:t>
      </w:r>
      <w:r w:rsidRPr="00B04515">
        <w:rPr>
          <w:i/>
          <w:iCs/>
        </w:rPr>
        <w:t xml:space="preserve">% compared to the previous month </w:t>
      </w:r>
      <w:r>
        <w:rPr>
          <w:i/>
          <w:iCs/>
        </w:rPr>
        <w:t xml:space="preserve">and </w:t>
      </w:r>
      <w:r w:rsidRPr="00B04515">
        <w:rPr>
          <w:i/>
          <w:iCs/>
        </w:rPr>
        <w:t xml:space="preserve">increased by </w:t>
      </w:r>
      <w:r>
        <w:rPr>
          <w:i/>
          <w:iCs/>
        </w:rPr>
        <w:t>169.6</w:t>
      </w:r>
      <w:r w:rsidRPr="00B04515">
        <w:rPr>
          <w:i/>
          <w:iCs/>
        </w:rPr>
        <w:t xml:space="preserve">% </w:t>
      </w:r>
      <w:r w:rsidRPr="00163FEC">
        <w:rPr>
          <w:i/>
          <w:iCs/>
          <w:spacing w:val="-4"/>
        </w:rPr>
        <w:t>over the same period last year</w:t>
      </w:r>
      <w:r w:rsidRPr="00B04515">
        <w:rPr>
          <w:i/>
          <w:iCs/>
        </w:rPr>
        <w:t xml:space="preserve"> because Viet Nam has implemented a pilot route to welcome international tourists and </w:t>
      </w:r>
      <w:r>
        <w:rPr>
          <w:i/>
          <w:iCs/>
        </w:rPr>
        <w:t>many</w:t>
      </w:r>
      <w:r w:rsidRPr="008214D8">
        <w:rPr>
          <w:i/>
          <w:iCs/>
        </w:rPr>
        <w:t xml:space="preserve"> international routes have been res</w:t>
      </w:r>
      <w:r>
        <w:rPr>
          <w:i/>
          <w:iCs/>
        </w:rPr>
        <w:t>tored.</w:t>
      </w:r>
    </w:p>
    <w:p w14:paraId="7D5E1E53" w14:textId="6BD678D8" w:rsidR="00B07387" w:rsidRDefault="00B07387" w:rsidP="00653776">
      <w:pPr>
        <w:shd w:val="clear" w:color="auto" w:fill="FFFFFF"/>
        <w:spacing w:before="40" w:after="40" w:line="264" w:lineRule="auto"/>
        <w:ind w:firstLine="567"/>
        <w:jc w:val="both"/>
        <w:rPr>
          <w:spacing w:val="-4"/>
        </w:rPr>
      </w:pPr>
      <w:r w:rsidRPr="00B07387">
        <w:rPr>
          <w:spacing w:val="-4"/>
        </w:rPr>
        <w:t>International visitors to Viet Nam in February were estimated at 29.5 thousand arrivals, up 49.6% compared to the previous month and increased by 169.6% compared to the same period last year. Generally, in 2 months of 2022, international visitors to Viet Nam was estimated at 49.2 thousand arrivals, up 71.7% compared to the same period last year, of which visitors coming by airway gained 43.2 thousand persons, accounting for 87.8% of the number of international visitors to Viet Nam, increased by 135.4%; by roadway achieved 6 thousand arrivals, accounted for 12.1% and went down by 41.7%; by seaway achieved 28 arrivals, accounted for 0.1% and decreased by 53.3%</w:t>
      </w:r>
      <w:r w:rsidR="00F064A6">
        <w:rPr>
          <w:spacing w:val="-4"/>
        </w:rPr>
        <w:t>.</w:t>
      </w:r>
    </w:p>
    <w:p w14:paraId="0140352B" w14:textId="1744704A" w:rsidR="007469AE" w:rsidRDefault="007469AE" w:rsidP="00653776">
      <w:pPr>
        <w:shd w:val="clear" w:color="auto" w:fill="FFFFFF"/>
        <w:spacing w:before="40" w:after="40" w:line="264" w:lineRule="auto"/>
        <w:ind w:firstLine="567"/>
        <w:jc w:val="both"/>
        <w:rPr>
          <w:spacing w:val="-4"/>
        </w:rPr>
      </w:pPr>
    </w:p>
    <w:p w14:paraId="37948D2B" w14:textId="58F87822" w:rsidR="007469AE" w:rsidRDefault="007469AE" w:rsidP="00653776">
      <w:pPr>
        <w:shd w:val="clear" w:color="auto" w:fill="FFFFFF"/>
        <w:spacing w:before="40" w:after="40" w:line="264" w:lineRule="auto"/>
        <w:ind w:firstLine="567"/>
        <w:jc w:val="both"/>
        <w:rPr>
          <w:spacing w:val="-4"/>
        </w:rPr>
      </w:pPr>
    </w:p>
    <w:p w14:paraId="4F2599DA" w14:textId="77777777" w:rsidR="007469AE" w:rsidRPr="00F71440" w:rsidRDefault="007469AE" w:rsidP="00653776">
      <w:pPr>
        <w:shd w:val="clear" w:color="auto" w:fill="FFFFFF"/>
        <w:spacing w:before="40" w:after="40" w:line="264" w:lineRule="auto"/>
        <w:ind w:firstLine="567"/>
        <w:jc w:val="both"/>
        <w:rPr>
          <w:spacing w:val="-4"/>
        </w:rPr>
      </w:pPr>
    </w:p>
    <w:p w14:paraId="2214B6B5" w14:textId="77777777" w:rsidR="007F7375" w:rsidRDefault="007F7375" w:rsidP="007F7375">
      <w:pPr>
        <w:shd w:val="clear" w:color="auto" w:fill="FFFFFF"/>
        <w:jc w:val="center"/>
        <w:rPr>
          <w:rFonts w:ascii="Arial" w:hAnsi="Arial" w:cs="Arial"/>
          <w:b/>
          <w:sz w:val="24"/>
          <w:szCs w:val="24"/>
        </w:rPr>
      </w:pPr>
      <w:r w:rsidRPr="006213F0">
        <w:rPr>
          <w:rFonts w:ascii="Arial" w:hAnsi="Arial" w:cs="Arial"/>
          <w:b/>
          <w:sz w:val="24"/>
          <w:szCs w:val="24"/>
        </w:rPr>
        <w:t xml:space="preserve">Figure </w:t>
      </w:r>
      <w:r>
        <w:rPr>
          <w:rFonts w:ascii="Arial" w:hAnsi="Arial" w:cs="Arial"/>
          <w:b/>
          <w:sz w:val="24"/>
          <w:szCs w:val="24"/>
        </w:rPr>
        <w:t>16</w:t>
      </w:r>
      <w:r w:rsidRPr="006213F0">
        <w:rPr>
          <w:rFonts w:ascii="Arial" w:hAnsi="Arial" w:cs="Arial"/>
          <w:b/>
          <w:sz w:val="24"/>
          <w:szCs w:val="24"/>
        </w:rPr>
        <w:t xml:space="preserve">. International visitors to Viet Nam </w:t>
      </w:r>
    </w:p>
    <w:p w14:paraId="2C9954CA" w14:textId="73767288" w:rsidR="007F7375" w:rsidRDefault="007F7375" w:rsidP="007F7375">
      <w:pPr>
        <w:shd w:val="clear" w:color="auto" w:fill="FFFFFF"/>
        <w:jc w:val="center"/>
        <w:rPr>
          <w:rFonts w:ascii="Arial" w:hAnsi="Arial" w:cs="Arial"/>
          <w:b/>
          <w:sz w:val="24"/>
          <w:szCs w:val="24"/>
        </w:rPr>
      </w:pPr>
      <w:r w:rsidRPr="006213F0">
        <w:rPr>
          <w:rFonts w:ascii="Arial" w:hAnsi="Arial" w:cs="Arial"/>
          <w:b/>
          <w:sz w:val="24"/>
          <w:szCs w:val="24"/>
        </w:rPr>
        <w:t xml:space="preserve">in </w:t>
      </w:r>
      <w:r>
        <w:rPr>
          <w:rFonts w:ascii="Arial" w:hAnsi="Arial" w:cs="Arial"/>
          <w:b/>
          <w:sz w:val="24"/>
          <w:szCs w:val="24"/>
          <w:lang w:val="en-GB"/>
        </w:rPr>
        <w:t xml:space="preserve">the first </w:t>
      </w:r>
      <w:r>
        <w:rPr>
          <w:rFonts w:ascii="Arial" w:hAnsi="Arial" w:cs="Arial"/>
          <w:b/>
          <w:sz w:val="24"/>
          <w:szCs w:val="24"/>
        </w:rPr>
        <w:t xml:space="preserve">2 months of </w:t>
      </w:r>
      <w:r w:rsidRPr="006213F0">
        <w:rPr>
          <w:rFonts w:ascii="Arial" w:hAnsi="Arial" w:cs="Arial"/>
          <w:b/>
          <w:sz w:val="24"/>
          <w:szCs w:val="24"/>
        </w:rPr>
        <w:t>202</w:t>
      </w:r>
      <w:r>
        <w:rPr>
          <w:rFonts w:ascii="Arial" w:hAnsi="Arial" w:cs="Arial"/>
          <w:b/>
          <w:sz w:val="24"/>
          <w:szCs w:val="24"/>
        </w:rPr>
        <w:t>2</w:t>
      </w:r>
      <w:r w:rsidRPr="006213F0">
        <w:rPr>
          <w:rFonts w:ascii="Arial" w:hAnsi="Arial" w:cs="Arial"/>
          <w:b/>
          <w:sz w:val="24"/>
          <w:szCs w:val="24"/>
        </w:rPr>
        <w:t xml:space="preserve"> by territories</w:t>
      </w:r>
    </w:p>
    <w:p w14:paraId="729199ED" w14:textId="77777777" w:rsidR="00F71440" w:rsidRPr="001B3AA2" w:rsidRDefault="00F71440" w:rsidP="00F71440">
      <w:pPr>
        <w:shd w:val="clear" w:color="auto" w:fill="FFFFFF"/>
        <w:spacing w:before="40" w:after="40" w:line="286" w:lineRule="auto"/>
        <w:ind w:firstLine="567"/>
        <w:jc w:val="both"/>
        <w:rPr>
          <w:sz w:val="2"/>
        </w:rPr>
      </w:pPr>
    </w:p>
    <w:p w14:paraId="56CB1F71" w14:textId="4F520EE4" w:rsidR="00F71440" w:rsidRPr="008907BB" w:rsidRDefault="00482836" w:rsidP="00482836">
      <w:pPr>
        <w:shd w:val="clear" w:color="auto" w:fill="FFFFFF"/>
        <w:spacing w:before="40" w:after="40" w:line="286" w:lineRule="auto"/>
        <w:jc w:val="center"/>
      </w:pPr>
      <w:r>
        <w:rPr>
          <w:noProof/>
        </w:rPr>
        <w:drawing>
          <wp:inline distT="0" distB="0" distL="0" distR="0" wp14:anchorId="1A121008" wp14:editId="2975375B">
            <wp:extent cx="5699760" cy="2581379"/>
            <wp:effectExtent l="0" t="0" r="0" b="9525"/>
            <wp:docPr id="5" name="Picture 5" descr="C:\Users\btvan\AppData\Local\Temp\Rar$DRa0.968\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tvan\AppData\Local\Temp\Rar$DRa0.968\0001.jpg"/>
                    <pic:cNvPicPr>
                      <a:picLocks noChangeAspect="1" noChangeArrowheads="1"/>
                    </pic:cNvPicPr>
                  </pic:nvPicPr>
                  <pic:blipFill>
                    <a:blip r:embed="rId26"/>
                    <a:srcRect/>
                    <a:stretch>
                      <a:fillRect/>
                    </a:stretch>
                  </pic:blipFill>
                  <pic:spPr bwMode="auto">
                    <a:xfrm>
                      <a:off x="0" y="0"/>
                      <a:ext cx="5699760" cy="2581379"/>
                    </a:xfrm>
                    <a:prstGeom prst="rect">
                      <a:avLst/>
                    </a:prstGeom>
                    <a:noFill/>
                    <a:ln w="9525">
                      <a:noFill/>
                      <a:miter lim="800000"/>
                      <a:headEnd/>
                      <a:tailEnd/>
                    </a:ln>
                  </pic:spPr>
                </pic:pic>
              </a:graphicData>
            </a:graphic>
          </wp:inline>
        </w:drawing>
      </w:r>
    </w:p>
    <w:p w14:paraId="7A55370A" w14:textId="73D89C03" w:rsidR="00092656" w:rsidRPr="0033017B" w:rsidRDefault="00092656" w:rsidP="008C0E27">
      <w:pPr>
        <w:spacing w:before="40" w:after="40" w:line="259" w:lineRule="auto"/>
        <w:ind w:firstLine="567"/>
        <w:jc w:val="both"/>
        <w:rPr>
          <w:b/>
          <w:bCs/>
        </w:rPr>
      </w:pPr>
      <w:r w:rsidRPr="0033017B">
        <w:rPr>
          <w:b/>
          <w:bCs/>
        </w:rPr>
        <w:t xml:space="preserve">7. </w:t>
      </w:r>
      <w:bookmarkStart w:id="5" w:name="_Hlk89701091"/>
      <w:r w:rsidR="005559AA">
        <w:rPr>
          <w:b/>
          <w:bCs/>
        </w:rPr>
        <w:t>Some</w:t>
      </w:r>
      <w:bookmarkEnd w:id="5"/>
      <w:r w:rsidR="005559AA">
        <w:rPr>
          <w:b/>
          <w:bCs/>
        </w:rPr>
        <w:t xml:space="preserve"> social situation</w:t>
      </w:r>
    </w:p>
    <w:p w14:paraId="322D7717" w14:textId="050B8188" w:rsidR="00092656" w:rsidRPr="0033017B" w:rsidRDefault="00092656" w:rsidP="008C0E27">
      <w:pPr>
        <w:tabs>
          <w:tab w:val="left" w:pos="709"/>
          <w:tab w:val="left" w:pos="1134"/>
        </w:tabs>
        <w:spacing w:before="40" w:after="40" w:line="259" w:lineRule="auto"/>
        <w:ind w:firstLine="567"/>
        <w:jc w:val="both"/>
        <w:rPr>
          <w:b/>
          <w:i/>
        </w:rPr>
      </w:pPr>
      <w:r w:rsidRPr="0033017B">
        <w:rPr>
          <w:b/>
          <w:i/>
        </w:rPr>
        <w:t xml:space="preserve">a) </w:t>
      </w:r>
      <w:r w:rsidR="00620E96">
        <w:rPr>
          <w:b/>
          <w:i/>
        </w:rPr>
        <w:t>Residential life and social security</w:t>
      </w:r>
    </w:p>
    <w:p w14:paraId="0BE711D8" w14:textId="77777777" w:rsidR="00656C3B" w:rsidRDefault="00656C3B" w:rsidP="00656C3B">
      <w:pPr>
        <w:spacing w:before="120" w:after="120" w:line="288" w:lineRule="auto"/>
        <w:ind w:firstLine="680"/>
        <w:jc w:val="both"/>
      </w:pPr>
      <w:r w:rsidRPr="000E3148">
        <w:t xml:space="preserve">Social security work </w:t>
      </w:r>
      <w:r>
        <w:t xml:space="preserve">was </w:t>
      </w:r>
      <w:r w:rsidRPr="000E3148">
        <w:t xml:space="preserve">concerned by all levels from the central to local </w:t>
      </w:r>
      <w:r>
        <w:t>one</w:t>
      </w:r>
      <w:r w:rsidRPr="000E3148">
        <w:t>s, especially in the context of the prolonged and complicated Covid-19 epidemic, which has significantly affected economic development and social life</w:t>
      </w:r>
      <w:r>
        <w:t xml:space="preserve">, </w:t>
      </w:r>
      <w:r w:rsidRPr="000E3148">
        <w:t xml:space="preserve">especially on the occasion of welcoming the Lunar New Year. According to a report by the Ministry of Labor, War Invalids and Social Affairs, as of February 5, 2022, the </w:t>
      </w:r>
      <w:r>
        <w:t xml:space="preserve">money </w:t>
      </w:r>
      <w:r w:rsidRPr="000E3148">
        <w:t xml:space="preserve">taking care of the policy beneficiaries and </w:t>
      </w:r>
      <w:r>
        <w:t>employees’</w:t>
      </w:r>
      <w:r w:rsidRPr="000E3148">
        <w:t xml:space="preserve"> lives during the last Lunar New Year was nearly 9.3 trillion VND for over 57.81 million people. </w:t>
      </w:r>
      <w:r>
        <w:t>Of which,</w:t>
      </w:r>
      <w:r w:rsidRPr="000E3148">
        <w:t xml:space="preserve"> gifts from the President </w:t>
      </w:r>
      <w:r>
        <w:t>by</w:t>
      </w:r>
      <w:r w:rsidRPr="000E3148">
        <w:t xml:space="preserve"> funding sources to people with meritorious services and to celebrate the elderly's life </w:t>
      </w:r>
      <w:r>
        <w:t>were</w:t>
      </w:r>
      <w:r w:rsidRPr="000E3148">
        <w:t xml:space="preserve"> 3.6 trillion VND; the provincial budget </w:t>
      </w:r>
      <w:r>
        <w:t>wa</w:t>
      </w:r>
      <w:r w:rsidRPr="000E3148">
        <w:t xml:space="preserve">s 2.7 trillion VND; district budget </w:t>
      </w:r>
      <w:r>
        <w:t>wa</w:t>
      </w:r>
      <w:r w:rsidRPr="000E3148">
        <w:t xml:space="preserve">s 1.2 trillion </w:t>
      </w:r>
      <w:r>
        <w:t>VND</w:t>
      </w:r>
      <w:r w:rsidRPr="000E3148">
        <w:t xml:space="preserve">; the commune budget </w:t>
      </w:r>
      <w:r>
        <w:t>wa</w:t>
      </w:r>
      <w:r w:rsidRPr="000E3148">
        <w:t xml:space="preserve">s 1.1 trillion </w:t>
      </w:r>
      <w:r>
        <w:t>VND</w:t>
      </w:r>
      <w:r w:rsidRPr="000E3148">
        <w:t xml:space="preserve">; socialization expenditure </w:t>
      </w:r>
      <w:r>
        <w:t>wa</w:t>
      </w:r>
      <w:r w:rsidRPr="000E3148">
        <w:t xml:space="preserve">s 621 billion VND. According to beneficiaries, the budget for giving Tet gifts to people with meritorious services to the revolution and their relatives </w:t>
      </w:r>
      <w:r>
        <w:t>wa</w:t>
      </w:r>
      <w:r w:rsidRPr="000E3148">
        <w:t xml:space="preserve">s 3.5 trillion VND; poor households </w:t>
      </w:r>
      <w:r>
        <w:t>were</w:t>
      </w:r>
      <w:r w:rsidRPr="000E3148">
        <w:t xml:space="preserve"> 1.7 trillion</w:t>
      </w:r>
      <w:r>
        <w:t>VND</w:t>
      </w:r>
      <w:r w:rsidRPr="000E3148">
        <w:t xml:space="preserve">; social protection objects </w:t>
      </w:r>
      <w:r>
        <w:t>we</w:t>
      </w:r>
      <w:r w:rsidRPr="000E3148">
        <w:t xml:space="preserve">re 1.4 trillion </w:t>
      </w:r>
      <w:r>
        <w:t>VND</w:t>
      </w:r>
      <w:r w:rsidRPr="000E3148">
        <w:t xml:space="preserve">; for the elderly </w:t>
      </w:r>
      <w:r>
        <w:t>wa</w:t>
      </w:r>
      <w:r w:rsidRPr="000E3148">
        <w:t>s 623 billion</w:t>
      </w:r>
      <w:r>
        <w:t xml:space="preserve"> VND</w:t>
      </w:r>
      <w:r w:rsidRPr="000E3148">
        <w:t xml:space="preserve">; for children </w:t>
      </w:r>
      <w:r>
        <w:t>wa</w:t>
      </w:r>
      <w:r w:rsidRPr="000E3148">
        <w:t>s 232 billion</w:t>
      </w:r>
      <w:r>
        <w:t xml:space="preserve"> VND</w:t>
      </w:r>
      <w:r w:rsidRPr="000E3148">
        <w:t xml:space="preserve">; for other subjects </w:t>
      </w:r>
      <w:r>
        <w:t>wa</w:t>
      </w:r>
      <w:r w:rsidRPr="000E3148">
        <w:t>s 1.8 trillion VND.</w:t>
      </w:r>
    </w:p>
    <w:p w14:paraId="6ED33D4F" w14:textId="77777777" w:rsidR="001E5765" w:rsidRDefault="001E5765" w:rsidP="00022A03">
      <w:pPr>
        <w:tabs>
          <w:tab w:val="left" w:pos="-3780"/>
          <w:tab w:val="left" w:pos="-2880"/>
        </w:tabs>
        <w:spacing w:before="40" w:after="40" w:line="266" w:lineRule="auto"/>
        <w:ind w:firstLine="567"/>
        <w:jc w:val="both"/>
        <w:rPr>
          <w:bCs/>
          <w:snapToGrid w:val="0"/>
          <w:lang w:val="nl-NL"/>
        </w:rPr>
      </w:pPr>
      <w:r w:rsidRPr="001E5765">
        <w:rPr>
          <w:bCs/>
          <w:snapToGrid w:val="0"/>
          <w:lang w:val="nl-NL"/>
        </w:rPr>
        <w:t xml:space="preserve">According to the report of the Ministry of Labor, War Invalids and Social Affairs, to ensure that people do not suffer from food shortages during the Lunar New Year and the between-crop period at the beginning of 2022, as of February 23, 2022, the Prime Minister decided to support nearly 18.7 thousand tons of rice for more than 379.8 thousand households with more than 1.2 million people at risk of starvation. Specifically: Support about 14 thousand tons of rice to save </w:t>
      </w:r>
      <w:r w:rsidRPr="001E5765">
        <w:rPr>
          <w:bCs/>
          <w:snapToGrid w:val="0"/>
          <w:lang w:val="nl-NL"/>
        </w:rPr>
        <w:lastRenderedPageBreak/>
        <w:t>hunger during the Lunar New Year for more than 291.7 thousand households with more than 930.6 thousand people at risk of hunger; Supporting more than 4.7 thousand tons of rice to help fight hunger in the between-crop period at the beginning of 2022 for nearly 88.1 thousand households with more than 315.2 thousand people at risk of starvation.</w:t>
      </w:r>
    </w:p>
    <w:p w14:paraId="68C89188" w14:textId="692C9815" w:rsidR="00092656" w:rsidRPr="0033017B" w:rsidRDefault="00092656" w:rsidP="00022A03">
      <w:pPr>
        <w:tabs>
          <w:tab w:val="left" w:pos="-3780"/>
          <w:tab w:val="left" w:pos="-2880"/>
        </w:tabs>
        <w:spacing w:before="40" w:after="40" w:line="266" w:lineRule="auto"/>
        <w:ind w:firstLine="567"/>
        <w:jc w:val="both"/>
        <w:rPr>
          <w:b/>
          <w:i/>
        </w:rPr>
      </w:pPr>
      <w:r w:rsidRPr="0033017B">
        <w:rPr>
          <w:b/>
          <w:i/>
        </w:rPr>
        <w:t xml:space="preserve">b) </w:t>
      </w:r>
      <w:r w:rsidR="003A7DCD">
        <w:rPr>
          <w:rStyle w:val="normalchar"/>
          <w:b/>
          <w:i/>
          <w:iCs/>
          <w:lang w:val="nl-NL"/>
        </w:rPr>
        <w:t>Epidemic diseases and food poisoning</w:t>
      </w:r>
    </w:p>
    <w:p w14:paraId="0A2501C1" w14:textId="39CB0C4A" w:rsidR="00F955AF" w:rsidRPr="007E177A" w:rsidRDefault="00F955AF" w:rsidP="00D22A49">
      <w:pPr>
        <w:spacing w:before="40" w:after="40" w:line="271" w:lineRule="auto"/>
        <w:ind w:firstLine="567"/>
        <w:jc w:val="both"/>
        <w:rPr>
          <w:lang w:val="de-DE"/>
        </w:rPr>
      </w:pPr>
      <w:r w:rsidRPr="00F955AF">
        <w:rPr>
          <w:lang w:val="de-DE"/>
        </w:rPr>
        <w:t xml:space="preserve">According to the report of the Ministry of Health, in the month (January 19, 2022 - February 18, 2022), the whole country had 4,444 </w:t>
      </w:r>
      <w:r w:rsidRPr="008F2F34">
        <w:rPr>
          <w:spacing w:val="-2"/>
          <w:lang w:val="de-DE"/>
        </w:rPr>
        <w:t>cases of hemorrhagic fever</w:t>
      </w:r>
      <w:r>
        <w:rPr>
          <w:spacing w:val="-2"/>
          <w:lang w:val="de-DE"/>
        </w:rPr>
        <w:t>;</w:t>
      </w:r>
      <w:r w:rsidRPr="00F955AF">
        <w:rPr>
          <w:lang w:val="de-DE"/>
        </w:rPr>
        <w:t xml:space="preserve"> 163 cases of hand, foot, and mouth disease; 16 cases of </w:t>
      </w:r>
      <w:r w:rsidRPr="008F2F34">
        <w:rPr>
          <w:spacing w:val="-2"/>
          <w:lang w:val="de-DE"/>
        </w:rPr>
        <w:t xml:space="preserve">virus encephalitis </w:t>
      </w:r>
      <w:r w:rsidRPr="00F955AF">
        <w:rPr>
          <w:lang w:val="de-DE"/>
        </w:rPr>
        <w:t xml:space="preserve">and 1 case of meningococcal disease. In the first 2 months of 2022, the whole country has 5,632 cases of </w:t>
      </w:r>
      <w:r w:rsidRPr="008F2F34">
        <w:rPr>
          <w:spacing w:val="-2"/>
          <w:lang w:val="de-DE"/>
        </w:rPr>
        <w:t>hemorrhagic fever</w:t>
      </w:r>
      <w:r w:rsidRPr="00F955AF">
        <w:rPr>
          <w:lang w:val="de-DE"/>
        </w:rPr>
        <w:t xml:space="preserve">; 204 cases of hand, foot, and mouth disease; 20 cases of </w:t>
      </w:r>
      <w:r w:rsidRPr="008F2F34">
        <w:rPr>
          <w:spacing w:val="-2"/>
          <w:lang w:val="de-DE"/>
        </w:rPr>
        <w:t>virus encephalitis</w:t>
      </w:r>
      <w:r w:rsidRPr="00F955AF">
        <w:rPr>
          <w:lang w:val="de-DE"/>
        </w:rPr>
        <w:t xml:space="preserve">; 1 case of meningococcal meningitis, and 3 cases of </w:t>
      </w:r>
      <w:bookmarkStart w:id="6" w:name="_Hlk97889544"/>
      <w:r w:rsidRPr="008F2F34">
        <w:rPr>
          <w:spacing w:val="-2"/>
          <w:lang w:val="de-DE"/>
        </w:rPr>
        <w:t>scarlet fever suspected for measles</w:t>
      </w:r>
      <w:bookmarkEnd w:id="6"/>
      <w:r w:rsidRPr="00F955AF">
        <w:rPr>
          <w:lang w:val="de-DE"/>
        </w:rPr>
        <w:t>.</w:t>
      </w:r>
    </w:p>
    <w:p w14:paraId="35F9CE12" w14:textId="2BFFAEB4" w:rsidR="000D4AFF" w:rsidRDefault="00B60A7C" w:rsidP="00D22A49">
      <w:pPr>
        <w:spacing w:before="40" w:after="40" w:line="271" w:lineRule="auto"/>
        <w:ind w:firstLine="567"/>
        <w:jc w:val="both"/>
        <w:rPr>
          <w:lang w:val="de-DE"/>
        </w:rPr>
      </w:pPr>
      <w:r w:rsidRPr="008F2F34">
        <w:rPr>
          <w:spacing w:val="-2"/>
          <w:lang w:val="de-DE"/>
        </w:rPr>
        <w:t>The epidemic of Covid-19 in the world continues to be complicated</w:t>
      </w:r>
      <w:r w:rsidR="000D4AFF" w:rsidRPr="000D4AFF">
        <w:rPr>
          <w:rStyle w:val="FootnoteReference"/>
          <w:lang w:val="de-DE"/>
        </w:rPr>
        <w:footnoteReference w:id="20"/>
      </w:r>
      <w:r w:rsidR="000D4AFF" w:rsidRPr="000D4AFF">
        <w:rPr>
          <w:lang w:val="de-DE"/>
        </w:rPr>
        <w:t xml:space="preserve">. </w:t>
      </w:r>
      <w:r w:rsidR="00A209AC" w:rsidRPr="00A209AC">
        <w:rPr>
          <w:lang w:val="de-DE"/>
        </w:rPr>
        <w:t>In Vietnam, the number of case</w:t>
      </w:r>
      <w:r w:rsidR="00A209AC">
        <w:rPr>
          <w:lang w:val="de-DE"/>
        </w:rPr>
        <w:t>s</w:t>
      </w:r>
      <w:r w:rsidR="00A209AC" w:rsidRPr="00A209AC">
        <w:rPr>
          <w:lang w:val="de-DE"/>
        </w:rPr>
        <w:t xml:space="preserve"> </w:t>
      </w:r>
      <w:r w:rsidR="00156296" w:rsidRPr="00156296">
        <w:rPr>
          <w:lang w:val="de-DE"/>
        </w:rPr>
        <w:t>includ</w:t>
      </w:r>
      <w:r w:rsidR="00A209AC">
        <w:rPr>
          <w:lang w:val="de-DE"/>
        </w:rPr>
        <w:t>ed</w:t>
      </w:r>
      <w:r w:rsidR="00156296" w:rsidRPr="00156296">
        <w:rPr>
          <w:lang w:val="de-DE"/>
        </w:rPr>
        <w:t xml:space="preserve"> the number of severe and critical cases tends to increase. </w:t>
      </w:r>
      <w:r w:rsidR="00A209AC" w:rsidRPr="008F2F34">
        <w:rPr>
          <w:lang w:val="de-DE"/>
        </w:rPr>
        <w:t xml:space="preserve">As of 16:00 on </w:t>
      </w:r>
      <w:r w:rsidR="00A209AC">
        <w:rPr>
          <w:lang w:val="de-DE"/>
        </w:rPr>
        <w:t>February</w:t>
      </w:r>
      <w:r w:rsidR="00A209AC" w:rsidRPr="008F2F34">
        <w:rPr>
          <w:lang w:val="de-DE"/>
        </w:rPr>
        <w:t xml:space="preserve"> 2</w:t>
      </w:r>
      <w:r w:rsidR="00A209AC">
        <w:rPr>
          <w:lang w:val="de-DE"/>
        </w:rPr>
        <w:t>4</w:t>
      </w:r>
      <w:r w:rsidR="00A209AC" w:rsidRPr="008F2F34">
        <w:rPr>
          <w:lang w:val="de-DE"/>
        </w:rPr>
        <w:t xml:space="preserve">, 2022, in Viet Nam had </w:t>
      </w:r>
      <w:r w:rsidR="00A209AC">
        <w:rPr>
          <w:lang w:val="de-DE"/>
        </w:rPr>
        <w:t>3,123.3</w:t>
      </w:r>
      <w:r w:rsidR="00A209AC" w:rsidRPr="008F2F34">
        <w:rPr>
          <w:lang w:val="de-DE"/>
        </w:rPr>
        <w:t xml:space="preserve"> thousand cases were reported, of which </w:t>
      </w:r>
      <w:r w:rsidR="00A209AC">
        <w:rPr>
          <w:lang w:val="de-DE"/>
        </w:rPr>
        <w:t>2</w:t>
      </w:r>
      <w:r w:rsidR="00A209AC" w:rsidRPr="008F2F34">
        <w:rPr>
          <w:lang w:val="de-DE"/>
        </w:rPr>
        <w:t>,</w:t>
      </w:r>
      <w:r w:rsidR="00A209AC">
        <w:rPr>
          <w:lang w:val="de-DE"/>
        </w:rPr>
        <w:t>355.6</w:t>
      </w:r>
      <w:r w:rsidR="00A209AC" w:rsidRPr="008F2F34">
        <w:rPr>
          <w:lang w:val="de-DE"/>
        </w:rPr>
        <w:t xml:space="preserve"> thousand were cured and </w:t>
      </w:r>
      <w:r w:rsidR="00A209AC">
        <w:rPr>
          <w:lang w:val="de-DE"/>
        </w:rPr>
        <w:t>39</w:t>
      </w:r>
      <w:r w:rsidR="00A209AC" w:rsidRPr="008F2F34">
        <w:rPr>
          <w:lang w:val="de-DE"/>
        </w:rPr>
        <w:t>,</w:t>
      </w:r>
      <w:r w:rsidR="00A209AC">
        <w:rPr>
          <w:lang w:val="de-DE"/>
        </w:rPr>
        <w:t>962</w:t>
      </w:r>
      <w:r w:rsidR="00A209AC" w:rsidRPr="008F2F34">
        <w:rPr>
          <w:lang w:val="de-DE"/>
        </w:rPr>
        <w:t xml:space="preserve"> deaths.</w:t>
      </w:r>
    </w:p>
    <w:p w14:paraId="67718E1D" w14:textId="0307B1DC" w:rsidR="00B30BD1" w:rsidRDefault="00B30BD1" w:rsidP="00D22A49">
      <w:pPr>
        <w:spacing w:before="40" w:after="40" w:line="271" w:lineRule="auto"/>
        <w:ind w:firstLine="567"/>
        <w:jc w:val="both"/>
        <w:rPr>
          <w:lang w:val="de-DE"/>
        </w:rPr>
      </w:pPr>
      <w:r w:rsidRPr="00B30BD1">
        <w:rPr>
          <w:lang w:val="de-DE"/>
        </w:rPr>
        <w:t>The rapid vaccination campaign in Spring 2022, launched by the Prime Minister, has been strongly deployed, in addition, localities have prepared resources to vaccinate against Covid-19 for children</w:t>
      </w:r>
      <w:r>
        <w:rPr>
          <w:lang w:val="de-DE"/>
        </w:rPr>
        <w:t xml:space="preserve"> from</w:t>
      </w:r>
      <w:r w:rsidRPr="00B30BD1">
        <w:rPr>
          <w:lang w:val="de-DE"/>
        </w:rPr>
        <w:t xml:space="preserve"> 5-11 years old. As of February 22, 2022, the total number of doses of Covid-19 vaccine that have been administered </w:t>
      </w:r>
      <w:r>
        <w:rPr>
          <w:lang w:val="de-DE"/>
        </w:rPr>
        <w:t>wa</w:t>
      </w:r>
      <w:r w:rsidRPr="00B30BD1">
        <w:rPr>
          <w:lang w:val="de-DE"/>
        </w:rPr>
        <w:t xml:space="preserve">s 191,993.4 thousand doses, of which the first </w:t>
      </w:r>
      <w:r w:rsidR="00C31A2B">
        <w:rPr>
          <w:lang w:val="de-DE"/>
        </w:rPr>
        <w:t xml:space="preserve">dose </w:t>
      </w:r>
      <w:r w:rsidRPr="00B30BD1">
        <w:rPr>
          <w:lang w:val="de-DE"/>
        </w:rPr>
        <w:t xml:space="preserve">injection </w:t>
      </w:r>
      <w:r>
        <w:rPr>
          <w:lang w:val="de-DE"/>
        </w:rPr>
        <w:t>wa</w:t>
      </w:r>
      <w:r w:rsidRPr="00B30BD1">
        <w:rPr>
          <w:lang w:val="de-DE"/>
        </w:rPr>
        <w:t xml:space="preserve">s 79,492.7 thousand doses; the second </w:t>
      </w:r>
      <w:r w:rsidR="00C31A2B">
        <w:rPr>
          <w:lang w:val="de-DE"/>
        </w:rPr>
        <w:t xml:space="preserve">dose </w:t>
      </w:r>
      <w:r w:rsidRPr="00B30BD1">
        <w:rPr>
          <w:lang w:val="de-DE"/>
        </w:rPr>
        <w:t xml:space="preserve">injection </w:t>
      </w:r>
      <w:r>
        <w:rPr>
          <w:lang w:val="de-DE"/>
        </w:rPr>
        <w:t xml:space="preserve">was </w:t>
      </w:r>
      <w:r w:rsidRPr="00B30BD1">
        <w:rPr>
          <w:lang w:val="de-DE"/>
        </w:rPr>
        <w:t xml:space="preserve">76,901.3 thousand doses; </w:t>
      </w:r>
      <w:r>
        <w:rPr>
          <w:lang w:val="de-DE"/>
        </w:rPr>
        <w:t xml:space="preserve">the </w:t>
      </w:r>
      <w:r w:rsidRPr="00B30BD1">
        <w:rPr>
          <w:lang w:val="de-DE"/>
        </w:rPr>
        <w:t xml:space="preserve">3rd </w:t>
      </w:r>
      <w:r w:rsidR="00C31A2B">
        <w:rPr>
          <w:lang w:val="de-DE"/>
        </w:rPr>
        <w:t xml:space="preserve">dose </w:t>
      </w:r>
      <w:r w:rsidRPr="00B30BD1">
        <w:rPr>
          <w:lang w:val="de-DE"/>
        </w:rPr>
        <w:t>injection (</w:t>
      </w:r>
      <w:r w:rsidR="00684AAE" w:rsidRPr="00263772">
        <w:rPr>
          <w:lang w:val="de-DE"/>
        </w:rPr>
        <w:t>additional injection, booster injection and basic 3-dose injection</w:t>
      </w:r>
      <w:r w:rsidRPr="00B30BD1">
        <w:rPr>
          <w:lang w:val="de-DE"/>
        </w:rPr>
        <w:t xml:space="preserve">) </w:t>
      </w:r>
      <w:r>
        <w:rPr>
          <w:lang w:val="de-DE"/>
        </w:rPr>
        <w:t>wa</w:t>
      </w:r>
      <w:r w:rsidRPr="00B30BD1">
        <w:rPr>
          <w:lang w:val="de-DE"/>
        </w:rPr>
        <w:t>s 35,599.4 thousand doses.</w:t>
      </w:r>
    </w:p>
    <w:p w14:paraId="724E5AEE" w14:textId="316C7B1C" w:rsidR="00684AAE" w:rsidRPr="00684AAE" w:rsidRDefault="00684AAE" w:rsidP="00684AAE">
      <w:pPr>
        <w:spacing w:before="40" w:after="40" w:line="271" w:lineRule="auto"/>
        <w:ind w:firstLine="567"/>
        <w:jc w:val="both"/>
        <w:rPr>
          <w:lang w:val="de-DE"/>
        </w:rPr>
      </w:pPr>
      <w:r w:rsidRPr="00684AAE">
        <w:rPr>
          <w:lang w:val="de-DE"/>
        </w:rPr>
        <w:t>The total number of people living with HIV nationwide as of February 18, 2022, was 214,640 people</w:t>
      </w:r>
      <w:r w:rsidR="0037568D">
        <w:rPr>
          <w:lang w:val="de-DE"/>
        </w:rPr>
        <w:t xml:space="preserve">, </w:t>
      </w:r>
      <w:r w:rsidR="0037568D" w:rsidRPr="006B0860">
        <w:rPr>
          <w:lang w:val="de-DE"/>
        </w:rPr>
        <w:t>and the number of deaths by HIV/AIDS as of the above time-point was</w:t>
      </w:r>
      <w:r w:rsidR="0037568D" w:rsidRPr="00684AAE">
        <w:rPr>
          <w:lang w:val="de-DE"/>
        </w:rPr>
        <w:t xml:space="preserve"> </w:t>
      </w:r>
      <w:r w:rsidRPr="00684AAE">
        <w:rPr>
          <w:lang w:val="de-DE"/>
        </w:rPr>
        <w:t>111,171 people.</w:t>
      </w:r>
    </w:p>
    <w:p w14:paraId="0901ED7D" w14:textId="5E7733AD" w:rsidR="00684AAE" w:rsidRPr="00B30BD1" w:rsidRDefault="004347DF" w:rsidP="00684AAE">
      <w:pPr>
        <w:spacing w:before="40" w:after="40" w:line="271" w:lineRule="auto"/>
        <w:ind w:firstLine="567"/>
        <w:jc w:val="both"/>
        <w:rPr>
          <w:lang w:val="de-DE"/>
        </w:rPr>
      </w:pPr>
      <w:r>
        <w:rPr>
          <w:lang w:val="de-DE"/>
        </w:rPr>
        <w:t>I</w:t>
      </w:r>
      <w:r w:rsidRPr="00684AAE">
        <w:rPr>
          <w:lang w:val="de-DE"/>
        </w:rPr>
        <w:t>n February</w:t>
      </w:r>
      <w:r w:rsidR="00684AAE" w:rsidRPr="00684AAE">
        <w:rPr>
          <w:lang w:val="de-DE"/>
        </w:rPr>
        <w:t xml:space="preserve">, there was 1 case </w:t>
      </w:r>
      <w:r w:rsidRPr="006B0860">
        <w:rPr>
          <w:lang w:val="de-DE"/>
        </w:rPr>
        <w:t xml:space="preserve">of food poisoning </w:t>
      </w:r>
      <w:r w:rsidR="00684AAE" w:rsidRPr="00684AAE">
        <w:rPr>
          <w:lang w:val="de-DE"/>
        </w:rPr>
        <w:t xml:space="preserve">with 06 people poisoned. Generally, in the first 2 months of 2022, there were 2 cases of poisoning with 10 people </w:t>
      </w:r>
      <w:r w:rsidRPr="00684AAE">
        <w:rPr>
          <w:lang w:val="de-DE"/>
        </w:rPr>
        <w:t xml:space="preserve">poisoned </w:t>
      </w:r>
      <w:r w:rsidR="00684AAE" w:rsidRPr="00684AAE">
        <w:rPr>
          <w:lang w:val="de-DE"/>
        </w:rPr>
        <w:t>in the whole country.</w:t>
      </w:r>
    </w:p>
    <w:p w14:paraId="45F60F4A" w14:textId="2FD93CAE" w:rsidR="00092656" w:rsidRPr="00C054B2" w:rsidRDefault="00092656" w:rsidP="00022A03">
      <w:pPr>
        <w:spacing w:before="40" w:after="40" w:line="283" w:lineRule="auto"/>
        <w:ind w:firstLine="567"/>
        <w:jc w:val="both"/>
        <w:rPr>
          <w:b/>
          <w:bCs/>
          <w:i/>
          <w:iCs/>
          <w:lang w:val="pl-PL"/>
        </w:rPr>
      </w:pPr>
      <w:r w:rsidRPr="00C054B2">
        <w:rPr>
          <w:b/>
          <w:bCs/>
          <w:i/>
          <w:iCs/>
          <w:lang w:val="pl-PL"/>
        </w:rPr>
        <w:t xml:space="preserve">c) </w:t>
      </w:r>
      <w:r w:rsidR="004F6327">
        <w:rPr>
          <w:b/>
          <w:i/>
        </w:rPr>
        <w:t>Traffic accident</w:t>
      </w:r>
      <w:r w:rsidR="004F6327">
        <w:rPr>
          <w:rStyle w:val="FootnoteReference"/>
          <w:rFonts w:eastAsia="Calibri"/>
        </w:rPr>
        <w:t xml:space="preserve"> </w:t>
      </w:r>
      <w:r w:rsidRPr="00C054B2">
        <w:rPr>
          <w:rStyle w:val="FootnoteReference"/>
          <w:rFonts w:eastAsia="Calibri"/>
        </w:rPr>
        <w:footnoteReference w:id="21"/>
      </w:r>
    </w:p>
    <w:p w14:paraId="0BB5606E" w14:textId="5F6D1A36" w:rsidR="00092656" w:rsidRDefault="00173B55" w:rsidP="00022A03">
      <w:pPr>
        <w:tabs>
          <w:tab w:val="left" w:pos="426"/>
          <w:tab w:val="left" w:pos="900"/>
        </w:tabs>
        <w:spacing w:before="40" w:after="40" w:line="283" w:lineRule="auto"/>
        <w:ind w:firstLine="567"/>
        <w:jc w:val="both"/>
        <w:rPr>
          <w:lang w:val="pl-PL"/>
        </w:rPr>
      </w:pPr>
      <w:r w:rsidRPr="00173B55">
        <w:rPr>
          <w:lang w:val="pl-PL"/>
        </w:rPr>
        <w:t xml:space="preserve">In February (from January 15 to February 14, 2022), there were 1,011 traffic accidents nationwide, including 723 traffic accidents from less serious and over, </w:t>
      </w:r>
      <w:r w:rsidRPr="00173B55">
        <w:rPr>
          <w:lang w:val="pl-PL"/>
        </w:rPr>
        <w:lastRenderedPageBreak/>
        <w:t>288 traffic collisions, causing 620 deaths, 359 injuries, and 302 minor injuries. Compared with the previous month, traffic accident cases increased by 5%; the number of dead increased by 9.7%, and the number of injured people increased by 6.8%. Compared with the same period last year, traffic accident cases in February decreased by 9.9% (the number of traffic accidents from less serious and above decreased by 3.6% and the number of traffic collisions decreased by 22.6%); the number of deaths decreased by 0.3%; the number of injured people decreased by 13.3% and the number of minor injuries decreased by 31.2%. During the 9 days of the Tet holiday, 216 traffic accidents occurred, causing 121 deaths and 138 injuries; On average, there were 24 traffic accidents per day during the Tet holiday, killing 13 people and injuring 15 others</w:t>
      </w:r>
      <w:r w:rsidR="0041635A" w:rsidRPr="00C054B2">
        <w:rPr>
          <w:shd w:val="clear" w:color="auto" w:fill="FFFFFF"/>
          <w:vertAlign w:val="superscript"/>
          <w:lang w:val="de-DE"/>
        </w:rPr>
        <w:footnoteReference w:id="22"/>
      </w:r>
      <w:r w:rsidR="0041635A" w:rsidRPr="000E3148">
        <w:rPr>
          <w:lang w:val="pl-PL"/>
        </w:rPr>
        <w:t>.</w:t>
      </w:r>
    </w:p>
    <w:p w14:paraId="00BE350A" w14:textId="655EDA2A" w:rsidR="00E06840" w:rsidRPr="00C054B2" w:rsidRDefault="00E06840" w:rsidP="00022A03">
      <w:pPr>
        <w:tabs>
          <w:tab w:val="left" w:pos="426"/>
          <w:tab w:val="left" w:pos="900"/>
        </w:tabs>
        <w:spacing w:before="40" w:after="40" w:line="283" w:lineRule="auto"/>
        <w:ind w:firstLine="567"/>
        <w:jc w:val="both"/>
        <w:rPr>
          <w:rFonts w:eastAsia="Calibri"/>
          <w:lang w:val="de-DE"/>
        </w:rPr>
      </w:pPr>
      <w:r w:rsidRPr="000E3148">
        <w:rPr>
          <w:lang w:val="pl-PL"/>
        </w:rPr>
        <w:t xml:space="preserve">Generally, in the first two months of 2022, there were 1,974 traffic accidents nationwide, including 1,410 traffic accidents </w:t>
      </w:r>
      <w:r w:rsidR="005A218B" w:rsidRPr="00173B55">
        <w:rPr>
          <w:lang w:val="pl-PL"/>
        </w:rPr>
        <w:t>from less serious and over</w:t>
      </w:r>
      <w:r w:rsidR="005A218B">
        <w:rPr>
          <w:lang w:val="pl-PL"/>
        </w:rPr>
        <w:t xml:space="preserve">, </w:t>
      </w:r>
      <w:r w:rsidRPr="000E3148">
        <w:rPr>
          <w:lang w:val="pl-PL"/>
        </w:rPr>
        <w:t xml:space="preserve">564 </w:t>
      </w:r>
      <w:r w:rsidRPr="00603318">
        <w:rPr>
          <w:spacing w:val="-2"/>
          <w:lang w:val="de-DE"/>
        </w:rPr>
        <w:t>traffic collisions</w:t>
      </w:r>
      <w:r w:rsidRPr="000E3148">
        <w:rPr>
          <w:lang w:val="pl-PL"/>
        </w:rPr>
        <w:t>, killing 1,185 people</w:t>
      </w:r>
      <w:r w:rsidR="005A218B">
        <w:rPr>
          <w:lang w:val="pl-PL"/>
        </w:rPr>
        <w:t xml:space="preserve">, </w:t>
      </w:r>
      <w:r w:rsidRPr="000E3148">
        <w:rPr>
          <w:lang w:val="pl-PL"/>
        </w:rPr>
        <w:t xml:space="preserve">695 </w:t>
      </w:r>
      <w:r w:rsidRPr="00603318">
        <w:rPr>
          <w:spacing w:val="-2"/>
          <w:lang w:val="de-DE"/>
        </w:rPr>
        <w:t>injuries</w:t>
      </w:r>
      <w:r w:rsidR="005A218B">
        <w:rPr>
          <w:spacing w:val="-2"/>
          <w:lang w:val="de-DE"/>
        </w:rPr>
        <w:t>,</w:t>
      </w:r>
      <w:r w:rsidRPr="000E3148">
        <w:rPr>
          <w:lang w:val="pl-PL"/>
        </w:rPr>
        <w:t xml:space="preserve"> and 565 </w:t>
      </w:r>
      <w:r w:rsidRPr="00603318">
        <w:rPr>
          <w:spacing w:val="-2"/>
          <w:lang w:val="de-DE"/>
        </w:rPr>
        <w:t>minor inj</w:t>
      </w:r>
      <w:r>
        <w:rPr>
          <w:spacing w:val="-2"/>
          <w:lang w:val="de-DE"/>
        </w:rPr>
        <w:t>uries</w:t>
      </w:r>
      <w:r w:rsidRPr="000E3148">
        <w:rPr>
          <w:lang w:val="pl-PL"/>
        </w:rPr>
        <w:t>. Compared with the same period last year, traffic accident</w:t>
      </w:r>
      <w:r w:rsidR="005A218B">
        <w:rPr>
          <w:lang w:val="pl-PL"/>
        </w:rPr>
        <w:t xml:space="preserve"> cases </w:t>
      </w:r>
      <w:r w:rsidRPr="000E3148">
        <w:rPr>
          <w:lang w:val="pl-PL"/>
        </w:rPr>
        <w:t xml:space="preserve">in the first 2 months of this year decreased by 6.1% (the number of traffic accidents </w:t>
      </w:r>
      <w:r w:rsidR="005A218B" w:rsidRPr="00173B55">
        <w:rPr>
          <w:lang w:val="pl-PL"/>
        </w:rPr>
        <w:t>from less serious and over</w:t>
      </w:r>
      <w:r w:rsidR="005A218B" w:rsidRPr="000E3148">
        <w:rPr>
          <w:lang w:val="pl-PL"/>
        </w:rPr>
        <w:t xml:space="preserve"> </w:t>
      </w:r>
      <w:r w:rsidRPr="000E3148">
        <w:rPr>
          <w:lang w:val="pl-PL"/>
        </w:rPr>
        <w:t>decreased by 1.5%; the number of traffic collisions decreased by 4.6%); the number of deaths decreased by 0.7%; the number of injured people decreased by 1.4% and the number of minor injuries decreased by 6.5%. On average</w:t>
      </w:r>
      <w:r w:rsidR="005A218B">
        <w:rPr>
          <w:lang w:val="pl-PL"/>
        </w:rPr>
        <w:t xml:space="preserve"> per </w:t>
      </w:r>
      <w:r w:rsidRPr="000E3148">
        <w:rPr>
          <w:lang w:val="pl-PL"/>
        </w:rPr>
        <w:t xml:space="preserve">day in </w:t>
      </w:r>
      <w:r w:rsidR="005A218B">
        <w:rPr>
          <w:lang w:val="pl-PL"/>
        </w:rPr>
        <w:t xml:space="preserve">the first </w:t>
      </w:r>
      <w:r w:rsidRPr="000E3148">
        <w:rPr>
          <w:lang w:val="pl-PL"/>
        </w:rPr>
        <w:t>2 months</w:t>
      </w:r>
      <w:r w:rsidR="005A218B">
        <w:rPr>
          <w:lang w:val="pl-PL"/>
        </w:rPr>
        <w:t xml:space="preserve"> this year</w:t>
      </w:r>
      <w:r w:rsidRPr="000E3148">
        <w:rPr>
          <w:lang w:val="pl-PL"/>
        </w:rPr>
        <w:t xml:space="preserve">, there </w:t>
      </w:r>
      <w:r w:rsidR="005A218B">
        <w:rPr>
          <w:lang w:val="pl-PL"/>
        </w:rPr>
        <w:t>we</w:t>
      </w:r>
      <w:r w:rsidRPr="000E3148">
        <w:rPr>
          <w:lang w:val="pl-PL"/>
        </w:rPr>
        <w:t xml:space="preserve">re 32 traffic accidents </w:t>
      </w:r>
      <w:r w:rsidR="005A218B">
        <w:rPr>
          <w:lang w:val="pl-PL"/>
        </w:rPr>
        <w:t>nationwide</w:t>
      </w:r>
      <w:r w:rsidRPr="000E3148">
        <w:rPr>
          <w:lang w:val="pl-PL"/>
        </w:rPr>
        <w:t xml:space="preserve">, including 23 traffic accidents </w:t>
      </w:r>
      <w:r w:rsidR="00F52963">
        <w:rPr>
          <w:lang w:val="pl-PL"/>
        </w:rPr>
        <w:t>from</w:t>
      </w:r>
      <w:r w:rsidRPr="000E3148">
        <w:rPr>
          <w:lang w:val="pl-PL"/>
        </w:rPr>
        <w:t xml:space="preserve"> less </w:t>
      </w:r>
      <w:r w:rsidR="00480721">
        <w:rPr>
          <w:lang w:val="pl-PL"/>
        </w:rPr>
        <w:t>serious</w:t>
      </w:r>
      <w:r w:rsidRPr="000E3148">
        <w:rPr>
          <w:lang w:val="pl-PL"/>
        </w:rPr>
        <w:t xml:space="preserve"> </w:t>
      </w:r>
      <w:r w:rsidR="00F52963">
        <w:rPr>
          <w:lang w:val="pl-PL"/>
        </w:rPr>
        <w:t xml:space="preserve">and over, </w:t>
      </w:r>
      <w:r w:rsidRPr="000E3148">
        <w:rPr>
          <w:lang w:val="pl-PL"/>
        </w:rPr>
        <w:t>9 traffic collisions, causing 19 deaths</w:t>
      </w:r>
      <w:r w:rsidR="00F52963">
        <w:rPr>
          <w:lang w:val="pl-PL"/>
        </w:rPr>
        <w:t xml:space="preserve">, </w:t>
      </w:r>
      <w:r w:rsidRPr="000E3148">
        <w:rPr>
          <w:lang w:val="pl-PL"/>
        </w:rPr>
        <w:t xml:space="preserve">11 </w:t>
      </w:r>
      <w:r w:rsidR="00F52963" w:rsidRPr="00603318">
        <w:rPr>
          <w:spacing w:val="-2"/>
          <w:lang w:val="de-DE"/>
        </w:rPr>
        <w:t>injuries</w:t>
      </w:r>
      <w:r w:rsidR="00F52963">
        <w:rPr>
          <w:spacing w:val="-2"/>
          <w:lang w:val="de-DE"/>
        </w:rPr>
        <w:t>,</w:t>
      </w:r>
      <w:r w:rsidRPr="000E3148">
        <w:rPr>
          <w:lang w:val="pl-PL"/>
        </w:rPr>
        <w:t xml:space="preserve"> and 9 </w:t>
      </w:r>
      <w:r w:rsidR="00F52963" w:rsidRPr="00173B55">
        <w:rPr>
          <w:lang w:val="pl-PL"/>
        </w:rPr>
        <w:t>minor injuries</w:t>
      </w:r>
      <w:r w:rsidR="00F52963">
        <w:rPr>
          <w:lang w:val="pl-PL"/>
        </w:rPr>
        <w:t>.</w:t>
      </w:r>
    </w:p>
    <w:p w14:paraId="01CC3AF1" w14:textId="634729C4" w:rsidR="00092656" w:rsidRPr="00C054B2" w:rsidRDefault="00092656" w:rsidP="00C054B2">
      <w:pPr>
        <w:pStyle w:val="Normal10"/>
        <w:spacing w:before="40" w:beforeAutospacing="0" w:after="40" w:afterAutospacing="0" w:line="276" w:lineRule="auto"/>
        <w:ind w:firstLine="567"/>
        <w:jc w:val="both"/>
        <w:rPr>
          <w:rFonts w:ascii="Times New Roman" w:hAnsi="Times New Roman" w:cs="Times New Roman"/>
          <w:b/>
          <w:i/>
          <w:sz w:val="28"/>
          <w:szCs w:val="28"/>
          <w:lang w:val="pl-PL"/>
        </w:rPr>
      </w:pPr>
      <w:r w:rsidRPr="00C054B2">
        <w:rPr>
          <w:rFonts w:ascii="Times New Roman" w:hAnsi="Times New Roman" w:cs="Times New Roman"/>
          <w:b/>
          <w:i/>
          <w:sz w:val="28"/>
          <w:szCs w:val="28"/>
          <w:lang w:val="pl-PL"/>
        </w:rPr>
        <w:t xml:space="preserve">d) </w:t>
      </w:r>
      <w:r w:rsidR="00B54597" w:rsidRPr="00B54597">
        <w:rPr>
          <w:rFonts w:ascii="Times New Roman" w:hAnsi="Times New Roman" w:cs="Times New Roman"/>
          <w:b/>
          <w:i/>
          <w:sz w:val="28"/>
          <w:szCs w:val="28"/>
          <w:lang w:val="pl-PL"/>
        </w:rPr>
        <w:t>Damage caused by natural disasters</w:t>
      </w:r>
      <w:r w:rsidRPr="00C054B2">
        <w:rPr>
          <w:rStyle w:val="FootnoteReference"/>
          <w:rFonts w:ascii="Times New Roman" w:eastAsia="Calibri" w:hAnsi="Times New Roman" w:cs="Times New Roman"/>
          <w:b/>
          <w:i/>
          <w:sz w:val="28"/>
          <w:szCs w:val="28"/>
          <w:lang w:val="pl-PL"/>
        </w:rPr>
        <w:footnoteReference w:id="23"/>
      </w:r>
    </w:p>
    <w:p w14:paraId="0BD51A21" w14:textId="77777777" w:rsidR="000010E2" w:rsidRPr="00EB62A0" w:rsidRDefault="000010E2" w:rsidP="00EB62A0">
      <w:pPr>
        <w:tabs>
          <w:tab w:val="left" w:pos="426"/>
          <w:tab w:val="left" w:pos="900"/>
        </w:tabs>
        <w:spacing w:before="40" w:after="40" w:line="283" w:lineRule="auto"/>
        <w:ind w:firstLine="567"/>
        <w:jc w:val="both"/>
        <w:rPr>
          <w:lang w:val="pl-PL"/>
        </w:rPr>
      </w:pPr>
      <w:r w:rsidRPr="00EB62A0">
        <w:rPr>
          <w:lang w:val="pl-PL"/>
        </w:rPr>
        <w:t>Damages from natural disasters in the month (from January 19 to February 18, 2022) were mainly due to landslides and land subsidence. Generally, in the first 2 months of this year, natural disasters made 1 person missing; 591 houses collapsed and were damaged; 33.7 thousand hectares of rice and 3.7 thousand hectares of crops were damaged. The estimated property damage value was  645.3 billion VND, 23.7 times higher than the same period in 2021, of which some localities suffered heavy damage like Khanh Hoa lost 395.6 billion VND; Tien Giang 86.3 billion VND; Quang Ngai 66.5 billion VND; Binh Dinh 36.8 billion VND; Quang Nam 31.7 billion VND...</w:t>
      </w:r>
    </w:p>
    <w:p w14:paraId="573F82F8" w14:textId="69661233" w:rsidR="00FE15ED" w:rsidRDefault="00092656" w:rsidP="00C054B2">
      <w:pPr>
        <w:tabs>
          <w:tab w:val="left" w:pos="426"/>
          <w:tab w:val="left" w:pos="900"/>
        </w:tabs>
        <w:spacing w:before="40" w:after="40" w:line="276" w:lineRule="auto"/>
        <w:ind w:firstLine="567"/>
        <w:jc w:val="both"/>
        <w:rPr>
          <w:lang w:val="de-DE"/>
        </w:rPr>
      </w:pPr>
      <w:r w:rsidRPr="00C054B2">
        <w:rPr>
          <w:rFonts w:eastAsia="Calibri"/>
          <w:b/>
          <w:i/>
          <w:lang w:val="de-DE"/>
        </w:rPr>
        <w:t>đ)</w:t>
      </w:r>
      <w:r w:rsidRPr="00C054B2">
        <w:rPr>
          <w:b/>
          <w:i/>
          <w:lang w:val="pl-PL"/>
        </w:rPr>
        <w:t xml:space="preserve"> </w:t>
      </w:r>
      <w:r w:rsidR="00FE15ED">
        <w:rPr>
          <w:b/>
          <w:i/>
          <w:lang w:val="pl-PL"/>
        </w:rPr>
        <w:t>E</w:t>
      </w:r>
      <w:r w:rsidR="00FE15ED">
        <w:rPr>
          <w:b/>
          <w:bCs/>
          <w:i/>
          <w:iCs/>
          <w:lang w:val="pl-PL"/>
        </w:rPr>
        <w:t>nvironmental protection and fire, and explosion prevention</w:t>
      </w:r>
      <w:r w:rsidR="00FE15ED">
        <w:rPr>
          <w:lang w:val="de-DE"/>
        </w:rPr>
        <w:t xml:space="preserve"> </w:t>
      </w:r>
    </w:p>
    <w:p w14:paraId="612C5AEF" w14:textId="77777777" w:rsidR="00AA0F55" w:rsidRDefault="00AA0F55" w:rsidP="00C054B2">
      <w:pPr>
        <w:pStyle w:val="Normal10"/>
        <w:spacing w:before="40" w:beforeAutospacing="0" w:after="40" w:afterAutospacing="0" w:line="276" w:lineRule="auto"/>
        <w:ind w:firstLine="567"/>
        <w:jc w:val="both"/>
        <w:rPr>
          <w:rFonts w:ascii="Times New Roman" w:hAnsi="Times New Roman"/>
          <w:sz w:val="28"/>
          <w:szCs w:val="28"/>
          <w:lang w:val="pl-PL"/>
        </w:rPr>
      </w:pPr>
      <w:r w:rsidRPr="000E3148">
        <w:rPr>
          <w:rFonts w:ascii="Times New Roman" w:hAnsi="Times New Roman"/>
          <w:sz w:val="28"/>
          <w:szCs w:val="28"/>
          <w:lang w:val="pl-PL"/>
        </w:rPr>
        <w:t xml:space="preserve">In February 2022, authorities discovered 1,979 cases of environmental violations, of which 1,851 cases were handled with a total fine of more than 26.3 </w:t>
      </w:r>
      <w:r w:rsidRPr="000E3148">
        <w:rPr>
          <w:rFonts w:ascii="Times New Roman" w:hAnsi="Times New Roman"/>
          <w:sz w:val="28"/>
          <w:szCs w:val="28"/>
          <w:lang w:val="pl-PL"/>
        </w:rPr>
        <w:lastRenderedPageBreak/>
        <w:t>billion VND. Generally, in the first 2 months of this year, 5,165 cases of environmental violations were detected, of which 4,446 cases were handled with a total fine of 52.2 billion VND.</w:t>
      </w:r>
    </w:p>
    <w:p w14:paraId="3D6EE617" w14:textId="2C5F2DEF" w:rsidR="00DC7810" w:rsidRPr="00425B7A" w:rsidRDefault="00DD1141" w:rsidP="00425B7A">
      <w:pPr>
        <w:pStyle w:val="Normal10"/>
        <w:spacing w:before="40" w:beforeAutospacing="0" w:after="40" w:afterAutospacing="0" w:line="288" w:lineRule="auto"/>
        <w:ind w:firstLine="567"/>
        <w:jc w:val="both"/>
        <w:rPr>
          <w:rStyle w:val="normalchar"/>
          <w:rFonts w:ascii="Times New Roman" w:hAnsi="Times New Roman" w:cs="Times New Roman"/>
          <w:b/>
          <w:bCs/>
          <w:i/>
          <w:sz w:val="28"/>
          <w:szCs w:val="28"/>
          <w:lang w:val="nl-NL"/>
        </w:rPr>
      </w:pPr>
      <w:r w:rsidRPr="004A1503">
        <w:rPr>
          <w:rFonts w:ascii="Times New Roman" w:hAnsi="Times New Roman"/>
          <w:sz w:val="28"/>
          <w:szCs w:val="28"/>
          <w:lang w:val="pl-PL"/>
        </w:rPr>
        <w:t>During the month</w:t>
      </w:r>
      <w:r w:rsidRPr="00C054B2">
        <w:rPr>
          <w:rStyle w:val="FootnoteReference"/>
          <w:rFonts w:ascii="Times New Roman" w:hAnsi="Times New Roman"/>
          <w:sz w:val="28"/>
          <w:szCs w:val="28"/>
          <w:lang w:val="de-DE"/>
        </w:rPr>
        <w:footnoteReference w:id="24"/>
      </w:r>
      <w:r w:rsidRPr="004A1503">
        <w:rPr>
          <w:rFonts w:ascii="Times New Roman" w:hAnsi="Times New Roman"/>
          <w:sz w:val="28"/>
          <w:szCs w:val="28"/>
          <w:lang w:val="pl-PL"/>
        </w:rPr>
        <w:t>, there were 162 fires and explosions in the whole country, killing 7 people and injuring 7 others, with estimated damage of 22.1 billion VND. Generally, in the first two months of 2022, there were 315 fires and explosions in the whole country, killing 16 people and injuring 16 others, with estimated damage of VND 46.1 billion.</w:t>
      </w:r>
      <w:r>
        <w:rPr>
          <w:rFonts w:ascii="Times New Roman" w:hAnsi="Times New Roman"/>
          <w:sz w:val="28"/>
          <w:szCs w:val="28"/>
          <w:lang w:val="pl-PL"/>
        </w:rPr>
        <w:t>/.</w:t>
      </w:r>
    </w:p>
    <w:p w14:paraId="627DDAF1" w14:textId="77777777" w:rsidR="0033017B" w:rsidRPr="009F2EE2" w:rsidRDefault="0033017B" w:rsidP="00574DB7">
      <w:pPr>
        <w:pStyle w:val="Normal10"/>
        <w:spacing w:before="40" w:beforeAutospacing="0" w:after="40" w:afterAutospacing="0" w:line="288" w:lineRule="auto"/>
        <w:ind w:firstLine="567"/>
        <w:jc w:val="both"/>
        <w:rPr>
          <w:rStyle w:val="normalchar"/>
          <w:rFonts w:ascii="Times New Roman" w:hAnsi="Times New Roman" w:cs="Times New Roman"/>
          <w:b/>
          <w:bCs/>
          <w:i/>
          <w:sz w:val="10"/>
          <w:szCs w:val="28"/>
          <w:lang w:val="nl-NL"/>
        </w:rPr>
      </w:pPr>
    </w:p>
    <w:p w14:paraId="10D9C1EE" w14:textId="77777777" w:rsidR="00E21AA6" w:rsidRDefault="00E21AA6" w:rsidP="00E21AA6">
      <w:pPr>
        <w:tabs>
          <w:tab w:val="left" w:pos="426"/>
          <w:tab w:val="left" w:pos="900"/>
        </w:tabs>
        <w:spacing w:before="40" w:after="40" w:line="276" w:lineRule="auto"/>
        <w:jc w:val="center"/>
        <w:rPr>
          <w:rFonts w:eastAsia="Calibri"/>
          <w:b/>
          <w:i/>
          <w:lang w:val="de-DE"/>
        </w:rPr>
      </w:pPr>
      <w:r>
        <w:rPr>
          <w:rStyle w:val="normalchar"/>
          <w:b/>
          <w:bCs/>
          <w:iCs/>
          <w:lang w:val="nl-NL"/>
        </w:rPr>
        <w:t>GENERAL STATISTICS OFFICE</w:t>
      </w:r>
    </w:p>
    <w:p w14:paraId="2A170FD8" w14:textId="77777777" w:rsidR="002646C7" w:rsidRPr="000169D6" w:rsidRDefault="002646C7" w:rsidP="009F2EE2">
      <w:pPr>
        <w:pStyle w:val="NormalWeb"/>
        <w:shd w:val="clear" w:color="auto" w:fill="FFFFFF"/>
        <w:tabs>
          <w:tab w:val="left" w:pos="6540"/>
        </w:tabs>
        <w:spacing w:before="40" w:beforeAutospacing="0" w:after="40" w:afterAutospacing="0" w:line="264" w:lineRule="auto"/>
        <w:rPr>
          <w:b/>
          <w:bCs/>
        </w:rPr>
      </w:pPr>
    </w:p>
    <w:sectPr w:rsidR="002646C7" w:rsidRPr="000169D6" w:rsidSect="00F7034A">
      <w:headerReference w:type="default" r:id="rId27"/>
      <w:pgSz w:w="11907" w:h="16840" w:code="9"/>
      <w:pgMar w:top="1077" w:right="1134" w:bottom="1134" w:left="1797" w:header="505"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F7368" w14:textId="77777777" w:rsidR="00BC06B9" w:rsidRDefault="00BC06B9" w:rsidP="001A07A9">
      <w:r>
        <w:separator/>
      </w:r>
    </w:p>
  </w:endnote>
  <w:endnote w:type="continuationSeparator" w:id="0">
    <w:p w14:paraId="7E16F8E6" w14:textId="77777777" w:rsidR="00BC06B9" w:rsidRDefault="00BC06B9" w:rsidP="001A0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Courier New"/>
    <w:panose1 w:val="020B7200000000000000"/>
    <w:charset w:val="00"/>
    <w:family w:val="swiss"/>
    <w:pitch w:val="variable"/>
    <w:sig w:usb0="00000005" w:usb1="00000000" w:usb2="00000000" w:usb3="00000000" w:csb0="00000013" w:csb1="00000000"/>
  </w:font>
  <w:font w:name="MS Mincho">
    <w:altName w:val="MS Mincho"/>
    <w:panose1 w:val="02020609040205080304"/>
    <w:charset w:val="80"/>
    <w:family w:val="modern"/>
    <w:pitch w:val="fixed"/>
    <w:sig w:usb0="E00002FF" w:usb1="6AC7FDFB" w:usb2="08000012" w:usb3="00000000" w:csb0="0002009F" w:csb1="00000000"/>
  </w:font>
  <w:font w:name=".VnArialH">
    <w:altName w:val="Courier New"/>
    <w:panose1 w:val="020B7200000000000000"/>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imes New Roman Italic">
    <w:altName w:val="Times New Roman"/>
    <w:panose1 w:val="02020503050405090304"/>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5867D" w14:textId="77777777" w:rsidR="00BC06B9" w:rsidRDefault="00BC06B9" w:rsidP="001A07A9">
      <w:r>
        <w:separator/>
      </w:r>
    </w:p>
  </w:footnote>
  <w:footnote w:type="continuationSeparator" w:id="0">
    <w:p w14:paraId="10864CBF" w14:textId="77777777" w:rsidR="00BC06B9" w:rsidRDefault="00BC06B9" w:rsidP="001A07A9">
      <w:r>
        <w:continuationSeparator/>
      </w:r>
    </w:p>
  </w:footnote>
  <w:footnote w:id="1">
    <w:p w14:paraId="3EA1AF5C" w14:textId="77777777" w:rsidR="00A404CD" w:rsidRPr="008A4E16" w:rsidRDefault="00A404CD" w:rsidP="00A404CD">
      <w:pPr>
        <w:pStyle w:val="FootnoteText"/>
        <w:spacing w:before="40" w:line="245" w:lineRule="auto"/>
        <w:ind w:left="142" w:hanging="142"/>
        <w:jc w:val="both"/>
      </w:pPr>
      <w:r w:rsidRPr="00255B1E">
        <w:rPr>
          <w:vertAlign w:val="superscript"/>
        </w:rPr>
        <w:footnoteRef/>
      </w:r>
      <w:r w:rsidRPr="00255B1E">
        <w:rPr>
          <w:spacing w:val="-2"/>
          <w:szCs w:val="28"/>
          <w:lang w:val="sv-SE"/>
        </w:rPr>
        <w:t xml:space="preserve"> </w:t>
      </w:r>
      <w:r w:rsidRPr="00CC7D3E">
        <w:rPr>
          <w:spacing w:val="-2"/>
          <w:szCs w:val="28"/>
          <w:lang w:val="sv-SE"/>
        </w:rPr>
        <w:t>Severe and harmful cold in the Northern and North Central provinces killed 6,389 cattle, including 5,311 buffaloes and cows; 1,078 goats and other livestock.</w:t>
      </w:r>
    </w:p>
  </w:footnote>
  <w:footnote w:id="2">
    <w:p w14:paraId="14A800B5" w14:textId="77777777" w:rsidR="004A2F61" w:rsidRPr="007F37C6" w:rsidRDefault="004A2F61" w:rsidP="004A2F61">
      <w:pPr>
        <w:pStyle w:val="FootnoteText"/>
        <w:rPr>
          <w:lang w:val="en-US"/>
        </w:rPr>
      </w:pPr>
      <w:r>
        <w:rPr>
          <w:rStyle w:val="FootnoteReference"/>
        </w:rPr>
        <w:footnoteRef/>
      </w:r>
      <w:r>
        <w:t xml:space="preserve"> According to data from the Ministry of Agriculture and Rural Development, from </w:t>
      </w:r>
      <w:r>
        <w:rPr>
          <w:lang w:val="en-GB"/>
        </w:rPr>
        <w:t>January</w:t>
      </w:r>
      <w:r>
        <w:t xml:space="preserve"> 16, 202</w:t>
      </w:r>
      <w:r>
        <w:rPr>
          <w:lang w:val="en-GB"/>
        </w:rPr>
        <w:t>2</w:t>
      </w:r>
      <w:r>
        <w:t xml:space="preserve">, to </w:t>
      </w:r>
      <w:r>
        <w:rPr>
          <w:lang w:val="en-GB"/>
        </w:rPr>
        <w:t>February</w:t>
      </w:r>
      <w:r>
        <w:t xml:space="preserve"> 15, 2022.</w:t>
      </w:r>
    </w:p>
  </w:footnote>
  <w:footnote w:id="3">
    <w:p w14:paraId="149865AE" w14:textId="7042A023" w:rsidR="00E76926" w:rsidRPr="009959AF" w:rsidRDefault="00E76926" w:rsidP="005545B9">
      <w:pPr>
        <w:pStyle w:val="FootnoteText"/>
        <w:spacing w:line="271" w:lineRule="auto"/>
        <w:ind w:left="142" w:hanging="142"/>
        <w:jc w:val="both"/>
        <w:rPr>
          <w:lang w:val="en-US"/>
        </w:rPr>
      </w:pPr>
      <w:r w:rsidRPr="009959AF">
        <w:rPr>
          <w:rStyle w:val="FootnoteReference"/>
        </w:rPr>
        <w:footnoteRef/>
      </w:r>
      <w:r w:rsidRPr="009959AF">
        <w:t xml:space="preserve"> </w:t>
      </w:r>
      <w:r w:rsidR="00BA2AFB">
        <w:rPr>
          <w:lang w:val="en-GB"/>
        </w:rPr>
        <w:t>Source</w:t>
      </w:r>
      <w:r w:rsidRPr="009959AF">
        <w:t xml:space="preserve">: </w:t>
      </w:r>
      <w:hyperlink r:id="rId1" w:history="1">
        <w:r w:rsidRPr="009959AF">
          <w:rPr>
            <w:rStyle w:val="Hyperlink"/>
            <w:i/>
            <w:iCs/>
          </w:rPr>
          <w:t>http://agromonitor.vn/group/48/280/giam-sat-gia</w:t>
        </w:r>
      </w:hyperlink>
      <w:r w:rsidRPr="009959AF">
        <w:rPr>
          <w:i/>
          <w:iCs/>
          <w:lang w:val="en-US"/>
        </w:rPr>
        <w:t xml:space="preserve"> </w:t>
      </w:r>
    </w:p>
  </w:footnote>
  <w:footnote w:id="4">
    <w:p w14:paraId="3581712B" w14:textId="4BC53B80" w:rsidR="00E76926" w:rsidRPr="00001541" w:rsidRDefault="00E76926" w:rsidP="005545B9">
      <w:pPr>
        <w:pStyle w:val="FootnoteText"/>
        <w:spacing w:line="271" w:lineRule="auto"/>
        <w:ind w:left="142" w:hanging="142"/>
        <w:jc w:val="both"/>
      </w:pPr>
      <w:r w:rsidRPr="009959AF">
        <w:rPr>
          <w:rStyle w:val="FootnoteReference"/>
        </w:rPr>
        <w:footnoteRef/>
      </w:r>
      <w:r w:rsidRPr="009959AF">
        <w:t xml:space="preserve"> </w:t>
      </w:r>
      <w:r w:rsidR="00AF4C38" w:rsidRPr="00AF4C38">
        <w:t>As of mid-February, the price of vannamei shrimp of 100 shrimp/kg ranged from 95,000 to 100,000 VND/kg; size 80 heads/kg fluctuated at 110,000 - 120,000 VND/kg; The price of black tiger shrimp 20 heads/kg ranged from 240,000 to 260,000 VND/kg.</w:t>
      </w:r>
      <w:r w:rsidR="00985D7A">
        <w:rPr>
          <w:lang w:val="en-GB"/>
        </w:rPr>
        <w:t xml:space="preserve"> </w:t>
      </w:r>
      <w:r w:rsidR="0071570A">
        <w:rPr>
          <w:lang w:val="en-GB"/>
        </w:rPr>
        <w:t>Source</w:t>
      </w:r>
      <w:r>
        <w:rPr>
          <w:lang w:val="en-GB"/>
        </w:rPr>
        <w:t>:</w:t>
      </w:r>
      <w:r w:rsidRPr="00C116AF">
        <w:rPr>
          <w:i/>
          <w:iCs/>
          <w:lang w:val="en-GB"/>
        </w:rPr>
        <w:t xml:space="preserve"> </w:t>
      </w:r>
      <w:hyperlink r:id="rId2" w:history="1">
        <w:r w:rsidRPr="00C116AF">
          <w:rPr>
            <w:rStyle w:val="Hyperlink"/>
            <w:i/>
            <w:iCs/>
            <w:lang w:val="en-GB"/>
          </w:rPr>
          <w:t>h</w:t>
        </w:r>
        <w:r w:rsidRPr="00C116AF">
          <w:rPr>
            <w:rStyle w:val="Hyperlink"/>
            <w:i/>
            <w:iCs/>
          </w:rPr>
          <w:t>ttp://agromonitor.vn/group/47/274/ban-tin-tuan</w:t>
        </w:r>
      </w:hyperlink>
    </w:p>
  </w:footnote>
  <w:footnote w:id="5">
    <w:p w14:paraId="6A325935" w14:textId="4EB16C9B" w:rsidR="00E76926" w:rsidRPr="002A3AD4" w:rsidRDefault="00E76926" w:rsidP="00462431">
      <w:pPr>
        <w:pStyle w:val="FootnoteText"/>
        <w:rPr>
          <w:lang w:val="en-US"/>
        </w:rPr>
      </w:pPr>
      <w:r>
        <w:rPr>
          <w:rStyle w:val="FootnoteReference"/>
        </w:rPr>
        <w:footnoteRef/>
      </w:r>
      <w:r>
        <w:t xml:space="preserve"> </w:t>
      </w:r>
      <w:r w:rsidR="00935CEB">
        <w:rPr>
          <w:lang w:val="en-US"/>
        </w:rPr>
        <w:t>The 02/2021 IIP over the same period last year decreased by 8.3%.</w:t>
      </w:r>
    </w:p>
  </w:footnote>
  <w:footnote w:id="6">
    <w:p w14:paraId="1D59A764" w14:textId="78913506" w:rsidR="00E76926" w:rsidRPr="002C0D26" w:rsidRDefault="00E76926" w:rsidP="006D3FDB">
      <w:pPr>
        <w:pStyle w:val="FootnoteText"/>
        <w:spacing w:before="40" w:after="40" w:line="264" w:lineRule="auto"/>
        <w:ind w:left="142" w:hanging="142"/>
        <w:jc w:val="both"/>
        <w:rPr>
          <w:lang w:val="en-US"/>
        </w:rPr>
      </w:pPr>
      <w:r>
        <w:rPr>
          <w:rStyle w:val="FootnoteReference"/>
        </w:rPr>
        <w:footnoteRef/>
      </w:r>
      <w:r>
        <w:t xml:space="preserve"> </w:t>
      </w:r>
      <w:r w:rsidR="00CA5112" w:rsidRPr="00AD3153">
        <w:rPr>
          <w:lang w:val="en-US"/>
        </w:rPr>
        <w:t>The IIP index in 0</w:t>
      </w:r>
      <w:r w:rsidR="00CA5112">
        <w:rPr>
          <w:lang w:val="en-US"/>
        </w:rPr>
        <w:t>2</w:t>
      </w:r>
      <w:r w:rsidR="00CA5112" w:rsidRPr="00AD3153">
        <w:rPr>
          <w:lang w:val="en-US"/>
        </w:rPr>
        <w:t xml:space="preserve">/2022 compared with the previous month of the number of localities with huge industrial-scale decreased sharply: </w:t>
      </w:r>
      <w:r w:rsidR="00CA5112">
        <w:rPr>
          <w:lang w:val="en-US"/>
        </w:rPr>
        <w:t>Vinh Phuc (-24.8%); Ba Ria - Vung Tau (-20%); Bac Giang (-19.8%); Long An (-18.3%); Hai Duong (-18%); Binh Duong (-16.2%); Thai Nguyen (-14.6%); Ha Noi (-14.2%); Hai Phong (-14%); Quang Ninh (-11.1%); Hung Yen (-9.2%); Bac Ninh (-7.3%).</w:t>
      </w:r>
    </w:p>
  </w:footnote>
  <w:footnote w:id="7">
    <w:p w14:paraId="64B9FCF1" w14:textId="433F5E8E" w:rsidR="00E76926" w:rsidRPr="009F297E" w:rsidRDefault="00E76926" w:rsidP="00092656">
      <w:pPr>
        <w:pStyle w:val="FootnoteText"/>
        <w:ind w:left="142" w:hanging="142"/>
        <w:jc w:val="both"/>
        <w:rPr>
          <w:spacing w:val="-4"/>
          <w:lang w:val="vi-VN"/>
        </w:rPr>
      </w:pPr>
      <w:r w:rsidRPr="00F531EB">
        <w:rPr>
          <w:rStyle w:val="FootnoteReference"/>
        </w:rPr>
        <w:footnoteRef/>
      </w:r>
      <w:r w:rsidRPr="009F297E">
        <w:rPr>
          <w:lang w:val="vi-VN"/>
        </w:rPr>
        <w:t xml:space="preserve"> </w:t>
      </w:r>
      <w:r w:rsidR="00837E1D" w:rsidRPr="006D7720">
        <w:rPr>
          <w:lang w:val="en-IN"/>
        </w:rPr>
        <w:t>Source: National Enterprise Registration Information System, Business Registration Management Agency, Ministry of Planning and Investment (Received the report on 2</w:t>
      </w:r>
      <w:r w:rsidR="00837E1D">
        <w:rPr>
          <w:lang w:val="en-IN"/>
        </w:rPr>
        <w:t>4</w:t>
      </w:r>
      <w:r w:rsidR="00837E1D" w:rsidRPr="006D7720">
        <w:rPr>
          <w:vertAlign w:val="superscript"/>
          <w:lang w:val="en-IN"/>
        </w:rPr>
        <w:t>th</w:t>
      </w:r>
      <w:r w:rsidR="00837E1D" w:rsidRPr="006D7720">
        <w:rPr>
          <w:lang w:val="en-IN"/>
        </w:rPr>
        <w:t xml:space="preserve"> </w:t>
      </w:r>
      <w:r w:rsidR="00837E1D">
        <w:rPr>
          <w:lang w:val="en-US"/>
        </w:rPr>
        <w:t>February</w:t>
      </w:r>
      <w:r w:rsidR="00837E1D" w:rsidRPr="006D7720">
        <w:t xml:space="preserve"> </w:t>
      </w:r>
      <w:r w:rsidR="00837E1D" w:rsidRPr="006D7720">
        <w:rPr>
          <w:lang w:val="en-IN"/>
        </w:rPr>
        <w:t>202</w:t>
      </w:r>
      <w:r w:rsidR="00837E1D">
        <w:rPr>
          <w:lang w:val="en-IN"/>
        </w:rPr>
        <w:t>2</w:t>
      </w:r>
      <w:r w:rsidR="00837E1D" w:rsidRPr="006D7720">
        <w:rPr>
          <w:lang w:val="en-IN"/>
        </w:rPr>
        <w:t>)</w:t>
      </w:r>
    </w:p>
  </w:footnote>
  <w:footnote w:id="8">
    <w:p w14:paraId="4D22631A" w14:textId="022516A3" w:rsidR="00E76926" w:rsidRPr="009720D3" w:rsidRDefault="00E76926" w:rsidP="006D3FDB">
      <w:pPr>
        <w:pStyle w:val="FootnoteText"/>
      </w:pPr>
      <w:r w:rsidRPr="00426245">
        <w:rPr>
          <w:rStyle w:val="FootnoteReference"/>
        </w:rPr>
        <w:footnoteRef/>
      </w:r>
      <w:r>
        <w:rPr>
          <w:lang w:val="en-US"/>
        </w:rPr>
        <w:t xml:space="preserve"> </w:t>
      </w:r>
      <w:r w:rsidR="002430A8" w:rsidRPr="002430A8">
        <w:t>According to the report of the Foreign Investment Department, Ministry of Planning and Investment, received on Fenuary 22, 2022</w:t>
      </w:r>
    </w:p>
  </w:footnote>
  <w:footnote w:id="9">
    <w:p w14:paraId="01D2DCF4" w14:textId="0C4416E1" w:rsidR="00E76926" w:rsidRPr="00C83F82" w:rsidRDefault="00E76926" w:rsidP="007B59CF">
      <w:pPr>
        <w:pStyle w:val="FootnoteText"/>
        <w:ind w:hanging="142"/>
        <w:jc w:val="both"/>
        <w:rPr>
          <w:lang w:val="en-US"/>
        </w:rPr>
      </w:pPr>
      <w:r>
        <w:rPr>
          <w:rStyle w:val="FootnoteReference"/>
        </w:rPr>
        <w:footnoteRef/>
      </w:r>
      <w:r>
        <w:t xml:space="preserve"> </w:t>
      </w:r>
      <w:r w:rsidR="003B52D9" w:rsidRPr="000A1E08">
        <w:rPr>
          <w:lang w:val="nl-NL"/>
        </w:rPr>
        <w:t>According to the Report on the implementation of Resolution No. 01/NQ-CP and No. 11/NQ-CP of the Government in the field of finance - state budget in February 2022.</w:t>
      </w:r>
    </w:p>
  </w:footnote>
  <w:footnote w:id="10">
    <w:p w14:paraId="2F3DEC32" w14:textId="512DDED8" w:rsidR="00E76926" w:rsidRPr="008816F9" w:rsidRDefault="00E76926" w:rsidP="002A58CB">
      <w:pPr>
        <w:spacing w:before="20"/>
        <w:ind w:left="198" w:right="119" w:hanging="198"/>
        <w:jc w:val="both"/>
        <w:rPr>
          <w:sz w:val="20"/>
          <w:szCs w:val="20"/>
        </w:rPr>
      </w:pPr>
      <w:r w:rsidRPr="008816F9">
        <w:rPr>
          <w:rStyle w:val="FootnoteReference"/>
          <w:sz w:val="20"/>
          <w:szCs w:val="20"/>
        </w:rPr>
        <w:footnoteRef/>
      </w:r>
      <w:r w:rsidRPr="008816F9">
        <w:rPr>
          <w:sz w:val="20"/>
          <w:szCs w:val="20"/>
        </w:rPr>
        <w:t xml:space="preserve"> </w:t>
      </w:r>
      <w:r w:rsidR="00EF7602" w:rsidRPr="00EF7602">
        <w:rPr>
          <w:sz w:val="20"/>
          <w:szCs w:val="20"/>
        </w:rPr>
        <w:t xml:space="preserve">Data for </w:t>
      </w:r>
      <w:r w:rsidR="00F064A6">
        <w:rPr>
          <w:sz w:val="20"/>
          <w:szCs w:val="20"/>
        </w:rPr>
        <w:t>February</w:t>
      </w:r>
      <w:r w:rsidR="00EF7602" w:rsidRPr="00EF7602">
        <w:rPr>
          <w:sz w:val="20"/>
          <w:szCs w:val="20"/>
        </w:rPr>
        <w:t xml:space="preserve"> 2022 was provided by the General Department of Customs on </w:t>
      </w:r>
      <w:r w:rsidR="00F064A6">
        <w:rPr>
          <w:sz w:val="20"/>
          <w:szCs w:val="20"/>
        </w:rPr>
        <w:t>February</w:t>
      </w:r>
      <w:r w:rsidR="00EF7602" w:rsidRPr="00EF7602">
        <w:rPr>
          <w:sz w:val="20"/>
          <w:szCs w:val="20"/>
        </w:rPr>
        <w:t xml:space="preserve"> 25, 2022.</w:t>
      </w:r>
    </w:p>
  </w:footnote>
  <w:footnote w:id="11">
    <w:p w14:paraId="759AFEDF" w14:textId="03FA78A6" w:rsidR="00E76926" w:rsidRPr="009720D3" w:rsidRDefault="00E76926" w:rsidP="002A58CB">
      <w:pPr>
        <w:pStyle w:val="FootnoteText"/>
        <w:spacing w:before="20"/>
        <w:ind w:left="198" w:right="119" w:hanging="198"/>
        <w:jc w:val="both"/>
      </w:pPr>
      <w:r w:rsidRPr="008816F9">
        <w:rPr>
          <w:rStyle w:val="FootnoteReference"/>
        </w:rPr>
        <w:footnoteRef/>
      </w:r>
      <w:r w:rsidRPr="008816F9">
        <w:t xml:space="preserve"> </w:t>
      </w:r>
      <w:r w:rsidR="00C736C9" w:rsidRPr="00771125">
        <w:t xml:space="preserve">Total import and export turnover of goods in </w:t>
      </w:r>
      <w:r w:rsidR="00C736C9">
        <w:rPr>
          <w:lang w:val="en-GB"/>
        </w:rPr>
        <w:t xml:space="preserve">the first 2 months in </w:t>
      </w:r>
      <w:r w:rsidR="00C736C9" w:rsidRPr="00771125">
        <w:t xml:space="preserve">2021 reached </w:t>
      </w:r>
      <w:r w:rsidR="00C736C9">
        <w:rPr>
          <w:lang w:val="en-GB"/>
        </w:rPr>
        <w:t>96.02</w:t>
      </w:r>
      <w:r w:rsidR="00C736C9" w:rsidRPr="00771125">
        <w:t xml:space="preserve"> billion USD, up </w:t>
      </w:r>
      <w:r w:rsidR="00C736C9">
        <w:rPr>
          <w:lang w:val="en-GB"/>
        </w:rPr>
        <w:t>21</w:t>
      </w:r>
      <w:r w:rsidR="00C736C9" w:rsidRPr="00771125">
        <w:t>.</w:t>
      </w:r>
      <w:r w:rsidR="00C736C9">
        <w:rPr>
          <w:lang w:val="en-GB"/>
        </w:rPr>
        <w:t>9</w:t>
      </w:r>
      <w:r w:rsidR="00C736C9" w:rsidRPr="00771125">
        <w:t xml:space="preserve">% over the same period last year, of which export reached </w:t>
      </w:r>
      <w:r w:rsidR="00C736C9">
        <w:rPr>
          <w:lang w:val="en-GB"/>
        </w:rPr>
        <w:t>48</w:t>
      </w:r>
      <w:r w:rsidR="00C736C9" w:rsidRPr="00771125">
        <w:t>.</w:t>
      </w:r>
      <w:r w:rsidR="00C736C9">
        <w:rPr>
          <w:lang w:val="en-GB"/>
        </w:rPr>
        <w:t>81</w:t>
      </w:r>
      <w:r w:rsidR="00C736C9" w:rsidRPr="00771125">
        <w:t xml:space="preserve"> billion USD, up </w:t>
      </w:r>
      <w:r w:rsidR="00C736C9">
        <w:rPr>
          <w:lang w:val="en-GB"/>
        </w:rPr>
        <w:t>23.9</w:t>
      </w:r>
      <w:r w:rsidR="00C736C9" w:rsidRPr="00771125">
        <w:t xml:space="preserve">%; imports reached </w:t>
      </w:r>
      <w:r w:rsidR="00C736C9">
        <w:rPr>
          <w:lang w:val="en-GB"/>
        </w:rPr>
        <w:t>47</w:t>
      </w:r>
      <w:r w:rsidR="00C736C9" w:rsidRPr="00771125">
        <w:t>.</w:t>
      </w:r>
      <w:r w:rsidR="00C736C9">
        <w:rPr>
          <w:lang w:val="en-GB"/>
        </w:rPr>
        <w:t>21</w:t>
      </w:r>
      <w:r w:rsidR="00C736C9" w:rsidRPr="00771125">
        <w:t xml:space="preserve"> billion USD, up </w:t>
      </w:r>
      <w:r w:rsidR="00C736C9">
        <w:rPr>
          <w:lang w:val="en-GB"/>
        </w:rPr>
        <w:t>19</w:t>
      </w:r>
      <w:r w:rsidR="00C736C9" w:rsidRPr="00771125">
        <w:t>.</w:t>
      </w:r>
      <w:r w:rsidR="00C736C9">
        <w:rPr>
          <w:lang w:val="en-GB"/>
        </w:rPr>
        <w:t>9</w:t>
      </w:r>
      <w:r w:rsidR="00C736C9" w:rsidRPr="00771125">
        <w:t>%.</w:t>
      </w:r>
    </w:p>
  </w:footnote>
  <w:footnote w:id="12">
    <w:p w14:paraId="3074ACB2" w14:textId="77777777" w:rsidR="00133F16" w:rsidRPr="00A02535" w:rsidRDefault="00133F16" w:rsidP="00133F16">
      <w:pPr>
        <w:pStyle w:val="FootnoteText"/>
        <w:rPr>
          <w:lang w:val="en-US"/>
        </w:rPr>
      </w:pPr>
      <w:r>
        <w:rPr>
          <w:rStyle w:val="FootnoteReference"/>
        </w:rPr>
        <w:footnoteRef/>
      </w:r>
      <w:r>
        <w:t xml:space="preserve"> </w:t>
      </w:r>
      <w:r w:rsidRPr="00A02535">
        <w:rPr>
          <w:lang w:val="en-GB"/>
        </w:rPr>
        <w:t xml:space="preserve">The trade </w:t>
      </w:r>
      <w:r>
        <w:rPr>
          <w:lang w:val="en-GB"/>
        </w:rPr>
        <w:t>deficit</w:t>
      </w:r>
      <w:r w:rsidRPr="00A02535">
        <w:rPr>
          <w:lang w:val="en-GB"/>
        </w:rPr>
        <w:t xml:space="preserve"> in </w:t>
      </w:r>
      <w:r>
        <w:rPr>
          <w:iCs/>
          <w:lang w:val="en-GB"/>
        </w:rPr>
        <w:t>January 2022</w:t>
      </w:r>
      <w:r w:rsidRPr="00A02535">
        <w:rPr>
          <w:iCs/>
        </w:rPr>
        <w:t xml:space="preserve"> </w:t>
      </w:r>
      <w:r w:rsidRPr="00A02535">
        <w:rPr>
          <w:lang w:val="en-GB"/>
        </w:rPr>
        <w:t xml:space="preserve">was estimated at </w:t>
      </w:r>
      <w:r>
        <w:rPr>
          <w:lang w:val="en-GB"/>
        </w:rPr>
        <w:t>500 million</w:t>
      </w:r>
      <w:r w:rsidRPr="00A02535">
        <w:rPr>
          <w:lang w:val="en-GB"/>
        </w:rPr>
        <w:t xml:space="preserve"> USD</w:t>
      </w:r>
    </w:p>
  </w:footnote>
  <w:footnote w:id="13">
    <w:p w14:paraId="11A71757" w14:textId="77777777" w:rsidR="007E3BCB" w:rsidRPr="00713BEB" w:rsidRDefault="007E3BCB" w:rsidP="007E3BCB">
      <w:pPr>
        <w:pStyle w:val="FootnoteText"/>
        <w:ind w:left="198" w:hanging="198"/>
        <w:jc w:val="both"/>
        <w:rPr>
          <w:lang w:val="en-US"/>
        </w:rPr>
      </w:pPr>
      <w:r>
        <w:rPr>
          <w:rStyle w:val="FootnoteReference"/>
        </w:rPr>
        <w:footnoteRef/>
      </w:r>
      <w:r>
        <w:t xml:space="preserve"> </w:t>
      </w:r>
      <w:r w:rsidRPr="00622552">
        <w:rPr>
          <w:lang w:val="en-US"/>
        </w:rPr>
        <w:t>For the Ho Chi Minh City - Hanoi route on the days before the Lunar New Year and for the Hanoi - Ho Chi Minh City route from the 4th day of the Lunar New Year.</w:t>
      </w:r>
    </w:p>
  </w:footnote>
  <w:footnote w:id="14">
    <w:p w14:paraId="0B2DBD20" w14:textId="77777777" w:rsidR="005F4C09" w:rsidRPr="00E8218A" w:rsidRDefault="005F4C09" w:rsidP="005F4C09">
      <w:pPr>
        <w:pStyle w:val="FootnoteText"/>
        <w:ind w:left="198" w:hanging="198"/>
        <w:jc w:val="both"/>
        <w:rPr>
          <w:lang w:val="en-US"/>
        </w:rPr>
      </w:pPr>
      <w:r w:rsidRPr="008816F9">
        <w:rPr>
          <w:rStyle w:val="FootnoteReference"/>
        </w:rPr>
        <w:footnoteRef/>
      </w:r>
      <w:r w:rsidRPr="008816F9">
        <w:t xml:space="preserve"> </w:t>
      </w:r>
      <w:r w:rsidRPr="00141A99">
        <w:rPr>
          <w:lang w:val="en-US"/>
        </w:rPr>
        <w:t xml:space="preserve">Rice prices increased by 0.2% as export prices remained high when Vietnam's rice consuming markets such as the Philippines, Malaysia, China... increased imports and in the </w:t>
      </w:r>
      <w:r>
        <w:rPr>
          <w:lang w:val="en-US"/>
        </w:rPr>
        <w:t>domestic</w:t>
      </w:r>
      <w:r w:rsidRPr="00141A99">
        <w:rPr>
          <w:lang w:val="en-US"/>
        </w:rPr>
        <w:t xml:space="preserve">, consumer demand for delicious rice and sticky rice </w:t>
      </w:r>
      <w:r>
        <w:rPr>
          <w:lang w:val="en-US"/>
        </w:rPr>
        <w:t>increased</w:t>
      </w:r>
      <w:r w:rsidRPr="00141A99">
        <w:rPr>
          <w:lang w:val="en-US"/>
        </w:rPr>
        <w:t xml:space="preserve"> during the Lunar New Year and the </w:t>
      </w:r>
      <w:r w:rsidRPr="00141A99">
        <w:rPr>
          <w:spacing w:val="-2"/>
          <w:lang w:val="en-US"/>
        </w:rPr>
        <w:t>Full Moon</w:t>
      </w:r>
      <w:r w:rsidRPr="00141A99">
        <w:rPr>
          <w:lang w:val="en-US"/>
        </w:rPr>
        <w:t xml:space="preserve"> in January. Besides, other processed food products also increased such as the price of vermicelli, fresh </w:t>
      </w:r>
      <w:r>
        <w:rPr>
          <w:lang w:val="en-US"/>
        </w:rPr>
        <w:t>P</w:t>
      </w:r>
      <w:r w:rsidRPr="00141A99">
        <w:rPr>
          <w:lang w:val="en-US"/>
        </w:rPr>
        <w:t xml:space="preserve">ho, dry rice paper increased by 1.44%; vermicelli increased by 0.71%; </w:t>
      </w:r>
      <w:r>
        <w:rPr>
          <w:lang w:val="en-US"/>
        </w:rPr>
        <w:t>i</w:t>
      </w:r>
      <w:r w:rsidRPr="00141A99">
        <w:rPr>
          <w:lang w:val="en-US"/>
        </w:rPr>
        <w:t xml:space="preserve">nstant noodles, </w:t>
      </w:r>
      <w:r>
        <w:rPr>
          <w:lang w:val="en-US"/>
        </w:rPr>
        <w:t>P</w:t>
      </w:r>
      <w:r w:rsidRPr="00141A99">
        <w:rPr>
          <w:lang w:val="en-US"/>
        </w:rPr>
        <w:t>ho</w:t>
      </w:r>
      <w:r>
        <w:rPr>
          <w:lang w:val="vi-VN"/>
        </w:rPr>
        <w:t>,</w:t>
      </w:r>
      <w:r w:rsidRPr="00141A99">
        <w:rPr>
          <w:lang w:val="en-US"/>
        </w:rPr>
        <w:t xml:space="preserve"> and </w:t>
      </w:r>
      <w:r>
        <w:rPr>
          <w:lang w:val="vi-VN"/>
        </w:rPr>
        <w:t xml:space="preserve">instant </w:t>
      </w:r>
      <w:r w:rsidRPr="00141A99">
        <w:rPr>
          <w:lang w:val="en-US"/>
        </w:rPr>
        <w:t>porridge increased by 0.53%.</w:t>
      </w:r>
    </w:p>
  </w:footnote>
  <w:footnote w:id="15">
    <w:p w14:paraId="36923F09" w14:textId="77777777" w:rsidR="00591A18" w:rsidRPr="00182A64" w:rsidRDefault="00591A18" w:rsidP="00591A18">
      <w:pPr>
        <w:pStyle w:val="FootnoteText"/>
        <w:ind w:left="198" w:hanging="198"/>
        <w:jc w:val="both"/>
        <w:rPr>
          <w:lang w:val="en-US"/>
        </w:rPr>
      </w:pPr>
      <w:r w:rsidRPr="008816F9">
        <w:rPr>
          <w:rStyle w:val="FootnoteReference"/>
        </w:rPr>
        <w:footnoteRef/>
      </w:r>
      <w:r w:rsidRPr="008816F9">
        <w:t xml:space="preserve"> </w:t>
      </w:r>
      <w:r w:rsidRPr="00141A99">
        <w:rPr>
          <w:spacing w:val="-2"/>
          <w:lang w:val="en-US"/>
        </w:rPr>
        <w:t xml:space="preserve">Pork price increased by 5.25% due to increased consumer demand during the Lunar New Year and the Full Moon of January; prices of processed pork products </w:t>
      </w:r>
      <w:r>
        <w:rPr>
          <w:spacing w:val="-2"/>
          <w:lang w:val="en-US"/>
        </w:rPr>
        <w:t>increased (prices of roast meat,</w:t>
      </w:r>
      <w:r w:rsidRPr="00141A99">
        <w:rPr>
          <w:spacing w:val="-2"/>
          <w:lang w:val="en-US"/>
        </w:rPr>
        <w:t xml:space="preserve"> spring rolls increased by 2.69%; canned meat increased by 1.46%; other processed meat increased by 0.61%); egg prices of all kinds increased by 1.05%; poultry meat increased by 1.31%; edible fats and other fats increased by 1.69%; cakes, jams and sweets by 0.29%; tea, coffee, cocoa by 0.16%; fresh fruit increased by 4.33%; price of fresh seafood increased by 1.87% and processed seafood increased by 0.19% due to strong consumer demand in the month of Tet, while fuel prices continued to rise, along with severe cold weather, which </w:t>
      </w:r>
      <w:r>
        <w:rPr>
          <w:spacing w:val="-2"/>
          <w:lang w:val="en-US"/>
        </w:rPr>
        <w:t>affected fishing activities</w:t>
      </w:r>
      <w:r w:rsidRPr="00141A99">
        <w:rPr>
          <w:spacing w:val="-2"/>
          <w:lang w:val="en-US"/>
        </w:rPr>
        <w:t>. On the other hand, vegetable prices decreased by 2.03% due to abundant supply, so vegetable prices in the central and southern provinces dropped sharply.</w:t>
      </w:r>
    </w:p>
  </w:footnote>
  <w:footnote w:id="16">
    <w:p w14:paraId="4378C6A5" w14:textId="4CBA6A7C" w:rsidR="000E58FE" w:rsidRPr="007E10EB" w:rsidRDefault="000E58FE" w:rsidP="000E58FE">
      <w:pPr>
        <w:pStyle w:val="FootnoteText"/>
        <w:ind w:left="198" w:hanging="198"/>
        <w:jc w:val="both"/>
        <w:rPr>
          <w:lang w:val="en-US"/>
        </w:rPr>
      </w:pPr>
      <w:r>
        <w:rPr>
          <w:rStyle w:val="FootnoteReference"/>
        </w:rPr>
        <w:footnoteRef/>
      </w:r>
      <w:r>
        <w:t xml:space="preserve"> </w:t>
      </w:r>
      <w:r w:rsidR="00C35DFB" w:rsidRPr="0015743F">
        <w:t xml:space="preserve">Package tour </w:t>
      </w:r>
      <w:r w:rsidR="00C35DFB">
        <w:rPr>
          <w:lang w:val="vi-VN"/>
        </w:rPr>
        <w:t>prices</w:t>
      </w:r>
      <w:r w:rsidR="00C35DFB" w:rsidRPr="0015743F">
        <w:t xml:space="preserve"> increased by 1.1%; hotel rental increased by 1%; plants, flowers</w:t>
      </w:r>
      <w:r w:rsidR="00C35DFB">
        <w:rPr>
          <w:lang w:val="vi-VN"/>
        </w:rPr>
        <w:t>,</w:t>
      </w:r>
      <w:r w:rsidR="00C35DFB" w:rsidRPr="0015743F">
        <w:t xml:space="preserve"> and ornamental plants increased from 0.06% to 7.04%.</w:t>
      </w:r>
    </w:p>
  </w:footnote>
  <w:footnote w:id="17">
    <w:p w14:paraId="62D0E539" w14:textId="64999C29" w:rsidR="00E76926" w:rsidRPr="005A4D75" w:rsidRDefault="00E76926" w:rsidP="00C054B2">
      <w:pPr>
        <w:pStyle w:val="FootnoteText"/>
        <w:ind w:left="198" w:hanging="198"/>
        <w:jc w:val="both"/>
      </w:pPr>
      <w:r w:rsidRPr="005A4D75">
        <w:rPr>
          <w:rStyle w:val="FootnoteReference"/>
        </w:rPr>
        <w:footnoteRef/>
      </w:r>
      <w:r w:rsidRPr="005A4D75">
        <w:t xml:space="preserve"> </w:t>
      </w:r>
      <w:r w:rsidR="00D864ED" w:rsidRPr="00473407">
        <w:t>CPI after excluding fresh food, foodstuff, energy and goods managed by the State including health services and education services.</w:t>
      </w:r>
    </w:p>
  </w:footnote>
  <w:footnote w:id="18">
    <w:p w14:paraId="5E433E05" w14:textId="05E9CCFC" w:rsidR="00E76926" w:rsidRPr="007469AE" w:rsidRDefault="00E76926" w:rsidP="00F71440">
      <w:pPr>
        <w:pStyle w:val="FootnoteText"/>
        <w:spacing w:before="40" w:after="40" w:line="264" w:lineRule="auto"/>
        <w:ind w:left="198" w:hanging="198"/>
        <w:jc w:val="both"/>
      </w:pPr>
      <w:r w:rsidRPr="007469AE">
        <w:rPr>
          <w:rStyle w:val="FootnoteReference"/>
        </w:rPr>
        <w:footnoteRef/>
      </w:r>
      <w:r w:rsidRPr="007469AE">
        <w:t xml:space="preserve"> </w:t>
      </w:r>
      <w:r w:rsidR="00951B0F" w:rsidRPr="007469AE">
        <w:rPr>
          <w:lang w:val="nl-NL"/>
        </w:rPr>
        <w:t>According to the report of the Border Gate Department, the Border Guard Command, the Ministry of National Defense and the Immigration Department, the Ministry of Public Security.</w:t>
      </w:r>
    </w:p>
  </w:footnote>
  <w:footnote w:id="19">
    <w:p w14:paraId="43C8FF20" w14:textId="77777777" w:rsidR="00543CE0" w:rsidRPr="008214D8" w:rsidRDefault="00543CE0" w:rsidP="00543CE0">
      <w:pPr>
        <w:pStyle w:val="FootnoteText"/>
        <w:rPr>
          <w:lang w:val="en-US"/>
        </w:rPr>
      </w:pPr>
      <w:r w:rsidRPr="007469AE">
        <w:rPr>
          <w:rStyle w:val="FootnoteReference"/>
        </w:rPr>
        <w:footnoteRef/>
      </w:r>
      <w:r w:rsidRPr="007469AE">
        <w:t xml:space="preserve"> </w:t>
      </w:r>
      <w:r w:rsidRPr="007469AE">
        <w:rPr>
          <w:lang w:val="en-US"/>
        </w:rPr>
        <w:t>T</w:t>
      </w:r>
      <w:r w:rsidRPr="007469AE">
        <w:rPr>
          <w:lang w:val="nl-NL"/>
        </w:rPr>
        <w:t>he reporting period was from January 21, 2022, to February 20, 2022.</w:t>
      </w:r>
    </w:p>
  </w:footnote>
  <w:footnote w:id="20">
    <w:p w14:paraId="3BC27771" w14:textId="1BF4C9F3" w:rsidR="00E76926" w:rsidRPr="00052095" w:rsidRDefault="00E76926" w:rsidP="006C4105">
      <w:pPr>
        <w:pStyle w:val="FootnoteText"/>
        <w:ind w:left="198" w:hanging="198"/>
        <w:jc w:val="both"/>
        <w:rPr>
          <w:lang w:val="vi-VN"/>
        </w:rPr>
      </w:pPr>
      <w:r w:rsidRPr="000D4AFF">
        <w:rPr>
          <w:rStyle w:val="FootnoteReference"/>
        </w:rPr>
        <w:footnoteRef/>
      </w:r>
      <w:r w:rsidRPr="000D4AFF">
        <w:t xml:space="preserve"> </w:t>
      </w:r>
      <w:r w:rsidR="006C4105">
        <w:t>As of 4:00 p.m. on February 24, 2022, there were 432,206.1 thousand cases of Covid-19 (5,949.3 thousand deaths).</w:t>
      </w:r>
    </w:p>
  </w:footnote>
  <w:footnote w:id="21">
    <w:p w14:paraId="2E2042EB" w14:textId="34D1022B" w:rsidR="00E76926" w:rsidRPr="00232635" w:rsidRDefault="00E76926" w:rsidP="00092656">
      <w:pPr>
        <w:pStyle w:val="FootnoteText"/>
        <w:spacing w:before="20" w:after="20"/>
        <w:ind w:left="198" w:hanging="198"/>
        <w:jc w:val="both"/>
      </w:pPr>
      <w:r w:rsidRPr="00507105">
        <w:rPr>
          <w:rStyle w:val="FootnoteReference"/>
        </w:rPr>
        <w:footnoteRef/>
      </w:r>
      <w:r w:rsidRPr="001256F8">
        <w:t xml:space="preserve"> </w:t>
      </w:r>
      <w:r w:rsidR="00114A26" w:rsidRPr="000E3148">
        <w:t>According to a quick report from the Office of the Ministry of Public Security and the Vietnam Maritime Administration (Ministry of Transport) from January 15, 2022 to February 14, 2022.</w:t>
      </w:r>
    </w:p>
  </w:footnote>
  <w:footnote w:id="22">
    <w:p w14:paraId="5202BFD1" w14:textId="77777777" w:rsidR="0041635A" w:rsidRPr="000169D6" w:rsidRDefault="0041635A" w:rsidP="0041635A">
      <w:pPr>
        <w:pStyle w:val="FootnoteText"/>
        <w:ind w:left="198" w:hanging="198"/>
        <w:jc w:val="both"/>
        <w:rPr>
          <w:lang w:val="en-US"/>
        </w:rPr>
      </w:pPr>
      <w:r w:rsidRPr="000169D6">
        <w:rPr>
          <w:rStyle w:val="FootnoteReference"/>
        </w:rPr>
        <w:footnoteRef/>
      </w:r>
      <w:r w:rsidRPr="000E3148">
        <w:rPr>
          <w:spacing w:val="-4"/>
          <w:shd w:val="clear" w:color="auto" w:fill="FFFFFF"/>
          <w:lang w:val="de-DE"/>
        </w:rPr>
        <w:t>On average, there are 26 traffic accidents per day during the Tan Suu Lunar New Year, killing 16 people and injuring 18 others.</w:t>
      </w:r>
      <w:r w:rsidRPr="000169D6">
        <w:rPr>
          <w:spacing w:val="-4"/>
          <w:shd w:val="clear" w:color="auto" w:fill="FFFFFF"/>
          <w:lang w:val="de-DE"/>
        </w:rPr>
        <w:t>.</w:t>
      </w:r>
    </w:p>
  </w:footnote>
  <w:footnote w:id="23">
    <w:p w14:paraId="6258BCB9" w14:textId="77777777" w:rsidR="00E76926" w:rsidRPr="0042366A" w:rsidRDefault="00E76926" w:rsidP="00092656">
      <w:pPr>
        <w:pStyle w:val="FootnoteText"/>
        <w:jc w:val="both"/>
        <w:rPr>
          <w:spacing w:val="-2"/>
        </w:rPr>
      </w:pPr>
      <w:r w:rsidRPr="0042366A">
        <w:rPr>
          <w:rStyle w:val="FootnoteReference"/>
          <w:spacing w:val="-2"/>
        </w:rPr>
        <w:footnoteRef/>
      </w:r>
      <w:r w:rsidRPr="0042366A">
        <w:rPr>
          <w:spacing w:val="-2"/>
        </w:rPr>
        <w:t xml:space="preserve"> </w:t>
      </w:r>
      <w:r w:rsidRPr="0042366A">
        <w:rPr>
          <w:spacing w:val="-2"/>
          <w:szCs w:val="18"/>
        </w:rPr>
        <w:t xml:space="preserve">Tổng hợp Báo cáo từ 63 Sở Nông nghiệp và Phát triển nông thôn, kỳ báo cáo từ ngày </w:t>
      </w:r>
      <w:r w:rsidRPr="0042366A">
        <w:rPr>
          <w:spacing w:val="-2"/>
        </w:rPr>
        <w:t>19/</w:t>
      </w:r>
      <w:r>
        <w:rPr>
          <w:spacing w:val="-2"/>
          <w:lang w:val="de-DE"/>
        </w:rPr>
        <w:t>01</w:t>
      </w:r>
      <w:r w:rsidRPr="0042366A">
        <w:rPr>
          <w:spacing w:val="-2"/>
        </w:rPr>
        <w:t>-18/</w:t>
      </w:r>
      <w:r>
        <w:rPr>
          <w:spacing w:val="-2"/>
          <w:lang w:val="de-DE"/>
        </w:rPr>
        <w:t>02</w:t>
      </w:r>
      <w:r w:rsidRPr="0042366A">
        <w:rPr>
          <w:spacing w:val="-2"/>
        </w:rPr>
        <w:t>/202</w:t>
      </w:r>
      <w:r w:rsidRPr="0042366A">
        <w:rPr>
          <w:spacing w:val="-2"/>
          <w:lang w:val="en-US"/>
        </w:rPr>
        <w:t>2</w:t>
      </w:r>
      <w:r w:rsidRPr="0042366A">
        <w:rPr>
          <w:spacing w:val="-2"/>
          <w:szCs w:val="18"/>
        </w:rPr>
        <w:t>.</w:t>
      </w:r>
    </w:p>
  </w:footnote>
  <w:footnote w:id="24">
    <w:p w14:paraId="713AB88E" w14:textId="32D01899" w:rsidR="00DD1141" w:rsidRPr="00232635" w:rsidRDefault="00DD1141" w:rsidP="00DD1141">
      <w:pPr>
        <w:pStyle w:val="FootnoteText"/>
      </w:pPr>
      <w:r w:rsidRPr="004808B0">
        <w:rPr>
          <w:rStyle w:val="FootnoteReference"/>
        </w:rPr>
        <w:footnoteRef/>
      </w:r>
      <w:r w:rsidRPr="004A1503">
        <w:t>According to a quick report from the Ministry of Public Security on February 23,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ED533" w14:textId="41FEACE9" w:rsidR="00E76926" w:rsidRPr="00AC7FFB" w:rsidRDefault="00E76926">
    <w:pPr>
      <w:pStyle w:val="Header"/>
      <w:jc w:val="center"/>
      <w:rPr>
        <w:sz w:val="26"/>
        <w:szCs w:val="26"/>
      </w:rPr>
    </w:pPr>
    <w:r w:rsidRPr="00AC7FFB">
      <w:rPr>
        <w:sz w:val="26"/>
        <w:szCs w:val="26"/>
      </w:rPr>
      <w:fldChar w:fldCharType="begin"/>
    </w:r>
    <w:r w:rsidRPr="00AC7FFB">
      <w:rPr>
        <w:sz w:val="26"/>
        <w:szCs w:val="26"/>
      </w:rPr>
      <w:instrText xml:space="preserve"> PAGE   \* MERGEFORMAT </w:instrText>
    </w:r>
    <w:r w:rsidRPr="00AC7FFB">
      <w:rPr>
        <w:sz w:val="26"/>
        <w:szCs w:val="26"/>
      </w:rPr>
      <w:fldChar w:fldCharType="separate"/>
    </w:r>
    <w:r w:rsidR="006428DB">
      <w:rPr>
        <w:noProof/>
        <w:sz w:val="26"/>
        <w:szCs w:val="26"/>
      </w:rPr>
      <w:t>25</w:t>
    </w:r>
    <w:r w:rsidRPr="00AC7FFB">
      <w:rPr>
        <w:sz w:val="26"/>
        <w:szCs w:val="26"/>
      </w:rPr>
      <w:fldChar w:fldCharType="end"/>
    </w:r>
  </w:p>
  <w:p w14:paraId="1345E178" w14:textId="77777777" w:rsidR="00E76926" w:rsidRDefault="00E76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C3DF2"/>
    <w:multiLevelType w:val="hybridMultilevel"/>
    <w:tmpl w:val="57B2C124"/>
    <w:lvl w:ilvl="0" w:tplc="97D2DCAC">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386E21E8"/>
    <w:multiLevelType w:val="hybridMultilevel"/>
    <w:tmpl w:val="19F8C82A"/>
    <w:lvl w:ilvl="0" w:tplc="107265E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4F2B5A09"/>
    <w:multiLevelType w:val="hybridMultilevel"/>
    <w:tmpl w:val="E242A0A0"/>
    <w:lvl w:ilvl="0" w:tplc="DEFAB6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6A190281"/>
    <w:multiLevelType w:val="hybridMultilevel"/>
    <w:tmpl w:val="29E6A5A4"/>
    <w:lvl w:ilvl="0" w:tplc="F4002D4C">
      <w:start w:val="3"/>
      <w:numFmt w:val="lowerLetter"/>
      <w:lvlText w:val="%1."/>
      <w:lvlJc w:val="left"/>
      <w:pPr>
        <w:ind w:left="1170" w:hanging="360"/>
      </w:pPr>
      <w:rPr>
        <w:rFonts w:cs="Times New Roman"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4" w15:restartNumberingAfterBreak="0">
    <w:nsid w:val="6C15253D"/>
    <w:multiLevelType w:val="hybridMultilevel"/>
    <w:tmpl w:val="31AC050A"/>
    <w:lvl w:ilvl="0" w:tplc="CBAAC4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hideSpellingErrors/>
  <w:defaultTabStop w:val="720"/>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468"/>
    <w:rsid w:val="0000060A"/>
    <w:rsid w:val="0000106D"/>
    <w:rsid w:val="000010E2"/>
    <w:rsid w:val="00001111"/>
    <w:rsid w:val="00001C22"/>
    <w:rsid w:val="000036C2"/>
    <w:rsid w:val="00003C5E"/>
    <w:rsid w:val="000043CF"/>
    <w:rsid w:val="0000461D"/>
    <w:rsid w:val="00005622"/>
    <w:rsid w:val="0000631B"/>
    <w:rsid w:val="000071F9"/>
    <w:rsid w:val="000111B7"/>
    <w:rsid w:val="00011FBD"/>
    <w:rsid w:val="00012187"/>
    <w:rsid w:val="00012590"/>
    <w:rsid w:val="00012976"/>
    <w:rsid w:val="00012C2C"/>
    <w:rsid w:val="00013D33"/>
    <w:rsid w:val="00014846"/>
    <w:rsid w:val="00014AB2"/>
    <w:rsid w:val="00015496"/>
    <w:rsid w:val="000154AA"/>
    <w:rsid w:val="00016203"/>
    <w:rsid w:val="000169D6"/>
    <w:rsid w:val="0001752D"/>
    <w:rsid w:val="00017DA3"/>
    <w:rsid w:val="00020671"/>
    <w:rsid w:val="000209B1"/>
    <w:rsid w:val="00022A03"/>
    <w:rsid w:val="00023FE8"/>
    <w:rsid w:val="00024472"/>
    <w:rsid w:val="00024AC9"/>
    <w:rsid w:val="00025359"/>
    <w:rsid w:val="0002579C"/>
    <w:rsid w:val="00026463"/>
    <w:rsid w:val="0002736B"/>
    <w:rsid w:val="000277B8"/>
    <w:rsid w:val="0003027A"/>
    <w:rsid w:val="000308C7"/>
    <w:rsid w:val="00030AF3"/>
    <w:rsid w:val="00030D8A"/>
    <w:rsid w:val="000319D7"/>
    <w:rsid w:val="0003230D"/>
    <w:rsid w:val="00033E21"/>
    <w:rsid w:val="00034406"/>
    <w:rsid w:val="00035C86"/>
    <w:rsid w:val="00036452"/>
    <w:rsid w:val="00040137"/>
    <w:rsid w:val="000420D5"/>
    <w:rsid w:val="00042223"/>
    <w:rsid w:val="00042EB9"/>
    <w:rsid w:val="00044A7D"/>
    <w:rsid w:val="00045745"/>
    <w:rsid w:val="000461E1"/>
    <w:rsid w:val="000463F1"/>
    <w:rsid w:val="00046AD8"/>
    <w:rsid w:val="00046EB2"/>
    <w:rsid w:val="00047933"/>
    <w:rsid w:val="000506B5"/>
    <w:rsid w:val="00050839"/>
    <w:rsid w:val="00050A08"/>
    <w:rsid w:val="000512EA"/>
    <w:rsid w:val="00051916"/>
    <w:rsid w:val="00052D63"/>
    <w:rsid w:val="00052DD5"/>
    <w:rsid w:val="00055398"/>
    <w:rsid w:val="0005565B"/>
    <w:rsid w:val="00055C58"/>
    <w:rsid w:val="000563EE"/>
    <w:rsid w:val="000564ED"/>
    <w:rsid w:val="00056734"/>
    <w:rsid w:val="000576E3"/>
    <w:rsid w:val="000577DB"/>
    <w:rsid w:val="000601AD"/>
    <w:rsid w:val="00060A18"/>
    <w:rsid w:val="00060D9F"/>
    <w:rsid w:val="00060EF3"/>
    <w:rsid w:val="00061C45"/>
    <w:rsid w:val="00061DBA"/>
    <w:rsid w:val="00062A88"/>
    <w:rsid w:val="00062BEB"/>
    <w:rsid w:val="00062D3D"/>
    <w:rsid w:val="00062EB5"/>
    <w:rsid w:val="00062FE7"/>
    <w:rsid w:val="0006321B"/>
    <w:rsid w:val="00063317"/>
    <w:rsid w:val="00063509"/>
    <w:rsid w:val="0006483F"/>
    <w:rsid w:val="0006495B"/>
    <w:rsid w:val="00065158"/>
    <w:rsid w:val="0006555A"/>
    <w:rsid w:val="000658A7"/>
    <w:rsid w:val="00065CCF"/>
    <w:rsid w:val="00070B2D"/>
    <w:rsid w:val="00070C81"/>
    <w:rsid w:val="000712EE"/>
    <w:rsid w:val="00072295"/>
    <w:rsid w:val="00072810"/>
    <w:rsid w:val="00072A12"/>
    <w:rsid w:val="000730C0"/>
    <w:rsid w:val="00074861"/>
    <w:rsid w:val="0007509B"/>
    <w:rsid w:val="0007526A"/>
    <w:rsid w:val="0007626A"/>
    <w:rsid w:val="00076466"/>
    <w:rsid w:val="0007684A"/>
    <w:rsid w:val="00076D5E"/>
    <w:rsid w:val="00076F40"/>
    <w:rsid w:val="0007721A"/>
    <w:rsid w:val="00077553"/>
    <w:rsid w:val="0007787D"/>
    <w:rsid w:val="00077957"/>
    <w:rsid w:val="000809AB"/>
    <w:rsid w:val="00083FA5"/>
    <w:rsid w:val="00084721"/>
    <w:rsid w:val="000851C7"/>
    <w:rsid w:val="00086197"/>
    <w:rsid w:val="000906F5"/>
    <w:rsid w:val="000909CE"/>
    <w:rsid w:val="0009196E"/>
    <w:rsid w:val="00092656"/>
    <w:rsid w:val="00092A06"/>
    <w:rsid w:val="00092C77"/>
    <w:rsid w:val="00092E0E"/>
    <w:rsid w:val="000930DA"/>
    <w:rsid w:val="000937B1"/>
    <w:rsid w:val="00094645"/>
    <w:rsid w:val="00095257"/>
    <w:rsid w:val="00095F89"/>
    <w:rsid w:val="0009679C"/>
    <w:rsid w:val="00096C40"/>
    <w:rsid w:val="00097180"/>
    <w:rsid w:val="00097770"/>
    <w:rsid w:val="000A0827"/>
    <w:rsid w:val="000A0849"/>
    <w:rsid w:val="000A1186"/>
    <w:rsid w:val="000A173F"/>
    <w:rsid w:val="000A192B"/>
    <w:rsid w:val="000A1CCE"/>
    <w:rsid w:val="000A3467"/>
    <w:rsid w:val="000A39E0"/>
    <w:rsid w:val="000A42A0"/>
    <w:rsid w:val="000A46D2"/>
    <w:rsid w:val="000A4A08"/>
    <w:rsid w:val="000A58E0"/>
    <w:rsid w:val="000A5F10"/>
    <w:rsid w:val="000A6278"/>
    <w:rsid w:val="000A642E"/>
    <w:rsid w:val="000A64CA"/>
    <w:rsid w:val="000A6E7E"/>
    <w:rsid w:val="000B1DBB"/>
    <w:rsid w:val="000B2181"/>
    <w:rsid w:val="000B3A76"/>
    <w:rsid w:val="000B3B84"/>
    <w:rsid w:val="000B4674"/>
    <w:rsid w:val="000B46CF"/>
    <w:rsid w:val="000B481F"/>
    <w:rsid w:val="000B49D3"/>
    <w:rsid w:val="000B56FF"/>
    <w:rsid w:val="000B5B1D"/>
    <w:rsid w:val="000B630A"/>
    <w:rsid w:val="000B720A"/>
    <w:rsid w:val="000C006C"/>
    <w:rsid w:val="000C0548"/>
    <w:rsid w:val="000C1A58"/>
    <w:rsid w:val="000C1AEE"/>
    <w:rsid w:val="000C27E6"/>
    <w:rsid w:val="000C2925"/>
    <w:rsid w:val="000C5209"/>
    <w:rsid w:val="000C53E9"/>
    <w:rsid w:val="000C5737"/>
    <w:rsid w:val="000C5829"/>
    <w:rsid w:val="000C65E4"/>
    <w:rsid w:val="000C6A80"/>
    <w:rsid w:val="000C6AB4"/>
    <w:rsid w:val="000C6F18"/>
    <w:rsid w:val="000C74A9"/>
    <w:rsid w:val="000C7688"/>
    <w:rsid w:val="000C7F9F"/>
    <w:rsid w:val="000D0051"/>
    <w:rsid w:val="000D1CEB"/>
    <w:rsid w:val="000D26EE"/>
    <w:rsid w:val="000D26EF"/>
    <w:rsid w:val="000D284A"/>
    <w:rsid w:val="000D3A06"/>
    <w:rsid w:val="000D4113"/>
    <w:rsid w:val="000D4AFF"/>
    <w:rsid w:val="000D4CC8"/>
    <w:rsid w:val="000D4F5D"/>
    <w:rsid w:val="000D53AB"/>
    <w:rsid w:val="000D573D"/>
    <w:rsid w:val="000D58AA"/>
    <w:rsid w:val="000D60C2"/>
    <w:rsid w:val="000D713B"/>
    <w:rsid w:val="000D71B7"/>
    <w:rsid w:val="000D76D0"/>
    <w:rsid w:val="000E0006"/>
    <w:rsid w:val="000E0C6F"/>
    <w:rsid w:val="000E2AD5"/>
    <w:rsid w:val="000E4B18"/>
    <w:rsid w:val="000E4E3C"/>
    <w:rsid w:val="000E535D"/>
    <w:rsid w:val="000E58FE"/>
    <w:rsid w:val="000E6165"/>
    <w:rsid w:val="000E689F"/>
    <w:rsid w:val="000E6961"/>
    <w:rsid w:val="000E780A"/>
    <w:rsid w:val="000F0084"/>
    <w:rsid w:val="000F09E0"/>
    <w:rsid w:val="000F0EA1"/>
    <w:rsid w:val="000F394F"/>
    <w:rsid w:val="000F3CA3"/>
    <w:rsid w:val="000F423F"/>
    <w:rsid w:val="000F4742"/>
    <w:rsid w:val="000F4AC9"/>
    <w:rsid w:val="000F4DEC"/>
    <w:rsid w:val="000F4E30"/>
    <w:rsid w:val="000F5913"/>
    <w:rsid w:val="000F6092"/>
    <w:rsid w:val="000F6482"/>
    <w:rsid w:val="000F74AD"/>
    <w:rsid w:val="000F7BC2"/>
    <w:rsid w:val="00100DF0"/>
    <w:rsid w:val="00100EB4"/>
    <w:rsid w:val="00101826"/>
    <w:rsid w:val="0010196B"/>
    <w:rsid w:val="00101C00"/>
    <w:rsid w:val="0010267B"/>
    <w:rsid w:val="00103A80"/>
    <w:rsid w:val="00103B7E"/>
    <w:rsid w:val="00103D49"/>
    <w:rsid w:val="001053C0"/>
    <w:rsid w:val="001067DB"/>
    <w:rsid w:val="00107927"/>
    <w:rsid w:val="00110D60"/>
    <w:rsid w:val="001111A4"/>
    <w:rsid w:val="00111673"/>
    <w:rsid w:val="00112582"/>
    <w:rsid w:val="0011328C"/>
    <w:rsid w:val="00113542"/>
    <w:rsid w:val="0011450B"/>
    <w:rsid w:val="001145F4"/>
    <w:rsid w:val="00114A26"/>
    <w:rsid w:val="001156CE"/>
    <w:rsid w:val="001163E2"/>
    <w:rsid w:val="00117119"/>
    <w:rsid w:val="0011728C"/>
    <w:rsid w:val="00117732"/>
    <w:rsid w:val="00117781"/>
    <w:rsid w:val="0012078A"/>
    <w:rsid w:val="001208B8"/>
    <w:rsid w:val="001208F7"/>
    <w:rsid w:val="00120AA1"/>
    <w:rsid w:val="00120DCB"/>
    <w:rsid w:val="001219F9"/>
    <w:rsid w:val="00123F60"/>
    <w:rsid w:val="00124496"/>
    <w:rsid w:val="00124520"/>
    <w:rsid w:val="00124AE1"/>
    <w:rsid w:val="00124D0A"/>
    <w:rsid w:val="00124E9B"/>
    <w:rsid w:val="00124F5E"/>
    <w:rsid w:val="00125D1A"/>
    <w:rsid w:val="001261B4"/>
    <w:rsid w:val="00126B64"/>
    <w:rsid w:val="00126BCD"/>
    <w:rsid w:val="00127476"/>
    <w:rsid w:val="00127893"/>
    <w:rsid w:val="00127E53"/>
    <w:rsid w:val="00130530"/>
    <w:rsid w:val="0013106B"/>
    <w:rsid w:val="00132327"/>
    <w:rsid w:val="00132AB4"/>
    <w:rsid w:val="00132C6D"/>
    <w:rsid w:val="00132DA3"/>
    <w:rsid w:val="00132F80"/>
    <w:rsid w:val="0013362F"/>
    <w:rsid w:val="001337D5"/>
    <w:rsid w:val="00133F16"/>
    <w:rsid w:val="00134829"/>
    <w:rsid w:val="0013560B"/>
    <w:rsid w:val="00135708"/>
    <w:rsid w:val="00136657"/>
    <w:rsid w:val="00137F3E"/>
    <w:rsid w:val="00140121"/>
    <w:rsid w:val="0014056F"/>
    <w:rsid w:val="001409C2"/>
    <w:rsid w:val="00141006"/>
    <w:rsid w:val="001413DD"/>
    <w:rsid w:val="00141744"/>
    <w:rsid w:val="00141BCE"/>
    <w:rsid w:val="00141FA6"/>
    <w:rsid w:val="00142019"/>
    <w:rsid w:val="001426FE"/>
    <w:rsid w:val="00142D28"/>
    <w:rsid w:val="0014472B"/>
    <w:rsid w:val="00144921"/>
    <w:rsid w:val="00145BC9"/>
    <w:rsid w:val="00147998"/>
    <w:rsid w:val="00150717"/>
    <w:rsid w:val="001507DD"/>
    <w:rsid w:val="00150E8C"/>
    <w:rsid w:val="00151028"/>
    <w:rsid w:val="0015190E"/>
    <w:rsid w:val="0015299C"/>
    <w:rsid w:val="0015336C"/>
    <w:rsid w:val="00155547"/>
    <w:rsid w:val="00155DE1"/>
    <w:rsid w:val="00156296"/>
    <w:rsid w:val="001573FD"/>
    <w:rsid w:val="00160722"/>
    <w:rsid w:val="0016093E"/>
    <w:rsid w:val="0016098B"/>
    <w:rsid w:val="001609D3"/>
    <w:rsid w:val="00161BCD"/>
    <w:rsid w:val="0016207C"/>
    <w:rsid w:val="00162689"/>
    <w:rsid w:val="001631CA"/>
    <w:rsid w:val="0016354C"/>
    <w:rsid w:val="00164709"/>
    <w:rsid w:val="00164CDE"/>
    <w:rsid w:val="001655F8"/>
    <w:rsid w:val="001665C1"/>
    <w:rsid w:val="00166711"/>
    <w:rsid w:val="00166F19"/>
    <w:rsid w:val="00167187"/>
    <w:rsid w:val="0016753D"/>
    <w:rsid w:val="00170BAE"/>
    <w:rsid w:val="00170E86"/>
    <w:rsid w:val="00171A4B"/>
    <w:rsid w:val="001724C7"/>
    <w:rsid w:val="00173B55"/>
    <w:rsid w:val="00173C75"/>
    <w:rsid w:val="00174088"/>
    <w:rsid w:val="0017424D"/>
    <w:rsid w:val="00174CD4"/>
    <w:rsid w:val="00175126"/>
    <w:rsid w:val="0017608F"/>
    <w:rsid w:val="00176E13"/>
    <w:rsid w:val="0017716A"/>
    <w:rsid w:val="00177248"/>
    <w:rsid w:val="00180A37"/>
    <w:rsid w:val="00180D47"/>
    <w:rsid w:val="0018111D"/>
    <w:rsid w:val="0018214D"/>
    <w:rsid w:val="00182AE3"/>
    <w:rsid w:val="001842C2"/>
    <w:rsid w:val="001847E9"/>
    <w:rsid w:val="00184CDD"/>
    <w:rsid w:val="00184EDC"/>
    <w:rsid w:val="00185B08"/>
    <w:rsid w:val="00185C7C"/>
    <w:rsid w:val="00185CEB"/>
    <w:rsid w:val="001867C2"/>
    <w:rsid w:val="0018688D"/>
    <w:rsid w:val="001879CD"/>
    <w:rsid w:val="00187FE2"/>
    <w:rsid w:val="001909BC"/>
    <w:rsid w:val="00190AEB"/>
    <w:rsid w:val="00190D41"/>
    <w:rsid w:val="00191B9D"/>
    <w:rsid w:val="00192F01"/>
    <w:rsid w:val="00193B56"/>
    <w:rsid w:val="0019426B"/>
    <w:rsid w:val="00194ABE"/>
    <w:rsid w:val="00195284"/>
    <w:rsid w:val="0019559C"/>
    <w:rsid w:val="0019657C"/>
    <w:rsid w:val="0019666F"/>
    <w:rsid w:val="001967B1"/>
    <w:rsid w:val="00196951"/>
    <w:rsid w:val="0019794A"/>
    <w:rsid w:val="00197B4A"/>
    <w:rsid w:val="001A02E3"/>
    <w:rsid w:val="001A02FB"/>
    <w:rsid w:val="001A07A9"/>
    <w:rsid w:val="001A0BF1"/>
    <w:rsid w:val="001A1D48"/>
    <w:rsid w:val="001A1DE3"/>
    <w:rsid w:val="001A1F71"/>
    <w:rsid w:val="001A24A0"/>
    <w:rsid w:val="001A307B"/>
    <w:rsid w:val="001A5466"/>
    <w:rsid w:val="001A6265"/>
    <w:rsid w:val="001A632D"/>
    <w:rsid w:val="001A767A"/>
    <w:rsid w:val="001A7B87"/>
    <w:rsid w:val="001A7D38"/>
    <w:rsid w:val="001B0377"/>
    <w:rsid w:val="001B05F7"/>
    <w:rsid w:val="001B0A32"/>
    <w:rsid w:val="001B1245"/>
    <w:rsid w:val="001B17CD"/>
    <w:rsid w:val="001B1F8B"/>
    <w:rsid w:val="001B2DC9"/>
    <w:rsid w:val="001B31A8"/>
    <w:rsid w:val="001B34BB"/>
    <w:rsid w:val="001B37A2"/>
    <w:rsid w:val="001B3974"/>
    <w:rsid w:val="001B4565"/>
    <w:rsid w:val="001B46A1"/>
    <w:rsid w:val="001B471E"/>
    <w:rsid w:val="001B47EE"/>
    <w:rsid w:val="001B5C7F"/>
    <w:rsid w:val="001B5F6C"/>
    <w:rsid w:val="001B7A79"/>
    <w:rsid w:val="001B7CA1"/>
    <w:rsid w:val="001B7D2D"/>
    <w:rsid w:val="001B7F65"/>
    <w:rsid w:val="001C07D6"/>
    <w:rsid w:val="001C0EAD"/>
    <w:rsid w:val="001C1AB7"/>
    <w:rsid w:val="001C1B98"/>
    <w:rsid w:val="001C2530"/>
    <w:rsid w:val="001C26B0"/>
    <w:rsid w:val="001C2E28"/>
    <w:rsid w:val="001C3319"/>
    <w:rsid w:val="001C43F7"/>
    <w:rsid w:val="001C4575"/>
    <w:rsid w:val="001C76B1"/>
    <w:rsid w:val="001C7ADA"/>
    <w:rsid w:val="001D13CD"/>
    <w:rsid w:val="001D2988"/>
    <w:rsid w:val="001D3772"/>
    <w:rsid w:val="001D49F4"/>
    <w:rsid w:val="001D4C5F"/>
    <w:rsid w:val="001D5CA2"/>
    <w:rsid w:val="001D6579"/>
    <w:rsid w:val="001D7D68"/>
    <w:rsid w:val="001E014E"/>
    <w:rsid w:val="001E07EA"/>
    <w:rsid w:val="001E0EF9"/>
    <w:rsid w:val="001E1102"/>
    <w:rsid w:val="001E12B1"/>
    <w:rsid w:val="001E2999"/>
    <w:rsid w:val="001E2ADB"/>
    <w:rsid w:val="001E2FF7"/>
    <w:rsid w:val="001E342B"/>
    <w:rsid w:val="001E3544"/>
    <w:rsid w:val="001E375D"/>
    <w:rsid w:val="001E39D0"/>
    <w:rsid w:val="001E4032"/>
    <w:rsid w:val="001E4A2C"/>
    <w:rsid w:val="001E5765"/>
    <w:rsid w:val="001E5C74"/>
    <w:rsid w:val="001E6570"/>
    <w:rsid w:val="001E6760"/>
    <w:rsid w:val="001E6957"/>
    <w:rsid w:val="001E6C19"/>
    <w:rsid w:val="001E76A4"/>
    <w:rsid w:val="001E7B07"/>
    <w:rsid w:val="001F00E2"/>
    <w:rsid w:val="001F016A"/>
    <w:rsid w:val="001F0A9F"/>
    <w:rsid w:val="001F16CD"/>
    <w:rsid w:val="001F1CBC"/>
    <w:rsid w:val="001F24E1"/>
    <w:rsid w:val="001F3354"/>
    <w:rsid w:val="001F37AF"/>
    <w:rsid w:val="001F39ED"/>
    <w:rsid w:val="001F3C7C"/>
    <w:rsid w:val="001F402B"/>
    <w:rsid w:val="001F4845"/>
    <w:rsid w:val="001F4A1C"/>
    <w:rsid w:val="001F508E"/>
    <w:rsid w:val="001F55D6"/>
    <w:rsid w:val="001F6365"/>
    <w:rsid w:val="001F65EC"/>
    <w:rsid w:val="001F716C"/>
    <w:rsid w:val="001F76F2"/>
    <w:rsid w:val="002001DC"/>
    <w:rsid w:val="00201470"/>
    <w:rsid w:val="0020168B"/>
    <w:rsid w:val="0020207F"/>
    <w:rsid w:val="00202A30"/>
    <w:rsid w:val="00202F58"/>
    <w:rsid w:val="00204E46"/>
    <w:rsid w:val="00205E9D"/>
    <w:rsid w:val="0020639D"/>
    <w:rsid w:val="00206E2F"/>
    <w:rsid w:val="00207B86"/>
    <w:rsid w:val="002109E7"/>
    <w:rsid w:val="002119D4"/>
    <w:rsid w:val="0021331F"/>
    <w:rsid w:val="00213504"/>
    <w:rsid w:val="00213741"/>
    <w:rsid w:val="00214BD5"/>
    <w:rsid w:val="00215A08"/>
    <w:rsid w:val="00216288"/>
    <w:rsid w:val="00216820"/>
    <w:rsid w:val="00216F88"/>
    <w:rsid w:val="00217082"/>
    <w:rsid w:val="0022111F"/>
    <w:rsid w:val="00222054"/>
    <w:rsid w:val="00222603"/>
    <w:rsid w:val="0022390D"/>
    <w:rsid w:val="002248A1"/>
    <w:rsid w:val="00224923"/>
    <w:rsid w:val="00224B8D"/>
    <w:rsid w:val="00225018"/>
    <w:rsid w:val="002254DC"/>
    <w:rsid w:val="002255B4"/>
    <w:rsid w:val="002260F3"/>
    <w:rsid w:val="00226121"/>
    <w:rsid w:val="0022663B"/>
    <w:rsid w:val="002266E7"/>
    <w:rsid w:val="0022689D"/>
    <w:rsid w:val="00226983"/>
    <w:rsid w:val="00227769"/>
    <w:rsid w:val="00227FAD"/>
    <w:rsid w:val="00230997"/>
    <w:rsid w:val="00230D3B"/>
    <w:rsid w:val="00231368"/>
    <w:rsid w:val="00232402"/>
    <w:rsid w:val="0023258A"/>
    <w:rsid w:val="00232811"/>
    <w:rsid w:val="002331DD"/>
    <w:rsid w:val="00233480"/>
    <w:rsid w:val="00233CFF"/>
    <w:rsid w:val="00234A07"/>
    <w:rsid w:val="00234AEA"/>
    <w:rsid w:val="00234E05"/>
    <w:rsid w:val="00234FB7"/>
    <w:rsid w:val="00235F70"/>
    <w:rsid w:val="00235F8C"/>
    <w:rsid w:val="002360BA"/>
    <w:rsid w:val="002362A4"/>
    <w:rsid w:val="00236B3F"/>
    <w:rsid w:val="00237434"/>
    <w:rsid w:val="002374E8"/>
    <w:rsid w:val="00237CFC"/>
    <w:rsid w:val="00240415"/>
    <w:rsid w:val="00240EE0"/>
    <w:rsid w:val="002410E5"/>
    <w:rsid w:val="002411CF"/>
    <w:rsid w:val="00241663"/>
    <w:rsid w:val="00241982"/>
    <w:rsid w:val="00241FA7"/>
    <w:rsid w:val="002424B1"/>
    <w:rsid w:val="002428EB"/>
    <w:rsid w:val="002430A8"/>
    <w:rsid w:val="002430F5"/>
    <w:rsid w:val="00244001"/>
    <w:rsid w:val="002443F6"/>
    <w:rsid w:val="002447BD"/>
    <w:rsid w:val="00245678"/>
    <w:rsid w:val="00245B4B"/>
    <w:rsid w:val="002460EF"/>
    <w:rsid w:val="002462D2"/>
    <w:rsid w:val="00246895"/>
    <w:rsid w:val="00246DB4"/>
    <w:rsid w:val="00246E11"/>
    <w:rsid w:val="002473DA"/>
    <w:rsid w:val="00250DF8"/>
    <w:rsid w:val="00252E15"/>
    <w:rsid w:val="00255261"/>
    <w:rsid w:val="0025599D"/>
    <w:rsid w:val="00255B1E"/>
    <w:rsid w:val="0025706F"/>
    <w:rsid w:val="0026046F"/>
    <w:rsid w:val="002606E1"/>
    <w:rsid w:val="00260DDA"/>
    <w:rsid w:val="00260F60"/>
    <w:rsid w:val="0026129F"/>
    <w:rsid w:val="002613FE"/>
    <w:rsid w:val="00261489"/>
    <w:rsid w:val="002614B0"/>
    <w:rsid w:val="002618D5"/>
    <w:rsid w:val="00261A90"/>
    <w:rsid w:val="00262BD6"/>
    <w:rsid w:val="002646C7"/>
    <w:rsid w:val="002678A7"/>
    <w:rsid w:val="00267FE6"/>
    <w:rsid w:val="002700EC"/>
    <w:rsid w:val="002703FD"/>
    <w:rsid w:val="00270CB2"/>
    <w:rsid w:val="00270F84"/>
    <w:rsid w:val="0027131E"/>
    <w:rsid w:val="00272C69"/>
    <w:rsid w:val="00272F35"/>
    <w:rsid w:val="00272FD8"/>
    <w:rsid w:val="002746F6"/>
    <w:rsid w:val="00276597"/>
    <w:rsid w:val="00276AEF"/>
    <w:rsid w:val="00276BBB"/>
    <w:rsid w:val="00277396"/>
    <w:rsid w:val="00277A2F"/>
    <w:rsid w:val="00277D53"/>
    <w:rsid w:val="0028025F"/>
    <w:rsid w:val="00280560"/>
    <w:rsid w:val="00280A50"/>
    <w:rsid w:val="00281200"/>
    <w:rsid w:val="002817E5"/>
    <w:rsid w:val="00281B8E"/>
    <w:rsid w:val="00281CE7"/>
    <w:rsid w:val="00282EF0"/>
    <w:rsid w:val="00283199"/>
    <w:rsid w:val="002833E3"/>
    <w:rsid w:val="00284578"/>
    <w:rsid w:val="002845AF"/>
    <w:rsid w:val="00284E9E"/>
    <w:rsid w:val="00285772"/>
    <w:rsid w:val="00286623"/>
    <w:rsid w:val="0028764F"/>
    <w:rsid w:val="00287AD9"/>
    <w:rsid w:val="0029123C"/>
    <w:rsid w:val="00292F96"/>
    <w:rsid w:val="002931B4"/>
    <w:rsid w:val="00293285"/>
    <w:rsid w:val="00294043"/>
    <w:rsid w:val="00294BF0"/>
    <w:rsid w:val="00294F82"/>
    <w:rsid w:val="0029538F"/>
    <w:rsid w:val="0029679B"/>
    <w:rsid w:val="002967BE"/>
    <w:rsid w:val="002978A7"/>
    <w:rsid w:val="002978B4"/>
    <w:rsid w:val="002A06B7"/>
    <w:rsid w:val="002A0FB3"/>
    <w:rsid w:val="002A1098"/>
    <w:rsid w:val="002A1D7F"/>
    <w:rsid w:val="002A1F3F"/>
    <w:rsid w:val="002A20F4"/>
    <w:rsid w:val="002A2190"/>
    <w:rsid w:val="002A2D5D"/>
    <w:rsid w:val="002A5269"/>
    <w:rsid w:val="002A564D"/>
    <w:rsid w:val="002A58CB"/>
    <w:rsid w:val="002A5F08"/>
    <w:rsid w:val="002A693B"/>
    <w:rsid w:val="002A6C59"/>
    <w:rsid w:val="002A7813"/>
    <w:rsid w:val="002B0104"/>
    <w:rsid w:val="002B0D6E"/>
    <w:rsid w:val="002B20B1"/>
    <w:rsid w:val="002B4DB3"/>
    <w:rsid w:val="002B651E"/>
    <w:rsid w:val="002B705E"/>
    <w:rsid w:val="002B79F2"/>
    <w:rsid w:val="002B7AF8"/>
    <w:rsid w:val="002C04CF"/>
    <w:rsid w:val="002C0DFE"/>
    <w:rsid w:val="002C0EC1"/>
    <w:rsid w:val="002C1136"/>
    <w:rsid w:val="002C1D59"/>
    <w:rsid w:val="002C324A"/>
    <w:rsid w:val="002C34D5"/>
    <w:rsid w:val="002C357C"/>
    <w:rsid w:val="002C3749"/>
    <w:rsid w:val="002C3B32"/>
    <w:rsid w:val="002C443A"/>
    <w:rsid w:val="002C4F8A"/>
    <w:rsid w:val="002C50DA"/>
    <w:rsid w:val="002C547D"/>
    <w:rsid w:val="002C593B"/>
    <w:rsid w:val="002C5ADF"/>
    <w:rsid w:val="002C5CAB"/>
    <w:rsid w:val="002C5DF7"/>
    <w:rsid w:val="002C5FC9"/>
    <w:rsid w:val="002C642A"/>
    <w:rsid w:val="002C6A9B"/>
    <w:rsid w:val="002D1706"/>
    <w:rsid w:val="002D1E1E"/>
    <w:rsid w:val="002D549B"/>
    <w:rsid w:val="002D591D"/>
    <w:rsid w:val="002D5980"/>
    <w:rsid w:val="002D5AA3"/>
    <w:rsid w:val="002D6554"/>
    <w:rsid w:val="002D6A3D"/>
    <w:rsid w:val="002D6E24"/>
    <w:rsid w:val="002D7E9A"/>
    <w:rsid w:val="002E01CF"/>
    <w:rsid w:val="002E172E"/>
    <w:rsid w:val="002E2E79"/>
    <w:rsid w:val="002E34C4"/>
    <w:rsid w:val="002E52FC"/>
    <w:rsid w:val="002E5AA0"/>
    <w:rsid w:val="002E6933"/>
    <w:rsid w:val="002E716D"/>
    <w:rsid w:val="002E746D"/>
    <w:rsid w:val="002E76FF"/>
    <w:rsid w:val="002E7AC4"/>
    <w:rsid w:val="002F0FB8"/>
    <w:rsid w:val="002F1DE2"/>
    <w:rsid w:val="002F217A"/>
    <w:rsid w:val="002F2967"/>
    <w:rsid w:val="002F2B2B"/>
    <w:rsid w:val="002F2CE1"/>
    <w:rsid w:val="002F322F"/>
    <w:rsid w:val="002F35DF"/>
    <w:rsid w:val="002F39FD"/>
    <w:rsid w:val="002F3DF2"/>
    <w:rsid w:val="002F455A"/>
    <w:rsid w:val="002F5491"/>
    <w:rsid w:val="002F6257"/>
    <w:rsid w:val="002F6316"/>
    <w:rsid w:val="002F6AF1"/>
    <w:rsid w:val="002F6F31"/>
    <w:rsid w:val="002F6F8F"/>
    <w:rsid w:val="002F7C5C"/>
    <w:rsid w:val="002F7F0F"/>
    <w:rsid w:val="00301C19"/>
    <w:rsid w:val="00301E3E"/>
    <w:rsid w:val="0030244C"/>
    <w:rsid w:val="003030A7"/>
    <w:rsid w:val="003034DF"/>
    <w:rsid w:val="0030372C"/>
    <w:rsid w:val="003038A9"/>
    <w:rsid w:val="00304BCC"/>
    <w:rsid w:val="003050B9"/>
    <w:rsid w:val="003053FB"/>
    <w:rsid w:val="00305768"/>
    <w:rsid w:val="00305DFC"/>
    <w:rsid w:val="0030678C"/>
    <w:rsid w:val="00307290"/>
    <w:rsid w:val="003073BF"/>
    <w:rsid w:val="0030747B"/>
    <w:rsid w:val="00310425"/>
    <w:rsid w:val="0031084F"/>
    <w:rsid w:val="003115FD"/>
    <w:rsid w:val="00311735"/>
    <w:rsid w:val="00311A4E"/>
    <w:rsid w:val="003123BF"/>
    <w:rsid w:val="003124D8"/>
    <w:rsid w:val="0031295B"/>
    <w:rsid w:val="0031572E"/>
    <w:rsid w:val="003158CD"/>
    <w:rsid w:val="0031609F"/>
    <w:rsid w:val="003164EB"/>
    <w:rsid w:val="00317259"/>
    <w:rsid w:val="00322768"/>
    <w:rsid w:val="00323F7C"/>
    <w:rsid w:val="00324857"/>
    <w:rsid w:val="003259F5"/>
    <w:rsid w:val="003300AC"/>
    <w:rsid w:val="0033017B"/>
    <w:rsid w:val="003303B3"/>
    <w:rsid w:val="00330865"/>
    <w:rsid w:val="00330EDD"/>
    <w:rsid w:val="00331023"/>
    <w:rsid w:val="00332779"/>
    <w:rsid w:val="00332E64"/>
    <w:rsid w:val="00333314"/>
    <w:rsid w:val="00333A1D"/>
    <w:rsid w:val="00333B83"/>
    <w:rsid w:val="00333CC2"/>
    <w:rsid w:val="00333E6A"/>
    <w:rsid w:val="00333FCB"/>
    <w:rsid w:val="00334421"/>
    <w:rsid w:val="00335BEB"/>
    <w:rsid w:val="00335C3A"/>
    <w:rsid w:val="003360D7"/>
    <w:rsid w:val="00336285"/>
    <w:rsid w:val="003369FF"/>
    <w:rsid w:val="00337C63"/>
    <w:rsid w:val="00337EF8"/>
    <w:rsid w:val="00342138"/>
    <w:rsid w:val="00342805"/>
    <w:rsid w:val="00343E99"/>
    <w:rsid w:val="00343FEC"/>
    <w:rsid w:val="00344066"/>
    <w:rsid w:val="00344A45"/>
    <w:rsid w:val="00344C94"/>
    <w:rsid w:val="0034570B"/>
    <w:rsid w:val="003503F9"/>
    <w:rsid w:val="0035061B"/>
    <w:rsid w:val="003508ED"/>
    <w:rsid w:val="00350AE6"/>
    <w:rsid w:val="00350F5B"/>
    <w:rsid w:val="00351ACE"/>
    <w:rsid w:val="00351B4C"/>
    <w:rsid w:val="00351BCA"/>
    <w:rsid w:val="00353826"/>
    <w:rsid w:val="0035460D"/>
    <w:rsid w:val="00354AC6"/>
    <w:rsid w:val="00356186"/>
    <w:rsid w:val="003573E1"/>
    <w:rsid w:val="00360003"/>
    <w:rsid w:val="0036078D"/>
    <w:rsid w:val="00360AC9"/>
    <w:rsid w:val="0036195D"/>
    <w:rsid w:val="00362576"/>
    <w:rsid w:val="00362821"/>
    <w:rsid w:val="003630BA"/>
    <w:rsid w:val="00363BC2"/>
    <w:rsid w:val="003641CE"/>
    <w:rsid w:val="003646D3"/>
    <w:rsid w:val="00365F85"/>
    <w:rsid w:val="0036658C"/>
    <w:rsid w:val="0036660A"/>
    <w:rsid w:val="00367639"/>
    <w:rsid w:val="003707C8"/>
    <w:rsid w:val="00371200"/>
    <w:rsid w:val="00371714"/>
    <w:rsid w:val="003720CF"/>
    <w:rsid w:val="00372772"/>
    <w:rsid w:val="003730D0"/>
    <w:rsid w:val="00373E5D"/>
    <w:rsid w:val="00374525"/>
    <w:rsid w:val="00374627"/>
    <w:rsid w:val="00374EC0"/>
    <w:rsid w:val="00374EE1"/>
    <w:rsid w:val="0037563F"/>
    <w:rsid w:val="0037568D"/>
    <w:rsid w:val="00375819"/>
    <w:rsid w:val="00375ADA"/>
    <w:rsid w:val="00376242"/>
    <w:rsid w:val="00377414"/>
    <w:rsid w:val="00377428"/>
    <w:rsid w:val="00377437"/>
    <w:rsid w:val="00377C6F"/>
    <w:rsid w:val="00380875"/>
    <w:rsid w:val="00380C91"/>
    <w:rsid w:val="00381426"/>
    <w:rsid w:val="00381CF0"/>
    <w:rsid w:val="00382C10"/>
    <w:rsid w:val="003846E8"/>
    <w:rsid w:val="00384978"/>
    <w:rsid w:val="00384C8B"/>
    <w:rsid w:val="00384D1F"/>
    <w:rsid w:val="00385852"/>
    <w:rsid w:val="003860A9"/>
    <w:rsid w:val="00386775"/>
    <w:rsid w:val="0038699B"/>
    <w:rsid w:val="00390782"/>
    <w:rsid w:val="00391153"/>
    <w:rsid w:val="0039142A"/>
    <w:rsid w:val="00392005"/>
    <w:rsid w:val="003921AB"/>
    <w:rsid w:val="00393310"/>
    <w:rsid w:val="00393C9E"/>
    <w:rsid w:val="00394017"/>
    <w:rsid w:val="00394184"/>
    <w:rsid w:val="00394491"/>
    <w:rsid w:val="003948C3"/>
    <w:rsid w:val="0039524D"/>
    <w:rsid w:val="00395AE7"/>
    <w:rsid w:val="003962FA"/>
    <w:rsid w:val="00396456"/>
    <w:rsid w:val="00396735"/>
    <w:rsid w:val="00396D19"/>
    <w:rsid w:val="0039734B"/>
    <w:rsid w:val="003A032D"/>
    <w:rsid w:val="003A0469"/>
    <w:rsid w:val="003A20D9"/>
    <w:rsid w:val="003A35EA"/>
    <w:rsid w:val="003A43B6"/>
    <w:rsid w:val="003A5AB4"/>
    <w:rsid w:val="003A60C9"/>
    <w:rsid w:val="003A6648"/>
    <w:rsid w:val="003A71BE"/>
    <w:rsid w:val="003A7DCD"/>
    <w:rsid w:val="003A7DD3"/>
    <w:rsid w:val="003B0FBF"/>
    <w:rsid w:val="003B13C6"/>
    <w:rsid w:val="003B19AB"/>
    <w:rsid w:val="003B219A"/>
    <w:rsid w:val="003B3AF1"/>
    <w:rsid w:val="003B48CA"/>
    <w:rsid w:val="003B4F22"/>
    <w:rsid w:val="003B52D9"/>
    <w:rsid w:val="003B59E4"/>
    <w:rsid w:val="003B5E50"/>
    <w:rsid w:val="003B5F91"/>
    <w:rsid w:val="003B6025"/>
    <w:rsid w:val="003B61F2"/>
    <w:rsid w:val="003B6797"/>
    <w:rsid w:val="003B681E"/>
    <w:rsid w:val="003C2153"/>
    <w:rsid w:val="003C2361"/>
    <w:rsid w:val="003C2625"/>
    <w:rsid w:val="003C290E"/>
    <w:rsid w:val="003C38A5"/>
    <w:rsid w:val="003C3980"/>
    <w:rsid w:val="003C3B1A"/>
    <w:rsid w:val="003C5032"/>
    <w:rsid w:val="003C573B"/>
    <w:rsid w:val="003C62B6"/>
    <w:rsid w:val="003C6B83"/>
    <w:rsid w:val="003C74EA"/>
    <w:rsid w:val="003C7FC2"/>
    <w:rsid w:val="003D0D09"/>
    <w:rsid w:val="003D11FA"/>
    <w:rsid w:val="003D1C6F"/>
    <w:rsid w:val="003D3666"/>
    <w:rsid w:val="003D3798"/>
    <w:rsid w:val="003D3A33"/>
    <w:rsid w:val="003D3A69"/>
    <w:rsid w:val="003D46E1"/>
    <w:rsid w:val="003D4E92"/>
    <w:rsid w:val="003D51FB"/>
    <w:rsid w:val="003D527F"/>
    <w:rsid w:val="003D528E"/>
    <w:rsid w:val="003D56F2"/>
    <w:rsid w:val="003D5902"/>
    <w:rsid w:val="003D69AE"/>
    <w:rsid w:val="003D6D60"/>
    <w:rsid w:val="003D7231"/>
    <w:rsid w:val="003D7A53"/>
    <w:rsid w:val="003E02F4"/>
    <w:rsid w:val="003E038D"/>
    <w:rsid w:val="003E04D7"/>
    <w:rsid w:val="003E12E4"/>
    <w:rsid w:val="003E1FF6"/>
    <w:rsid w:val="003E20B1"/>
    <w:rsid w:val="003E2930"/>
    <w:rsid w:val="003E2BC6"/>
    <w:rsid w:val="003E464B"/>
    <w:rsid w:val="003E4B8B"/>
    <w:rsid w:val="003E5310"/>
    <w:rsid w:val="003E5459"/>
    <w:rsid w:val="003E7825"/>
    <w:rsid w:val="003E7967"/>
    <w:rsid w:val="003F0288"/>
    <w:rsid w:val="003F0E35"/>
    <w:rsid w:val="003F0E91"/>
    <w:rsid w:val="003F1828"/>
    <w:rsid w:val="003F1B11"/>
    <w:rsid w:val="003F1C0F"/>
    <w:rsid w:val="003F374A"/>
    <w:rsid w:val="003F436B"/>
    <w:rsid w:val="003F55B3"/>
    <w:rsid w:val="003F613E"/>
    <w:rsid w:val="003F6605"/>
    <w:rsid w:val="003F6B51"/>
    <w:rsid w:val="003F75DC"/>
    <w:rsid w:val="00400EFE"/>
    <w:rsid w:val="00401746"/>
    <w:rsid w:val="00401A24"/>
    <w:rsid w:val="00401B5D"/>
    <w:rsid w:val="00402123"/>
    <w:rsid w:val="00402AF1"/>
    <w:rsid w:val="00403340"/>
    <w:rsid w:val="0040343C"/>
    <w:rsid w:val="004049DE"/>
    <w:rsid w:val="004061A5"/>
    <w:rsid w:val="0040664D"/>
    <w:rsid w:val="004073AE"/>
    <w:rsid w:val="00407DC9"/>
    <w:rsid w:val="004101A7"/>
    <w:rsid w:val="00410F17"/>
    <w:rsid w:val="00411DFA"/>
    <w:rsid w:val="004127B5"/>
    <w:rsid w:val="00412CB5"/>
    <w:rsid w:val="00413672"/>
    <w:rsid w:val="00414597"/>
    <w:rsid w:val="00415915"/>
    <w:rsid w:val="0041635A"/>
    <w:rsid w:val="00416BAE"/>
    <w:rsid w:val="00416C30"/>
    <w:rsid w:val="00417404"/>
    <w:rsid w:val="0041742B"/>
    <w:rsid w:val="004201C3"/>
    <w:rsid w:val="004208E5"/>
    <w:rsid w:val="00420BA5"/>
    <w:rsid w:val="00420ED8"/>
    <w:rsid w:val="00421023"/>
    <w:rsid w:val="00421AA1"/>
    <w:rsid w:val="0042245B"/>
    <w:rsid w:val="00422B6A"/>
    <w:rsid w:val="00422E90"/>
    <w:rsid w:val="0042400D"/>
    <w:rsid w:val="004243E2"/>
    <w:rsid w:val="00424496"/>
    <w:rsid w:val="00424772"/>
    <w:rsid w:val="00425889"/>
    <w:rsid w:val="00425B7A"/>
    <w:rsid w:val="004266CF"/>
    <w:rsid w:val="00426894"/>
    <w:rsid w:val="00427015"/>
    <w:rsid w:val="00427E4F"/>
    <w:rsid w:val="00430628"/>
    <w:rsid w:val="00430B5F"/>
    <w:rsid w:val="0043112F"/>
    <w:rsid w:val="00431ECB"/>
    <w:rsid w:val="00434668"/>
    <w:rsid w:val="004347CF"/>
    <w:rsid w:val="004347DF"/>
    <w:rsid w:val="00434946"/>
    <w:rsid w:val="00435A2C"/>
    <w:rsid w:val="00437B85"/>
    <w:rsid w:val="00437B94"/>
    <w:rsid w:val="0044006F"/>
    <w:rsid w:val="004419D3"/>
    <w:rsid w:val="00442443"/>
    <w:rsid w:val="00442806"/>
    <w:rsid w:val="00443644"/>
    <w:rsid w:val="00443BE8"/>
    <w:rsid w:val="00443F6F"/>
    <w:rsid w:val="004442D0"/>
    <w:rsid w:val="00444888"/>
    <w:rsid w:val="00444D4C"/>
    <w:rsid w:val="004453F0"/>
    <w:rsid w:val="00445783"/>
    <w:rsid w:val="00445A08"/>
    <w:rsid w:val="00446B19"/>
    <w:rsid w:val="00446E10"/>
    <w:rsid w:val="00447723"/>
    <w:rsid w:val="0045127B"/>
    <w:rsid w:val="00452C21"/>
    <w:rsid w:val="00452EDA"/>
    <w:rsid w:val="004535F6"/>
    <w:rsid w:val="0045657A"/>
    <w:rsid w:val="00457074"/>
    <w:rsid w:val="00457EB6"/>
    <w:rsid w:val="0046080A"/>
    <w:rsid w:val="00461375"/>
    <w:rsid w:val="00462080"/>
    <w:rsid w:val="00462431"/>
    <w:rsid w:val="0046297F"/>
    <w:rsid w:val="00462AE3"/>
    <w:rsid w:val="00462C66"/>
    <w:rsid w:val="004637EA"/>
    <w:rsid w:val="00463FD1"/>
    <w:rsid w:val="0046414A"/>
    <w:rsid w:val="00464B71"/>
    <w:rsid w:val="004662EB"/>
    <w:rsid w:val="0046723B"/>
    <w:rsid w:val="004674D9"/>
    <w:rsid w:val="00467556"/>
    <w:rsid w:val="00467716"/>
    <w:rsid w:val="00467FDC"/>
    <w:rsid w:val="004711B3"/>
    <w:rsid w:val="004717A5"/>
    <w:rsid w:val="00471A25"/>
    <w:rsid w:val="00471EFD"/>
    <w:rsid w:val="004720E1"/>
    <w:rsid w:val="004720F0"/>
    <w:rsid w:val="00472148"/>
    <w:rsid w:val="004722F7"/>
    <w:rsid w:val="0047382C"/>
    <w:rsid w:val="00473A9B"/>
    <w:rsid w:val="00474541"/>
    <w:rsid w:val="00474E3C"/>
    <w:rsid w:val="0047502D"/>
    <w:rsid w:val="00475BE3"/>
    <w:rsid w:val="00475C6A"/>
    <w:rsid w:val="00475D80"/>
    <w:rsid w:val="004760EC"/>
    <w:rsid w:val="00476E50"/>
    <w:rsid w:val="00480721"/>
    <w:rsid w:val="004811C2"/>
    <w:rsid w:val="00481458"/>
    <w:rsid w:val="004817BD"/>
    <w:rsid w:val="004820F1"/>
    <w:rsid w:val="0048210B"/>
    <w:rsid w:val="00482836"/>
    <w:rsid w:val="00482AD6"/>
    <w:rsid w:val="004836C2"/>
    <w:rsid w:val="00484583"/>
    <w:rsid w:val="00484754"/>
    <w:rsid w:val="004857EB"/>
    <w:rsid w:val="00485881"/>
    <w:rsid w:val="00486294"/>
    <w:rsid w:val="00486A1C"/>
    <w:rsid w:val="00486BA5"/>
    <w:rsid w:val="004872D8"/>
    <w:rsid w:val="00487872"/>
    <w:rsid w:val="00487E32"/>
    <w:rsid w:val="00490207"/>
    <w:rsid w:val="004907EA"/>
    <w:rsid w:val="004911CB"/>
    <w:rsid w:val="004923BA"/>
    <w:rsid w:val="00492F48"/>
    <w:rsid w:val="00493200"/>
    <w:rsid w:val="00493CB0"/>
    <w:rsid w:val="00495364"/>
    <w:rsid w:val="0049579E"/>
    <w:rsid w:val="00495B24"/>
    <w:rsid w:val="00495C1C"/>
    <w:rsid w:val="0049648C"/>
    <w:rsid w:val="00496963"/>
    <w:rsid w:val="0049756D"/>
    <w:rsid w:val="004A08A3"/>
    <w:rsid w:val="004A0CBC"/>
    <w:rsid w:val="004A0CFB"/>
    <w:rsid w:val="004A107C"/>
    <w:rsid w:val="004A1889"/>
    <w:rsid w:val="004A1C4A"/>
    <w:rsid w:val="004A28D5"/>
    <w:rsid w:val="004A2B69"/>
    <w:rsid w:val="004A2B72"/>
    <w:rsid w:val="004A2F61"/>
    <w:rsid w:val="004A34BC"/>
    <w:rsid w:val="004A37E8"/>
    <w:rsid w:val="004A4924"/>
    <w:rsid w:val="004A4C06"/>
    <w:rsid w:val="004A572E"/>
    <w:rsid w:val="004A5C2F"/>
    <w:rsid w:val="004A6E79"/>
    <w:rsid w:val="004A6EE2"/>
    <w:rsid w:val="004A796F"/>
    <w:rsid w:val="004A7AEC"/>
    <w:rsid w:val="004B0889"/>
    <w:rsid w:val="004B08BD"/>
    <w:rsid w:val="004B143F"/>
    <w:rsid w:val="004B1981"/>
    <w:rsid w:val="004B3698"/>
    <w:rsid w:val="004B3C45"/>
    <w:rsid w:val="004B5DCF"/>
    <w:rsid w:val="004B7E7F"/>
    <w:rsid w:val="004C075B"/>
    <w:rsid w:val="004C0D70"/>
    <w:rsid w:val="004C2737"/>
    <w:rsid w:val="004C2A87"/>
    <w:rsid w:val="004C3102"/>
    <w:rsid w:val="004C3D22"/>
    <w:rsid w:val="004C4EB5"/>
    <w:rsid w:val="004C6435"/>
    <w:rsid w:val="004C67B3"/>
    <w:rsid w:val="004C7323"/>
    <w:rsid w:val="004C7545"/>
    <w:rsid w:val="004C7696"/>
    <w:rsid w:val="004D0148"/>
    <w:rsid w:val="004D04CF"/>
    <w:rsid w:val="004D1996"/>
    <w:rsid w:val="004D1BEF"/>
    <w:rsid w:val="004D1DFA"/>
    <w:rsid w:val="004D2772"/>
    <w:rsid w:val="004D4543"/>
    <w:rsid w:val="004D4553"/>
    <w:rsid w:val="004D4976"/>
    <w:rsid w:val="004D76A6"/>
    <w:rsid w:val="004D76BC"/>
    <w:rsid w:val="004D7D08"/>
    <w:rsid w:val="004D7D8A"/>
    <w:rsid w:val="004E1177"/>
    <w:rsid w:val="004E1566"/>
    <w:rsid w:val="004E1BF1"/>
    <w:rsid w:val="004E2443"/>
    <w:rsid w:val="004E2C9D"/>
    <w:rsid w:val="004E2E80"/>
    <w:rsid w:val="004E4906"/>
    <w:rsid w:val="004E58F1"/>
    <w:rsid w:val="004E59E6"/>
    <w:rsid w:val="004E6050"/>
    <w:rsid w:val="004E60C1"/>
    <w:rsid w:val="004E693F"/>
    <w:rsid w:val="004E7A71"/>
    <w:rsid w:val="004E7F32"/>
    <w:rsid w:val="004F0182"/>
    <w:rsid w:val="004F197F"/>
    <w:rsid w:val="004F1E9F"/>
    <w:rsid w:val="004F24F7"/>
    <w:rsid w:val="004F342F"/>
    <w:rsid w:val="004F4D2C"/>
    <w:rsid w:val="004F4E31"/>
    <w:rsid w:val="004F5461"/>
    <w:rsid w:val="004F5B5C"/>
    <w:rsid w:val="004F5EB3"/>
    <w:rsid w:val="004F60D2"/>
    <w:rsid w:val="004F6327"/>
    <w:rsid w:val="004F6430"/>
    <w:rsid w:val="004F721B"/>
    <w:rsid w:val="004F75CE"/>
    <w:rsid w:val="00501259"/>
    <w:rsid w:val="0050142F"/>
    <w:rsid w:val="00501511"/>
    <w:rsid w:val="0050156D"/>
    <w:rsid w:val="005021C3"/>
    <w:rsid w:val="00502C6D"/>
    <w:rsid w:val="0050315D"/>
    <w:rsid w:val="005037C5"/>
    <w:rsid w:val="005040EF"/>
    <w:rsid w:val="005048DD"/>
    <w:rsid w:val="005048E9"/>
    <w:rsid w:val="005049BA"/>
    <w:rsid w:val="0050578E"/>
    <w:rsid w:val="00505976"/>
    <w:rsid w:val="00506501"/>
    <w:rsid w:val="00506888"/>
    <w:rsid w:val="00507D89"/>
    <w:rsid w:val="00510318"/>
    <w:rsid w:val="005103CA"/>
    <w:rsid w:val="00510750"/>
    <w:rsid w:val="0051116C"/>
    <w:rsid w:val="005116CF"/>
    <w:rsid w:val="005119B9"/>
    <w:rsid w:val="00512510"/>
    <w:rsid w:val="00512F85"/>
    <w:rsid w:val="00513C6B"/>
    <w:rsid w:val="005153C3"/>
    <w:rsid w:val="005155A0"/>
    <w:rsid w:val="00515C56"/>
    <w:rsid w:val="00515FFC"/>
    <w:rsid w:val="005160B7"/>
    <w:rsid w:val="0051638F"/>
    <w:rsid w:val="005178D4"/>
    <w:rsid w:val="00520D37"/>
    <w:rsid w:val="00520E9D"/>
    <w:rsid w:val="00520FA1"/>
    <w:rsid w:val="00521890"/>
    <w:rsid w:val="005218DD"/>
    <w:rsid w:val="00521B67"/>
    <w:rsid w:val="00522FB2"/>
    <w:rsid w:val="0052363D"/>
    <w:rsid w:val="0052399A"/>
    <w:rsid w:val="00523AE7"/>
    <w:rsid w:val="00524A48"/>
    <w:rsid w:val="00524B6C"/>
    <w:rsid w:val="00525131"/>
    <w:rsid w:val="005260D5"/>
    <w:rsid w:val="00526C09"/>
    <w:rsid w:val="00527C77"/>
    <w:rsid w:val="005307E2"/>
    <w:rsid w:val="00530DC4"/>
    <w:rsid w:val="00531764"/>
    <w:rsid w:val="0053191F"/>
    <w:rsid w:val="00531CC2"/>
    <w:rsid w:val="00531FBA"/>
    <w:rsid w:val="0053213A"/>
    <w:rsid w:val="00532BA1"/>
    <w:rsid w:val="00533B03"/>
    <w:rsid w:val="00534241"/>
    <w:rsid w:val="00534AD9"/>
    <w:rsid w:val="00534F89"/>
    <w:rsid w:val="00535297"/>
    <w:rsid w:val="005363A9"/>
    <w:rsid w:val="00536D67"/>
    <w:rsid w:val="00536DC1"/>
    <w:rsid w:val="0053717E"/>
    <w:rsid w:val="00537AA7"/>
    <w:rsid w:val="00537EF3"/>
    <w:rsid w:val="0054023E"/>
    <w:rsid w:val="005402DE"/>
    <w:rsid w:val="005410D2"/>
    <w:rsid w:val="0054138F"/>
    <w:rsid w:val="005413B5"/>
    <w:rsid w:val="005414DF"/>
    <w:rsid w:val="005417C8"/>
    <w:rsid w:val="0054210B"/>
    <w:rsid w:val="005422F7"/>
    <w:rsid w:val="005430CA"/>
    <w:rsid w:val="00543730"/>
    <w:rsid w:val="00543CE0"/>
    <w:rsid w:val="00543D37"/>
    <w:rsid w:val="005447CC"/>
    <w:rsid w:val="00544B44"/>
    <w:rsid w:val="00545366"/>
    <w:rsid w:val="00545514"/>
    <w:rsid w:val="005462CF"/>
    <w:rsid w:val="00547082"/>
    <w:rsid w:val="0054773E"/>
    <w:rsid w:val="00547740"/>
    <w:rsid w:val="00550E31"/>
    <w:rsid w:val="00551275"/>
    <w:rsid w:val="00551592"/>
    <w:rsid w:val="00552A61"/>
    <w:rsid w:val="00553379"/>
    <w:rsid w:val="00553972"/>
    <w:rsid w:val="005540B3"/>
    <w:rsid w:val="005545B9"/>
    <w:rsid w:val="00554896"/>
    <w:rsid w:val="0055518C"/>
    <w:rsid w:val="00555697"/>
    <w:rsid w:val="005559AA"/>
    <w:rsid w:val="0055664D"/>
    <w:rsid w:val="005574E1"/>
    <w:rsid w:val="00562AF4"/>
    <w:rsid w:val="005654CF"/>
    <w:rsid w:val="00565EE6"/>
    <w:rsid w:val="0056605B"/>
    <w:rsid w:val="00566BB4"/>
    <w:rsid w:val="00566C77"/>
    <w:rsid w:val="00567985"/>
    <w:rsid w:val="005679DE"/>
    <w:rsid w:val="005724F5"/>
    <w:rsid w:val="00572591"/>
    <w:rsid w:val="00573D4F"/>
    <w:rsid w:val="005749EA"/>
    <w:rsid w:val="00574DB7"/>
    <w:rsid w:val="005755C5"/>
    <w:rsid w:val="00575674"/>
    <w:rsid w:val="00575969"/>
    <w:rsid w:val="00576263"/>
    <w:rsid w:val="005767A5"/>
    <w:rsid w:val="00577AEC"/>
    <w:rsid w:val="0058047C"/>
    <w:rsid w:val="00581863"/>
    <w:rsid w:val="00582601"/>
    <w:rsid w:val="005827A9"/>
    <w:rsid w:val="005845FF"/>
    <w:rsid w:val="00584B5A"/>
    <w:rsid w:val="00585C21"/>
    <w:rsid w:val="00585E1D"/>
    <w:rsid w:val="005861DD"/>
    <w:rsid w:val="00587538"/>
    <w:rsid w:val="00587CC5"/>
    <w:rsid w:val="00590379"/>
    <w:rsid w:val="00591015"/>
    <w:rsid w:val="00591556"/>
    <w:rsid w:val="00591A18"/>
    <w:rsid w:val="00592381"/>
    <w:rsid w:val="00593052"/>
    <w:rsid w:val="005933B1"/>
    <w:rsid w:val="005943F5"/>
    <w:rsid w:val="00594D82"/>
    <w:rsid w:val="00594FB6"/>
    <w:rsid w:val="005957B9"/>
    <w:rsid w:val="005957C6"/>
    <w:rsid w:val="005962C7"/>
    <w:rsid w:val="00596527"/>
    <w:rsid w:val="0059662F"/>
    <w:rsid w:val="005975DA"/>
    <w:rsid w:val="00597E98"/>
    <w:rsid w:val="005A0A82"/>
    <w:rsid w:val="005A0B2B"/>
    <w:rsid w:val="005A0FC3"/>
    <w:rsid w:val="005A1DCE"/>
    <w:rsid w:val="005A1E6F"/>
    <w:rsid w:val="005A218B"/>
    <w:rsid w:val="005A2D13"/>
    <w:rsid w:val="005A4145"/>
    <w:rsid w:val="005A4EDC"/>
    <w:rsid w:val="005A5D9E"/>
    <w:rsid w:val="005A6770"/>
    <w:rsid w:val="005A75BF"/>
    <w:rsid w:val="005B015D"/>
    <w:rsid w:val="005B027B"/>
    <w:rsid w:val="005B03DF"/>
    <w:rsid w:val="005B1317"/>
    <w:rsid w:val="005B1763"/>
    <w:rsid w:val="005B2113"/>
    <w:rsid w:val="005B2470"/>
    <w:rsid w:val="005B3950"/>
    <w:rsid w:val="005B3AE3"/>
    <w:rsid w:val="005B43D0"/>
    <w:rsid w:val="005B43FA"/>
    <w:rsid w:val="005B4A75"/>
    <w:rsid w:val="005B64DA"/>
    <w:rsid w:val="005B738B"/>
    <w:rsid w:val="005B748E"/>
    <w:rsid w:val="005C0BD0"/>
    <w:rsid w:val="005C0C96"/>
    <w:rsid w:val="005C14A0"/>
    <w:rsid w:val="005C1F5C"/>
    <w:rsid w:val="005C644F"/>
    <w:rsid w:val="005C6AC9"/>
    <w:rsid w:val="005C7094"/>
    <w:rsid w:val="005D0080"/>
    <w:rsid w:val="005D029B"/>
    <w:rsid w:val="005D0720"/>
    <w:rsid w:val="005D08AD"/>
    <w:rsid w:val="005D15EB"/>
    <w:rsid w:val="005D16E2"/>
    <w:rsid w:val="005D194A"/>
    <w:rsid w:val="005D1BCE"/>
    <w:rsid w:val="005D234A"/>
    <w:rsid w:val="005D292E"/>
    <w:rsid w:val="005D2DF7"/>
    <w:rsid w:val="005D5AC7"/>
    <w:rsid w:val="005D5E3F"/>
    <w:rsid w:val="005D6082"/>
    <w:rsid w:val="005D658A"/>
    <w:rsid w:val="005D67ED"/>
    <w:rsid w:val="005D6DB3"/>
    <w:rsid w:val="005D6EEE"/>
    <w:rsid w:val="005E07B3"/>
    <w:rsid w:val="005E0AF1"/>
    <w:rsid w:val="005E0E5D"/>
    <w:rsid w:val="005E113F"/>
    <w:rsid w:val="005E1CA7"/>
    <w:rsid w:val="005E2339"/>
    <w:rsid w:val="005E2793"/>
    <w:rsid w:val="005E33B2"/>
    <w:rsid w:val="005E3871"/>
    <w:rsid w:val="005E3C96"/>
    <w:rsid w:val="005E47CC"/>
    <w:rsid w:val="005E4F2C"/>
    <w:rsid w:val="005E6550"/>
    <w:rsid w:val="005E7EF6"/>
    <w:rsid w:val="005F021A"/>
    <w:rsid w:val="005F0A29"/>
    <w:rsid w:val="005F149F"/>
    <w:rsid w:val="005F2199"/>
    <w:rsid w:val="005F231B"/>
    <w:rsid w:val="005F2571"/>
    <w:rsid w:val="005F2AA9"/>
    <w:rsid w:val="005F3E59"/>
    <w:rsid w:val="005F4133"/>
    <w:rsid w:val="005F4387"/>
    <w:rsid w:val="005F4438"/>
    <w:rsid w:val="005F470F"/>
    <w:rsid w:val="005F4C09"/>
    <w:rsid w:val="005F5A83"/>
    <w:rsid w:val="005F7316"/>
    <w:rsid w:val="005F7A3D"/>
    <w:rsid w:val="00600233"/>
    <w:rsid w:val="00603898"/>
    <w:rsid w:val="0060421C"/>
    <w:rsid w:val="0060509D"/>
    <w:rsid w:val="006050D9"/>
    <w:rsid w:val="0060651F"/>
    <w:rsid w:val="00610535"/>
    <w:rsid w:val="006107E7"/>
    <w:rsid w:val="00611090"/>
    <w:rsid w:val="006115E9"/>
    <w:rsid w:val="00611F07"/>
    <w:rsid w:val="00611FB3"/>
    <w:rsid w:val="00612744"/>
    <w:rsid w:val="0061286E"/>
    <w:rsid w:val="00612F02"/>
    <w:rsid w:val="0061359D"/>
    <w:rsid w:val="00613872"/>
    <w:rsid w:val="00613D91"/>
    <w:rsid w:val="00615CC5"/>
    <w:rsid w:val="00616178"/>
    <w:rsid w:val="006178A2"/>
    <w:rsid w:val="00617DFD"/>
    <w:rsid w:val="00620E96"/>
    <w:rsid w:val="00621C75"/>
    <w:rsid w:val="00621F52"/>
    <w:rsid w:val="00621FD6"/>
    <w:rsid w:val="006232DC"/>
    <w:rsid w:val="006233C2"/>
    <w:rsid w:val="00623A26"/>
    <w:rsid w:val="006240C7"/>
    <w:rsid w:val="0062414E"/>
    <w:rsid w:val="00624C04"/>
    <w:rsid w:val="00624FD7"/>
    <w:rsid w:val="006253B3"/>
    <w:rsid w:val="006254D3"/>
    <w:rsid w:val="00626622"/>
    <w:rsid w:val="00630E22"/>
    <w:rsid w:val="00631415"/>
    <w:rsid w:val="00631C06"/>
    <w:rsid w:val="00632116"/>
    <w:rsid w:val="00632366"/>
    <w:rsid w:val="006350FE"/>
    <w:rsid w:val="00635BB1"/>
    <w:rsid w:val="00635D72"/>
    <w:rsid w:val="00635E7A"/>
    <w:rsid w:val="00636C65"/>
    <w:rsid w:val="006377BA"/>
    <w:rsid w:val="0063786F"/>
    <w:rsid w:val="006379FB"/>
    <w:rsid w:val="006428DB"/>
    <w:rsid w:val="00644250"/>
    <w:rsid w:val="00646D63"/>
    <w:rsid w:val="00647C00"/>
    <w:rsid w:val="0065072E"/>
    <w:rsid w:val="0065093F"/>
    <w:rsid w:val="00651C8E"/>
    <w:rsid w:val="00651CA2"/>
    <w:rsid w:val="00653776"/>
    <w:rsid w:val="0065379C"/>
    <w:rsid w:val="00654009"/>
    <w:rsid w:val="0065516B"/>
    <w:rsid w:val="00655C8A"/>
    <w:rsid w:val="0065628F"/>
    <w:rsid w:val="00656C3B"/>
    <w:rsid w:val="0066247C"/>
    <w:rsid w:val="00662AE7"/>
    <w:rsid w:val="00663097"/>
    <w:rsid w:val="0066362E"/>
    <w:rsid w:val="0066486E"/>
    <w:rsid w:val="006648A4"/>
    <w:rsid w:val="00664CDE"/>
    <w:rsid w:val="00664F00"/>
    <w:rsid w:val="00665070"/>
    <w:rsid w:val="00665110"/>
    <w:rsid w:val="00665133"/>
    <w:rsid w:val="00665140"/>
    <w:rsid w:val="006662B3"/>
    <w:rsid w:val="006665E3"/>
    <w:rsid w:val="006665FF"/>
    <w:rsid w:val="00666959"/>
    <w:rsid w:val="00667394"/>
    <w:rsid w:val="006716B9"/>
    <w:rsid w:val="00672242"/>
    <w:rsid w:val="0067234E"/>
    <w:rsid w:val="0067242E"/>
    <w:rsid w:val="00672AE8"/>
    <w:rsid w:val="00674261"/>
    <w:rsid w:val="006742E3"/>
    <w:rsid w:val="0067478E"/>
    <w:rsid w:val="0067483E"/>
    <w:rsid w:val="00674A9B"/>
    <w:rsid w:val="00674E0C"/>
    <w:rsid w:val="00675797"/>
    <w:rsid w:val="0067586F"/>
    <w:rsid w:val="006758E3"/>
    <w:rsid w:val="00676219"/>
    <w:rsid w:val="00676968"/>
    <w:rsid w:val="006779C4"/>
    <w:rsid w:val="00677AB7"/>
    <w:rsid w:val="00680048"/>
    <w:rsid w:val="00680ED9"/>
    <w:rsid w:val="006825A8"/>
    <w:rsid w:val="00682749"/>
    <w:rsid w:val="0068376A"/>
    <w:rsid w:val="00683C58"/>
    <w:rsid w:val="00684617"/>
    <w:rsid w:val="006849E4"/>
    <w:rsid w:val="00684AAE"/>
    <w:rsid w:val="006856A9"/>
    <w:rsid w:val="006857AF"/>
    <w:rsid w:val="0068603A"/>
    <w:rsid w:val="00686051"/>
    <w:rsid w:val="006866F4"/>
    <w:rsid w:val="00686D1D"/>
    <w:rsid w:val="00686FB1"/>
    <w:rsid w:val="006902C7"/>
    <w:rsid w:val="006909D4"/>
    <w:rsid w:val="00690A0F"/>
    <w:rsid w:val="00691566"/>
    <w:rsid w:val="006916F3"/>
    <w:rsid w:val="0069209E"/>
    <w:rsid w:val="0069243E"/>
    <w:rsid w:val="006925C1"/>
    <w:rsid w:val="00692BAC"/>
    <w:rsid w:val="00693983"/>
    <w:rsid w:val="006939CC"/>
    <w:rsid w:val="00693B1B"/>
    <w:rsid w:val="00694188"/>
    <w:rsid w:val="00695E4A"/>
    <w:rsid w:val="0069726E"/>
    <w:rsid w:val="006973ED"/>
    <w:rsid w:val="006A0136"/>
    <w:rsid w:val="006A075C"/>
    <w:rsid w:val="006A1998"/>
    <w:rsid w:val="006A2E6D"/>
    <w:rsid w:val="006A3250"/>
    <w:rsid w:val="006A3732"/>
    <w:rsid w:val="006A39A7"/>
    <w:rsid w:val="006A45D3"/>
    <w:rsid w:val="006A4B7A"/>
    <w:rsid w:val="006A4BE4"/>
    <w:rsid w:val="006A50CB"/>
    <w:rsid w:val="006A5850"/>
    <w:rsid w:val="006A588E"/>
    <w:rsid w:val="006A5EAC"/>
    <w:rsid w:val="006A64FE"/>
    <w:rsid w:val="006A68F5"/>
    <w:rsid w:val="006A6FF3"/>
    <w:rsid w:val="006A70CD"/>
    <w:rsid w:val="006A75C8"/>
    <w:rsid w:val="006B0854"/>
    <w:rsid w:val="006B10DD"/>
    <w:rsid w:val="006B11BC"/>
    <w:rsid w:val="006B1BE4"/>
    <w:rsid w:val="006B1CCB"/>
    <w:rsid w:val="006B1EB1"/>
    <w:rsid w:val="006B2F89"/>
    <w:rsid w:val="006B3797"/>
    <w:rsid w:val="006B3E32"/>
    <w:rsid w:val="006B455A"/>
    <w:rsid w:val="006B4DCE"/>
    <w:rsid w:val="006B5400"/>
    <w:rsid w:val="006B5B6D"/>
    <w:rsid w:val="006B676A"/>
    <w:rsid w:val="006B7524"/>
    <w:rsid w:val="006B75A7"/>
    <w:rsid w:val="006B78B8"/>
    <w:rsid w:val="006B7C8E"/>
    <w:rsid w:val="006B7F2E"/>
    <w:rsid w:val="006C01CB"/>
    <w:rsid w:val="006C0B92"/>
    <w:rsid w:val="006C0D2E"/>
    <w:rsid w:val="006C12B9"/>
    <w:rsid w:val="006C1DCE"/>
    <w:rsid w:val="006C2691"/>
    <w:rsid w:val="006C2A70"/>
    <w:rsid w:val="006C2B78"/>
    <w:rsid w:val="006C2F23"/>
    <w:rsid w:val="006C2FDE"/>
    <w:rsid w:val="006C3892"/>
    <w:rsid w:val="006C4105"/>
    <w:rsid w:val="006C51F7"/>
    <w:rsid w:val="006C5855"/>
    <w:rsid w:val="006C65FE"/>
    <w:rsid w:val="006C6631"/>
    <w:rsid w:val="006C67B0"/>
    <w:rsid w:val="006C6EB0"/>
    <w:rsid w:val="006C7D52"/>
    <w:rsid w:val="006C7FF8"/>
    <w:rsid w:val="006D02A0"/>
    <w:rsid w:val="006D03DA"/>
    <w:rsid w:val="006D267C"/>
    <w:rsid w:val="006D2E17"/>
    <w:rsid w:val="006D3FDB"/>
    <w:rsid w:val="006D4066"/>
    <w:rsid w:val="006D4161"/>
    <w:rsid w:val="006D479A"/>
    <w:rsid w:val="006D4C2D"/>
    <w:rsid w:val="006D5083"/>
    <w:rsid w:val="006D51A2"/>
    <w:rsid w:val="006D63EA"/>
    <w:rsid w:val="006D7146"/>
    <w:rsid w:val="006E0C56"/>
    <w:rsid w:val="006E0E0F"/>
    <w:rsid w:val="006E2097"/>
    <w:rsid w:val="006E225C"/>
    <w:rsid w:val="006E2671"/>
    <w:rsid w:val="006E2C2D"/>
    <w:rsid w:val="006E31A9"/>
    <w:rsid w:val="006E4A0D"/>
    <w:rsid w:val="006E7295"/>
    <w:rsid w:val="006E77E9"/>
    <w:rsid w:val="006E798C"/>
    <w:rsid w:val="006F0149"/>
    <w:rsid w:val="006F0711"/>
    <w:rsid w:val="006F1A2C"/>
    <w:rsid w:val="006F1CDE"/>
    <w:rsid w:val="006F2CC0"/>
    <w:rsid w:val="006F2EE5"/>
    <w:rsid w:val="006F36C8"/>
    <w:rsid w:val="006F3E32"/>
    <w:rsid w:val="006F4684"/>
    <w:rsid w:val="006F5DAE"/>
    <w:rsid w:val="006F6568"/>
    <w:rsid w:val="006F6890"/>
    <w:rsid w:val="006F765E"/>
    <w:rsid w:val="00700F0C"/>
    <w:rsid w:val="0070102C"/>
    <w:rsid w:val="007018F4"/>
    <w:rsid w:val="0070388E"/>
    <w:rsid w:val="00704A55"/>
    <w:rsid w:val="007057CB"/>
    <w:rsid w:val="00706683"/>
    <w:rsid w:val="00710239"/>
    <w:rsid w:val="00710A24"/>
    <w:rsid w:val="007125FB"/>
    <w:rsid w:val="00712FDC"/>
    <w:rsid w:val="0071307C"/>
    <w:rsid w:val="00714C15"/>
    <w:rsid w:val="0071570A"/>
    <w:rsid w:val="00716C15"/>
    <w:rsid w:val="00716EF8"/>
    <w:rsid w:val="00717128"/>
    <w:rsid w:val="00717C12"/>
    <w:rsid w:val="00720F7C"/>
    <w:rsid w:val="00721124"/>
    <w:rsid w:val="007212B6"/>
    <w:rsid w:val="007226EF"/>
    <w:rsid w:val="007228EF"/>
    <w:rsid w:val="007264D4"/>
    <w:rsid w:val="0072676D"/>
    <w:rsid w:val="00726E9E"/>
    <w:rsid w:val="0072754F"/>
    <w:rsid w:val="00727D9C"/>
    <w:rsid w:val="007301AD"/>
    <w:rsid w:val="007307AD"/>
    <w:rsid w:val="00730E8E"/>
    <w:rsid w:val="007311B1"/>
    <w:rsid w:val="00732BCC"/>
    <w:rsid w:val="00733631"/>
    <w:rsid w:val="007340AC"/>
    <w:rsid w:val="0073439F"/>
    <w:rsid w:val="00734583"/>
    <w:rsid w:val="00734BF6"/>
    <w:rsid w:val="00735017"/>
    <w:rsid w:val="00735A2D"/>
    <w:rsid w:val="00736030"/>
    <w:rsid w:val="00736F2E"/>
    <w:rsid w:val="007372E4"/>
    <w:rsid w:val="007407C1"/>
    <w:rsid w:val="00742C11"/>
    <w:rsid w:val="0074341B"/>
    <w:rsid w:val="00743426"/>
    <w:rsid w:val="0074452B"/>
    <w:rsid w:val="007448C4"/>
    <w:rsid w:val="00745974"/>
    <w:rsid w:val="00745A63"/>
    <w:rsid w:val="00745F67"/>
    <w:rsid w:val="007464B9"/>
    <w:rsid w:val="007469AE"/>
    <w:rsid w:val="0074700D"/>
    <w:rsid w:val="0074741D"/>
    <w:rsid w:val="007474C5"/>
    <w:rsid w:val="00747B4D"/>
    <w:rsid w:val="007504B9"/>
    <w:rsid w:val="00751464"/>
    <w:rsid w:val="0075162B"/>
    <w:rsid w:val="00751B39"/>
    <w:rsid w:val="00752FED"/>
    <w:rsid w:val="0075389D"/>
    <w:rsid w:val="00753C2F"/>
    <w:rsid w:val="0075474B"/>
    <w:rsid w:val="00755AA8"/>
    <w:rsid w:val="00755C7F"/>
    <w:rsid w:val="00755F1C"/>
    <w:rsid w:val="007568FE"/>
    <w:rsid w:val="00756CC4"/>
    <w:rsid w:val="0076113B"/>
    <w:rsid w:val="007617D9"/>
    <w:rsid w:val="00761B6E"/>
    <w:rsid w:val="0076337C"/>
    <w:rsid w:val="00763744"/>
    <w:rsid w:val="007645A8"/>
    <w:rsid w:val="00765BF5"/>
    <w:rsid w:val="007664A2"/>
    <w:rsid w:val="00766FB1"/>
    <w:rsid w:val="00767678"/>
    <w:rsid w:val="007678A6"/>
    <w:rsid w:val="007678D8"/>
    <w:rsid w:val="0077102C"/>
    <w:rsid w:val="00771EAD"/>
    <w:rsid w:val="007725AD"/>
    <w:rsid w:val="00774DDF"/>
    <w:rsid w:val="007750F3"/>
    <w:rsid w:val="007751F3"/>
    <w:rsid w:val="00775487"/>
    <w:rsid w:val="007762C6"/>
    <w:rsid w:val="0077767B"/>
    <w:rsid w:val="00777D3D"/>
    <w:rsid w:val="007800A6"/>
    <w:rsid w:val="00780BA1"/>
    <w:rsid w:val="00780F86"/>
    <w:rsid w:val="007823B7"/>
    <w:rsid w:val="00782B22"/>
    <w:rsid w:val="0078357C"/>
    <w:rsid w:val="00783AFE"/>
    <w:rsid w:val="00783EA5"/>
    <w:rsid w:val="0078484C"/>
    <w:rsid w:val="007875A8"/>
    <w:rsid w:val="00787AF7"/>
    <w:rsid w:val="00787E50"/>
    <w:rsid w:val="00787F31"/>
    <w:rsid w:val="00790614"/>
    <w:rsid w:val="0079322E"/>
    <w:rsid w:val="00793914"/>
    <w:rsid w:val="00795AA3"/>
    <w:rsid w:val="007979E8"/>
    <w:rsid w:val="00797D97"/>
    <w:rsid w:val="007A0948"/>
    <w:rsid w:val="007A2649"/>
    <w:rsid w:val="007A3468"/>
    <w:rsid w:val="007A4389"/>
    <w:rsid w:val="007A4523"/>
    <w:rsid w:val="007A4661"/>
    <w:rsid w:val="007A5672"/>
    <w:rsid w:val="007A6202"/>
    <w:rsid w:val="007A77EB"/>
    <w:rsid w:val="007B1378"/>
    <w:rsid w:val="007B1D65"/>
    <w:rsid w:val="007B2402"/>
    <w:rsid w:val="007B276E"/>
    <w:rsid w:val="007B38A7"/>
    <w:rsid w:val="007B39E0"/>
    <w:rsid w:val="007B3DD0"/>
    <w:rsid w:val="007B4E70"/>
    <w:rsid w:val="007B59CF"/>
    <w:rsid w:val="007B5C25"/>
    <w:rsid w:val="007B6548"/>
    <w:rsid w:val="007B7662"/>
    <w:rsid w:val="007B78F4"/>
    <w:rsid w:val="007B7FA2"/>
    <w:rsid w:val="007C08F7"/>
    <w:rsid w:val="007C12B8"/>
    <w:rsid w:val="007C1488"/>
    <w:rsid w:val="007C1675"/>
    <w:rsid w:val="007C25AE"/>
    <w:rsid w:val="007C2867"/>
    <w:rsid w:val="007C4023"/>
    <w:rsid w:val="007C42FC"/>
    <w:rsid w:val="007C4DE8"/>
    <w:rsid w:val="007C5E3D"/>
    <w:rsid w:val="007C6684"/>
    <w:rsid w:val="007C69B9"/>
    <w:rsid w:val="007C6A81"/>
    <w:rsid w:val="007C77AA"/>
    <w:rsid w:val="007C7949"/>
    <w:rsid w:val="007C7F4B"/>
    <w:rsid w:val="007D03EE"/>
    <w:rsid w:val="007D0AD7"/>
    <w:rsid w:val="007D1D1E"/>
    <w:rsid w:val="007D3B10"/>
    <w:rsid w:val="007D462D"/>
    <w:rsid w:val="007D46FC"/>
    <w:rsid w:val="007D4903"/>
    <w:rsid w:val="007D5537"/>
    <w:rsid w:val="007D5963"/>
    <w:rsid w:val="007D5BD9"/>
    <w:rsid w:val="007D5C66"/>
    <w:rsid w:val="007D5FE7"/>
    <w:rsid w:val="007D7772"/>
    <w:rsid w:val="007E01BC"/>
    <w:rsid w:val="007E05CA"/>
    <w:rsid w:val="007E0BDA"/>
    <w:rsid w:val="007E17BB"/>
    <w:rsid w:val="007E25AD"/>
    <w:rsid w:val="007E25EB"/>
    <w:rsid w:val="007E312D"/>
    <w:rsid w:val="007E3AF4"/>
    <w:rsid w:val="007E3B08"/>
    <w:rsid w:val="007E3BCB"/>
    <w:rsid w:val="007E4880"/>
    <w:rsid w:val="007E4EFC"/>
    <w:rsid w:val="007E5594"/>
    <w:rsid w:val="007E5900"/>
    <w:rsid w:val="007E5BA9"/>
    <w:rsid w:val="007E637C"/>
    <w:rsid w:val="007E6918"/>
    <w:rsid w:val="007E6A18"/>
    <w:rsid w:val="007E72DE"/>
    <w:rsid w:val="007E75D7"/>
    <w:rsid w:val="007F09F4"/>
    <w:rsid w:val="007F1364"/>
    <w:rsid w:val="007F29F6"/>
    <w:rsid w:val="007F37C6"/>
    <w:rsid w:val="007F3BAA"/>
    <w:rsid w:val="007F47C9"/>
    <w:rsid w:val="007F4A04"/>
    <w:rsid w:val="007F5BDF"/>
    <w:rsid w:val="007F6475"/>
    <w:rsid w:val="007F647C"/>
    <w:rsid w:val="007F693F"/>
    <w:rsid w:val="007F7375"/>
    <w:rsid w:val="0080041B"/>
    <w:rsid w:val="00800A0B"/>
    <w:rsid w:val="00801E14"/>
    <w:rsid w:val="00802101"/>
    <w:rsid w:val="008025AC"/>
    <w:rsid w:val="0080279E"/>
    <w:rsid w:val="00802BD8"/>
    <w:rsid w:val="00802F81"/>
    <w:rsid w:val="00803FAC"/>
    <w:rsid w:val="00804E3D"/>
    <w:rsid w:val="00804F0A"/>
    <w:rsid w:val="00804F0F"/>
    <w:rsid w:val="00805079"/>
    <w:rsid w:val="008062BE"/>
    <w:rsid w:val="0080689A"/>
    <w:rsid w:val="00806F39"/>
    <w:rsid w:val="00807661"/>
    <w:rsid w:val="00807C6E"/>
    <w:rsid w:val="00810F42"/>
    <w:rsid w:val="00810FD1"/>
    <w:rsid w:val="00811308"/>
    <w:rsid w:val="00811581"/>
    <w:rsid w:val="00812759"/>
    <w:rsid w:val="00813446"/>
    <w:rsid w:val="008138A9"/>
    <w:rsid w:val="008141D7"/>
    <w:rsid w:val="00814574"/>
    <w:rsid w:val="0081496C"/>
    <w:rsid w:val="00816211"/>
    <w:rsid w:val="008228B8"/>
    <w:rsid w:val="008246BA"/>
    <w:rsid w:val="00824DDF"/>
    <w:rsid w:val="00825299"/>
    <w:rsid w:val="00825E42"/>
    <w:rsid w:val="00826219"/>
    <w:rsid w:val="00827233"/>
    <w:rsid w:val="0082768B"/>
    <w:rsid w:val="0083084D"/>
    <w:rsid w:val="008310E9"/>
    <w:rsid w:val="0083222F"/>
    <w:rsid w:val="008334C2"/>
    <w:rsid w:val="00834C65"/>
    <w:rsid w:val="0083541D"/>
    <w:rsid w:val="00835F09"/>
    <w:rsid w:val="0083634B"/>
    <w:rsid w:val="00836496"/>
    <w:rsid w:val="00837E1D"/>
    <w:rsid w:val="00840116"/>
    <w:rsid w:val="00840D3F"/>
    <w:rsid w:val="00844186"/>
    <w:rsid w:val="00844B6B"/>
    <w:rsid w:val="00844ECF"/>
    <w:rsid w:val="00845A92"/>
    <w:rsid w:val="00846541"/>
    <w:rsid w:val="00846DE6"/>
    <w:rsid w:val="008473A1"/>
    <w:rsid w:val="00847523"/>
    <w:rsid w:val="00847652"/>
    <w:rsid w:val="0085005E"/>
    <w:rsid w:val="00850D45"/>
    <w:rsid w:val="0085217C"/>
    <w:rsid w:val="00852352"/>
    <w:rsid w:val="008523C2"/>
    <w:rsid w:val="0085269A"/>
    <w:rsid w:val="00852BA0"/>
    <w:rsid w:val="008536C7"/>
    <w:rsid w:val="00853871"/>
    <w:rsid w:val="008539A7"/>
    <w:rsid w:val="00855077"/>
    <w:rsid w:val="008556E8"/>
    <w:rsid w:val="00856069"/>
    <w:rsid w:val="00856E7D"/>
    <w:rsid w:val="00857754"/>
    <w:rsid w:val="00857B0A"/>
    <w:rsid w:val="00857B3D"/>
    <w:rsid w:val="008603AC"/>
    <w:rsid w:val="00862123"/>
    <w:rsid w:val="00862276"/>
    <w:rsid w:val="008623F8"/>
    <w:rsid w:val="00862BEF"/>
    <w:rsid w:val="00863576"/>
    <w:rsid w:val="00863FC5"/>
    <w:rsid w:val="00863FF7"/>
    <w:rsid w:val="00864CC3"/>
    <w:rsid w:val="00864E69"/>
    <w:rsid w:val="00865165"/>
    <w:rsid w:val="00865EFC"/>
    <w:rsid w:val="0086637F"/>
    <w:rsid w:val="0086662D"/>
    <w:rsid w:val="008667AA"/>
    <w:rsid w:val="008669C1"/>
    <w:rsid w:val="00866B10"/>
    <w:rsid w:val="00866B98"/>
    <w:rsid w:val="0086787C"/>
    <w:rsid w:val="00867D42"/>
    <w:rsid w:val="00872167"/>
    <w:rsid w:val="008726A6"/>
    <w:rsid w:val="00872CFA"/>
    <w:rsid w:val="0087302C"/>
    <w:rsid w:val="008733F4"/>
    <w:rsid w:val="0087367C"/>
    <w:rsid w:val="00874271"/>
    <w:rsid w:val="008742E2"/>
    <w:rsid w:val="0087527D"/>
    <w:rsid w:val="00875885"/>
    <w:rsid w:val="008759C7"/>
    <w:rsid w:val="00876291"/>
    <w:rsid w:val="00876BC7"/>
    <w:rsid w:val="0087726B"/>
    <w:rsid w:val="008775A6"/>
    <w:rsid w:val="008776DA"/>
    <w:rsid w:val="008776FF"/>
    <w:rsid w:val="00877A72"/>
    <w:rsid w:val="00877BBA"/>
    <w:rsid w:val="00877C31"/>
    <w:rsid w:val="00880D9A"/>
    <w:rsid w:val="008814CC"/>
    <w:rsid w:val="008849EF"/>
    <w:rsid w:val="00885A90"/>
    <w:rsid w:val="00885D68"/>
    <w:rsid w:val="00886773"/>
    <w:rsid w:val="00887103"/>
    <w:rsid w:val="00887597"/>
    <w:rsid w:val="00887959"/>
    <w:rsid w:val="0089090A"/>
    <w:rsid w:val="00891A92"/>
    <w:rsid w:val="008923B8"/>
    <w:rsid w:val="0089337C"/>
    <w:rsid w:val="00893528"/>
    <w:rsid w:val="008935F3"/>
    <w:rsid w:val="008945F4"/>
    <w:rsid w:val="00895235"/>
    <w:rsid w:val="0089555C"/>
    <w:rsid w:val="008955AF"/>
    <w:rsid w:val="008966BC"/>
    <w:rsid w:val="008969AF"/>
    <w:rsid w:val="00896CEA"/>
    <w:rsid w:val="008974C5"/>
    <w:rsid w:val="008A1575"/>
    <w:rsid w:val="008A175C"/>
    <w:rsid w:val="008A1A4E"/>
    <w:rsid w:val="008A259A"/>
    <w:rsid w:val="008A3AF4"/>
    <w:rsid w:val="008A3F11"/>
    <w:rsid w:val="008A4131"/>
    <w:rsid w:val="008A4280"/>
    <w:rsid w:val="008A4ACD"/>
    <w:rsid w:val="008A4F3E"/>
    <w:rsid w:val="008A5455"/>
    <w:rsid w:val="008A7B33"/>
    <w:rsid w:val="008A7D7F"/>
    <w:rsid w:val="008B048D"/>
    <w:rsid w:val="008B3D24"/>
    <w:rsid w:val="008B4E45"/>
    <w:rsid w:val="008B5BAF"/>
    <w:rsid w:val="008B6477"/>
    <w:rsid w:val="008B6E1E"/>
    <w:rsid w:val="008B7F46"/>
    <w:rsid w:val="008C00A1"/>
    <w:rsid w:val="008C06BD"/>
    <w:rsid w:val="008C0C48"/>
    <w:rsid w:val="008C0E27"/>
    <w:rsid w:val="008C111A"/>
    <w:rsid w:val="008C11AE"/>
    <w:rsid w:val="008C1ECD"/>
    <w:rsid w:val="008C213C"/>
    <w:rsid w:val="008C28E6"/>
    <w:rsid w:val="008C366B"/>
    <w:rsid w:val="008C3DCF"/>
    <w:rsid w:val="008C45B2"/>
    <w:rsid w:val="008C5308"/>
    <w:rsid w:val="008C5B46"/>
    <w:rsid w:val="008C63D6"/>
    <w:rsid w:val="008C7031"/>
    <w:rsid w:val="008C70A1"/>
    <w:rsid w:val="008C765B"/>
    <w:rsid w:val="008D0705"/>
    <w:rsid w:val="008D0CE5"/>
    <w:rsid w:val="008D143A"/>
    <w:rsid w:val="008D1C16"/>
    <w:rsid w:val="008D230C"/>
    <w:rsid w:val="008D2DF1"/>
    <w:rsid w:val="008D3047"/>
    <w:rsid w:val="008D4094"/>
    <w:rsid w:val="008D41A0"/>
    <w:rsid w:val="008D46D2"/>
    <w:rsid w:val="008D4B4F"/>
    <w:rsid w:val="008D6585"/>
    <w:rsid w:val="008D7072"/>
    <w:rsid w:val="008D7304"/>
    <w:rsid w:val="008D7F41"/>
    <w:rsid w:val="008E05B0"/>
    <w:rsid w:val="008E0C3D"/>
    <w:rsid w:val="008E0D8D"/>
    <w:rsid w:val="008E1E43"/>
    <w:rsid w:val="008E2295"/>
    <w:rsid w:val="008E24E4"/>
    <w:rsid w:val="008E2D1D"/>
    <w:rsid w:val="008E33D2"/>
    <w:rsid w:val="008E463A"/>
    <w:rsid w:val="008E6109"/>
    <w:rsid w:val="008E667F"/>
    <w:rsid w:val="008E6D4B"/>
    <w:rsid w:val="008F0E80"/>
    <w:rsid w:val="008F1343"/>
    <w:rsid w:val="008F151F"/>
    <w:rsid w:val="008F1AA4"/>
    <w:rsid w:val="008F1AFF"/>
    <w:rsid w:val="008F1C17"/>
    <w:rsid w:val="008F2B40"/>
    <w:rsid w:val="008F2C43"/>
    <w:rsid w:val="008F2D02"/>
    <w:rsid w:val="008F2FD6"/>
    <w:rsid w:val="008F31DC"/>
    <w:rsid w:val="008F435A"/>
    <w:rsid w:val="008F4564"/>
    <w:rsid w:val="008F5353"/>
    <w:rsid w:val="008F6291"/>
    <w:rsid w:val="008F62C9"/>
    <w:rsid w:val="008F63B2"/>
    <w:rsid w:val="008F6CDF"/>
    <w:rsid w:val="008F6D39"/>
    <w:rsid w:val="008F7BF9"/>
    <w:rsid w:val="009006D0"/>
    <w:rsid w:val="0090084D"/>
    <w:rsid w:val="00900CDB"/>
    <w:rsid w:val="00900FCB"/>
    <w:rsid w:val="00901AB5"/>
    <w:rsid w:val="009023F1"/>
    <w:rsid w:val="00902DDB"/>
    <w:rsid w:val="009035A4"/>
    <w:rsid w:val="00904AAD"/>
    <w:rsid w:val="009059E0"/>
    <w:rsid w:val="00906159"/>
    <w:rsid w:val="0090769B"/>
    <w:rsid w:val="009078C3"/>
    <w:rsid w:val="00907B98"/>
    <w:rsid w:val="00907C6B"/>
    <w:rsid w:val="00910195"/>
    <w:rsid w:val="009106A5"/>
    <w:rsid w:val="00912CAD"/>
    <w:rsid w:val="0091302A"/>
    <w:rsid w:val="00913134"/>
    <w:rsid w:val="00913879"/>
    <w:rsid w:val="00913B2D"/>
    <w:rsid w:val="009140A9"/>
    <w:rsid w:val="009158EE"/>
    <w:rsid w:val="009164A3"/>
    <w:rsid w:val="00916646"/>
    <w:rsid w:val="009167DC"/>
    <w:rsid w:val="0092008F"/>
    <w:rsid w:val="009217A2"/>
    <w:rsid w:val="009226DE"/>
    <w:rsid w:val="009233BF"/>
    <w:rsid w:val="009234A3"/>
    <w:rsid w:val="009235FA"/>
    <w:rsid w:val="00923626"/>
    <w:rsid w:val="0092403D"/>
    <w:rsid w:val="009241D2"/>
    <w:rsid w:val="00924E5F"/>
    <w:rsid w:val="00925E64"/>
    <w:rsid w:val="009262D6"/>
    <w:rsid w:val="009269C3"/>
    <w:rsid w:val="00927249"/>
    <w:rsid w:val="009276A6"/>
    <w:rsid w:val="00927DB9"/>
    <w:rsid w:val="009315F7"/>
    <w:rsid w:val="00931A53"/>
    <w:rsid w:val="009333AF"/>
    <w:rsid w:val="00933E07"/>
    <w:rsid w:val="00934204"/>
    <w:rsid w:val="009344AD"/>
    <w:rsid w:val="00934DDC"/>
    <w:rsid w:val="00935551"/>
    <w:rsid w:val="00935CEB"/>
    <w:rsid w:val="00936B1C"/>
    <w:rsid w:val="00936D98"/>
    <w:rsid w:val="0093739E"/>
    <w:rsid w:val="00940A41"/>
    <w:rsid w:val="00941B7D"/>
    <w:rsid w:val="00941C8F"/>
    <w:rsid w:val="0094380E"/>
    <w:rsid w:val="009444D6"/>
    <w:rsid w:val="0094454B"/>
    <w:rsid w:val="00944B45"/>
    <w:rsid w:val="0094509E"/>
    <w:rsid w:val="009459BB"/>
    <w:rsid w:val="009464A1"/>
    <w:rsid w:val="009502F8"/>
    <w:rsid w:val="00950743"/>
    <w:rsid w:val="00951B0F"/>
    <w:rsid w:val="00953157"/>
    <w:rsid w:val="00953EE8"/>
    <w:rsid w:val="00954441"/>
    <w:rsid w:val="009550E9"/>
    <w:rsid w:val="0095647F"/>
    <w:rsid w:val="0095677C"/>
    <w:rsid w:val="00956A94"/>
    <w:rsid w:val="00956F29"/>
    <w:rsid w:val="009572FF"/>
    <w:rsid w:val="0095733B"/>
    <w:rsid w:val="009575B6"/>
    <w:rsid w:val="009604D1"/>
    <w:rsid w:val="00960550"/>
    <w:rsid w:val="00961197"/>
    <w:rsid w:val="0096179E"/>
    <w:rsid w:val="00962A97"/>
    <w:rsid w:val="00962D26"/>
    <w:rsid w:val="009630EE"/>
    <w:rsid w:val="00963125"/>
    <w:rsid w:val="009635F0"/>
    <w:rsid w:val="009637BF"/>
    <w:rsid w:val="009640EF"/>
    <w:rsid w:val="00965447"/>
    <w:rsid w:val="00967E39"/>
    <w:rsid w:val="0097190B"/>
    <w:rsid w:val="00971ABA"/>
    <w:rsid w:val="00971E05"/>
    <w:rsid w:val="00972103"/>
    <w:rsid w:val="0097348C"/>
    <w:rsid w:val="00973A8C"/>
    <w:rsid w:val="009743BF"/>
    <w:rsid w:val="009749D5"/>
    <w:rsid w:val="00975937"/>
    <w:rsid w:val="00975A61"/>
    <w:rsid w:val="0097656D"/>
    <w:rsid w:val="009777FF"/>
    <w:rsid w:val="00977EAE"/>
    <w:rsid w:val="009807E0"/>
    <w:rsid w:val="00981A96"/>
    <w:rsid w:val="00981E56"/>
    <w:rsid w:val="00982BB3"/>
    <w:rsid w:val="0098315B"/>
    <w:rsid w:val="00983602"/>
    <w:rsid w:val="00983924"/>
    <w:rsid w:val="00984B96"/>
    <w:rsid w:val="00985175"/>
    <w:rsid w:val="00985A59"/>
    <w:rsid w:val="00985D7A"/>
    <w:rsid w:val="00985EAF"/>
    <w:rsid w:val="0098755F"/>
    <w:rsid w:val="0099088E"/>
    <w:rsid w:val="00990C0A"/>
    <w:rsid w:val="009931D8"/>
    <w:rsid w:val="00993215"/>
    <w:rsid w:val="00993429"/>
    <w:rsid w:val="00993807"/>
    <w:rsid w:val="00993A28"/>
    <w:rsid w:val="0099434E"/>
    <w:rsid w:val="009950CF"/>
    <w:rsid w:val="00995BB2"/>
    <w:rsid w:val="00997A27"/>
    <w:rsid w:val="009A0F10"/>
    <w:rsid w:val="009A28D0"/>
    <w:rsid w:val="009A35BF"/>
    <w:rsid w:val="009A3EAE"/>
    <w:rsid w:val="009A418E"/>
    <w:rsid w:val="009A41E8"/>
    <w:rsid w:val="009A4801"/>
    <w:rsid w:val="009A498B"/>
    <w:rsid w:val="009A4BF3"/>
    <w:rsid w:val="009A50E4"/>
    <w:rsid w:val="009A523A"/>
    <w:rsid w:val="009A536A"/>
    <w:rsid w:val="009A5801"/>
    <w:rsid w:val="009A6EA3"/>
    <w:rsid w:val="009A6FCF"/>
    <w:rsid w:val="009A7778"/>
    <w:rsid w:val="009B020A"/>
    <w:rsid w:val="009B0AAF"/>
    <w:rsid w:val="009B2F77"/>
    <w:rsid w:val="009B3602"/>
    <w:rsid w:val="009B3BAA"/>
    <w:rsid w:val="009B5B49"/>
    <w:rsid w:val="009B6929"/>
    <w:rsid w:val="009B6ABE"/>
    <w:rsid w:val="009B6F24"/>
    <w:rsid w:val="009B712C"/>
    <w:rsid w:val="009B7216"/>
    <w:rsid w:val="009B7F98"/>
    <w:rsid w:val="009C0FEB"/>
    <w:rsid w:val="009C1FEB"/>
    <w:rsid w:val="009C25D6"/>
    <w:rsid w:val="009C3CBF"/>
    <w:rsid w:val="009C3E5E"/>
    <w:rsid w:val="009C3F89"/>
    <w:rsid w:val="009C4ABF"/>
    <w:rsid w:val="009C4BC7"/>
    <w:rsid w:val="009C6439"/>
    <w:rsid w:val="009C6AF8"/>
    <w:rsid w:val="009D038D"/>
    <w:rsid w:val="009D0C54"/>
    <w:rsid w:val="009D0D05"/>
    <w:rsid w:val="009D132C"/>
    <w:rsid w:val="009D1745"/>
    <w:rsid w:val="009D1974"/>
    <w:rsid w:val="009D236B"/>
    <w:rsid w:val="009D29B9"/>
    <w:rsid w:val="009D2B9C"/>
    <w:rsid w:val="009D2EFB"/>
    <w:rsid w:val="009D42CF"/>
    <w:rsid w:val="009D48F9"/>
    <w:rsid w:val="009D4986"/>
    <w:rsid w:val="009D5B3F"/>
    <w:rsid w:val="009E037F"/>
    <w:rsid w:val="009E0718"/>
    <w:rsid w:val="009E1007"/>
    <w:rsid w:val="009E11DA"/>
    <w:rsid w:val="009E13B7"/>
    <w:rsid w:val="009E18AD"/>
    <w:rsid w:val="009E1EBE"/>
    <w:rsid w:val="009E2156"/>
    <w:rsid w:val="009E25CE"/>
    <w:rsid w:val="009E2DFB"/>
    <w:rsid w:val="009E3139"/>
    <w:rsid w:val="009E31AF"/>
    <w:rsid w:val="009E4120"/>
    <w:rsid w:val="009E41DB"/>
    <w:rsid w:val="009E4425"/>
    <w:rsid w:val="009E488E"/>
    <w:rsid w:val="009E48B7"/>
    <w:rsid w:val="009E49E3"/>
    <w:rsid w:val="009E4D31"/>
    <w:rsid w:val="009E50F3"/>
    <w:rsid w:val="009E5914"/>
    <w:rsid w:val="009E5AAA"/>
    <w:rsid w:val="009E5CA4"/>
    <w:rsid w:val="009E5DA0"/>
    <w:rsid w:val="009E6E7E"/>
    <w:rsid w:val="009E72B3"/>
    <w:rsid w:val="009F0D9B"/>
    <w:rsid w:val="009F0DC1"/>
    <w:rsid w:val="009F2CA0"/>
    <w:rsid w:val="009F2EE2"/>
    <w:rsid w:val="009F366F"/>
    <w:rsid w:val="009F4693"/>
    <w:rsid w:val="009F64F9"/>
    <w:rsid w:val="009F6C1F"/>
    <w:rsid w:val="009F6E24"/>
    <w:rsid w:val="009F6E57"/>
    <w:rsid w:val="009F71C4"/>
    <w:rsid w:val="009F7401"/>
    <w:rsid w:val="009F76FF"/>
    <w:rsid w:val="009F79E6"/>
    <w:rsid w:val="009F7E4E"/>
    <w:rsid w:val="00A000DE"/>
    <w:rsid w:val="00A004EC"/>
    <w:rsid w:val="00A007C7"/>
    <w:rsid w:val="00A01109"/>
    <w:rsid w:val="00A021F9"/>
    <w:rsid w:val="00A032BE"/>
    <w:rsid w:val="00A03334"/>
    <w:rsid w:val="00A03FB6"/>
    <w:rsid w:val="00A042CA"/>
    <w:rsid w:val="00A0483B"/>
    <w:rsid w:val="00A05680"/>
    <w:rsid w:val="00A05F59"/>
    <w:rsid w:val="00A0793B"/>
    <w:rsid w:val="00A11891"/>
    <w:rsid w:val="00A119D5"/>
    <w:rsid w:val="00A11B1D"/>
    <w:rsid w:val="00A120EB"/>
    <w:rsid w:val="00A12AF1"/>
    <w:rsid w:val="00A13F42"/>
    <w:rsid w:val="00A14EFB"/>
    <w:rsid w:val="00A1528B"/>
    <w:rsid w:val="00A1539D"/>
    <w:rsid w:val="00A154F1"/>
    <w:rsid w:val="00A16199"/>
    <w:rsid w:val="00A16520"/>
    <w:rsid w:val="00A17999"/>
    <w:rsid w:val="00A17AA6"/>
    <w:rsid w:val="00A17BA4"/>
    <w:rsid w:val="00A17C84"/>
    <w:rsid w:val="00A209AC"/>
    <w:rsid w:val="00A2190B"/>
    <w:rsid w:val="00A219D8"/>
    <w:rsid w:val="00A22DD2"/>
    <w:rsid w:val="00A22F99"/>
    <w:rsid w:val="00A2373F"/>
    <w:rsid w:val="00A24B31"/>
    <w:rsid w:val="00A25E39"/>
    <w:rsid w:val="00A26D12"/>
    <w:rsid w:val="00A27640"/>
    <w:rsid w:val="00A27C84"/>
    <w:rsid w:val="00A27EF5"/>
    <w:rsid w:val="00A30001"/>
    <w:rsid w:val="00A309DB"/>
    <w:rsid w:val="00A31568"/>
    <w:rsid w:val="00A3199B"/>
    <w:rsid w:val="00A32F48"/>
    <w:rsid w:val="00A33464"/>
    <w:rsid w:val="00A3353B"/>
    <w:rsid w:val="00A33B93"/>
    <w:rsid w:val="00A360C3"/>
    <w:rsid w:val="00A365DA"/>
    <w:rsid w:val="00A3663C"/>
    <w:rsid w:val="00A36A9D"/>
    <w:rsid w:val="00A36CA5"/>
    <w:rsid w:val="00A37082"/>
    <w:rsid w:val="00A37309"/>
    <w:rsid w:val="00A37FCB"/>
    <w:rsid w:val="00A40060"/>
    <w:rsid w:val="00A40285"/>
    <w:rsid w:val="00A404CD"/>
    <w:rsid w:val="00A40FC6"/>
    <w:rsid w:val="00A41BBA"/>
    <w:rsid w:val="00A41C17"/>
    <w:rsid w:val="00A4212D"/>
    <w:rsid w:val="00A42353"/>
    <w:rsid w:val="00A4236C"/>
    <w:rsid w:val="00A429F9"/>
    <w:rsid w:val="00A43442"/>
    <w:rsid w:val="00A43BF1"/>
    <w:rsid w:val="00A44689"/>
    <w:rsid w:val="00A44A41"/>
    <w:rsid w:val="00A456A8"/>
    <w:rsid w:val="00A45F71"/>
    <w:rsid w:val="00A46722"/>
    <w:rsid w:val="00A46FF9"/>
    <w:rsid w:val="00A5003F"/>
    <w:rsid w:val="00A5054F"/>
    <w:rsid w:val="00A507F9"/>
    <w:rsid w:val="00A50E1E"/>
    <w:rsid w:val="00A510D2"/>
    <w:rsid w:val="00A51141"/>
    <w:rsid w:val="00A51C69"/>
    <w:rsid w:val="00A51EA3"/>
    <w:rsid w:val="00A52CB2"/>
    <w:rsid w:val="00A52D4B"/>
    <w:rsid w:val="00A5349B"/>
    <w:rsid w:val="00A53DED"/>
    <w:rsid w:val="00A54A32"/>
    <w:rsid w:val="00A54D2B"/>
    <w:rsid w:val="00A553A7"/>
    <w:rsid w:val="00A556E5"/>
    <w:rsid w:val="00A56B3D"/>
    <w:rsid w:val="00A600C3"/>
    <w:rsid w:val="00A60659"/>
    <w:rsid w:val="00A607A9"/>
    <w:rsid w:val="00A612C5"/>
    <w:rsid w:val="00A61B29"/>
    <w:rsid w:val="00A61F9A"/>
    <w:rsid w:val="00A624D3"/>
    <w:rsid w:val="00A62C08"/>
    <w:rsid w:val="00A6347E"/>
    <w:rsid w:val="00A63B4C"/>
    <w:rsid w:val="00A63DF6"/>
    <w:rsid w:val="00A63E37"/>
    <w:rsid w:val="00A641BD"/>
    <w:rsid w:val="00A64AC6"/>
    <w:rsid w:val="00A64AE7"/>
    <w:rsid w:val="00A651D4"/>
    <w:rsid w:val="00A65D6C"/>
    <w:rsid w:val="00A65FE6"/>
    <w:rsid w:val="00A66AF2"/>
    <w:rsid w:val="00A66D92"/>
    <w:rsid w:val="00A67352"/>
    <w:rsid w:val="00A6767D"/>
    <w:rsid w:val="00A67A1E"/>
    <w:rsid w:val="00A71C97"/>
    <w:rsid w:val="00A73AAD"/>
    <w:rsid w:val="00A76468"/>
    <w:rsid w:val="00A80335"/>
    <w:rsid w:val="00A80373"/>
    <w:rsid w:val="00A82E1A"/>
    <w:rsid w:val="00A83B49"/>
    <w:rsid w:val="00A83BAF"/>
    <w:rsid w:val="00A868DE"/>
    <w:rsid w:val="00A86E31"/>
    <w:rsid w:val="00A872A7"/>
    <w:rsid w:val="00A87808"/>
    <w:rsid w:val="00A908D0"/>
    <w:rsid w:val="00A91406"/>
    <w:rsid w:val="00A92223"/>
    <w:rsid w:val="00A92F45"/>
    <w:rsid w:val="00A939EF"/>
    <w:rsid w:val="00A93F85"/>
    <w:rsid w:val="00A941BD"/>
    <w:rsid w:val="00A95AF7"/>
    <w:rsid w:val="00A9619E"/>
    <w:rsid w:val="00A9683D"/>
    <w:rsid w:val="00A968F9"/>
    <w:rsid w:val="00A9692C"/>
    <w:rsid w:val="00A96EE8"/>
    <w:rsid w:val="00A97A97"/>
    <w:rsid w:val="00AA0BEB"/>
    <w:rsid w:val="00AA0F55"/>
    <w:rsid w:val="00AA1EF9"/>
    <w:rsid w:val="00AA2642"/>
    <w:rsid w:val="00AA34D3"/>
    <w:rsid w:val="00AA3952"/>
    <w:rsid w:val="00AA459C"/>
    <w:rsid w:val="00AA464B"/>
    <w:rsid w:val="00AA5D42"/>
    <w:rsid w:val="00AA5F1E"/>
    <w:rsid w:val="00AA6973"/>
    <w:rsid w:val="00AA6B04"/>
    <w:rsid w:val="00AA6B7F"/>
    <w:rsid w:val="00AB0ADD"/>
    <w:rsid w:val="00AB0CAB"/>
    <w:rsid w:val="00AB1140"/>
    <w:rsid w:val="00AB2819"/>
    <w:rsid w:val="00AB2B43"/>
    <w:rsid w:val="00AB3414"/>
    <w:rsid w:val="00AB367D"/>
    <w:rsid w:val="00AB4540"/>
    <w:rsid w:val="00AB4719"/>
    <w:rsid w:val="00AB4B6A"/>
    <w:rsid w:val="00AB52F4"/>
    <w:rsid w:val="00AB6AD0"/>
    <w:rsid w:val="00AB7A1E"/>
    <w:rsid w:val="00AB7C58"/>
    <w:rsid w:val="00AC050E"/>
    <w:rsid w:val="00AC0C74"/>
    <w:rsid w:val="00AC0FAE"/>
    <w:rsid w:val="00AC1820"/>
    <w:rsid w:val="00AC194B"/>
    <w:rsid w:val="00AC21DD"/>
    <w:rsid w:val="00AC2EC1"/>
    <w:rsid w:val="00AC3D25"/>
    <w:rsid w:val="00AC40A3"/>
    <w:rsid w:val="00AC5744"/>
    <w:rsid w:val="00AC65AD"/>
    <w:rsid w:val="00AC6D83"/>
    <w:rsid w:val="00AC788C"/>
    <w:rsid w:val="00AC7FFB"/>
    <w:rsid w:val="00AD0135"/>
    <w:rsid w:val="00AD14FC"/>
    <w:rsid w:val="00AD1D64"/>
    <w:rsid w:val="00AD2601"/>
    <w:rsid w:val="00AD27B7"/>
    <w:rsid w:val="00AD2C73"/>
    <w:rsid w:val="00AD332A"/>
    <w:rsid w:val="00AD4374"/>
    <w:rsid w:val="00AD4502"/>
    <w:rsid w:val="00AD4873"/>
    <w:rsid w:val="00AD5872"/>
    <w:rsid w:val="00AD6969"/>
    <w:rsid w:val="00AD6A00"/>
    <w:rsid w:val="00AD6C09"/>
    <w:rsid w:val="00AD7963"/>
    <w:rsid w:val="00AD7CC0"/>
    <w:rsid w:val="00AE19DB"/>
    <w:rsid w:val="00AE346E"/>
    <w:rsid w:val="00AE410D"/>
    <w:rsid w:val="00AE4171"/>
    <w:rsid w:val="00AE45F6"/>
    <w:rsid w:val="00AE4968"/>
    <w:rsid w:val="00AE5B71"/>
    <w:rsid w:val="00AE6695"/>
    <w:rsid w:val="00AE7650"/>
    <w:rsid w:val="00AF098D"/>
    <w:rsid w:val="00AF1FDC"/>
    <w:rsid w:val="00AF324A"/>
    <w:rsid w:val="00AF44FD"/>
    <w:rsid w:val="00AF4B41"/>
    <w:rsid w:val="00AF4C38"/>
    <w:rsid w:val="00AF52A3"/>
    <w:rsid w:val="00AF6993"/>
    <w:rsid w:val="00AF7386"/>
    <w:rsid w:val="00AF7786"/>
    <w:rsid w:val="00B0078E"/>
    <w:rsid w:val="00B00CF7"/>
    <w:rsid w:val="00B019A0"/>
    <w:rsid w:val="00B02B42"/>
    <w:rsid w:val="00B03D7F"/>
    <w:rsid w:val="00B041CF"/>
    <w:rsid w:val="00B04C0F"/>
    <w:rsid w:val="00B04FB1"/>
    <w:rsid w:val="00B05544"/>
    <w:rsid w:val="00B05C7C"/>
    <w:rsid w:val="00B05CC4"/>
    <w:rsid w:val="00B05FEF"/>
    <w:rsid w:val="00B0687F"/>
    <w:rsid w:val="00B0724D"/>
    <w:rsid w:val="00B07387"/>
    <w:rsid w:val="00B07ADD"/>
    <w:rsid w:val="00B10489"/>
    <w:rsid w:val="00B1130E"/>
    <w:rsid w:val="00B113EF"/>
    <w:rsid w:val="00B11706"/>
    <w:rsid w:val="00B11BB2"/>
    <w:rsid w:val="00B12792"/>
    <w:rsid w:val="00B12B40"/>
    <w:rsid w:val="00B13AC9"/>
    <w:rsid w:val="00B153C4"/>
    <w:rsid w:val="00B1568A"/>
    <w:rsid w:val="00B15789"/>
    <w:rsid w:val="00B15F75"/>
    <w:rsid w:val="00B161AB"/>
    <w:rsid w:val="00B163B9"/>
    <w:rsid w:val="00B16BB7"/>
    <w:rsid w:val="00B2003B"/>
    <w:rsid w:val="00B20A29"/>
    <w:rsid w:val="00B2156F"/>
    <w:rsid w:val="00B2192D"/>
    <w:rsid w:val="00B2196D"/>
    <w:rsid w:val="00B21EA8"/>
    <w:rsid w:val="00B223A3"/>
    <w:rsid w:val="00B257B5"/>
    <w:rsid w:val="00B268BF"/>
    <w:rsid w:val="00B269A4"/>
    <w:rsid w:val="00B26CA2"/>
    <w:rsid w:val="00B27EE6"/>
    <w:rsid w:val="00B30BD1"/>
    <w:rsid w:val="00B310AB"/>
    <w:rsid w:val="00B3119D"/>
    <w:rsid w:val="00B311E5"/>
    <w:rsid w:val="00B31697"/>
    <w:rsid w:val="00B32435"/>
    <w:rsid w:val="00B33D58"/>
    <w:rsid w:val="00B3419C"/>
    <w:rsid w:val="00B34B94"/>
    <w:rsid w:val="00B362BA"/>
    <w:rsid w:val="00B36F4E"/>
    <w:rsid w:val="00B37F34"/>
    <w:rsid w:val="00B401BC"/>
    <w:rsid w:val="00B4030F"/>
    <w:rsid w:val="00B404CC"/>
    <w:rsid w:val="00B4063E"/>
    <w:rsid w:val="00B41669"/>
    <w:rsid w:val="00B41AB2"/>
    <w:rsid w:val="00B41D02"/>
    <w:rsid w:val="00B4232A"/>
    <w:rsid w:val="00B42817"/>
    <w:rsid w:val="00B43442"/>
    <w:rsid w:val="00B43F99"/>
    <w:rsid w:val="00B442D5"/>
    <w:rsid w:val="00B44F6C"/>
    <w:rsid w:val="00B4516C"/>
    <w:rsid w:val="00B45484"/>
    <w:rsid w:val="00B4594E"/>
    <w:rsid w:val="00B45E71"/>
    <w:rsid w:val="00B47630"/>
    <w:rsid w:val="00B47B9C"/>
    <w:rsid w:val="00B47F5D"/>
    <w:rsid w:val="00B5114D"/>
    <w:rsid w:val="00B515F4"/>
    <w:rsid w:val="00B516C7"/>
    <w:rsid w:val="00B51CF6"/>
    <w:rsid w:val="00B51E6C"/>
    <w:rsid w:val="00B52C06"/>
    <w:rsid w:val="00B5331B"/>
    <w:rsid w:val="00B541A0"/>
    <w:rsid w:val="00B54597"/>
    <w:rsid w:val="00B54628"/>
    <w:rsid w:val="00B56438"/>
    <w:rsid w:val="00B569D7"/>
    <w:rsid w:val="00B56A44"/>
    <w:rsid w:val="00B57704"/>
    <w:rsid w:val="00B60A7C"/>
    <w:rsid w:val="00B60D9E"/>
    <w:rsid w:val="00B61220"/>
    <w:rsid w:val="00B61EBD"/>
    <w:rsid w:val="00B621F8"/>
    <w:rsid w:val="00B62479"/>
    <w:rsid w:val="00B6349B"/>
    <w:rsid w:val="00B63547"/>
    <w:rsid w:val="00B63B46"/>
    <w:rsid w:val="00B649BA"/>
    <w:rsid w:val="00B64DF8"/>
    <w:rsid w:val="00B66165"/>
    <w:rsid w:val="00B66332"/>
    <w:rsid w:val="00B67BAF"/>
    <w:rsid w:val="00B67F1E"/>
    <w:rsid w:val="00B70F5A"/>
    <w:rsid w:val="00B711CC"/>
    <w:rsid w:val="00B714E2"/>
    <w:rsid w:val="00B7190C"/>
    <w:rsid w:val="00B71B55"/>
    <w:rsid w:val="00B71EB6"/>
    <w:rsid w:val="00B7238E"/>
    <w:rsid w:val="00B72458"/>
    <w:rsid w:val="00B72471"/>
    <w:rsid w:val="00B72F28"/>
    <w:rsid w:val="00B736EA"/>
    <w:rsid w:val="00B73C17"/>
    <w:rsid w:val="00B74328"/>
    <w:rsid w:val="00B744F1"/>
    <w:rsid w:val="00B74BC5"/>
    <w:rsid w:val="00B74D4D"/>
    <w:rsid w:val="00B75242"/>
    <w:rsid w:val="00B759D7"/>
    <w:rsid w:val="00B75F07"/>
    <w:rsid w:val="00B75F5D"/>
    <w:rsid w:val="00B76E14"/>
    <w:rsid w:val="00B776E6"/>
    <w:rsid w:val="00B779C4"/>
    <w:rsid w:val="00B77CAC"/>
    <w:rsid w:val="00B77D16"/>
    <w:rsid w:val="00B77E56"/>
    <w:rsid w:val="00B8088D"/>
    <w:rsid w:val="00B81B8A"/>
    <w:rsid w:val="00B81C2E"/>
    <w:rsid w:val="00B81E14"/>
    <w:rsid w:val="00B822A1"/>
    <w:rsid w:val="00B82745"/>
    <w:rsid w:val="00B82CCB"/>
    <w:rsid w:val="00B848F9"/>
    <w:rsid w:val="00B84B53"/>
    <w:rsid w:val="00B854AD"/>
    <w:rsid w:val="00B854E5"/>
    <w:rsid w:val="00B85BEE"/>
    <w:rsid w:val="00B86BA3"/>
    <w:rsid w:val="00B86E3B"/>
    <w:rsid w:val="00B87451"/>
    <w:rsid w:val="00B8750D"/>
    <w:rsid w:val="00B90902"/>
    <w:rsid w:val="00B909C2"/>
    <w:rsid w:val="00B90BF6"/>
    <w:rsid w:val="00B9115E"/>
    <w:rsid w:val="00B91C95"/>
    <w:rsid w:val="00B922FB"/>
    <w:rsid w:val="00B94447"/>
    <w:rsid w:val="00B948AA"/>
    <w:rsid w:val="00B950EB"/>
    <w:rsid w:val="00B951ED"/>
    <w:rsid w:val="00B953F0"/>
    <w:rsid w:val="00B95948"/>
    <w:rsid w:val="00B95D06"/>
    <w:rsid w:val="00B96122"/>
    <w:rsid w:val="00B96458"/>
    <w:rsid w:val="00B97571"/>
    <w:rsid w:val="00BA28EF"/>
    <w:rsid w:val="00BA2AFB"/>
    <w:rsid w:val="00BA3BAD"/>
    <w:rsid w:val="00BA4065"/>
    <w:rsid w:val="00BA425B"/>
    <w:rsid w:val="00BA4A7B"/>
    <w:rsid w:val="00BA6358"/>
    <w:rsid w:val="00BA6CF3"/>
    <w:rsid w:val="00BA6D32"/>
    <w:rsid w:val="00BA6FE7"/>
    <w:rsid w:val="00BA7510"/>
    <w:rsid w:val="00BA79D9"/>
    <w:rsid w:val="00BA7CD1"/>
    <w:rsid w:val="00BB08D8"/>
    <w:rsid w:val="00BB0BAC"/>
    <w:rsid w:val="00BB0FD7"/>
    <w:rsid w:val="00BB17C4"/>
    <w:rsid w:val="00BB2BDC"/>
    <w:rsid w:val="00BB3E4E"/>
    <w:rsid w:val="00BB407A"/>
    <w:rsid w:val="00BB4A9E"/>
    <w:rsid w:val="00BB58AF"/>
    <w:rsid w:val="00BB600E"/>
    <w:rsid w:val="00BB62B3"/>
    <w:rsid w:val="00BB6B6F"/>
    <w:rsid w:val="00BB7CA6"/>
    <w:rsid w:val="00BC06B9"/>
    <w:rsid w:val="00BC0C9C"/>
    <w:rsid w:val="00BC11B6"/>
    <w:rsid w:val="00BC179C"/>
    <w:rsid w:val="00BC187D"/>
    <w:rsid w:val="00BC1A32"/>
    <w:rsid w:val="00BC34E2"/>
    <w:rsid w:val="00BC3C18"/>
    <w:rsid w:val="00BC3C52"/>
    <w:rsid w:val="00BC57BD"/>
    <w:rsid w:val="00BC6377"/>
    <w:rsid w:val="00BD034A"/>
    <w:rsid w:val="00BD0C21"/>
    <w:rsid w:val="00BD2379"/>
    <w:rsid w:val="00BD2969"/>
    <w:rsid w:val="00BD2EBC"/>
    <w:rsid w:val="00BD3305"/>
    <w:rsid w:val="00BD34BD"/>
    <w:rsid w:val="00BD473C"/>
    <w:rsid w:val="00BD4835"/>
    <w:rsid w:val="00BD52DD"/>
    <w:rsid w:val="00BD55B0"/>
    <w:rsid w:val="00BD759C"/>
    <w:rsid w:val="00BD75F1"/>
    <w:rsid w:val="00BD77B2"/>
    <w:rsid w:val="00BD7BA9"/>
    <w:rsid w:val="00BD7C09"/>
    <w:rsid w:val="00BE0516"/>
    <w:rsid w:val="00BE05AE"/>
    <w:rsid w:val="00BE220D"/>
    <w:rsid w:val="00BE25FE"/>
    <w:rsid w:val="00BE26DB"/>
    <w:rsid w:val="00BE345F"/>
    <w:rsid w:val="00BE3DE9"/>
    <w:rsid w:val="00BE4FEB"/>
    <w:rsid w:val="00BE561B"/>
    <w:rsid w:val="00BE596D"/>
    <w:rsid w:val="00BE5D64"/>
    <w:rsid w:val="00BE5EBB"/>
    <w:rsid w:val="00BE6A53"/>
    <w:rsid w:val="00BE7E71"/>
    <w:rsid w:val="00BF17F8"/>
    <w:rsid w:val="00BF1935"/>
    <w:rsid w:val="00BF37F3"/>
    <w:rsid w:val="00BF4517"/>
    <w:rsid w:val="00BF4C93"/>
    <w:rsid w:val="00BF60C1"/>
    <w:rsid w:val="00BF635A"/>
    <w:rsid w:val="00BF7B07"/>
    <w:rsid w:val="00C002ED"/>
    <w:rsid w:val="00C010DE"/>
    <w:rsid w:val="00C0234F"/>
    <w:rsid w:val="00C027F9"/>
    <w:rsid w:val="00C02C4A"/>
    <w:rsid w:val="00C031A9"/>
    <w:rsid w:val="00C03581"/>
    <w:rsid w:val="00C03EC5"/>
    <w:rsid w:val="00C04DCB"/>
    <w:rsid w:val="00C054B2"/>
    <w:rsid w:val="00C0560B"/>
    <w:rsid w:val="00C05D09"/>
    <w:rsid w:val="00C05E17"/>
    <w:rsid w:val="00C07159"/>
    <w:rsid w:val="00C075CA"/>
    <w:rsid w:val="00C104FE"/>
    <w:rsid w:val="00C10660"/>
    <w:rsid w:val="00C1084D"/>
    <w:rsid w:val="00C10A0A"/>
    <w:rsid w:val="00C10DF0"/>
    <w:rsid w:val="00C11266"/>
    <w:rsid w:val="00C1130D"/>
    <w:rsid w:val="00C13202"/>
    <w:rsid w:val="00C1358B"/>
    <w:rsid w:val="00C1451D"/>
    <w:rsid w:val="00C14780"/>
    <w:rsid w:val="00C174C9"/>
    <w:rsid w:val="00C177EF"/>
    <w:rsid w:val="00C17C7C"/>
    <w:rsid w:val="00C201C3"/>
    <w:rsid w:val="00C2081A"/>
    <w:rsid w:val="00C208AD"/>
    <w:rsid w:val="00C21383"/>
    <w:rsid w:val="00C230C3"/>
    <w:rsid w:val="00C23E95"/>
    <w:rsid w:val="00C24C59"/>
    <w:rsid w:val="00C25640"/>
    <w:rsid w:val="00C26F53"/>
    <w:rsid w:val="00C270EA"/>
    <w:rsid w:val="00C30551"/>
    <w:rsid w:val="00C312CF"/>
    <w:rsid w:val="00C31A2B"/>
    <w:rsid w:val="00C328C1"/>
    <w:rsid w:val="00C33352"/>
    <w:rsid w:val="00C34525"/>
    <w:rsid w:val="00C34549"/>
    <w:rsid w:val="00C3584C"/>
    <w:rsid w:val="00C35DFB"/>
    <w:rsid w:val="00C35ED8"/>
    <w:rsid w:val="00C36AE4"/>
    <w:rsid w:val="00C372B5"/>
    <w:rsid w:val="00C379C2"/>
    <w:rsid w:val="00C37BF0"/>
    <w:rsid w:val="00C40F6F"/>
    <w:rsid w:val="00C413F3"/>
    <w:rsid w:val="00C42018"/>
    <w:rsid w:val="00C425A2"/>
    <w:rsid w:val="00C429D1"/>
    <w:rsid w:val="00C44497"/>
    <w:rsid w:val="00C44580"/>
    <w:rsid w:val="00C45690"/>
    <w:rsid w:val="00C47B08"/>
    <w:rsid w:val="00C51481"/>
    <w:rsid w:val="00C51DAA"/>
    <w:rsid w:val="00C528E3"/>
    <w:rsid w:val="00C52D45"/>
    <w:rsid w:val="00C53438"/>
    <w:rsid w:val="00C53A1D"/>
    <w:rsid w:val="00C53E6A"/>
    <w:rsid w:val="00C5449F"/>
    <w:rsid w:val="00C5512A"/>
    <w:rsid w:val="00C55D37"/>
    <w:rsid w:val="00C561D9"/>
    <w:rsid w:val="00C5733B"/>
    <w:rsid w:val="00C600E3"/>
    <w:rsid w:val="00C61283"/>
    <w:rsid w:val="00C61AF3"/>
    <w:rsid w:val="00C6262C"/>
    <w:rsid w:val="00C645F2"/>
    <w:rsid w:val="00C64AC3"/>
    <w:rsid w:val="00C64EF8"/>
    <w:rsid w:val="00C6575B"/>
    <w:rsid w:val="00C66A06"/>
    <w:rsid w:val="00C6723F"/>
    <w:rsid w:val="00C67B3B"/>
    <w:rsid w:val="00C7087E"/>
    <w:rsid w:val="00C71215"/>
    <w:rsid w:val="00C7151E"/>
    <w:rsid w:val="00C718A1"/>
    <w:rsid w:val="00C71F96"/>
    <w:rsid w:val="00C72295"/>
    <w:rsid w:val="00C725FC"/>
    <w:rsid w:val="00C736C9"/>
    <w:rsid w:val="00C74651"/>
    <w:rsid w:val="00C755C9"/>
    <w:rsid w:val="00C756F4"/>
    <w:rsid w:val="00C75848"/>
    <w:rsid w:val="00C7672D"/>
    <w:rsid w:val="00C771AB"/>
    <w:rsid w:val="00C77792"/>
    <w:rsid w:val="00C77A60"/>
    <w:rsid w:val="00C81769"/>
    <w:rsid w:val="00C82365"/>
    <w:rsid w:val="00C824B0"/>
    <w:rsid w:val="00C82512"/>
    <w:rsid w:val="00C826E0"/>
    <w:rsid w:val="00C82791"/>
    <w:rsid w:val="00C85027"/>
    <w:rsid w:val="00C8612B"/>
    <w:rsid w:val="00C874C1"/>
    <w:rsid w:val="00C911A3"/>
    <w:rsid w:val="00C91AEB"/>
    <w:rsid w:val="00C91C52"/>
    <w:rsid w:val="00C923B6"/>
    <w:rsid w:val="00C932AB"/>
    <w:rsid w:val="00C93A69"/>
    <w:rsid w:val="00C952FB"/>
    <w:rsid w:val="00C9546A"/>
    <w:rsid w:val="00C954E7"/>
    <w:rsid w:val="00C97109"/>
    <w:rsid w:val="00CA003F"/>
    <w:rsid w:val="00CA189B"/>
    <w:rsid w:val="00CA1CFE"/>
    <w:rsid w:val="00CA21E7"/>
    <w:rsid w:val="00CA2733"/>
    <w:rsid w:val="00CA2950"/>
    <w:rsid w:val="00CA4CF8"/>
    <w:rsid w:val="00CA4EF2"/>
    <w:rsid w:val="00CA5112"/>
    <w:rsid w:val="00CA699C"/>
    <w:rsid w:val="00CA6A31"/>
    <w:rsid w:val="00CA7378"/>
    <w:rsid w:val="00CB441B"/>
    <w:rsid w:val="00CB471C"/>
    <w:rsid w:val="00CB4B08"/>
    <w:rsid w:val="00CB510E"/>
    <w:rsid w:val="00CB6202"/>
    <w:rsid w:val="00CB73F4"/>
    <w:rsid w:val="00CB7FF8"/>
    <w:rsid w:val="00CC2EE1"/>
    <w:rsid w:val="00CC311D"/>
    <w:rsid w:val="00CC3647"/>
    <w:rsid w:val="00CC3CA9"/>
    <w:rsid w:val="00CC43DE"/>
    <w:rsid w:val="00CC50BF"/>
    <w:rsid w:val="00CC6599"/>
    <w:rsid w:val="00CC7316"/>
    <w:rsid w:val="00CC760E"/>
    <w:rsid w:val="00CC79EB"/>
    <w:rsid w:val="00CC7A2C"/>
    <w:rsid w:val="00CC7B47"/>
    <w:rsid w:val="00CC7E85"/>
    <w:rsid w:val="00CD2079"/>
    <w:rsid w:val="00CD2605"/>
    <w:rsid w:val="00CD3BFB"/>
    <w:rsid w:val="00CD477B"/>
    <w:rsid w:val="00CD4EC7"/>
    <w:rsid w:val="00CD5782"/>
    <w:rsid w:val="00CD687F"/>
    <w:rsid w:val="00CD7BD4"/>
    <w:rsid w:val="00CD7D6B"/>
    <w:rsid w:val="00CE1B4E"/>
    <w:rsid w:val="00CE1B72"/>
    <w:rsid w:val="00CE1EDD"/>
    <w:rsid w:val="00CE1F63"/>
    <w:rsid w:val="00CE228A"/>
    <w:rsid w:val="00CE2D82"/>
    <w:rsid w:val="00CE5880"/>
    <w:rsid w:val="00CE5B07"/>
    <w:rsid w:val="00CE654A"/>
    <w:rsid w:val="00CE7433"/>
    <w:rsid w:val="00CF158E"/>
    <w:rsid w:val="00CF1732"/>
    <w:rsid w:val="00CF1B54"/>
    <w:rsid w:val="00CF338D"/>
    <w:rsid w:val="00CF3B6B"/>
    <w:rsid w:val="00CF4A7D"/>
    <w:rsid w:val="00CF4BA0"/>
    <w:rsid w:val="00CF51B3"/>
    <w:rsid w:val="00CF52F3"/>
    <w:rsid w:val="00CF582C"/>
    <w:rsid w:val="00CF5F97"/>
    <w:rsid w:val="00CF6256"/>
    <w:rsid w:val="00CF78D3"/>
    <w:rsid w:val="00CF7C76"/>
    <w:rsid w:val="00CF7E95"/>
    <w:rsid w:val="00CF7F2F"/>
    <w:rsid w:val="00CF7F4C"/>
    <w:rsid w:val="00CF7F7A"/>
    <w:rsid w:val="00D00674"/>
    <w:rsid w:val="00D00F9C"/>
    <w:rsid w:val="00D012F1"/>
    <w:rsid w:val="00D0161D"/>
    <w:rsid w:val="00D018E0"/>
    <w:rsid w:val="00D01A43"/>
    <w:rsid w:val="00D01B57"/>
    <w:rsid w:val="00D01EC7"/>
    <w:rsid w:val="00D029DA"/>
    <w:rsid w:val="00D02C50"/>
    <w:rsid w:val="00D03C60"/>
    <w:rsid w:val="00D04115"/>
    <w:rsid w:val="00D05CE4"/>
    <w:rsid w:val="00D06490"/>
    <w:rsid w:val="00D06744"/>
    <w:rsid w:val="00D0676B"/>
    <w:rsid w:val="00D06FF7"/>
    <w:rsid w:val="00D106C0"/>
    <w:rsid w:val="00D120A4"/>
    <w:rsid w:val="00D12488"/>
    <w:rsid w:val="00D1338D"/>
    <w:rsid w:val="00D14119"/>
    <w:rsid w:val="00D14950"/>
    <w:rsid w:val="00D1530E"/>
    <w:rsid w:val="00D15F99"/>
    <w:rsid w:val="00D175C6"/>
    <w:rsid w:val="00D176DC"/>
    <w:rsid w:val="00D1781D"/>
    <w:rsid w:val="00D17A5D"/>
    <w:rsid w:val="00D17E05"/>
    <w:rsid w:val="00D20594"/>
    <w:rsid w:val="00D21319"/>
    <w:rsid w:val="00D21322"/>
    <w:rsid w:val="00D2133A"/>
    <w:rsid w:val="00D2186E"/>
    <w:rsid w:val="00D22398"/>
    <w:rsid w:val="00D226F8"/>
    <w:rsid w:val="00D22A49"/>
    <w:rsid w:val="00D22C68"/>
    <w:rsid w:val="00D23114"/>
    <w:rsid w:val="00D23945"/>
    <w:rsid w:val="00D245A1"/>
    <w:rsid w:val="00D24C1F"/>
    <w:rsid w:val="00D25F0E"/>
    <w:rsid w:val="00D25F14"/>
    <w:rsid w:val="00D2611D"/>
    <w:rsid w:val="00D26EFC"/>
    <w:rsid w:val="00D27A83"/>
    <w:rsid w:val="00D300E6"/>
    <w:rsid w:val="00D30E1F"/>
    <w:rsid w:val="00D30EA9"/>
    <w:rsid w:val="00D312DD"/>
    <w:rsid w:val="00D31500"/>
    <w:rsid w:val="00D31980"/>
    <w:rsid w:val="00D32334"/>
    <w:rsid w:val="00D32CF5"/>
    <w:rsid w:val="00D3308E"/>
    <w:rsid w:val="00D33A18"/>
    <w:rsid w:val="00D3477A"/>
    <w:rsid w:val="00D3487D"/>
    <w:rsid w:val="00D34A41"/>
    <w:rsid w:val="00D34EF6"/>
    <w:rsid w:val="00D359D2"/>
    <w:rsid w:val="00D3676F"/>
    <w:rsid w:val="00D36E3E"/>
    <w:rsid w:val="00D3739F"/>
    <w:rsid w:val="00D37E87"/>
    <w:rsid w:val="00D4183D"/>
    <w:rsid w:val="00D41C3A"/>
    <w:rsid w:val="00D42730"/>
    <w:rsid w:val="00D43095"/>
    <w:rsid w:val="00D4313D"/>
    <w:rsid w:val="00D43803"/>
    <w:rsid w:val="00D43BE8"/>
    <w:rsid w:val="00D44ADA"/>
    <w:rsid w:val="00D4532D"/>
    <w:rsid w:val="00D45518"/>
    <w:rsid w:val="00D45C86"/>
    <w:rsid w:val="00D45FE1"/>
    <w:rsid w:val="00D46C2D"/>
    <w:rsid w:val="00D47509"/>
    <w:rsid w:val="00D476F6"/>
    <w:rsid w:val="00D47840"/>
    <w:rsid w:val="00D50B20"/>
    <w:rsid w:val="00D5106F"/>
    <w:rsid w:val="00D518B2"/>
    <w:rsid w:val="00D51BEA"/>
    <w:rsid w:val="00D51D4A"/>
    <w:rsid w:val="00D52515"/>
    <w:rsid w:val="00D525A8"/>
    <w:rsid w:val="00D525B3"/>
    <w:rsid w:val="00D52705"/>
    <w:rsid w:val="00D52BBB"/>
    <w:rsid w:val="00D53422"/>
    <w:rsid w:val="00D53B4F"/>
    <w:rsid w:val="00D53FCD"/>
    <w:rsid w:val="00D54602"/>
    <w:rsid w:val="00D54688"/>
    <w:rsid w:val="00D5503C"/>
    <w:rsid w:val="00D550F3"/>
    <w:rsid w:val="00D55221"/>
    <w:rsid w:val="00D55DD7"/>
    <w:rsid w:val="00D5609E"/>
    <w:rsid w:val="00D5622B"/>
    <w:rsid w:val="00D566B3"/>
    <w:rsid w:val="00D56736"/>
    <w:rsid w:val="00D56873"/>
    <w:rsid w:val="00D56E7F"/>
    <w:rsid w:val="00D56FF7"/>
    <w:rsid w:val="00D57A18"/>
    <w:rsid w:val="00D57F5B"/>
    <w:rsid w:val="00D60C5A"/>
    <w:rsid w:val="00D60EC2"/>
    <w:rsid w:val="00D614EC"/>
    <w:rsid w:val="00D61892"/>
    <w:rsid w:val="00D62199"/>
    <w:rsid w:val="00D6227C"/>
    <w:rsid w:val="00D639EA"/>
    <w:rsid w:val="00D63AAD"/>
    <w:rsid w:val="00D64E40"/>
    <w:rsid w:val="00D66284"/>
    <w:rsid w:val="00D66751"/>
    <w:rsid w:val="00D66ACF"/>
    <w:rsid w:val="00D66AEB"/>
    <w:rsid w:val="00D670A8"/>
    <w:rsid w:val="00D67C70"/>
    <w:rsid w:val="00D700D5"/>
    <w:rsid w:val="00D70279"/>
    <w:rsid w:val="00D709F7"/>
    <w:rsid w:val="00D70DA7"/>
    <w:rsid w:val="00D714A5"/>
    <w:rsid w:val="00D7279E"/>
    <w:rsid w:val="00D73548"/>
    <w:rsid w:val="00D73849"/>
    <w:rsid w:val="00D739F2"/>
    <w:rsid w:val="00D73EA7"/>
    <w:rsid w:val="00D73F3B"/>
    <w:rsid w:val="00D7410E"/>
    <w:rsid w:val="00D7423D"/>
    <w:rsid w:val="00D7468D"/>
    <w:rsid w:val="00D75387"/>
    <w:rsid w:val="00D762DF"/>
    <w:rsid w:val="00D77774"/>
    <w:rsid w:val="00D77941"/>
    <w:rsid w:val="00D77B62"/>
    <w:rsid w:val="00D77B8F"/>
    <w:rsid w:val="00D80551"/>
    <w:rsid w:val="00D81612"/>
    <w:rsid w:val="00D818D4"/>
    <w:rsid w:val="00D81D51"/>
    <w:rsid w:val="00D82F31"/>
    <w:rsid w:val="00D831A2"/>
    <w:rsid w:val="00D8323F"/>
    <w:rsid w:val="00D83C2C"/>
    <w:rsid w:val="00D851EB"/>
    <w:rsid w:val="00D856D3"/>
    <w:rsid w:val="00D861E2"/>
    <w:rsid w:val="00D86217"/>
    <w:rsid w:val="00D864ED"/>
    <w:rsid w:val="00D8654D"/>
    <w:rsid w:val="00D86666"/>
    <w:rsid w:val="00D86FE9"/>
    <w:rsid w:val="00D8799F"/>
    <w:rsid w:val="00D87AAD"/>
    <w:rsid w:val="00D90B98"/>
    <w:rsid w:val="00D90F52"/>
    <w:rsid w:val="00D91777"/>
    <w:rsid w:val="00D91AE0"/>
    <w:rsid w:val="00D9216D"/>
    <w:rsid w:val="00D92402"/>
    <w:rsid w:val="00D9244F"/>
    <w:rsid w:val="00D92984"/>
    <w:rsid w:val="00D936A3"/>
    <w:rsid w:val="00D93948"/>
    <w:rsid w:val="00D93AA7"/>
    <w:rsid w:val="00D943D6"/>
    <w:rsid w:val="00D9479B"/>
    <w:rsid w:val="00D9529F"/>
    <w:rsid w:val="00D9549C"/>
    <w:rsid w:val="00D956F0"/>
    <w:rsid w:val="00D963BF"/>
    <w:rsid w:val="00DA076E"/>
    <w:rsid w:val="00DA0EC0"/>
    <w:rsid w:val="00DA1A54"/>
    <w:rsid w:val="00DA2122"/>
    <w:rsid w:val="00DA319B"/>
    <w:rsid w:val="00DA60E8"/>
    <w:rsid w:val="00DA62BB"/>
    <w:rsid w:val="00DA72A3"/>
    <w:rsid w:val="00DB0764"/>
    <w:rsid w:val="00DB0DE8"/>
    <w:rsid w:val="00DB13E1"/>
    <w:rsid w:val="00DB1A2D"/>
    <w:rsid w:val="00DB1B67"/>
    <w:rsid w:val="00DB519F"/>
    <w:rsid w:val="00DB5D3D"/>
    <w:rsid w:val="00DB5E62"/>
    <w:rsid w:val="00DC1202"/>
    <w:rsid w:val="00DC172A"/>
    <w:rsid w:val="00DC290A"/>
    <w:rsid w:val="00DC2A6C"/>
    <w:rsid w:val="00DC3F3B"/>
    <w:rsid w:val="00DC6E6F"/>
    <w:rsid w:val="00DC7810"/>
    <w:rsid w:val="00DD1141"/>
    <w:rsid w:val="00DD1A4A"/>
    <w:rsid w:val="00DD1C46"/>
    <w:rsid w:val="00DD1F8F"/>
    <w:rsid w:val="00DD2CDD"/>
    <w:rsid w:val="00DD3001"/>
    <w:rsid w:val="00DD52B1"/>
    <w:rsid w:val="00DD6602"/>
    <w:rsid w:val="00DD7D16"/>
    <w:rsid w:val="00DD7E60"/>
    <w:rsid w:val="00DE212A"/>
    <w:rsid w:val="00DE267B"/>
    <w:rsid w:val="00DE2818"/>
    <w:rsid w:val="00DE2EFB"/>
    <w:rsid w:val="00DE32B4"/>
    <w:rsid w:val="00DE376A"/>
    <w:rsid w:val="00DE3D1D"/>
    <w:rsid w:val="00DE5146"/>
    <w:rsid w:val="00DE703B"/>
    <w:rsid w:val="00DF02F2"/>
    <w:rsid w:val="00DF08B0"/>
    <w:rsid w:val="00DF2612"/>
    <w:rsid w:val="00DF28B3"/>
    <w:rsid w:val="00DF2AAE"/>
    <w:rsid w:val="00DF2EB7"/>
    <w:rsid w:val="00DF32FA"/>
    <w:rsid w:val="00DF3355"/>
    <w:rsid w:val="00DF34B1"/>
    <w:rsid w:val="00DF385E"/>
    <w:rsid w:val="00DF39FB"/>
    <w:rsid w:val="00DF4AC5"/>
    <w:rsid w:val="00DF50CC"/>
    <w:rsid w:val="00DF516D"/>
    <w:rsid w:val="00DF6153"/>
    <w:rsid w:val="00DF748E"/>
    <w:rsid w:val="00DF7787"/>
    <w:rsid w:val="00E01736"/>
    <w:rsid w:val="00E0406B"/>
    <w:rsid w:val="00E048E5"/>
    <w:rsid w:val="00E049E7"/>
    <w:rsid w:val="00E05028"/>
    <w:rsid w:val="00E05038"/>
    <w:rsid w:val="00E052A6"/>
    <w:rsid w:val="00E06119"/>
    <w:rsid w:val="00E06840"/>
    <w:rsid w:val="00E068CD"/>
    <w:rsid w:val="00E06A32"/>
    <w:rsid w:val="00E06B22"/>
    <w:rsid w:val="00E07D5A"/>
    <w:rsid w:val="00E107ED"/>
    <w:rsid w:val="00E11596"/>
    <w:rsid w:val="00E11CB6"/>
    <w:rsid w:val="00E11DA4"/>
    <w:rsid w:val="00E12ED0"/>
    <w:rsid w:val="00E14EBC"/>
    <w:rsid w:val="00E15863"/>
    <w:rsid w:val="00E159FC"/>
    <w:rsid w:val="00E15F43"/>
    <w:rsid w:val="00E164FE"/>
    <w:rsid w:val="00E17B74"/>
    <w:rsid w:val="00E20CC0"/>
    <w:rsid w:val="00E21AA6"/>
    <w:rsid w:val="00E227DB"/>
    <w:rsid w:val="00E22AEF"/>
    <w:rsid w:val="00E2378F"/>
    <w:rsid w:val="00E24520"/>
    <w:rsid w:val="00E254DD"/>
    <w:rsid w:val="00E26CC4"/>
    <w:rsid w:val="00E27214"/>
    <w:rsid w:val="00E2740F"/>
    <w:rsid w:val="00E277F9"/>
    <w:rsid w:val="00E30119"/>
    <w:rsid w:val="00E3063E"/>
    <w:rsid w:val="00E3075A"/>
    <w:rsid w:val="00E32717"/>
    <w:rsid w:val="00E32BA5"/>
    <w:rsid w:val="00E33659"/>
    <w:rsid w:val="00E33832"/>
    <w:rsid w:val="00E3521D"/>
    <w:rsid w:val="00E35D59"/>
    <w:rsid w:val="00E40895"/>
    <w:rsid w:val="00E40D28"/>
    <w:rsid w:val="00E41A08"/>
    <w:rsid w:val="00E42F89"/>
    <w:rsid w:val="00E4320F"/>
    <w:rsid w:val="00E4380A"/>
    <w:rsid w:val="00E442D9"/>
    <w:rsid w:val="00E44CC5"/>
    <w:rsid w:val="00E4559F"/>
    <w:rsid w:val="00E456F5"/>
    <w:rsid w:val="00E46295"/>
    <w:rsid w:val="00E46EEB"/>
    <w:rsid w:val="00E5049E"/>
    <w:rsid w:val="00E513CF"/>
    <w:rsid w:val="00E515C7"/>
    <w:rsid w:val="00E53CF4"/>
    <w:rsid w:val="00E53EF8"/>
    <w:rsid w:val="00E54567"/>
    <w:rsid w:val="00E54FB7"/>
    <w:rsid w:val="00E55111"/>
    <w:rsid w:val="00E56312"/>
    <w:rsid w:val="00E56B92"/>
    <w:rsid w:val="00E56E28"/>
    <w:rsid w:val="00E5721E"/>
    <w:rsid w:val="00E60391"/>
    <w:rsid w:val="00E60806"/>
    <w:rsid w:val="00E62A57"/>
    <w:rsid w:val="00E6323B"/>
    <w:rsid w:val="00E63B16"/>
    <w:rsid w:val="00E64DEC"/>
    <w:rsid w:val="00E65288"/>
    <w:rsid w:val="00E6647B"/>
    <w:rsid w:val="00E67593"/>
    <w:rsid w:val="00E6793A"/>
    <w:rsid w:val="00E67D16"/>
    <w:rsid w:val="00E71187"/>
    <w:rsid w:val="00E716DD"/>
    <w:rsid w:val="00E71D2C"/>
    <w:rsid w:val="00E73EB4"/>
    <w:rsid w:val="00E744C7"/>
    <w:rsid w:val="00E76815"/>
    <w:rsid w:val="00E76926"/>
    <w:rsid w:val="00E76DD8"/>
    <w:rsid w:val="00E77633"/>
    <w:rsid w:val="00E80E34"/>
    <w:rsid w:val="00E81A95"/>
    <w:rsid w:val="00E81AC8"/>
    <w:rsid w:val="00E81E8E"/>
    <w:rsid w:val="00E831E8"/>
    <w:rsid w:val="00E83A34"/>
    <w:rsid w:val="00E83D63"/>
    <w:rsid w:val="00E840F4"/>
    <w:rsid w:val="00E8529A"/>
    <w:rsid w:val="00E85CCA"/>
    <w:rsid w:val="00E8686C"/>
    <w:rsid w:val="00E9072B"/>
    <w:rsid w:val="00E90836"/>
    <w:rsid w:val="00E90C17"/>
    <w:rsid w:val="00E91787"/>
    <w:rsid w:val="00E91994"/>
    <w:rsid w:val="00E91E0E"/>
    <w:rsid w:val="00E9200A"/>
    <w:rsid w:val="00E929EE"/>
    <w:rsid w:val="00E935A4"/>
    <w:rsid w:val="00E93FD4"/>
    <w:rsid w:val="00E949C1"/>
    <w:rsid w:val="00E94A80"/>
    <w:rsid w:val="00E958B2"/>
    <w:rsid w:val="00E95BB4"/>
    <w:rsid w:val="00E95C55"/>
    <w:rsid w:val="00E95D8A"/>
    <w:rsid w:val="00E97FF4"/>
    <w:rsid w:val="00EA03BA"/>
    <w:rsid w:val="00EA10B2"/>
    <w:rsid w:val="00EA1942"/>
    <w:rsid w:val="00EA2709"/>
    <w:rsid w:val="00EA2E1A"/>
    <w:rsid w:val="00EA430E"/>
    <w:rsid w:val="00EA48C6"/>
    <w:rsid w:val="00EA58B4"/>
    <w:rsid w:val="00EA5CEC"/>
    <w:rsid w:val="00EA608D"/>
    <w:rsid w:val="00EA6146"/>
    <w:rsid w:val="00EA7AD2"/>
    <w:rsid w:val="00EA7F0C"/>
    <w:rsid w:val="00EB030A"/>
    <w:rsid w:val="00EB0424"/>
    <w:rsid w:val="00EB070C"/>
    <w:rsid w:val="00EB07C1"/>
    <w:rsid w:val="00EB164A"/>
    <w:rsid w:val="00EB1B16"/>
    <w:rsid w:val="00EB229B"/>
    <w:rsid w:val="00EB2FF4"/>
    <w:rsid w:val="00EB3F3E"/>
    <w:rsid w:val="00EB4DED"/>
    <w:rsid w:val="00EB558C"/>
    <w:rsid w:val="00EB5ED1"/>
    <w:rsid w:val="00EB6051"/>
    <w:rsid w:val="00EB62A0"/>
    <w:rsid w:val="00EB65B6"/>
    <w:rsid w:val="00EB69CD"/>
    <w:rsid w:val="00EB75CD"/>
    <w:rsid w:val="00EC0A0E"/>
    <w:rsid w:val="00EC2A4E"/>
    <w:rsid w:val="00EC2B6C"/>
    <w:rsid w:val="00EC30AB"/>
    <w:rsid w:val="00EC3CA2"/>
    <w:rsid w:val="00EC42CC"/>
    <w:rsid w:val="00EC42E9"/>
    <w:rsid w:val="00EC46CB"/>
    <w:rsid w:val="00EC5A3D"/>
    <w:rsid w:val="00EC5D69"/>
    <w:rsid w:val="00EC6AAE"/>
    <w:rsid w:val="00EC706B"/>
    <w:rsid w:val="00EC78D4"/>
    <w:rsid w:val="00ED0031"/>
    <w:rsid w:val="00ED1011"/>
    <w:rsid w:val="00ED1418"/>
    <w:rsid w:val="00ED19DB"/>
    <w:rsid w:val="00ED29E1"/>
    <w:rsid w:val="00ED507A"/>
    <w:rsid w:val="00ED52C3"/>
    <w:rsid w:val="00ED6747"/>
    <w:rsid w:val="00ED702E"/>
    <w:rsid w:val="00ED7A58"/>
    <w:rsid w:val="00EE00F4"/>
    <w:rsid w:val="00EE11BE"/>
    <w:rsid w:val="00EE13BE"/>
    <w:rsid w:val="00EE1C4D"/>
    <w:rsid w:val="00EE2103"/>
    <w:rsid w:val="00EE2A58"/>
    <w:rsid w:val="00EE3ADF"/>
    <w:rsid w:val="00EE3CF8"/>
    <w:rsid w:val="00EE3EB3"/>
    <w:rsid w:val="00EE44A2"/>
    <w:rsid w:val="00EE4558"/>
    <w:rsid w:val="00EE490B"/>
    <w:rsid w:val="00EE49AD"/>
    <w:rsid w:val="00EE508C"/>
    <w:rsid w:val="00EE534F"/>
    <w:rsid w:val="00EE57CB"/>
    <w:rsid w:val="00EE5D1B"/>
    <w:rsid w:val="00EE62DC"/>
    <w:rsid w:val="00EF040C"/>
    <w:rsid w:val="00EF0AA3"/>
    <w:rsid w:val="00EF0D4E"/>
    <w:rsid w:val="00EF1114"/>
    <w:rsid w:val="00EF2957"/>
    <w:rsid w:val="00EF4597"/>
    <w:rsid w:val="00EF5501"/>
    <w:rsid w:val="00EF5D27"/>
    <w:rsid w:val="00EF64DB"/>
    <w:rsid w:val="00EF650A"/>
    <w:rsid w:val="00EF7602"/>
    <w:rsid w:val="00EF7EF0"/>
    <w:rsid w:val="00F000F0"/>
    <w:rsid w:val="00F0248A"/>
    <w:rsid w:val="00F03236"/>
    <w:rsid w:val="00F03AB0"/>
    <w:rsid w:val="00F04E4D"/>
    <w:rsid w:val="00F05A60"/>
    <w:rsid w:val="00F064A6"/>
    <w:rsid w:val="00F069A7"/>
    <w:rsid w:val="00F06F1A"/>
    <w:rsid w:val="00F075D5"/>
    <w:rsid w:val="00F1015A"/>
    <w:rsid w:val="00F101A8"/>
    <w:rsid w:val="00F1068B"/>
    <w:rsid w:val="00F120ED"/>
    <w:rsid w:val="00F125A7"/>
    <w:rsid w:val="00F12929"/>
    <w:rsid w:val="00F12C70"/>
    <w:rsid w:val="00F15BAC"/>
    <w:rsid w:val="00F16BDA"/>
    <w:rsid w:val="00F16C58"/>
    <w:rsid w:val="00F16C7A"/>
    <w:rsid w:val="00F16E73"/>
    <w:rsid w:val="00F1701D"/>
    <w:rsid w:val="00F17380"/>
    <w:rsid w:val="00F20B33"/>
    <w:rsid w:val="00F211A2"/>
    <w:rsid w:val="00F213F7"/>
    <w:rsid w:val="00F2173E"/>
    <w:rsid w:val="00F22398"/>
    <w:rsid w:val="00F223C1"/>
    <w:rsid w:val="00F2270B"/>
    <w:rsid w:val="00F22D55"/>
    <w:rsid w:val="00F2379B"/>
    <w:rsid w:val="00F259F0"/>
    <w:rsid w:val="00F26350"/>
    <w:rsid w:val="00F2744C"/>
    <w:rsid w:val="00F27C69"/>
    <w:rsid w:val="00F301D2"/>
    <w:rsid w:val="00F303B9"/>
    <w:rsid w:val="00F32062"/>
    <w:rsid w:val="00F320FC"/>
    <w:rsid w:val="00F33045"/>
    <w:rsid w:val="00F33D25"/>
    <w:rsid w:val="00F344E2"/>
    <w:rsid w:val="00F34545"/>
    <w:rsid w:val="00F3474A"/>
    <w:rsid w:val="00F359E0"/>
    <w:rsid w:val="00F35C58"/>
    <w:rsid w:val="00F36554"/>
    <w:rsid w:val="00F370B3"/>
    <w:rsid w:val="00F41304"/>
    <w:rsid w:val="00F4137D"/>
    <w:rsid w:val="00F41416"/>
    <w:rsid w:val="00F42848"/>
    <w:rsid w:val="00F42E45"/>
    <w:rsid w:val="00F438A6"/>
    <w:rsid w:val="00F44893"/>
    <w:rsid w:val="00F44BF8"/>
    <w:rsid w:val="00F453BB"/>
    <w:rsid w:val="00F46124"/>
    <w:rsid w:val="00F47060"/>
    <w:rsid w:val="00F4759B"/>
    <w:rsid w:val="00F50892"/>
    <w:rsid w:val="00F50DBF"/>
    <w:rsid w:val="00F50EFF"/>
    <w:rsid w:val="00F5190C"/>
    <w:rsid w:val="00F5215C"/>
    <w:rsid w:val="00F526B4"/>
    <w:rsid w:val="00F52963"/>
    <w:rsid w:val="00F5427A"/>
    <w:rsid w:val="00F54BB3"/>
    <w:rsid w:val="00F56874"/>
    <w:rsid w:val="00F569C6"/>
    <w:rsid w:val="00F612CA"/>
    <w:rsid w:val="00F6165C"/>
    <w:rsid w:val="00F61B21"/>
    <w:rsid w:val="00F636ED"/>
    <w:rsid w:val="00F63D80"/>
    <w:rsid w:val="00F643EB"/>
    <w:rsid w:val="00F64885"/>
    <w:rsid w:val="00F649AE"/>
    <w:rsid w:val="00F652B2"/>
    <w:rsid w:val="00F65584"/>
    <w:rsid w:val="00F655BE"/>
    <w:rsid w:val="00F660F6"/>
    <w:rsid w:val="00F6631C"/>
    <w:rsid w:val="00F673B1"/>
    <w:rsid w:val="00F702B0"/>
    <w:rsid w:val="00F7034A"/>
    <w:rsid w:val="00F71440"/>
    <w:rsid w:val="00F72398"/>
    <w:rsid w:val="00F72B6E"/>
    <w:rsid w:val="00F732F0"/>
    <w:rsid w:val="00F74820"/>
    <w:rsid w:val="00F75436"/>
    <w:rsid w:val="00F761CC"/>
    <w:rsid w:val="00F7689C"/>
    <w:rsid w:val="00F76AC5"/>
    <w:rsid w:val="00F76E04"/>
    <w:rsid w:val="00F76E3C"/>
    <w:rsid w:val="00F770ED"/>
    <w:rsid w:val="00F80261"/>
    <w:rsid w:val="00F80EA3"/>
    <w:rsid w:val="00F81501"/>
    <w:rsid w:val="00F824C9"/>
    <w:rsid w:val="00F824EA"/>
    <w:rsid w:val="00F82718"/>
    <w:rsid w:val="00F831EC"/>
    <w:rsid w:val="00F83730"/>
    <w:rsid w:val="00F84478"/>
    <w:rsid w:val="00F8580A"/>
    <w:rsid w:val="00F85B3B"/>
    <w:rsid w:val="00F86375"/>
    <w:rsid w:val="00F86382"/>
    <w:rsid w:val="00F864A0"/>
    <w:rsid w:val="00F86F11"/>
    <w:rsid w:val="00F904BD"/>
    <w:rsid w:val="00F9065D"/>
    <w:rsid w:val="00F90B1B"/>
    <w:rsid w:val="00F93FC8"/>
    <w:rsid w:val="00F95340"/>
    <w:rsid w:val="00F955AF"/>
    <w:rsid w:val="00F95C35"/>
    <w:rsid w:val="00F96330"/>
    <w:rsid w:val="00F96696"/>
    <w:rsid w:val="00F96841"/>
    <w:rsid w:val="00F96FD0"/>
    <w:rsid w:val="00FA0706"/>
    <w:rsid w:val="00FA12E7"/>
    <w:rsid w:val="00FA1AB1"/>
    <w:rsid w:val="00FA1C54"/>
    <w:rsid w:val="00FA26DF"/>
    <w:rsid w:val="00FA2DFE"/>
    <w:rsid w:val="00FA37E2"/>
    <w:rsid w:val="00FA481A"/>
    <w:rsid w:val="00FA57D3"/>
    <w:rsid w:val="00FA624A"/>
    <w:rsid w:val="00FA730C"/>
    <w:rsid w:val="00FA7614"/>
    <w:rsid w:val="00FB033E"/>
    <w:rsid w:val="00FB050B"/>
    <w:rsid w:val="00FB12B5"/>
    <w:rsid w:val="00FB17FE"/>
    <w:rsid w:val="00FB19AD"/>
    <w:rsid w:val="00FB219C"/>
    <w:rsid w:val="00FB2294"/>
    <w:rsid w:val="00FB2994"/>
    <w:rsid w:val="00FB45AC"/>
    <w:rsid w:val="00FB4FA0"/>
    <w:rsid w:val="00FB50EF"/>
    <w:rsid w:val="00FB701C"/>
    <w:rsid w:val="00FB7147"/>
    <w:rsid w:val="00FB7D06"/>
    <w:rsid w:val="00FC064D"/>
    <w:rsid w:val="00FC1337"/>
    <w:rsid w:val="00FC1595"/>
    <w:rsid w:val="00FC2DF1"/>
    <w:rsid w:val="00FC3A8F"/>
    <w:rsid w:val="00FC402E"/>
    <w:rsid w:val="00FC4AD5"/>
    <w:rsid w:val="00FC4BF0"/>
    <w:rsid w:val="00FC5078"/>
    <w:rsid w:val="00FC5C7F"/>
    <w:rsid w:val="00FC680C"/>
    <w:rsid w:val="00FC707A"/>
    <w:rsid w:val="00FC76B9"/>
    <w:rsid w:val="00FD0B17"/>
    <w:rsid w:val="00FD1435"/>
    <w:rsid w:val="00FD1A63"/>
    <w:rsid w:val="00FD1ACA"/>
    <w:rsid w:val="00FD3097"/>
    <w:rsid w:val="00FD5DFC"/>
    <w:rsid w:val="00FD5FDF"/>
    <w:rsid w:val="00FD6428"/>
    <w:rsid w:val="00FD7FA7"/>
    <w:rsid w:val="00FE08E3"/>
    <w:rsid w:val="00FE08FD"/>
    <w:rsid w:val="00FE09FD"/>
    <w:rsid w:val="00FE1482"/>
    <w:rsid w:val="00FE15ED"/>
    <w:rsid w:val="00FE271C"/>
    <w:rsid w:val="00FE4275"/>
    <w:rsid w:val="00FE49E0"/>
    <w:rsid w:val="00FE50EB"/>
    <w:rsid w:val="00FE5378"/>
    <w:rsid w:val="00FE5C76"/>
    <w:rsid w:val="00FE71B2"/>
    <w:rsid w:val="00FF03D2"/>
    <w:rsid w:val="00FF1AB7"/>
    <w:rsid w:val="00FF1F90"/>
    <w:rsid w:val="00FF215B"/>
    <w:rsid w:val="00FF2C47"/>
    <w:rsid w:val="00FF2F0D"/>
    <w:rsid w:val="00FF46C4"/>
    <w:rsid w:val="00FF47BB"/>
    <w:rsid w:val="00FF4A31"/>
    <w:rsid w:val="00FF4A50"/>
    <w:rsid w:val="00FF4AE7"/>
    <w:rsid w:val="00FF5650"/>
    <w:rsid w:val="00FF59EB"/>
    <w:rsid w:val="00FF5EE6"/>
    <w:rsid w:val="00FF5FBD"/>
    <w:rsid w:val="00FF6546"/>
    <w:rsid w:val="00FF734C"/>
    <w:rsid w:val="00FF7F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75585D"/>
  <w15:docId w15:val="{EBC4A5E7-4D5D-4F2E-ACF7-39EB7B7F9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468"/>
    <w:rPr>
      <w:rFonts w:ascii="Times New Roman" w:eastAsia="Times New Roman" w:hAnsi="Times New Roman"/>
      <w:sz w:val="28"/>
      <w:szCs w:val="28"/>
      <w:lang w:val="en-US" w:eastAsia="en-US"/>
    </w:rPr>
  </w:style>
  <w:style w:type="paragraph" w:styleId="Heading1">
    <w:name w:val="heading 1"/>
    <w:basedOn w:val="Normal"/>
    <w:next w:val="Normal"/>
    <w:link w:val="Heading1Char"/>
    <w:qFormat/>
    <w:locked/>
    <w:rsid w:val="00D5622B"/>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6468"/>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Normal1">
    <w:name w:val="Normal1"/>
    <w:basedOn w:val="Normal"/>
    <w:rsid w:val="0067242E"/>
    <w:pPr>
      <w:spacing w:before="100" w:beforeAutospacing="1" w:after="100" w:afterAutospacing="1"/>
    </w:pPr>
    <w:rPr>
      <w:sz w:val="24"/>
      <w:szCs w:val="24"/>
    </w:rPr>
  </w:style>
  <w:style w:type="character" w:customStyle="1" w:styleId="BodyTextChar1">
    <w:name w:val="Body Text Char1"/>
    <w:link w:val="BodyText"/>
    <w:uiPriority w:val="99"/>
    <w:locked/>
    <w:rsid w:val="008D4094"/>
    <w:rPr>
      <w:sz w:val="24"/>
      <w:szCs w:val="24"/>
    </w:rPr>
  </w:style>
  <w:style w:type="paragraph" w:styleId="BodyText">
    <w:name w:val="Body Text"/>
    <w:basedOn w:val="Normal"/>
    <w:link w:val="BodyTextChar1"/>
    <w:uiPriority w:val="99"/>
    <w:rsid w:val="008D4094"/>
    <w:pPr>
      <w:spacing w:after="120"/>
    </w:pPr>
    <w:rPr>
      <w:rFonts w:ascii="Calibri" w:eastAsia="Calibri" w:hAnsi="Calibri"/>
      <w:sz w:val="24"/>
      <w:szCs w:val="24"/>
      <w:lang w:val="x-none" w:eastAsia="x-none"/>
    </w:rPr>
  </w:style>
  <w:style w:type="character" w:customStyle="1" w:styleId="BodyTextChar">
    <w:name w:val="Body Text Char"/>
    <w:uiPriority w:val="99"/>
    <w:semiHidden/>
    <w:locked/>
    <w:rsid w:val="008D4094"/>
    <w:rPr>
      <w:rFonts w:ascii="Times New Roman" w:hAnsi="Times New Roman" w:cs="Times New Roman"/>
      <w:sz w:val="28"/>
      <w:szCs w:val="28"/>
    </w:rPr>
  </w:style>
  <w:style w:type="character" w:styleId="Strong">
    <w:name w:val="Strong"/>
    <w:qFormat/>
    <w:rsid w:val="00A021F9"/>
    <w:rPr>
      <w:b/>
      <w:bCs/>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A07A9"/>
    <w:rPr>
      <w:rFonts w:eastAsia="Calibri"/>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link w:val="FootnoteText"/>
    <w:uiPriority w:val="99"/>
    <w:qFormat/>
    <w:locked/>
    <w:rsid w:val="001A07A9"/>
    <w:rPr>
      <w:rFonts w:ascii="Times New Roman" w:hAnsi="Times New Roman"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link w:val="CharChar1CharCharCharChar1CharCharCharCharCharCharCharChar"/>
    <w:uiPriority w:val="99"/>
    <w:qFormat/>
    <w:rsid w:val="001A07A9"/>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B90BF6"/>
    <w:pPr>
      <w:spacing w:before="100" w:beforeAutospacing="1" w:after="100" w:afterAutospacing="1"/>
    </w:pPr>
    <w:rPr>
      <w:rFonts w:eastAsia="Calibri"/>
      <w:sz w:val="24"/>
      <w:szCs w:val="24"/>
      <w:lang w:val="x-none" w:eastAsia="x-none"/>
    </w:rPr>
  </w:style>
  <w:style w:type="character" w:customStyle="1" w:styleId="normalchar">
    <w:name w:val="normal__char"/>
    <w:basedOn w:val="DefaultParagraphFont"/>
    <w:rsid w:val="00B90BF6"/>
  </w:style>
  <w:style w:type="paragraph" w:styleId="Header">
    <w:name w:val="header"/>
    <w:basedOn w:val="Normal"/>
    <w:link w:val="HeaderChar"/>
    <w:uiPriority w:val="99"/>
    <w:rsid w:val="0016207C"/>
    <w:pPr>
      <w:tabs>
        <w:tab w:val="center" w:pos="4680"/>
        <w:tab w:val="right" w:pos="9360"/>
      </w:tabs>
    </w:pPr>
    <w:rPr>
      <w:rFonts w:eastAsia="Calibri"/>
      <w:lang w:val="x-none" w:eastAsia="x-none"/>
    </w:rPr>
  </w:style>
  <w:style w:type="character" w:customStyle="1" w:styleId="HeaderChar">
    <w:name w:val="Header Char"/>
    <w:link w:val="Header"/>
    <w:uiPriority w:val="99"/>
    <w:locked/>
    <w:rsid w:val="0016207C"/>
    <w:rPr>
      <w:rFonts w:ascii="Times New Roman" w:hAnsi="Times New Roman" w:cs="Times New Roman"/>
      <w:sz w:val="28"/>
      <w:szCs w:val="28"/>
    </w:rPr>
  </w:style>
  <w:style w:type="paragraph" w:styleId="Footer">
    <w:name w:val="footer"/>
    <w:basedOn w:val="Normal"/>
    <w:link w:val="FooterChar"/>
    <w:uiPriority w:val="99"/>
    <w:semiHidden/>
    <w:rsid w:val="0016207C"/>
    <w:pPr>
      <w:tabs>
        <w:tab w:val="center" w:pos="4680"/>
        <w:tab w:val="right" w:pos="9360"/>
      </w:tabs>
    </w:pPr>
    <w:rPr>
      <w:rFonts w:eastAsia="Calibri"/>
      <w:lang w:val="x-none" w:eastAsia="x-none"/>
    </w:rPr>
  </w:style>
  <w:style w:type="character" w:customStyle="1" w:styleId="FooterChar">
    <w:name w:val="Footer Char"/>
    <w:link w:val="Footer"/>
    <w:uiPriority w:val="99"/>
    <w:semiHidden/>
    <w:locked/>
    <w:rsid w:val="0016207C"/>
    <w:rPr>
      <w:rFonts w:ascii="Times New Roman" w:hAnsi="Times New Roman" w:cs="Times New Roman"/>
      <w:sz w:val="28"/>
      <w:szCs w:val="28"/>
    </w:rPr>
  </w:style>
  <w:style w:type="paragraph" w:customStyle="1" w:styleId="BodyTextTimesNewRoman">
    <w:name w:val="Body Text + Times New Roman"/>
    <w:aliases w:val="14 pt,Bold,First line:  1,27 cm,Before:  4,5 ...,5 ... ...,Normal + Justified,First line:  0,99 cm,Right:  0,2 cm,Before:  2 pt,Afte...,Normal + Times New Roman,Justified,First line:  1 cm,..."/>
    <w:basedOn w:val="Normal"/>
    <w:link w:val="BodyTextTimesNewRomanChar"/>
    <w:uiPriority w:val="99"/>
    <w:rsid w:val="00CA6A31"/>
    <w:pPr>
      <w:spacing w:before="90" w:after="90" w:line="300" w:lineRule="exact"/>
      <w:ind w:firstLine="720"/>
      <w:jc w:val="both"/>
    </w:pPr>
    <w:rPr>
      <w:rFonts w:eastAsia="Calibri"/>
      <w:b/>
      <w:bCs/>
      <w:lang w:val="nl-NL" w:eastAsia="x-none"/>
    </w:rPr>
  </w:style>
  <w:style w:type="character" w:customStyle="1" w:styleId="BodyTextTimesNewRomanChar">
    <w:name w:val="Body Text + Times New Roman Char"/>
    <w:aliases w:val="14 pt Char,Bold Char,First line:  1 Char,27 cm Char,Before:  4 Char,5 ... Char,5 ... ... Char"/>
    <w:link w:val="BodyTextTimesNewRoman"/>
    <w:uiPriority w:val="99"/>
    <w:locked/>
    <w:rsid w:val="00CA6A31"/>
    <w:rPr>
      <w:rFonts w:ascii="Times New Roman" w:hAnsi="Times New Roman" w:cs="Times New Roman"/>
      <w:b/>
      <w:bCs/>
      <w:sz w:val="28"/>
      <w:szCs w:val="28"/>
      <w:lang w:val="nl-NL"/>
    </w:rPr>
  </w:style>
  <w:style w:type="paragraph" w:styleId="BalloonText">
    <w:name w:val="Balloon Text"/>
    <w:basedOn w:val="Normal"/>
    <w:link w:val="BalloonTextChar"/>
    <w:uiPriority w:val="99"/>
    <w:semiHidden/>
    <w:rsid w:val="006A70CD"/>
    <w:rPr>
      <w:rFonts w:eastAsia="Calibri"/>
      <w:sz w:val="2"/>
      <w:szCs w:val="2"/>
      <w:lang w:val="x-none" w:eastAsia="x-none"/>
    </w:rPr>
  </w:style>
  <w:style w:type="character" w:customStyle="1" w:styleId="BalloonTextChar">
    <w:name w:val="Balloon Text Char"/>
    <w:link w:val="BalloonText"/>
    <w:uiPriority w:val="99"/>
    <w:semiHidden/>
    <w:locked/>
    <w:rsid w:val="00B44F6C"/>
    <w:rPr>
      <w:rFonts w:ascii="Times New Roman" w:hAnsi="Times New Roman" w:cs="Times New Roman"/>
      <w:sz w:val="2"/>
      <w:szCs w:val="2"/>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0F6092"/>
    <w:pPr>
      <w:spacing w:after="200" w:line="276" w:lineRule="auto"/>
      <w:ind w:left="720"/>
      <w:contextualSpacing/>
    </w:pPr>
    <w:rPr>
      <w:rFonts w:eastAsia="Calibri"/>
    </w:rPr>
  </w:style>
  <w:style w:type="character" w:customStyle="1" w:styleId="normalchar0">
    <w:name w:val="normalchar"/>
    <w:basedOn w:val="DefaultParagraphFont"/>
    <w:rsid w:val="00B223A3"/>
  </w:style>
  <w:style w:type="character" w:customStyle="1" w:styleId="apple-converted-space">
    <w:name w:val="apple-converted-space"/>
    <w:basedOn w:val="DefaultParagraphFont"/>
    <w:rsid w:val="00C771AB"/>
  </w:style>
  <w:style w:type="paragraph" w:styleId="Title">
    <w:name w:val="Title"/>
    <w:basedOn w:val="Normal"/>
    <w:link w:val="TitleChar"/>
    <w:qFormat/>
    <w:locked/>
    <w:rsid w:val="0085217C"/>
    <w:pPr>
      <w:jc w:val="center"/>
    </w:pPr>
    <w:rPr>
      <w:rFonts w:ascii=".VnTimeH" w:hAnsi=".VnTimeH"/>
      <w:b/>
      <w:bCs/>
      <w:szCs w:val="24"/>
      <w:lang w:val="x-none" w:eastAsia="x-none"/>
    </w:rPr>
  </w:style>
  <w:style w:type="character" w:customStyle="1" w:styleId="TitleChar">
    <w:name w:val="Title Char"/>
    <w:link w:val="Title"/>
    <w:rsid w:val="0085217C"/>
    <w:rPr>
      <w:rFonts w:ascii=".VnTimeH" w:eastAsia="Times New Roman" w:hAnsi=".VnTimeH"/>
      <w:b/>
      <w:bCs/>
      <w:sz w:val="28"/>
      <w:szCs w:val="24"/>
    </w:rPr>
  </w:style>
  <w:style w:type="paragraph" w:customStyle="1" w:styleId="msotitlecxspmiddle">
    <w:name w:val="msotitlecxspmiddle"/>
    <w:basedOn w:val="Normal"/>
    <w:rsid w:val="0085217C"/>
    <w:pPr>
      <w:spacing w:before="100" w:beforeAutospacing="1" w:after="100" w:afterAutospacing="1"/>
    </w:pPr>
    <w:rPr>
      <w:sz w:val="24"/>
      <w:szCs w:val="24"/>
    </w:rPr>
  </w:style>
  <w:style w:type="paragraph" w:customStyle="1" w:styleId="Normal10">
    <w:name w:val="Normal1"/>
    <w:basedOn w:val="Normal"/>
    <w:uiPriority w:val="99"/>
    <w:rsid w:val="000E6961"/>
    <w:pPr>
      <w:spacing w:before="100" w:beforeAutospacing="1" w:after="100" w:afterAutospacing="1"/>
    </w:pPr>
    <w:rPr>
      <w:rFonts w:ascii="Calibri" w:hAnsi="Calibri" w:cs="Calibri"/>
      <w:sz w:val="24"/>
      <w:szCs w:val="24"/>
    </w:rPr>
  </w:style>
  <w:style w:type="paragraph" w:styleId="List3">
    <w:name w:val="List 3"/>
    <w:basedOn w:val="Normal"/>
    <w:rsid w:val="00EC42CC"/>
    <w:pPr>
      <w:spacing w:before="100" w:beforeAutospacing="1" w:after="100" w:afterAutospacing="1"/>
    </w:pPr>
    <w:rPr>
      <w:rFonts w:eastAsia="MS Mincho"/>
      <w:sz w:val="24"/>
      <w:szCs w:val="24"/>
    </w:rPr>
  </w:style>
  <w:style w:type="paragraph" w:styleId="BodyTextIndent">
    <w:name w:val="Body Text Indent"/>
    <w:basedOn w:val="Normal"/>
    <w:link w:val="BodyTextIndentChar"/>
    <w:unhideWhenUsed/>
    <w:rsid w:val="005B43D0"/>
    <w:pPr>
      <w:spacing w:after="120"/>
      <w:ind w:left="360"/>
    </w:pPr>
    <w:rPr>
      <w:lang w:val="x-none" w:eastAsia="x-none"/>
    </w:rPr>
  </w:style>
  <w:style w:type="character" w:customStyle="1" w:styleId="BodyTextIndentChar">
    <w:name w:val="Body Text Indent Char"/>
    <w:link w:val="BodyTextIndent"/>
    <w:rsid w:val="005B43D0"/>
    <w:rPr>
      <w:rFonts w:ascii="Times New Roman" w:eastAsia="Times New Roman" w:hAnsi="Times New Roman"/>
      <w:sz w:val="28"/>
      <w:szCs w:val="28"/>
    </w:rPr>
  </w:style>
  <w:style w:type="paragraph" w:styleId="BodyTextIndent2">
    <w:name w:val="Body Text Indent 2"/>
    <w:basedOn w:val="Normal"/>
    <w:link w:val="BodyTextIndent2Char"/>
    <w:uiPriority w:val="99"/>
    <w:semiHidden/>
    <w:unhideWhenUsed/>
    <w:rsid w:val="00BB4A9E"/>
    <w:pPr>
      <w:spacing w:after="120" w:line="480" w:lineRule="auto"/>
      <w:ind w:left="360"/>
    </w:pPr>
    <w:rPr>
      <w:lang w:val="x-none" w:eastAsia="x-none"/>
    </w:rPr>
  </w:style>
  <w:style w:type="character" w:customStyle="1" w:styleId="BodyTextIndent2Char">
    <w:name w:val="Body Text Indent 2 Char"/>
    <w:link w:val="BodyTextIndent2"/>
    <w:uiPriority w:val="99"/>
    <w:semiHidden/>
    <w:rsid w:val="00BB4A9E"/>
    <w:rPr>
      <w:rFonts w:ascii="Times New Roman" w:eastAsia="Times New Roman" w:hAnsi="Times New Roman"/>
      <w:sz w:val="28"/>
      <w:szCs w:val="28"/>
    </w:rPr>
  </w:style>
  <w:style w:type="character" w:styleId="Emphasis">
    <w:name w:val="Emphasis"/>
    <w:uiPriority w:val="20"/>
    <w:qFormat/>
    <w:locked/>
    <w:rsid w:val="00C372B5"/>
    <w:rPr>
      <w:i/>
      <w:iCs/>
    </w:rPr>
  </w:style>
  <w:style w:type="character" w:customStyle="1" w:styleId="body0020textchar">
    <w:name w:val="body_0020text__char"/>
    <w:rsid w:val="006379FB"/>
    <w:rPr>
      <w:rFonts w:cs="Times New Roman"/>
    </w:rPr>
  </w:style>
  <w:style w:type="paragraph" w:styleId="EndnoteText">
    <w:name w:val="endnote text"/>
    <w:basedOn w:val="Normal"/>
    <w:link w:val="EndnoteTextChar"/>
    <w:uiPriority w:val="99"/>
    <w:semiHidden/>
    <w:unhideWhenUsed/>
    <w:rsid w:val="00416BAE"/>
    <w:rPr>
      <w:rFonts w:ascii="Calibri" w:eastAsia="Calibri" w:hAnsi="Calibri"/>
      <w:sz w:val="20"/>
      <w:szCs w:val="20"/>
      <w:lang w:val="x-none" w:eastAsia="x-none"/>
    </w:rPr>
  </w:style>
  <w:style w:type="character" w:customStyle="1" w:styleId="EndnoteTextChar">
    <w:name w:val="Endnote Text Char"/>
    <w:link w:val="EndnoteText"/>
    <w:uiPriority w:val="99"/>
    <w:semiHidden/>
    <w:rsid w:val="00416BAE"/>
    <w:rPr>
      <w:rFonts w:ascii="Calibri" w:eastAsia="Calibri" w:hAnsi="Calibri" w:cs="Times New Roman"/>
    </w:rPr>
  </w:style>
  <w:style w:type="character" w:styleId="EndnoteReference">
    <w:name w:val="endnote reference"/>
    <w:uiPriority w:val="99"/>
    <w:semiHidden/>
    <w:unhideWhenUsed/>
    <w:rsid w:val="00416BAE"/>
    <w:rPr>
      <w:vertAlign w:val="superscript"/>
    </w:rPr>
  </w:style>
  <w:style w:type="character" w:customStyle="1" w:styleId="Heading1Char">
    <w:name w:val="Heading 1 Char"/>
    <w:link w:val="Heading1"/>
    <w:rsid w:val="00D5622B"/>
    <w:rPr>
      <w:rFonts w:ascii="Cambria" w:eastAsia="Times New Roman" w:hAnsi="Cambria" w:cs="Times New Roman"/>
      <w:b/>
      <w:bCs/>
      <w:kern w:val="32"/>
      <w:sz w:val="32"/>
      <w:szCs w:val="32"/>
    </w:rPr>
  </w:style>
  <w:style w:type="character" w:customStyle="1" w:styleId="apple-style-span">
    <w:name w:val="apple-style-span"/>
    <w:basedOn w:val="DefaultParagraphFont"/>
    <w:rsid w:val="001B34BB"/>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2B0D6E"/>
    <w:pPr>
      <w:spacing w:after="160" w:line="240" w:lineRule="exact"/>
    </w:pPr>
    <w:rPr>
      <w:rFonts w:ascii="Calibri" w:eastAsia="Calibri" w:hAnsi="Calibri"/>
      <w:sz w:val="20"/>
      <w:szCs w:val="20"/>
      <w:vertAlign w:val="superscript"/>
      <w:lang w:val="x-none" w:eastAsia="x-none"/>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B0687F"/>
    <w:rPr>
      <w:rFonts w:ascii="Times New Roman" w:hAnsi="Times New Roman"/>
      <w:sz w:val="24"/>
      <w:szCs w:val="24"/>
    </w:rPr>
  </w:style>
  <w:style w:type="table" w:styleId="TableGrid">
    <w:name w:val="Table Grid"/>
    <w:basedOn w:val="TableNormal"/>
    <w:uiPriority w:val="39"/>
    <w:locked/>
    <w:rsid w:val="00DC7810"/>
    <w:rPr>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437B94"/>
    <w:rPr>
      <w:rFonts w:ascii="Times New Roman" w:hAnsi="Times New Roman" w:cs="Times New Roman" w:hint="default"/>
      <w:color w:val="000000"/>
      <w:sz w:val="28"/>
    </w:rPr>
  </w:style>
  <w:style w:type="character" w:customStyle="1" w:styleId="fontstyle21">
    <w:name w:val="fontstyle21"/>
    <w:rsid w:val="00437B94"/>
    <w:rPr>
      <w:rFonts w:ascii="Times New Roman" w:hAnsi="Times New Roman" w:cs="Times New Roman" w:hint="default"/>
      <w:b/>
      <w:bCs w:val="0"/>
      <w:color w:val="000000"/>
      <w:sz w:val="28"/>
    </w:rPr>
  </w:style>
  <w:style w:type="character" w:styleId="CommentReference">
    <w:name w:val="annotation reference"/>
    <w:basedOn w:val="DefaultParagraphFont"/>
    <w:uiPriority w:val="99"/>
    <w:semiHidden/>
    <w:unhideWhenUsed/>
    <w:rsid w:val="00BF1935"/>
    <w:rPr>
      <w:sz w:val="16"/>
      <w:szCs w:val="16"/>
    </w:rPr>
  </w:style>
  <w:style w:type="paragraph" w:styleId="CommentText">
    <w:name w:val="annotation text"/>
    <w:basedOn w:val="Normal"/>
    <w:link w:val="CommentTextChar"/>
    <w:uiPriority w:val="99"/>
    <w:semiHidden/>
    <w:unhideWhenUsed/>
    <w:rsid w:val="00BF1935"/>
    <w:rPr>
      <w:sz w:val="20"/>
      <w:szCs w:val="20"/>
      <w:lang w:val="vi-VN"/>
    </w:rPr>
  </w:style>
  <w:style w:type="character" w:customStyle="1" w:styleId="CommentTextChar">
    <w:name w:val="Comment Text Char"/>
    <w:basedOn w:val="DefaultParagraphFont"/>
    <w:link w:val="CommentText"/>
    <w:uiPriority w:val="99"/>
    <w:semiHidden/>
    <w:rsid w:val="00BF1935"/>
    <w:rPr>
      <w:rFonts w:ascii="Times New Roman" w:eastAsia="Times New Roman" w:hAnsi="Times New Roman"/>
      <w:lang w:val="vi-VN" w:eastAsia="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1E2ADB"/>
    <w:rPr>
      <w:rFonts w:ascii="Times New Roman" w:hAnsi="Times New Roman"/>
      <w:sz w:val="28"/>
      <w:szCs w:val="28"/>
      <w:lang w:val="en-US" w:eastAsia="en-US"/>
    </w:rPr>
  </w:style>
  <w:style w:type="character" w:styleId="Hyperlink">
    <w:name w:val="Hyperlink"/>
    <w:basedOn w:val="DefaultParagraphFont"/>
    <w:uiPriority w:val="99"/>
    <w:unhideWhenUsed/>
    <w:rsid w:val="005545B9"/>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5E4F2C"/>
    <w:rPr>
      <w:b/>
      <w:bCs/>
      <w:lang w:val="en-US"/>
    </w:rPr>
  </w:style>
  <w:style w:type="character" w:customStyle="1" w:styleId="CommentSubjectChar">
    <w:name w:val="Comment Subject Char"/>
    <w:basedOn w:val="CommentTextChar"/>
    <w:link w:val="CommentSubject"/>
    <w:uiPriority w:val="99"/>
    <w:semiHidden/>
    <w:rsid w:val="005E4F2C"/>
    <w:rPr>
      <w:rFonts w:ascii="Times New Roman" w:eastAsia="Times New Roman" w:hAnsi="Times New Roman"/>
      <w:b/>
      <w:bCs/>
      <w:lang w:val="en-US" w:eastAsia="en-US"/>
    </w:rPr>
  </w:style>
  <w:style w:type="paragraph" w:styleId="Revision">
    <w:name w:val="Revision"/>
    <w:hidden/>
    <w:uiPriority w:val="99"/>
    <w:semiHidden/>
    <w:rsid w:val="00EC2B6C"/>
    <w:rPr>
      <w:rFonts w:ascii="Times New Roman" w:eastAsia="Times New Roman" w:hAnsi="Times New Roman"/>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65802">
      <w:bodyDiv w:val="1"/>
      <w:marLeft w:val="0"/>
      <w:marRight w:val="0"/>
      <w:marTop w:val="0"/>
      <w:marBottom w:val="0"/>
      <w:divBdr>
        <w:top w:val="none" w:sz="0" w:space="0" w:color="auto"/>
        <w:left w:val="none" w:sz="0" w:space="0" w:color="auto"/>
        <w:bottom w:val="none" w:sz="0" w:space="0" w:color="auto"/>
        <w:right w:val="none" w:sz="0" w:space="0" w:color="auto"/>
      </w:divBdr>
      <w:divsChild>
        <w:div w:id="1471558600">
          <w:marLeft w:val="0"/>
          <w:marRight w:val="0"/>
          <w:marTop w:val="280"/>
          <w:marBottom w:val="280"/>
          <w:divBdr>
            <w:top w:val="none" w:sz="0" w:space="0" w:color="auto"/>
            <w:left w:val="none" w:sz="0" w:space="0" w:color="auto"/>
            <w:bottom w:val="none" w:sz="0" w:space="0" w:color="auto"/>
            <w:right w:val="none" w:sz="0" w:space="0" w:color="auto"/>
          </w:divBdr>
        </w:div>
        <w:div w:id="2028411194">
          <w:marLeft w:val="0"/>
          <w:marRight w:val="0"/>
          <w:marTop w:val="280"/>
          <w:marBottom w:val="280"/>
          <w:divBdr>
            <w:top w:val="none" w:sz="0" w:space="0" w:color="auto"/>
            <w:left w:val="none" w:sz="0" w:space="0" w:color="auto"/>
            <w:bottom w:val="none" w:sz="0" w:space="0" w:color="auto"/>
            <w:right w:val="none" w:sz="0" w:space="0" w:color="auto"/>
          </w:divBdr>
        </w:div>
      </w:divsChild>
    </w:div>
    <w:div w:id="515382918">
      <w:bodyDiv w:val="1"/>
      <w:marLeft w:val="0"/>
      <w:marRight w:val="0"/>
      <w:marTop w:val="0"/>
      <w:marBottom w:val="0"/>
      <w:divBdr>
        <w:top w:val="none" w:sz="0" w:space="0" w:color="auto"/>
        <w:left w:val="none" w:sz="0" w:space="0" w:color="auto"/>
        <w:bottom w:val="none" w:sz="0" w:space="0" w:color="auto"/>
        <w:right w:val="none" w:sz="0" w:space="0" w:color="auto"/>
      </w:divBdr>
    </w:div>
    <w:div w:id="529925895">
      <w:bodyDiv w:val="1"/>
      <w:marLeft w:val="0"/>
      <w:marRight w:val="0"/>
      <w:marTop w:val="0"/>
      <w:marBottom w:val="0"/>
      <w:divBdr>
        <w:top w:val="none" w:sz="0" w:space="0" w:color="auto"/>
        <w:left w:val="none" w:sz="0" w:space="0" w:color="auto"/>
        <w:bottom w:val="none" w:sz="0" w:space="0" w:color="auto"/>
        <w:right w:val="none" w:sz="0" w:space="0" w:color="auto"/>
      </w:divBdr>
    </w:div>
    <w:div w:id="575288605">
      <w:bodyDiv w:val="1"/>
      <w:marLeft w:val="0"/>
      <w:marRight w:val="0"/>
      <w:marTop w:val="0"/>
      <w:marBottom w:val="0"/>
      <w:divBdr>
        <w:top w:val="none" w:sz="0" w:space="0" w:color="auto"/>
        <w:left w:val="none" w:sz="0" w:space="0" w:color="auto"/>
        <w:bottom w:val="none" w:sz="0" w:space="0" w:color="auto"/>
        <w:right w:val="none" w:sz="0" w:space="0" w:color="auto"/>
      </w:divBdr>
    </w:div>
    <w:div w:id="641741217">
      <w:bodyDiv w:val="1"/>
      <w:marLeft w:val="0"/>
      <w:marRight w:val="0"/>
      <w:marTop w:val="0"/>
      <w:marBottom w:val="0"/>
      <w:divBdr>
        <w:top w:val="none" w:sz="0" w:space="0" w:color="auto"/>
        <w:left w:val="none" w:sz="0" w:space="0" w:color="auto"/>
        <w:bottom w:val="none" w:sz="0" w:space="0" w:color="auto"/>
        <w:right w:val="none" w:sz="0" w:space="0" w:color="auto"/>
      </w:divBdr>
    </w:div>
    <w:div w:id="666905878">
      <w:bodyDiv w:val="1"/>
      <w:marLeft w:val="0"/>
      <w:marRight w:val="0"/>
      <w:marTop w:val="0"/>
      <w:marBottom w:val="0"/>
      <w:divBdr>
        <w:top w:val="none" w:sz="0" w:space="0" w:color="auto"/>
        <w:left w:val="none" w:sz="0" w:space="0" w:color="auto"/>
        <w:bottom w:val="none" w:sz="0" w:space="0" w:color="auto"/>
        <w:right w:val="none" w:sz="0" w:space="0" w:color="auto"/>
      </w:divBdr>
    </w:div>
    <w:div w:id="778064067">
      <w:bodyDiv w:val="1"/>
      <w:marLeft w:val="0"/>
      <w:marRight w:val="0"/>
      <w:marTop w:val="0"/>
      <w:marBottom w:val="0"/>
      <w:divBdr>
        <w:top w:val="none" w:sz="0" w:space="0" w:color="auto"/>
        <w:left w:val="none" w:sz="0" w:space="0" w:color="auto"/>
        <w:bottom w:val="none" w:sz="0" w:space="0" w:color="auto"/>
        <w:right w:val="none" w:sz="0" w:space="0" w:color="auto"/>
      </w:divBdr>
    </w:div>
    <w:div w:id="853810493">
      <w:bodyDiv w:val="1"/>
      <w:marLeft w:val="0"/>
      <w:marRight w:val="0"/>
      <w:marTop w:val="0"/>
      <w:marBottom w:val="0"/>
      <w:divBdr>
        <w:top w:val="none" w:sz="0" w:space="0" w:color="auto"/>
        <w:left w:val="none" w:sz="0" w:space="0" w:color="auto"/>
        <w:bottom w:val="none" w:sz="0" w:space="0" w:color="auto"/>
        <w:right w:val="none" w:sz="0" w:space="0" w:color="auto"/>
      </w:divBdr>
    </w:div>
    <w:div w:id="953942521">
      <w:bodyDiv w:val="1"/>
      <w:marLeft w:val="0"/>
      <w:marRight w:val="0"/>
      <w:marTop w:val="0"/>
      <w:marBottom w:val="0"/>
      <w:divBdr>
        <w:top w:val="none" w:sz="0" w:space="0" w:color="auto"/>
        <w:left w:val="none" w:sz="0" w:space="0" w:color="auto"/>
        <w:bottom w:val="none" w:sz="0" w:space="0" w:color="auto"/>
        <w:right w:val="none" w:sz="0" w:space="0" w:color="auto"/>
      </w:divBdr>
    </w:div>
    <w:div w:id="960920856">
      <w:bodyDiv w:val="1"/>
      <w:marLeft w:val="0"/>
      <w:marRight w:val="0"/>
      <w:marTop w:val="0"/>
      <w:marBottom w:val="0"/>
      <w:divBdr>
        <w:top w:val="none" w:sz="0" w:space="0" w:color="auto"/>
        <w:left w:val="none" w:sz="0" w:space="0" w:color="auto"/>
        <w:bottom w:val="none" w:sz="0" w:space="0" w:color="auto"/>
        <w:right w:val="none" w:sz="0" w:space="0" w:color="auto"/>
      </w:divBdr>
    </w:div>
    <w:div w:id="1099525793">
      <w:bodyDiv w:val="1"/>
      <w:marLeft w:val="0"/>
      <w:marRight w:val="0"/>
      <w:marTop w:val="0"/>
      <w:marBottom w:val="0"/>
      <w:divBdr>
        <w:top w:val="none" w:sz="0" w:space="0" w:color="auto"/>
        <w:left w:val="none" w:sz="0" w:space="0" w:color="auto"/>
        <w:bottom w:val="none" w:sz="0" w:space="0" w:color="auto"/>
        <w:right w:val="none" w:sz="0" w:space="0" w:color="auto"/>
      </w:divBdr>
    </w:div>
    <w:div w:id="1104807565">
      <w:bodyDiv w:val="1"/>
      <w:marLeft w:val="0"/>
      <w:marRight w:val="0"/>
      <w:marTop w:val="0"/>
      <w:marBottom w:val="0"/>
      <w:divBdr>
        <w:top w:val="none" w:sz="0" w:space="0" w:color="auto"/>
        <w:left w:val="none" w:sz="0" w:space="0" w:color="auto"/>
        <w:bottom w:val="none" w:sz="0" w:space="0" w:color="auto"/>
        <w:right w:val="none" w:sz="0" w:space="0" w:color="auto"/>
      </w:divBdr>
    </w:div>
    <w:div w:id="1332678573">
      <w:bodyDiv w:val="1"/>
      <w:marLeft w:val="0"/>
      <w:marRight w:val="0"/>
      <w:marTop w:val="0"/>
      <w:marBottom w:val="0"/>
      <w:divBdr>
        <w:top w:val="none" w:sz="0" w:space="0" w:color="auto"/>
        <w:left w:val="none" w:sz="0" w:space="0" w:color="auto"/>
        <w:bottom w:val="none" w:sz="0" w:space="0" w:color="auto"/>
        <w:right w:val="none" w:sz="0" w:space="0" w:color="auto"/>
      </w:divBdr>
    </w:div>
    <w:div w:id="1403914989">
      <w:bodyDiv w:val="1"/>
      <w:marLeft w:val="0"/>
      <w:marRight w:val="0"/>
      <w:marTop w:val="0"/>
      <w:marBottom w:val="0"/>
      <w:divBdr>
        <w:top w:val="none" w:sz="0" w:space="0" w:color="auto"/>
        <w:left w:val="none" w:sz="0" w:space="0" w:color="auto"/>
        <w:bottom w:val="none" w:sz="0" w:space="0" w:color="auto"/>
        <w:right w:val="none" w:sz="0" w:space="0" w:color="auto"/>
      </w:divBdr>
      <w:divsChild>
        <w:div w:id="742262723">
          <w:marLeft w:val="0"/>
          <w:marRight w:val="0"/>
          <w:marTop w:val="280"/>
          <w:marBottom w:val="280"/>
          <w:divBdr>
            <w:top w:val="none" w:sz="0" w:space="0" w:color="auto"/>
            <w:left w:val="none" w:sz="0" w:space="0" w:color="auto"/>
            <w:bottom w:val="none" w:sz="0" w:space="0" w:color="auto"/>
            <w:right w:val="none" w:sz="0" w:space="0" w:color="auto"/>
          </w:divBdr>
        </w:div>
        <w:div w:id="1116951390">
          <w:marLeft w:val="0"/>
          <w:marRight w:val="0"/>
          <w:marTop w:val="280"/>
          <w:marBottom w:val="280"/>
          <w:divBdr>
            <w:top w:val="none" w:sz="0" w:space="0" w:color="auto"/>
            <w:left w:val="none" w:sz="0" w:space="0" w:color="auto"/>
            <w:bottom w:val="none" w:sz="0" w:space="0" w:color="auto"/>
            <w:right w:val="none" w:sz="0" w:space="0" w:color="auto"/>
          </w:divBdr>
        </w:div>
      </w:divsChild>
    </w:div>
    <w:div w:id="1681353138">
      <w:bodyDiv w:val="1"/>
      <w:marLeft w:val="0"/>
      <w:marRight w:val="0"/>
      <w:marTop w:val="0"/>
      <w:marBottom w:val="0"/>
      <w:divBdr>
        <w:top w:val="none" w:sz="0" w:space="0" w:color="auto"/>
        <w:left w:val="none" w:sz="0" w:space="0" w:color="auto"/>
        <w:bottom w:val="none" w:sz="0" w:space="0" w:color="auto"/>
        <w:right w:val="none" w:sz="0" w:space="0" w:color="auto"/>
      </w:divBdr>
    </w:div>
    <w:div w:id="1702391121">
      <w:bodyDiv w:val="1"/>
      <w:marLeft w:val="0"/>
      <w:marRight w:val="0"/>
      <w:marTop w:val="0"/>
      <w:marBottom w:val="0"/>
      <w:divBdr>
        <w:top w:val="none" w:sz="0" w:space="0" w:color="auto"/>
        <w:left w:val="none" w:sz="0" w:space="0" w:color="auto"/>
        <w:bottom w:val="none" w:sz="0" w:space="0" w:color="auto"/>
        <w:right w:val="none" w:sz="0" w:space="0" w:color="auto"/>
      </w:divBdr>
    </w:div>
    <w:div w:id="185834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20.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0.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agromonitor.vn/group/47/274/ban-tin-tuan" TargetMode="External"/><Relationship Id="rId1" Type="http://schemas.openxmlformats.org/officeDocument/2006/relationships/hyperlink" Target="http://agromonitor.vn/group/48/280/giam-sat-gi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208300\Downloads\03.%20Bao%20cao%20FDI%20thang%2002-2022%20(2).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'04. FDI SO SANH '!$G$16</c:f>
              <c:strCache>
                <c:ptCount val="1"/>
                <c:pt idx="0">
                  <c:v>Newly registered capital</c:v>
                </c:pt>
              </c:strCache>
            </c:strRef>
          </c:tx>
          <c:spPr>
            <a:solidFill>
              <a:schemeClr val="accent1"/>
            </a:solidFill>
            <a:ln>
              <a:noFill/>
            </a:ln>
            <a:effectLst/>
          </c:spPr>
          <c:invertIfNegative val="0"/>
          <c:dLbls>
            <c:dLbl>
              <c:idx val="4"/>
              <c:tx>
                <c:rich>
                  <a:bodyPr/>
                  <a:lstStyle/>
                  <a:p>
                    <a:r>
                      <a:rPr lang="en-US"/>
                      <a:t>0.64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B59-4B96-8246-C860BC74DCE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'04. FDI SO SANH '!$H$15:$L$15</c:f>
              <c:numCache>
                <c:formatCode>General</c:formatCode>
                <c:ptCount val="5"/>
                <c:pt idx="0">
                  <c:v>2018</c:v>
                </c:pt>
                <c:pt idx="1">
                  <c:v>2019</c:v>
                </c:pt>
                <c:pt idx="2">
                  <c:v>2020</c:v>
                </c:pt>
                <c:pt idx="3">
                  <c:v>2021</c:v>
                </c:pt>
                <c:pt idx="4">
                  <c:v>2022</c:v>
                </c:pt>
              </c:numCache>
            </c:numRef>
          </c:cat>
          <c:val>
            <c:numRef>
              <c:f>'04. FDI SO SANH '!$H$16:$L$16</c:f>
              <c:numCache>
                <c:formatCode>0.00</c:formatCode>
                <c:ptCount val="5"/>
                <c:pt idx="0">
                  <c:v>1.3912447353599999</c:v>
                </c:pt>
                <c:pt idx="1">
                  <c:v>2.444891123000001</c:v>
                </c:pt>
                <c:pt idx="2">
                  <c:v>5.0036916560000009</c:v>
                </c:pt>
                <c:pt idx="3">
                  <c:v>3.30866813</c:v>
                </c:pt>
                <c:pt idx="4">
                  <c:v>0.63176240644999992</c:v>
                </c:pt>
              </c:numCache>
            </c:numRef>
          </c:val>
          <c:extLst>
            <c:ext xmlns:c16="http://schemas.microsoft.com/office/drawing/2014/chart" uri="{C3380CC4-5D6E-409C-BE32-E72D297353CC}">
              <c16:uniqueId val="{00000001-7B59-4B96-8246-C860BC74DCE0}"/>
            </c:ext>
          </c:extLst>
        </c:ser>
        <c:ser>
          <c:idx val="1"/>
          <c:order val="1"/>
          <c:tx>
            <c:strRef>
              <c:f>'04. FDI SO SANH '!$G$17</c:f>
              <c:strCache>
                <c:ptCount val="1"/>
                <c:pt idx="0">
                  <c:v>Adjust registered capital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'04. FDI SO SANH '!$H$15:$L$15</c:f>
              <c:numCache>
                <c:formatCode>General</c:formatCode>
                <c:ptCount val="5"/>
                <c:pt idx="0">
                  <c:v>2018</c:v>
                </c:pt>
                <c:pt idx="1">
                  <c:v>2019</c:v>
                </c:pt>
                <c:pt idx="2">
                  <c:v>2020</c:v>
                </c:pt>
                <c:pt idx="3">
                  <c:v>2021</c:v>
                </c:pt>
                <c:pt idx="4">
                  <c:v>2022</c:v>
                </c:pt>
              </c:numCache>
            </c:numRef>
          </c:cat>
          <c:val>
            <c:numRef>
              <c:f>'04. FDI SO SANH '!$H$17:$L$17</c:f>
              <c:numCache>
                <c:formatCode>0.00</c:formatCode>
                <c:ptCount val="5"/>
                <c:pt idx="0">
                  <c:v>0.70031735283999996</c:v>
                </c:pt>
                <c:pt idx="1">
                  <c:v>0.85481065371999998</c:v>
                </c:pt>
                <c:pt idx="2">
                  <c:v>0.63806011900000004</c:v>
                </c:pt>
                <c:pt idx="3">
                  <c:v>1.6064025292812498</c:v>
                </c:pt>
                <c:pt idx="4">
                  <c:v>3.5944651162343755</c:v>
                </c:pt>
              </c:numCache>
            </c:numRef>
          </c:val>
          <c:extLst>
            <c:ext xmlns:c16="http://schemas.microsoft.com/office/drawing/2014/chart" uri="{C3380CC4-5D6E-409C-BE32-E72D297353CC}">
              <c16:uniqueId val="{00000002-7B59-4B96-8246-C860BC74DCE0}"/>
            </c:ext>
          </c:extLst>
        </c:ser>
        <c:ser>
          <c:idx val="2"/>
          <c:order val="2"/>
          <c:tx>
            <c:strRef>
              <c:f>'04. FDI SO SANH '!$G$18</c:f>
              <c:strCache>
                <c:ptCount val="1"/>
                <c:pt idx="0">
                  <c:v>Total value of capital contribution and share purchases of foreign investor</c:v>
                </c:pt>
              </c:strCache>
            </c:strRef>
          </c:tx>
          <c:spPr>
            <a:solidFill>
              <a:schemeClr val="accent3"/>
            </a:solidFill>
            <a:ln>
              <a:noFill/>
            </a:ln>
            <a:effectLst/>
          </c:spPr>
          <c:invertIfNegative val="0"/>
          <c:dLbls>
            <c:dLbl>
              <c:idx val="1"/>
              <c:tx>
                <c:rich>
                  <a:bodyPr/>
                  <a:lstStyle/>
                  <a:p>
                    <a:r>
                      <a:rPr lang="en-US"/>
                      <a:t>5.18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B59-4B96-8246-C860BC74DCE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'04. FDI SO SANH '!$H$15:$L$15</c:f>
              <c:numCache>
                <c:formatCode>General</c:formatCode>
                <c:ptCount val="5"/>
                <c:pt idx="0">
                  <c:v>2018</c:v>
                </c:pt>
                <c:pt idx="1">
                  <c:v>2019</c:v>
                </c:pt>
                <c:pt idx="2">
                  <c:v>2020</c:v>
                </c:pt>
                <c:pt idx="3">
                  <c:v>2021</c:v>
                </c:pt>
                <c:pt idx="4">
                  <c:v>2022</c:v>
                </c:pt>
              </c:numCache>
            </c:numRef>
          </c:cat>
          <c:val>
            <c:numRef>
              <c:f>'04. FDI SO SANH '!$H$18:$L$18</c:f>
              <c:numCache>
                <c:formatCode>0.00</c:formatCode>
                <c:ptCount val="5"/>
                <c:pt idx="0">
                  <c:v>1.2533711082348942</c:v>
                </c:pt>
                <c:pt idx="1">
                  <c:v>5.1712002833096529</c:v>
                </c:pt>
                <c:pt idx="2">
                  <c:v>0.82731427435600213</c:v>
                </c:pt>
                <c:pt idx="3">
                  <c:v>0.54309769858322487</c:v>
                </c:pt>
                <c:pt idx="4">
                  <c:v>0.76959727012500001</c:v>
                </c:pt>
              </c:numCache>
            </c:numRef>
          </c:val>
          <c:extLst>
            <c:ext xmlns:c16="http://schemas.microsoft.com/office/drawing/2014/chart" uri="{C3380CC4-5D6E-409C-BE32-E72D297353CC}">
              <c16:uniqueId val="{00000004-7B59-4B96-8246-C860BC74DCE0}"/>
            </c:ext>
          </c:extLst>
        </c:ser>
        <c:dLbls>
          <c:showLegendKey val="0"/>
          <c:showVal val="0"/>
          <c:showCatName val="0"/>
          <c:showSerName val="0"/>
          <c:showPercent val="0"/>
          <c:showBubbleSize val="0"/>
        </c:dLbls>
        <c:gapWidth val="150"/>
        <c:overlap val="100"/>
        <c:axId val="149620256"/>
        <c:axId val="149620672"/>
      </c:barChart>
      <c:catAx>
        <c:axId val="149620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620672"/>
        <c:crosses val="autoZero"/>
        <c:auto val="1"/>
        <c:lblAlgn val="ctr"/>
        <c:lblOffset val="100"/>
        <c:noMultiLvlLbl val="0"/>
      </c:catAx>
      <c:valAx>
        <c:axId val="14962067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620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February compared to the previous month</c:v>
                </c:pt>
              </c:strCache>
            </c:strRef>
          </c:tx>
          <c:spPr>
            <a:ln w="19050" cap="rnd">
              <a:solidFill>
                <a:schemeClr val="accent1"/>
              </a:solidFill>
              <a:round/>
            </a:ln>
            <a:effectLst/>
          </c:spPr>
          <c:marker>
            <c:symbol val="square"/>
            <c:size val="6"/>
            <c:spPr>
              <a:solidFill>
                <a:schemeClr val="accent1"/>
              </a:solidFill>
              <a:ln>
                <a:solidFill>
                  <a:schemeClr val="accent1"/>
                </a:solidFill>
              </a:ln>
              <a:effectLst/>
            </c:spPr>
          </c:marker>
          <c:dLbls>
            <c:dLbl>
              <c:idx val="1"/>
              <c:layout>
                <c:manualLayout>
                  <c:x val="-4.5735090405366038E-2"/>
                  <c:y val="4.49411676020915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5D-40EB-8B84-10B73A938B2E}"/>
                </c:ext>
              </c:extLst>
            </c:dLbl>
            <c:dLbl>
              <c:idx val="4"/>
              <c:layout>
                <c:manualLayout>
                  <c:x val="-4.1360090405365993E-2"/>
                  <c:y val="5.54864155494076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5D-40EB-8B84-10B73A938B2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w="12700">
                      <a:solidFill>
                        <a:schemeClr val="accent1">
                          <a:lumMod val="75000"/>
                        </a:schemeClr>
                      </a:solidFill>
                    </a:ln>
                    <a:solidFill>
                      <a:schemeClr val="accent1">
                        <a:lumMod val="7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2018</c:v>
                </c:pt>
                <c:pt idx="1">
                  <c:v>2019</c:v>
                </c:pt>
                <c:pt idx="2">
                  <c:v>2020</c:v>
                </c:pt>
                <c:pt idx="3">
                  <c:v>2021</c:v>
                </c:pt>
                <c:pt idx="4">
                  <c:v>2022</c:v>
                </c:pt>
              </c:numCache>
            </c:numRef>
          </c:cat>
          <c:val>
            <c:numRef>
              <c:f>Sheet1!$B$2:$B$6</c:f>
              <c:numCache>
                <c:formatCode>0.00</c:formatCode>
                <c:ptCount val="5"/>
                <c:pt idx="0">
                  <c:v>0.73</c:v>
                </c:pt>
                <c:pt idx="1">
                  <c:v>0.8</c:v>
                </c:pt>
                <c:pt idx="2">
                  <c:v>-0.17</c:v>
                </c:pt>
                <c:pt idx="3">
                  <c:v>1.52</c:v>
                </c:pt>
                <c:pt idx="4">
                  <c:v>1</c:v>
                </c:pt>
              </c:numCache>
            </c:numRef>
          </c:val>
          <c:smooth val="0"/>
          <c:extLst>
            <c:ext xmlns:c16="http://schemas.microsoft.com/office/drawing/2014/chart" uri="{C3380CC4-5D6E-409C-BE32-E72D297353CC}">
              <c16:uniqueId val="{00000002-5D5D-40EB-8B84-10B73A938B2E}"/>
            </c:ext>
          </c:extLst>
        </c:ser>
        <c:ser>
          <c:idx val="1"/>
          <c:order val="1"/>
          <c:tx>
            <c:strRef>
              <c:f>Sheet1!$C$1</c:f>
              <c:strCache>
                <c:ptCount val="1"/>
                <c:pt idx="0">
                  <c:v>February compared to the same period last year</c:v>
                </c:pt>
              </c:strCache>
            </c:strRef>
          </c:tx>
          <c:spPr>
            <a:ln w="19050" cap="rnd">
              <a:solidFill>
                <a:schemeClr val="accent2"/>
              </a:solidFill>
              <a:round/>
            </a:ln>
            <a:effectLst/>
          </c:spPr>
          <c:marker>
            <c:symbol val="diamond"/>
            <c:size val="7"/>
            <c:spPr>
              <a:solidFill>
                <a:schemeClr val="accent2"/>
              </a:solidFill>
              <a:ln>
                <a:noFill/>
              </a:ln>
              <a:effectLst/>
            </c:spPr>
          </c:marker>
          <c:dLbls>
            <c:dLbl>
              <c:idx val="0"/>
              <c:layout>
                <c:manualLayout>
                  <c:x val="-4.2517497812773392E-2"/>
                  <c:y val="-5.72882173512094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5D-40EB-8B84-10B73A938B2E}"/>
                </c:ext>
              </c:extLst>
            </c:dLbl>
            <c:dLbl>
              <c:idx val="3"/>
              <c:layout>
                <c:manualLayout>
                  <c:x val="-1.4739902303878682E-2"/>
                  <c:y val="-3.56665957295878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D5D-40EB-8B84-10B73A938B2E}"/>
                </c:ext>
              </c:extLst>
            </c:dLbl>
            <c:dLbl>
              <c:idx val="4"/>
              <c:layout>
                <c:manualLayout>
                  <c:x val="-7.7952755905511808E-3"/>
                  <c:y val="-6.837766900759026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5D-40EB-8B84-10B73A938B2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w="12700">
                      <a:solidFill>
                        <a:schemeClr val="accent2">
                          <a:lumMod val="75000"/>
                        </a:schemeClr>
                      </a:solidFill>
                    </a:ln>
                    <a:solidFill>
                      <a:schemeClr val="accent2">
                        <a:lumMod val="75000"/>
                      </a:schemeClr>
                    </a:solidFill>
                    <a:latin typeface="Arial" panose="020B0604020202020204" pitchFamily="34" charset="0"/>
                    <a:ea typeface="+mn-ea"/>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2018</c:v>
                </c:pt>
                <c:pt idx="1">
                  <c:v>2019</c:v>
                </c:pt>
                <c:pt idx="2">
                  <c:v>2020</c:v>
                </c:pt>
                <c:pt idx="3">
                  <c:v>2021</c:v>
                </c:pt>
                <c:pt idx="4">
                  <c:v>2022</c:v>
                </c:pt>
              </c:numCache>
            </c:numRef>
          </c:cat>
          <c:val>
            <c:numRef>
              <c:f>Sheet1!$C$2:$C$6</c:f>
              <c:numCache>
                <c:formatCode>0.00</c:formatCode>
                <c:ptCount val="5"/>
                <c:pt idx="0">
                  <c:v>3.15</c:v>
                </c:pt>
                <c:pt idx="1">
                  <c:v>2.64</c:v>
                </c:pt>
                <c:pt idx="2">
                  <c:v>5.4</c:v>
                </c:pt>
                <c:pt idx="3">
                  <c:v>0.7</c:v>
                </c:pt>
                <c:pt idx="4">
                  <c:v>1.42</c:v>
                </c:pt>
              </c:numCache>
            </c:numRef>
          </c:val>
          <c:smooth val="0"/>
          <c:extLst>
            <c:ext xmlns:c16="http://schemas.microsoft.com/office/drawing/2014/chart" uri="{C3380CC4-5D6E-409C-BE32-E72D297353CC}">
              <c16:uniqueId val="{00000006-5D5D-40EB-8B84-10B73A938B2E}"/>
            </c:ext>
          </c:extLst>
        </c:ser>
        <c:ser>
          <c:idx val="2"/>
          <c:order val="2"/>
          <c:tx>
            <c:strRef>
              <c:f>Sheet1!$D$1</c:f>
              <c:strCache>
                <c:ptCount val="1"/>
                <c:pt idx="0">
                  <c:v>Average 2 months compared to the same period last year</c:v>
                </c:pt>
              </c:strCache>
            </c:strRef>
          </c:tx>
          <c:spPr>
            <a:ln w="19050" cap="rnd">
              <a:solidFill>
                <a:schemeClr val="accent3"/>
              </a:solidFill>
              <a:round/>
            </a:ln>
            <a:effectLst/>
          </c:spPr>
          <c:marker>
            <c:symbol val="circle"/>
            <c:size val="6"/>
            <c:spPr>
              <a:solidFill>
                <a:schemeClr val="accent3"/>
              </a:solidFill>
              <a:ln>
                <a:noFill/>
              </a:ln>
              <a:effectLst/>
            </c:spPr>
          </c:marker>
          <c:dLbls>
            <c:dLbl>
              <c:idx val="0"/>
              <c:layout>
                <c:manualLayout>
                  <c:x val="-3.9045275590551168E-2"/>
                  <c:y val="4.82792083422004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D5D-40EB-8B84-10B73A938B2E}"/>
                </c:ext>
              </c:extLst>
            </c:dLbl>
            <c:dLbl>
              <c:idx val="3"/>
              <c:layout>
                <c:manualLayout>
                  <c:x val="-4.4901757072032665E-2"/>
                  <c:y val="4.82792083422004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D5D-40EB-8B84-10B73A938B2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w="12700">
                      <a:solidFill>
                        <a:schemeClr val="accent3">
                          <a:lumMod val="75000"/>
                        </a:schemeClr>
                      </a:solidFill>
                    </a:ln>
                    <a:solidFill>
                      <a:schemeClr val="accent3">
                        <a:lumMod val="7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2018</c:v>
                </c:pt>
                <c:pt idx="1">
                  <c:v>2019</c:v>
                </c:pt>
                <c:pt idx="2">
                  <c:v>2020</c:v>
                </c:pt>
                <c:pt idx="3">
                  <c:v>2021</c:v>
                </c:pt>
                <c:pt idx="4">
                  <c:v>2022</c:v>
                </c:pt>
              </c:numCache>
            </c:numRef>
          </c:cat>
          <c:val>
            <c:numRef>
              <c:f>Sheet1!$D$2:$D$6</c:f>
              <c:numCache>
                <c:formatCode>0.00</c:formatCode>
                <c:ptCount val="5"/>
                <c:pt idx="0">
                  <c:v>2.9</c:v>
                </c:pt>
                <c:pt idx="1">
                  <c:v>2.6</c:v>
                </c:pt>
                <c:pt idx="2">
                  <c:v>5.91</c:v>
                </c:pt>
                <c:pt idx="3">
                  <c:v>-0.14000000000000001</c:v>
                </c:pt>
                <c:pt idx="4">
                  <c:v>1.68</c:v>
                </c:pt>
              </c:numCache>
            </c:numRef>
          </c:val>
          <c:smooth val="0"/>
          <c:extLst>
            <c:ext xmlns:c16="http://schemas.microsoft.com/office/drawing/2014/chart" uri="{C3380CC4-5D6E-409C-BE32-E72D297353CC}">
              <c16:uniqueId val="{00000009-5D5D-40EB-8B84-10B73A938B2E}"/>
            </c:ext>
          </c:extLst>
        </c:ser>
        <c:dLbls>
          <c:dLblPos val="ctr"/>
          <c:showLegendKey val="0"/>
          <c:showVal val="1"/>
          <c:showCatName val="0"/>
          <c:showSerName val="0"/>
          <c:showPercent val="0"/>
          <c:showBubbleSize val="0"/>
        </c:dLbls>
        <c:marker val="1"/>
        <c:smooth val="0"/>
        <c:axId val="239081728"/>
        <c:axId val="239466368"/>
      </c:lineChart>
      <c:catAx>
        <c:axId val="23908172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cap="none" spc="0" normalizeH="0" baseline="0">
                <a:solidFill>
                  <a:schemeClr val="tx1">
                    <a:lumMod val="65000"/>
                    <a:lumOff val="35000"/>
                  </a:schemeClr>
                </a:solidFill>
                <a:latin typeface="+mn-lt"/>
                <a:ea typeface="+mn-ea"/>
                <a:cs typeface="+mn-cs"/>
              </a:defRPr>
            </a:pPr>
            <a:endParaRPr lang="en-US"/>
          </a:p>
        </c:txPr>
        <c:crossAx val="239466368"/>
        <c:crosses val="autoZero"/>
        <c:auto val="1"/>
        <c:lblAlgn val="ctr"/>
        <c:lblOffset val="100"/>
        <c:noMultiLvlLbl val="0"/>
      </c:catAx>
      <c:valAx>
        <c:axId val="23946636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239081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0.53819</cdr:x>
      <cdr:y>0.06713</cdr:y>
    </cdr:from>
    <cdr:to>
      <cdr:x>0.67062</cdr:x>
      <cdr:y>0.15142</cdr:y>
    </cdr:to>
    <cdr:sp macro="" textlink="">
      <cdr:nvSpPr>
        <cdr:cNvPr id="2" name="Text Box 2">
          <a:extLst xmlns:a="http://schemas.openxmlformats.org/drawingml/2006/main">
            <a:ext uri="{FF2B5EF4-FFF2-40B4-BE49-F238E27FC236}">
              <a16:creationId xmlns:a16="http://schemas.microsoft.com/office/drawing/2014/main" id="{E7AB5CF4-4D74-4CCF-B6D8-B872B58EDEDE}"/>
            </a:ext>
          </a:extLst>
        </cdr:cNvPr>
        <cdr:cNvSpPr txBox="1">
          <a:spLocks xmlns:a="http://schemas.openxmlformats.org/drawingml/2006/main" noChangeArrowheads="1"/>
        </cdr:cNvSpPr>
      </cdr:nvSpPr>
      <cdr:spPr bwMode="auto">
        <a:xfrm xmlns:a="http://schemas.openxmlformats.org/drawingml/2006/main">
          <a:off x="2460605" y="184151"/>
          <a:ext cx="605470" cy="23121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900" b="1">
              <a:effectLst/>
              <a:latin typeface="Arial" panose="020B0604020202020204" pitchFamily="34" charset="0"/>
              <a:ea typeface="Times New Roman" panose="02020603050405020304" pitchFamily="18" charset="0"/>
              <a:cs typeface="Arial" panose="020B0604020202020204" pitchFamily="34" charset="0"/>
            </a:rPr>
            <a:t>5.0</a:t>
          </a:r>
          <a:endParaRPr lang="en-US" sz="9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0.59028</cdr:x>
      <cdr:y>0.19925</cdr:y>
    </cdr:from>
    <cdr:to>
      <cdr:x>0.72271</cdr:x>
      <cdr:y>0.28354</cdr:y>
    </cdr:to>
    <cdr:sp macro="" textlink="">
      <cdr:nvSpPr>
        <cdr:cNvPr id="3" name="Text Box 2">
          <a:extLst xmlns:a="http://schemas.openxmlformats.org/drawingml/2006/main">
            <a:ext uri="{FF2B5EF4-FFF2-40B4-BE49-F238E27FC236}">
              <a16:creationId xmlns:a16="http://schemas.microsoft.com/office/drawing/2014/main" id="{E7AB5CF4-4D74-4CCF-B6D8-B872B58EDEDE}"/>
            </a:ext>
          </a:extLst>
        </cdr:cNvPr>
        <cdr:cNvSpPr txBox="1">
          <a:spLocks xmlns:a="http://schemas.openxmlformats.org/drawingml/2006/main" noChangeArrowheads="1"/>
        </cdr:cNvSpPr>
      </cdr:nvSpPr>
      <cdr:spPr bwMode="auto">
        <a:xfrm xmlns:a="http://schemas.openxmlformats.org/drawingml/2006/main">
          <a:off x="3258378" y="673120"/>
          <a:ext cx="731021" cy="28474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900" b="1">
              <a:effectLst/>
              <a:latin typeface="Arial" panose="020B0604020202020204" pitchFamily="34" charset="0"/>
              <a:ea typeface="Times New Roman" panose="02020603050405020304" pitchFamily="18" charset="0"/>
              <a:cs typeface="Arial" panose="020B0604020202020204" pitchFamily="34" charset="0"/>
            </a:rPr>
            <a:t>5.46</a:t>
          </a:r>
          <a:endParaRPr lang="en-US" sz="9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0.67861</cdr:x>
      <cdr:y>0.3364</cdr:y>
    </cdr:from>
    <cdr:to>
      <cdr:x>0.81104</cdr:x>
      <cdr:y>0.42069</cdr:y>
    </cdr:to>
    <cdr:sp macro="" textlink="">
      <cdr:nvSpPr>
        <cdr:cNvPr id="4" name="Text Box 2">
          <a:extLst xmlns:a="http://schemas.openxmlformats.org/drawingml/2006/main">
            <a:ext uri="{FF2B5EF4-FFF2-40B4-BE49-F238E27FC236}">
              <a16:creationId xmlns:a16="http://schemas.microsoft.com/office/drawing/2014/main" id="{E7AB5CF4-4D74-4CCF-B6D8-B872B58EDEDE}"/>
            </a:ext>
          </a:extLst>
        </cdr:cNvPr>
        <cdr:cNvSpPr txBox="1">
          <a:spLocks xmlns:a="http://schemas.openxmlformats.org/drawingml/2006/main" noChangeArrowheads="1"/>
        </cdr:cNvSpPr>
      </cdr:nvSpPr>
      <cdr:spPr bwMode="auto">
        <a:xfrm xmlns:a="http://schemas.openxmlformats.org/drawingml/2006/main">
          <a:off x="3745965" y="1136427"/>
          <a:ext cx="731020" cy="28474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900" b="1">
              <a:effectLst/>
              <a:latin typeface="Arial" panose="020B0604020202020204" pitchFamily="34" charset="0"/>
              <a:ea typeface="Times New Roman" panose="02020603050405020304" pitchFamily="18" charset="0"/>
              <a:cs typeface="Arial" panose="020B0604020202020204" pitchFamily="34" charset="0"/>
            </a:rPr>
            <a:t>6.47</a:t>
          </a:r>
          <a:endParaRPr lang="en-US" sz="9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0.86757</cdr:x>
      <cdr:y>0.47894</cdr:y>
    </cdr:from>
    <cdr:to>
      <cdr:x>1</cdr:x>
      <cdr:y>0.56323</cdr:y>
    </cdr:to>
    <cdr:sp macro="" textlink="">
      <cdr:nvSpPr>
        <cdr:cNvPr id="5" name="Text Box 2">
          <a:extLst xmlns:a="http://schemas.openxmlformats.org/drawingml/2006/main">
            <a:ext uri="{FF2B5EF4-FFF2-40B4-BE49-F238E27FC236}">
              <a16:creationId xmlns:a16="http://schemas.microsoft.com/office/drawing/2014/main" id="{E7AB5CF4-4D74-4CCF-B6D8-B872B58EDEDE}"/>
            </a:ext>
          </a:extLst>
        </cdr:cNvPr>
        <cdr:cNvSpPr txBox="1">
          <a:spLocks xmlns:a="http://schemas.openxmlformats.org/drawingml/2006/main" noChangeArrowheads="1"/>
        </cdr:cNvSpPr>
      </cdr:nvSpPr>
      <cdr:spPr bwMode="auto">
        <a:xfrm xmlns:a="http://schemas.openxmlformats.org/drawingml/2006/main">
          <a:off x="4789034" y="1617969"/>
          <a:ext cx="731021" cy="28474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900" b="1">
              <a:effectLst/>
              <a:latin typeface="Arial" panose="020B0604020202020204" pitchFamily="34" charset="0"/>
              <a:ea typeface="Times New Roman" panose="02020603050405020304" pitchFamily="18" charset="0"/>
              <a:cs typeface="Arial" panose="020B0604020202020204" pitchFamily="34" charset="0"/>
            </a:rPr>
            <a:t>8.47</a:t>
          </a:r>
          <a:endParaRPr lang="en-US" sz="9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0.37956</cdr:x>
      <cdr:y>0.60745</cdr:y>
    </cdr:from>
    <cdr:to>
      <cdr:x>0.51199</cdr:x>
      <cdr:y>0.69174</cdr:y>
    </cdr:to>
    <cdr:sp macro="" textlink="">
      <cdr:nvSpPr>
        <cdr:cNvPr id="6" name="Text Box 2">
          <a:extLst xmlns:a="http://schemas.openxmlformats.org/drawingml/2006/main">
            <a:ext uri="{FF2B5EF4-FFF2-40B4-BE49-F238E27FC236}">
              <a16:creationId xmlns:a16="http://schemas.microsoft.com/office/drawing/2014/main" id="{E7AB5CF4-4D74-4CCF-B6D8-B872B58EDEDE}"/>
            </a:ext>
          </a:extLst>
        </cdr:cNvPr>
        <cdr:cNvSpPr txBox="1">
          <a:spLocks xmlns:a="http://schemas.openxmlformats.org/drawingml/2006/main" noChangeArrowheads="1"/>
        </cdr:cNvSpPr>
      </cdr:nvSpPr>
      <cdr:spPr bwMode="auto">
        <a:xfrm xmlns:a="http://schemas.openxmlformats.org/drawingml/2006/main">
          <a:off x="2095219" y="2052073"/>
          <a:ext cx="731021" cy="28474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900" b="1">
              <a:effectLst/>
              <a:latin typeface="Arial" panose="020B0604020202020204" pitchFamily="34" charset="0"/>
              <a:ea typeface="Times New Roman" panose="02020603050405020304" pitchFamily="18" charset="0"/>
              <a:cs typeface="Arial" panose="020B0604020202020204" pitchFamily="34" charset="0"/>
            </a:rPr>
            <a:t>3.34</a:t>
          </a:r>
          <a:endParaRPr lang="en-US" sz="9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9BC05-74D8-4D25-9A5D-756C35E27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4294960611</TotalTime>
  <Pages>29</Pages>
  <Words>7975</Words>
  <Characters>45464</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TKTH-TCTK</Company>
  <LinksUpToDate>false</LinksUpToDate>
  <CharactersWithSpaces>53333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dtthuy</dc:creator>
  <cp:keywords/>
  <cp:lastModifiedBy>Dương Thùy</cp:lastModifiedBy>
  <cp:revision>413</cp:revision>
  <cp:lastPrinted>2022-02-28T01:58:00Z</cp:lastPrinted>
  <dcterms:created xsi:type="dcterms:W3CDTF">2022-03-04T08:30:00Z</dcterms:created>
  <dcterms:modified xsi:type="dcterms:W3CDTF">2022-03-09T07:13:00Z</dcterms:modified>
</cp:coreProperties>
</file>