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1117CD" w:rsidRPr="00974B69" w14:paraId="76A30862" w14:textId="77777777" w:rsidTr="000F4C80">
        <w:trPr>
          <w:trHeight w:val="1026"/>
        </w:trPr>
        <w:tc>
          <w:tcPr>
            <w:tcW w:w="5490" w:type="dxa"/>
          </w:tcPr>
          <w:p w14:paraId="6273A8A5" w14:textId="77777777" w:rsidR="001117CD" w:rsidRDefault="001117CD" w:rsidP="000F4C80">
            <w:pPr>
              <w:spacing w:after="0"/>
              <w:ind w:left="72" w:right="-115"/>
              <w:jc w:val="center"/>
              <w:rPr>
                <w:rFonts w:ascii="Times New Roman" w:hAnsi="Times New Roman" w:cs="Times New Roman"/>
                <w:spacing w:val="-6"/>
                <w:sz w:val="24"/>
                <w:szCs w:val="24"/>
              </w:rPr>
            </w:pP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t>MINISTRY OF PLANNING AND INVESTMENT</w:t>
            </w:r>
          </w:p>
          <w:p w14:paraId="0A19BC3A" w14:textId="7C81B302" w:rsidR="001117CD" w:rsidRPr="00974B69" w:rsidRDefault="00301E9C" w:rsidP="000F4C80">
            <w:pPr>
              <w:spacing w:after="0"/>
              <w:ind w:left="72" w:right="-115"/>
              <w:jc w:val="center"/>
              <w:rPr>
                <w:rFonts w:ascii="Times New Roman" w:hAnsi="Times New Roman" w:cs="Times New Roman"/>
                <w:b/>
                <w:bCs/>
                <w:spacing w:val="-6"/>
                <w:sz w:val="24"/>
                <w:szCs w:val="24"/>
              </w:rPr>
            </w:pPr>
            <w:r>
              <w:rPr>
                <w:noProof/>
              </w:rPr>
              <w:pict w14:anchorId="15731F3A">
                <v:line id="Straight Connector 3" o:spid="_x0000_s1035" style="position:absolute;left:0;text-align:left;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w:r>
            <w:r w:rsidR="001117CD" w:rsidRPr="00974B69">
              <w:rPr>
                <w:rFonts w:ascii="Times New Roman" w:hAnsi="Times New Roman" w:cs="Times New Roman"/>
                <w:b/>
                <w:bCs/>
                <w:spacing w:val="-6"/>
                <w:sz w:val="24"/>
                <w:szCs w:val="24"/>
              </w:rPr>
              <w:t>GENERAL STATISTICS OFFICE</w:t>
            </w:r>
          </w:p>
          <w:p w14:paraId="1856C155" w14:textId="77777777" w:rsidR="001117CD" w:rsidRDefault="001117CD" w:rsidP="000F4C80">
            <w:pPr>
              <w:spacing w:before="120" w:after="0" w:line="240" w:lineRule="auto"/>
              <w:ind w:left="16" w:right="-18"/>
              <w:jc w:val="center"/>
              <w:rPr>
                <w:rFonts w:ascii="Times New Roman" w:hAnsi="Times New Roman" w:cs="Times New Roman"/>
                <w:sz w:val="26"/>
                <w:szCs w:val="26"/>
              </w:rPr>
            </w:pPr>
          </w:p>
          <w:p w14:paraId="53439F90" w14:textId="77777777" w:rsidR="001117CD" w:rsidRPr="00974B69" w:rsidRDefault="001117CD" w:rsidP="000F4C80">
            <w:pPr>
              <w:spacing w:before="120" w:after="0" w:line="240" w:lineRule="auto"/>
              <w:ind w:left="16" w:right="-18"/>
              <w:jc w:val="center"/>
              <w:rPr>
                <w:rFonts w:ascii="Times New Roman" w:hAnsi="Times New Roman" w:cs="Times New Roman"/>
                <w:sz w:val="26"/>
                <w:szCs w:val="26"/>
                <w:lang w:val="vi-VN"/>
              </w:rPr>
            </w:pPr>
            <w:r w:rsidRPr="00974B69">
              <w:rPr>
                <w:rFonts w:ascii="Times New Roman" w:hAnsi="Times New Roman" w:cs="Times New Roman"/>
                <w:sz w:val="26"/>
                <w:szCs w:val="26"/>
              </w:rPr>
              <w:t xml:space="preserve">No: </w:t>
            </w:r>
            <w:r>
              <w:rPr>
                <w:rFonts w:ascii="Times New Roman" w:hAnsi="Times New Roman" w:cs="Times New Roman"/>
                <w:sz w:val="26"/>
                <w:szCs w:val="26"/>
              </w:rPr>
              <w:t>86</w:t>
            </w:r>
            <w:r w:rsidRPr="00974B69">
              <w:rPr>
                <w:rFonts w:ascii="Times New Roman" w:hAnsi="Times New Roman" w:cs="Times New Roman"/>
                <w:sz w:val="26"/>
                <w:szCs w:val="26"/>
              </w:rPr>
              <w:t>/BC-TCT</w:t>
            </w:r>
            <w:r w:rsidRPr="00974B69">
              <w:rPr>
                <w:rFonts w:ascii="Times New Roman" w:hAnsi="Times New Roman" w:cs="Times New Roman"/>
                <w:sz w:val="26"/>
                <w:szCs w:val="26"/>
                <w:lang w:val="vi-VN"/>
              </w:rPr>
              <w:t>K</w:t>
            </w:r>
          </w:p>
        </w:tc>
        <w:tc>
          <w:tcPr>
            <w:tcW w:w="5220" w:type="dxa"/>
          </w:tcPr>
          <w:p w14:paraId="644D2E4D" w14:textId="77777777" w:rsidR="001117CD" w:rsidRPr="00974B69" w:rsidRDefault="001117CD" w:rsidP="000F4C80">
            <w:pPr>
              <w:spacing w:after="0"/>
              <w:rPr>
                <w:rFonts w:ascii="Times New Roman" w:hAnsi="Times New Roman" w:cs="Times New Roman"/>
                <w:b/>
                <w:bCs/>
                <w:sz w:val="24"/>
                <w:szCs w:val="24"/>
              </w:rPr>
            </w:pPr>
            <w:r w:rsidRPr="00974B69">
              <w:rPr>
                <w:rFonts w:ascii="Times New Roman" w:hAnsi="Times New Roman" w:cs="Times New Roman"/>
                <w:b/>
                <w:bCs/>
                <w:sz w:val="24"/>
                <w:szCs w:val="24"/>
              </w:rPr>
              <w:t>SOCIALIST REPUBLIC OF VIET NAM</w:t>
            </w:r>
          </w:p>
          <w:p w14:paraId="7FF63BC0" w14:textId="00E35B83" w:rsidR="001117CD" w:rsidRPr="00974B69" w:rsidRDefault="00301E9C" w:rsidP="000F4C80">
            <w:pPr>
              <w:spacing w:after="0"/>
              <w:rPr>
                <w:rFonts w:ascii="Times New Roman" w:hAnsi="Times New Roman" w:cs="Times New Roman"/>
                <w:b/>
                <w:bCs/>
                <w:sz w:val="24"/>
                <w:szCs w:val="24"/>
              </w:rPr>
            </w:pPr>
            <w:r>
              <w:rPr>
                <w:noProof/>
              </w:rPr>
              <w:pict w14:anchorId="4335C56A">
                <v:line id="Straight Connector 11" o:spid="_x0000_s1034"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w:r>
            <w:r w:rsidR="001117CD" w:rsidRPr="00974B69">
              <w:rPr>
                <w:rFonts w:ascii="Times New Roman" w:hAnsi="Times New Roman" w:cs="Times New Roman"/>
                <w:b/>
                <w:bCs/>
                <w:sz w:val="24"/>
                <w:szCs w:val="24"/>
              </w:rPr>
              <w:t>Independence-Freedom-Happiness</w:t>
            </w:r>
          </w:p>
          <w:p w14:paraId="245F37A7" w14:textId="77777777" w:rsidR="001117CD" w:rsidRDefault="001117CD" w:rsidP="000F4C80">
            <w:pPr>
              <w:ind w:left="72"/>
              <w:jc w:val="center"/>
              <w:rPr>
                <w:rFonts w:ascii="Times New Roman" w:hAnsi="Times New Roman" w:cs="Times New Roman"/>
                <w:i/>
                <w:iCs/>
                <w:sz w:val="26"/>
                <w:szCs w:val="26"/>
              </w:rPr>
            </w:pPr>
          </w:p>
          <w:p w14:paraId="73E6C1BB" w14:textId="77777777" w:rsidR="001117CD" w:rsidRPr="00974B69" w:rsidRDefault="001117CD" w:rsidP="000F4C80">
            <w:pPr>
              <w:ind w:left="72" w:right="849"/>
              <w:jc w:val="center"/>
              <w:rPr>
                <w:rFonts w:ascii="Times New Roman" w:hAnsi="Times New Roman" w:cs="Times New Roman"/>
                <w:b/>
                <w:bCs/>
                <w:i/>
                <w:iCs/>
                <w:sz w:val="26"/>
                <w:szCs w:val="26"/>
              </w:rPr>
            </w:pPr>
            <w:r w:rsidRPr="00974B69">
              <w:rPr>
                <w:rFonts w:ascii="Times New Roman" w:hAnsi="Times New Roman" w:cs="Times New Roman"/>
                <w:i/>
                <w:iCs/>
                <w:sz w:val="26"/>
                <w:szCs w:val="26"/>
              </w:rPr>
              <w:t>Ha Noi, 29</w:t>
            </w:r>
            <w:r w:rsidRPr="00974B69">
              <w:rPr>
                <w:rFonts w:ascii="Times New Roman" w:hAnsi="Times New Roman" w:cs="Times New Roman"/>
                <w:i/>
                <w:iCs/>
                <w:sz w:val="26"/>
                <w:szCs w:val="26"/>
                <w:vertAlign w:val="superscript"/>
              </w:rPr>
              <w:t>th</w:t>
            </w:r>
            <w:r w:rsidRPr="00974B69">
              <w:rPr>
                <w:rFonts w:ascii="Times New Roman" w:hAnsi="Times New Roman" w:cs="Times New Roman"/>
                <w:i/>
                <w:iCs/>
                <w:sz w:val="26"/>
                <w:szCs w:val="26"/>
              </w:rPr>
              <w:t xml:space="preserve"> </w:t>
            </w:r>
            <w:r>
              <w:rPr>
                <w:rFonts w:ascii="Times New Roman" w:hAnsi="Times New Roman" w:cs="Times New Roman"/>
                <w:i/>
                <w:iCs/>
                <w:sz w:val="26"/>
                <w:szCs w:val="26"/>
              </w:rPr>
              <w:t>April</w:t>
            </w:r>
            <w:r w:rsidRPr="00974B69">
              <w:rPr>
                <w:rFonts w:ascii="Times New Roman" w:hAnsi="Times New Roman" w:cs="Times New Roman"/>
                <w:i/>
                <w:iCs/>
                <w:sz w:val="26"/>
                <w:szCs w:val="26"/>
              </w:rPr>
              <w:t xml:space="preserve"> 202</w:t>
            </w:r>
            <w:r>
              <w:rPr>
                <w:rFonts w:ascii="Times New Roman" w:hAnsi="Times New Roman" w:cs="Times New Roman"/>
                <w:i/>
                <w:iCs/>
                <w:sz w:val="26"/>
                <w:szCs w:val="26"/>
              </w:rPr>
              <w:t>2</w:t>
            </w:r>
          </w:p>
        </w:tc>
      </w:tr>
    </w:tbl>
    <w:p w14:paraId="219210E1" w14:textId="77777777" w:rsidR="005B4899" w:rsidRPr="009A34F6" w:rsidRDefault="005B4899" w:rsidP="00981B36">
      <w:pPr>
        <w:spacing w:before="120" w:after="40" w:line="240" w:lineRule="auto"/>
        <w:jc w:val="center"/>
        <w:rPr>
          <w:rFonts w:ascii=".VnArialH" w:hAnsi=".VnArialH" w:cs=".VnArialH"/>
          <w:b/>
          <w:bCs/>
          <w:sz w:val="12"/>
          <w:szCs w:val="18"/>
          <w:lang w:val="pt-BR"/>
        </w:rPr>
      </w:pPr>
    </w:p>
    <w:p w14:paraId="6E1EB11C" w14:textId="77777777" w:rsidR="001117CD" w:rsidRDefault="001117CD" w:rsidP="001117CD">
      <w:pPr>
        <w:spacing w:after="0" w:line="245" w:lineRule="auto"/>
        <w:jc w:val="center"/>
        <w:rPr>
          <w:rFonts w:ascii="Times New Roman" w:hAnsi="Times New Roman" w:cs="Times New Roman"/>
          <w:b/>
          <w:bCs/>
          <w:sz w:val="32"/>
          <w:szCs w:val="32"/>
          <w:lang w:val="pt-BR"/>
        </w:rPr>
      </w:pPr>
      <w:r w:rsidRPr="006D7720">
        <w:rPr>
          <w:rFonts w:ascii="Times New Roman" w:hAnsi="Times New Roman" w:cs="Times New Roman"/>
          <w:b/>
          <w:bCs/>
          <w:sz w:val="32"/>
          <w:szCs w:val="32"/>
          <w:lang w:val="pt-BR"/>
        </w:rPr>
        <w:t xml:space="preserve">Socio-economic situation report </w:t>
      </w:r>
      <w:r>
        <w:rPr>
          <w:rFonts w:ascii="Times New Roman" w:hAnsi="Times New Roman" w:cs="Times New Roman"/>
          <w:b/>
          <w:bCs/>
          <w:sz w:val="32"/>
          <w:szCs w:val="32"/>
          <w:lang w:val="pt-BR"/>
        </w:rPr>
        <w:t xml:space="preserve">in April and </w:t>
      </w:r>
    </w:p>
    <w:p w14:paraId="2A7D64ED" w14:textId="77777777" w:rsidR="001117CD" w:rsidRPr="00D2474C" w:rsidRDefault="001117CD" w:rsidP="001117CD">
      <w:pPr>
        <w:spacing w:after="0" w:line="245" w:lineRule="auto"/>
        <w:jc w:val="center"/>
        <w:rPr>
          <w:rFonts w:ascii="Times New Roman" w:hAnsi="Times New Roman" w:cs="Times New Roman"/>
          <w:b/>
          <w:bCs/>
          <w:sz w:val="34"/>
          <w:szCs w:val="34"/>
        </w:rPr>
      </w:pPr>
      <w:r>
        <w:rPr>
          <w:rFonts w:ascii="Times New Roman" w:hAnsi="Times New Roman" w:cs="Times New Roman"/>
          <w:b/>
          <w:bCs/>
          <w:sz w:val="32"/>
          <w:szCs w:val="32"/>
          <w:lang w:val="pt-BR"/>
        </w:rPr>
        <w:t>the first 4 months of 2022</w:t>
      </w:r>
    </w:p>
    <w:p w14:paraId="1DD83922" w14:textId="77777777" w:rsidR="002B4590" w:rsidRPr="00366079" w:rsidRDefault="00301E9C" w:rsidP="002B4590">
      <w:pPr>
        <w:spacing w:after="0" w:line="245" w:lineRule="auto"/>
        <w:jc w:val="center"/>
        <w:rPr>
          <w:rFonts w:ascii="Times New Roman" w:hAnsi="Times New Roman" w:cs="Times New Roman"/>
          <w:b/>
          <w:bCs/>
          <w:sz w:val="26"/>
          <w:szCs w:val="34"/>
          <w:lang w:val="pt-BR"/>
        </w:rPr>
      </w:pPr>
      <w:r>
        <w:rPr>
          <w:noProof/>
          <w:sz w:val="14"/>
          <w:lang w:eastAsia="en-GB"/>
        </w:rPr>
        <w:pict w14:anchorId="03EC887D">
          <v:shapetype id="_x0000_t32" coordsize="21600,21600" o:spt="32" o:oned="t" path="m,l21600,21600e" filled="f">
            <v:path arrowok="t" fillok="f" o:connecttype="none"/>
            <o:lock v:ext="edit" shapetype="t"/>
          </v:shapetype>
          <v:shape id="AutoShape 4" o:spid="_x0000_s1031" type="#_x0000_t32" style="position:absolute;left:0;text-align:left;margin-left:171.9pt;margin-top:.95pt;width:109.5pt;height:.75p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"/>
        </w:pict>
      </w:r>
    </w:p>
    <w:p w14:paraId="0B149AAE" w14:textId="77777777" w:rsidR="002B4590" w:rsidRPr="009A34F6" w:rsidRDefault="002B4590" w:rsidP="002B4590">
      <w:pPr>
        <w:spacing w:before="40" w:after="40" w:line="288" w:lineRule="auto"/>
        <w:ind w:firstLine="567"/>
        <w:jc w:val="both"/>
        <w:rPr>
          <w:rFonts w:ascii="Times New Roman" w:hAnsi="Times New Roman" w:cs="Times New Roman"/>
          <w:bCs/>
          <w:sz w:val="4"/>
          <w:szCs w:val="28"/>
          <w:lang w:val="de-DE"/>
        </w:rPr>
      </w:pPr>
    </w:p>
    <w:p w14:paraId="307ECA12" w14:textId="7C34B2D5" w:rsidR="004B7BAF" w:rsidRPr="001D1D1E" w:rsidRDefault="004B7BAF" w:rsidP="00831E77">
      <w:pPr>
        <w:spacing w:before="40" w:after="40"/>
        <w:ind w:firstLine="567"/>
        <w:jc w:val="both"/>
        <w:rPr>
          <w:rFonts w:ascii="Times New Roman" w:hAnsi="Times New Roman" w:cs="Times New Roman"/>
          <w:b/>
          <w:sz w:val="28"/>
          <w:szCs w:val="28"/>
          <w:lang w:val="fr-FR"/>
        </w:rPr>
      </w:pPr>
      <w:r w:rsidRPr="001D1D1E">
        <w:rPr>
          <w:rFonts w:ascii="Times New Roman" w:hAnsi="Times New Roman" w:cs="Times New Roman"/>
          <w:b/>
          <w:sz w:val="28"/>
          <w:szCs w:val="28"/>
          <w:lang w:val="fr-FR"/>
        </w:rPr>
        <w:t xml:space="preserve">1. </w:t>
      </w:r>
      <w:r w:rsidR="00382379" w:rsidRPr="006211FF">
        <w:rPr>
          <w:rFonts w:ascii="Times New Roman" w:hAnsi="Times New Roman" w:cs="Times New Roman"/>
          <w:b/>
          <w:sz w:val="28"/>
          <w:szCs w:val="28"/>
          <w:lang w:val="fr-FR"/>
        </w:rPr>
        <w:t>Agriculture, forestry</w:t>
      </w:r>
      <w:r w:rsidR="00382379">
        <w:rPr>
          <w:rFonts w:ascii="Times New Roman" w:hAnsi="Times New Roman" w:cs="Times New Roman"/>
          <w:b/>
          <w:sz w:val="28"/>
          <w:szCs w:val="28"/>
          <w:lang w:val="fr-FR"/>
        </w:rPr>
        <w:t>,</w:t>
      </w:r>
      <w:r w:rsidR="00382379" w:rsidRPr="006211FF">
        <w:rPr>
          <w:rFonts w:ascii="Times New Roman" w:hAnsi="Times New Roman" w:cs="Times New Roman"/>
          <w:b/>
          <w:sz w:val="28"/>
          <w:szCs w:val="28"/>
          <w:lang w:val="fr-FR"/>
        </w:rPr>
        <w:t xml:space="preserve"> and</w:t>
      </w:r>
      <w:r w:rsidR="00382379">
        <w:rPr>
          <w:rFonts w:ascii="Times New Roman" w:hAnsi="Times New Roman" w:cs="Times New Roman"/>
          <w:b/>
          <w:sz w:val="28"/>
          <w:szCs w:val="28"/>
          <w:lang w:val="fr-FR"/>
        </w:rPr>
        <w:t xml:space="preserve"> fishery</w:t>
      </w:r>
    </w:p>
    <w:p w14:paraId="5B969D68" w14:textId="77777777" w:rsidR="0030651C" w:rsidRDefault="00D71DC0" w:rsidP="0030651C">
      <w:pPr>
        <w:spacing w:before="40" w:after="40"/>
        <w:ind w:firstLine="567"/>
        <w:jc w:val="both"/>
        <w:rPr>
          <w:rFonts w:ascii="Times New Roman" w:hAnsi="Times New Roman" w:cs="Times New Roman"/>
          <w:i/>
          <w:iCs/>
          <w:sz w:val="28"/>
          <w:szCs w:val="28"/>
          <w:lang w:val="pt-BR"/>
        </w:rPr>
      </w:pPr>
      <w:r w:rsidRPr="00D71DC0">
        <w:rPr>
          <w:rFonts w:ascii="Times New Roman" w:hAnsi="Times New Roman" w:cs="Times New Roman"/>
          <w:i/>
          <w:iCs/>
          <w:sz w:val="28"/>
          <w:szCs w:val="28"/>
          <w:lang w:val="pt-BR"/>
        </w:rPr>
        <w:t xml:space="preserve">Agricultural production in April 2022 focuses on taking care of spring crops in the northern localities; harvesting rice, spring crops and planting autumn rice in southern localities. </w:t>
      </w:r>
      <w:r w:rsidR="0030651C" w:rsidRPr="0030651C">
        <w:rPr>
          <w:rFonts w:ascii="Times New Roman" w:hAnsi="Times New Roman" w:cs="Times New Roman"/>
          <w:i/>
          <w:iCs/>
          <w:sz w:val="28"/>
          <w:szCs w:val="28"/>
          <w:lang w:val="pt-BR"/>
        </w:rPr>
        <w:t>Livestock is in recovery but facing difficulties due to the high price of animal feed. The weather in the month was favorable for afforestation, and the newly planted forest area in the whole country increased by 2.9% over the same period last year; timber production reached 1.6 million m3, an increase of 5.9%. Aquaculture was well developed in terms of new stocking and product harvesting. The Covid-19 epidemic has been controlled, so the market for agricultural, forestry, and fishery products has been opened and expanded.</w:t>
      </w:r>
    </w:p>
    <w:p w14:paraId="57424737" w14:textId="294873FE" w:rsidR="00414B36" w:rsidRPr="00FC6273" w:rsidRDefault="00414B36" w:rsidP="0030651C">
      <w:pPr>
        <w:spacing w:before="40" w:after="40"/>
        <w:ind w:firstLine="567"/>
        <w:jc w:val="both"/>
        <w:rPr>
          <w:rFonts w:ascii="Times New Roman" w:hAnsi="Times New Roman" w:cs="Times New Roman"/>
          <w:b/>
          <w:bCs/>
          <w:i/>
          <w:sz w:val="28"/>
          <w:szCs w:val="28"/>
          <w:lang w:val="de-DE"/>
        </w:rPr>
      </w:pPr>
      <w:r w:rsidRPr="00FC6273">
        <w:rPr>
          <w:rFonts w:ascii="Times New Roman" w:hAnsi="Times New Roman" w:cs="Times New Roman"/>
          <w:b/>
          <w:bCs/>
          <w:i/>
          <w:sz w:val="28"/>
          <w:szCs w:val="28"/>
          <w:lang w:val="de-DE"/>
        </w:rPr>
        <w:t>Agriculture</w:t>
      </w:r>
    </w:p>
    <w:p w14:paraId="026B7121" w14:textId="77777777" w:rsidR="00544C81" w:rsidRDefault="00544C81" w:rsidP="00831E77">
      <w:pPr>
        <w:spacing w:before="40" w:after="40"/>
        <w:ind w:firstLine="567"/>
        <w:jc w:val="both"/>
        <w:rPr>
          <w:rFonts w:ascii="Times New Roman" w:hAnsi="Times New Roman" w:cs="Times New Roman"/>
          <w:i/>
          <w:sz w:val="28"/>
          <w:szCs w:val="28"/>
          <w:lang w:val="pt-BR"/>
        </w:rPr>
      </w:pPr>
      <w:r w:rsidRPr="00544C81">
        <w:rPr>
          <w:rFonts w:ascii="Times New Roman" w:hAnsi="Times New Roman" w:cs="Times New Roman"/>
          <w:i/>
          <w:sz w:val="28"/>
          <w:szCs w:val="28"/>
          <w:lang w:val="pt-BR"/>
        </w:rPr>
        <w:t>Spring paddy</w:t>
      </w:r>
    </w:p>
    <w:p w14:paraId="0FBF196A" w14:textId="77777777" w:rsidR="000866FF" w:rsidRPr="000866FF" w:rsidRDefault="000866FF" w:rsidP="000866FF">
      <w:pPr>
        <w:spacing w:before="40" w:after="40"/>
        <w:ind w:firstLine="567"/>
        <w:jc w:val="both"/>
        <w:rPr>
          <w:rFonts w:ascii="Times New Roman" w:hAnsi="Times New Roman" w:cs="Times New Roman"/>
          <w:sz w:val="28"/>
          <w:szCs w:val="28"/>
          <w:lang w:val="pt-BR"/>
        </w:rPr>
      </w:pPr>
      <w:r w:rsidRPr="000866FF">
        <w:rPr>
          <w:rFonts w:ascii="Times New Roman" w:hAnsi="Times New Roman" w:cs="Times New Roman"/>
          <w:sz w:val="28"/>
          <w:szCs w:val="28"/>
          <w:lang w:val="pt-BR"/>
        </w:rPr>
        <w:t>As of April 15, the whole country cultivated 2,990.5 thousand hectares of spring rice, equalling 99.5% of the same period last year, of which: Northern localities planted 1,077.9 thousand hectares, equalling 99. 3%; the southern localities planted 1,912.6 thousand ha, equalling 99.6%.</w:t>
      </w:r>
    </w:p>
    <w:p w14:paraId="4C47C17B" w14:textId="77777777" w:rsidR="000866FF" w:rsidRDefault="000866FF" w:rsidP="000866FF">
      <w:pPr>
        <w:spacing w:before="40" w:after="40"/>
        <w:ind w:firstLine="567"/>
        <w:jc w:val="both"/>
        <w:rPr>
          <w:rFonts w:ascii="Times New Roman" w:hAnsi="Times New Roman" w:cs="Times New Roman"/>
          <w:sz w:val="28"/>
          <w:szCs w:val="28"/>
          <w:lang w:val="pt-BR"/>
        </w:rPr>
      </w:pPr>
      <w:r w:rsidRPr="000866FF">
        <w:rPr>
          <w:rFonts w:ascii="Times New Roman" w:hAnsi="Times New Roman" w:cs="Times New Roman"/>
          <w:sz w:val="28"/>
          <w:szCs w:val="28"/>
          <w:lang w:val="pt-BR"/>
        </w:rPr>
        <w:t>The northern localities have completed the planting of spring rice. Due to good care right from the time of sowing along with favorable weather, spring rice grows well. The Red River Delta region has cultivated 484.5 thousand hectares, equalling 98.5% of the same period last year (down 7.2 thousand hectares), mainly due to the conversion of land use purposes to non-agricultural land and land perennial crops. The Northern Midlands and Mountainous region cultivated 244.1 thousand hectares, equalling 100.3% over the same period last year; the North Central region cultivated 349.3 hectares, equalling 99.7%.</w:t>
      </w:r>
    </w:p>
    <w:p w14:paraId="7309D64F" w14:textId="77777777" w:rsidR="00D6243A" w:rsidRDefault="00D6243A" w:rsidP="009267DB">
      <w:pPr>
        <w:spacing w:before="40" w:after="40"/>
        <w:ind w:firstLine="567"/>
        <w:jc w:val="both"/>
        <w:rPr>
          <w:rFonts w:ascii="Times New Roman" w:hAnsi="Times New Roman" w:cs="Times New Roman"/>
          <w:sz w:val="28"/>
          <w:szCs w:val="28"/>
          <w:lang w:val="pt-BR"/>
        </w:rPr>
      </w:pPr>
      <w:r w:rsidRPr="00D6243A">
        <w:rPr>
          <w:rFonts w:ascii="Times New Roman" w:hAnsi="Times New Roman" w:cs="Times New Roman"/>
          <w:sz w:val="28"/>
          <w:szCs w:val="28"/>
          <w:lang w:val="pt-BR"/>
        </w:rPr>
        <w:t xml:space="preserve">In the South, in the Mekong River Delta, the spring rice cultivation area this year reached 1,506.9 thousand hectares, a decrease of 12.7 thousand hectares compared to the previous year's spring crop, mainly due to the influence of drought and salinity, so the provinces do not sow rice but switch to growing vegetables, fruit trees with higher economic value or aquaculture. Some provinces with a large decrease in spring rice area were: Ben Tre down 10.2 </w:t>
      </w:r>
      <w:r w:rsidRPr="00D6243A">
        <w:rPr>
          <w:rFonts w:ascii="Times New Roman" w:hAnsi="Times New Roman" w:cs="Times New Roman"/>
          <w:sz w:val="28"/>
          <w:szCs w:val="28"/>
          <w:lang w:val="pt-BR"/>
        </w:rPr>
        <w:lastRenderedPageBreak/>
        <w:t>thousand hectares; Dong Thap reduced by 6.8 thousand hectares; Tien Giang decreased by 2.5 thousand hectares. By mid-April, the southern provinces had harvested 1,561.9 thousand hectares of spring rice, accounting for 81.7% of the cultivated area and equalling 104.3% of the same period last year. Of Which, the Mekong River Delta harvested 1,373.5 thousand hectares, accounting for 91.1% of the cultivated area and equalling 103.8% of the same period in 2021.</w:t>
      </w:r>
    </w:p>
    <w:p w14:paraId="21231DB2" w14:textId="77777777" w:rsidR="00BE14DB" w:rsidRDefault="00BE14DB" w:rsidP="002F2C69">
      <w:pPr>
        <w:spacing w:before="40" w:after="40" w:line="300" w:lineRule="auto"/>
        <w:ind w:firstLine="567"/>
        <w:jc w:val="both"/>
        <w:rPr>
          <w:rFonts w:ascii="Times New Roman" w:hAnsi="Times New Roman" w:cs="Times New Roman"/>
          <w:sz w:val="28"/>
          <w:szCs w:val="28"/>
          <w:lang w:val="pt-BR"/>
        </w:rPr>
      </w:pPr>
      <w:r w:rsidRPr="00BE14DB">
        <w:rPr>
          <w:rFonts w:ascii="Times New Roman" w:hAnsi="Times New Roman" w:cs="Times New Roman"/>
          <w:sz w:val="28"/>
          <w:szCs w:val="28"/>
          <w:lang w:val="pt-BR"/>
        </w:rPr>
        <w:t>However, due to the influence of unseasonal rain on a large scale, the spring rice area of some localities has been greatly affected: Thua Thien Hue  20.5 thousand hectares, and Quang Tri 10.5 thousand hectares of paddy were flooded; Quang Nam 2,983 hectares were lost and 1,597 hectares were damaged; Binh Dinh 181.1 hectares were lost and 12.8 thousand ha was damaged.</w:t>
      </w:r>
    </w:p>
    <w:p w14:paraId="44D906E9" w14:textId="4B373CC5" w:rsidR="002F2C69" w:rsidRPr="00920C9C" w:rsidRDefault="002F2C69" w:rsidP="002F2C69">
      <w:pPr>
        <w:spacing w:before="40" w:after="40" w:line="300" w:lineRule="auto"/>
        <w:ind w:firstLine="567"/>
        <w:jc w:val="both"/>
        <w:rPr>
          <w:rFonts w:ascii="Times New Roman" w:hAnsi="Times New Roman" w:cs="Times New Roman"/>
          <w:i/>
          <w:sz w:val="28"/>
          <w:szCs w:val="28"/>
        </w:rPr>
      </w:pPr>
      <w:r w:rsidRPr="00920C9C">
        <w:rPr>
          <w:rFonts w:ascii="Times New Roman" w:hAnsi="Times New Roman" w:cs="Times New Roman"/>
          <w:i/>
          <w:sz w:val="28"/>
          <w:szCs w:val="28"/>
        </w:rPr>
        <w:t>Autumn paddy</w:t>
      </w:r>
    </w:p>
    <w:p w14:paraId="22F8E09C" w14:textId="77777777" w:rsidR="00955091" w:rsidRDefault="00955091" w:rsidP="00C30A03">
      <w:pPr>
        <w:spacing w:before="40" w:after="40" w:line="269" w:lineRule="auto"/>
        <w:ind w:firstLine="567"/>
        <w:jc w:val="both"/>
        <w:rPr>
          <w:rFonts w:ascii="Times New Roman" w:hAnsi="Times New Roman" w:cs="Times New Roman"/>
          <w:sz w:val="28"/>
          <w:szCs w:val="28"/>
        </w:rPr>
      </w:pPr>
      <w:r w:rsidRPr="00955091">
        <w:rPr>
          <w:rFonts w:ascii="Times New Roman" w:hAnsi="Times New Roman" w:cs="Times New Roman"/>
          <w:sz w:val="28"/>
          <w:szCs w:val="28"/>
        </w:rPr>
        <w:t xml:space="preserve">On harvested spring paddy areas, localities conducted field cleaning, plowing, and drying the soil to cultivate the autumn crop. As of April 15, Southern provinces cultivated 395.9 thousand hectares of autumn paddy, equalling 110.7% of over the same period last year, of which Mekong River Delta reached 387.5 thousand hectares, equalling 109.8%. The progress of sowing autumn rice is faster than in the same period in 2021 because people take advantage of early sowing to avoid drought and salinity. Currently, autumn paddy was in the stage of seedling to plant, paddy grew well. However, year paddy would face difficulties due to long lasting hot weather, especially the risk of drought, and water shortage in the Central and Central Highlands provinces in the dry months. Therefore, localities need to apply advanced farming techniques, ensure water sources to irrigate rice plants, review crop structure and adjust planting seasons to ensure the best crop frame for the next season. </w:t>
      </w:r>
    </w:p>
    <w:p w14:paraId="0F055FC0" w14:textId="1826C8FA" w:rsidR="00C30A03" w:rsidRPr="00920C9C" w:rsidRDefault="00C30A03" w:rsidP="00C30A03">
      <w:pPr>
        <w:spacing w:before="40" w:after="40" w:line="269" w:lineRule="auto"/>
        <w:ind w:firstLine="567"/>
        <w:jc w:val="both"/>
        <w:rPr>
          <w:rFonts w:ascii="Times New Roman" w:hAnsi="Times New Roman" w:cs="Times New Roman"/>
          <w:i/>
          <w:sz w:val="28"/>
          <w:szCs w:val="28"/>
          <w:lang w:val="pl-PL"/>
        </w:rPr>
      </w:pPr>
      <w:r w:rsidRPr="00920C9C">
        <w:rPr>
          <w:rFonts w:ascii="Times New Roman" w:hAnsi="Times New Roman" w:cs="Times New Roman"/>
          <w:i/>
          <w:sz w:val="28"/>
          <w:szCs w:val="28"/>
          <w:lang w:val="pl-PL"/>
        </w:rPr>
        <w:t>Anual crops</w:t>
      </w:r>
    </w:p>
    <w:p w14:paraId="37D1A7DF" w14:textId="53ACDEB1" w:rsidR="004207FE" w:rsidRDefault="004207FE" w:rsidP="00E40813">
      <w:pPr>
        <w:spacing w:before="40" w:after="40" w:line="269" w:lineRule="auto"/>
        <w:ind w:firstLine="567"/>
        <w:jc w:val="both"/>
        <w:rPr>
          <w:rFonts w:ascii="Times New Roman" w:hAnsi="Times New Roman" w:cs="Times New Roman"/>
          <w:sz w:val="28"/>
          <w:szCs w:val="28"/>
          <w:lang w:val="pl-PL"/>
        </w:rPr>
      </w:pPr>
      <w:r w:rsidRPr="004207FE">
        <w:rPr>
          <w:rFonts w:ascii="Times New Roman" w:hAnsi="Times New Roman" w:cs="Times New Roman"/>
          <w:sz w:val="28"/>
          <w:szCs w:val="28"/>
          <w:lang w:val="pl-PL"/>
        </w:rPr>
        <w:t>Along with planting rice, localities across the country are planting other crops. The area of ​​sweet potatoes, soybeans, and peanuts decreased compared to the same period last year, mainly due to low economic efficiency and difficulties in consumption, so farmers tend to switch to growing maize and vegetable, and legumes type.</w:t>
      </w:r>
    </w:p>
    <w:p w14:paraId="562923B9" w14:textId="77777777" w:rsidR="00831E77" w:rsidRPr="00831E77" w:rsidRDefault="00831E77" w:rsidP="004B7BAF">
      <w:pPr>
        <w:spacing w:before="40" w:after="40" w:line="271" w:lineRule="auto"/>
        <w:jc w:val="center"/>
        <w:rPr>
          <w:rFonts w:ascii="Arial" w:hAnsi="Arial" w:cs="Arial"/>
          <w:b/>
          <w:sz w:val="4"/>
          <w:szCs w:val="24"/>
          <w:lang w:val="de-DE"/>
        </w:rPr>
      </w:pPr>
    </w:p>
    <w:p w14:paraId="3248C343" w14:textId="77777777" w:rsidR="00F10CF7" w:rsidRPr="008907B5" w:rsidRDefault="00F10CF7" w:rsidP="00F10CF7">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1: Cultivation of main annual crops</w:t>
      </w:r>
    </w:p>
    <w:p w14:paraId="4974A455" w14:textId="77777777" w:rsidR="00F10CF7" w:rsidRDefault="00F10CF7" w:rsidP="00F10CF7">
      <w:pPr>
        <w:spacing w:before="40" w:after="40" w:line="271" w:lineRule="auto"/>
        <w:jc w:val="center"/>
        <w:rPr>
          <w:rFonts w:ascii="Arial" w:hAnsi="Arial" w:cs="Arial"/>
          <w:bCs/>
          <w:i/>
          <w:iCs/>
          <w:sz w:val="24"/>
          <w:szCs w:val="24"/>
          <w:lang w:val="vi-VN"/>
        </w:rPr>
      </w:pPr>
      <w:r w:rsidRPr="00DA78D0">
        <w:rPr>
          <w:rFonts w:ascii="Arial" w:hAnsi="Arial" w:cs="Arial"/>
          <w:bCs/>
          <w:i/>
          <w:iCs/>
          <w:sz w:val="24"/>
          <w:szCs w:val="24"/>
          <w:lang w:val="vi-VN"/>
        </w:rPr>
        <w:t>(</w:t>
      </w:r>
      <w:r w:rsidRPr="00DA78D0">
        <w:rPr>
          <w:rFonts w:ascii="Times New Roman" w:hAnsi="Times New Roman" w:cs="Times New Roman"/>
          <w:i/>
          <w:sz w:val="28"/>
          <w:szCs w:val="28"/>
          <w:lang w:val="de-DE"/>
        </w:rPr>
        <w:t>As of mid-</w:t>
      </w:r>
      <w:r>
        <w:rPr>
          <w:rFonts w:ascii="Times New Roman" w:hAnsi="Times New Roman" w:cs="Times New Roman"/>
          <w:i/>
          <w:sz w:val="28"/>
          <w:szCs w:val="28"/>
          <w:lang w:val="de-DE"/>
        </w:rPr>
        <w:t>April</w:t>
      </w:r>
      <w:r w:rsidRPr="00DA78D0">
        <w:rPr>
          <w:rFonts w:ascii="Arial" w:hAnsi="Arial" w:cs="Arial"/>
          <w:bCs/>
          <w:i/>
          <w:iCs/>
          <w:sz w:val="24"/>
          <w:szCs w:val="24"/>
          <w:lang w:val="vi-VN"/>
        </w:rPr>
        <w:t>)</w:t>
      </w:r>
    </w:p>
    <w:p w14:paraId="1A56D0E4" w14:textId="414A1862" w:rsidR="004B7BAF" w:rsidRPr="00397015" w:rsidRDefault="00C27E2E" w:rsidP="004B7BAF">
      <w:pPr>
        <w:spacing w:before="40" w:after="40" w:line="271" w:lineRule="auto"/>
        <w:jc w:val="center"/>
        <w:rPr>
          <w:rFonts w:ascii="Arial" w:hAnsi="Arial" w:cs="Arial"/>
          <w:bCs/>
          <w:iCs/>
          <w:sz w:val="24"/>
          <w:szCs w:val="24"/>
          <w:lang w:val="vi-VN"/>
        </w:rPr>
      </w:pPr>
      <w:r w:rsidRPr="00920C9C">
        <w:rPr>
          <w:noProof/>
          <w:lang w:val="en-US"/>
        </w:rPr>
        <w:lastRenderedPageBreak/>
        <w:drawing>
          <wp:inline distT="0" distB="0" distL="0" distR="0" wp14:anchorId="5296500D" wp14:editId="7E55BD34">
            <wp:extent cx="5760085" cy="22689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268957"/>
                    </a:xfrm>
                    <a:prstGeom prst="rect">
                      <a:avLst/>
                    </a:prstGeom>
                    <a:noFill/>
                    <a:ln>
                      <a:noFill/>
                    </a:ln>
                  </pic:spPr>
                </pic:pic>
              </a:graphicData>
            </a:graphic>
          </wp:inline>
        </w:drawing>
      </w:r>
    </w:p>
    <w:p w14:paraId="69BF6A94" w14:textId="77777777" w:rsidR="002A248B" w:rsidRPr="00920C9C" w:rsidRDefault="002A248B" w:rsidP="002A248B">
      <w:pPr>
        <w:spacing w:before="40" w:after="40" w:line="264" w:lineRule="auto"/>
        <w:ind w:firstLine="567"/>
        <w:jc w:val="both"/>
        <w:rPr>
          <w:rFonts w:ascii="Times New Roman" w:hAnsi="Times New Roman" w:cs="Times New Roman"/>
          <w:i/>
          <w:sz w:val="28"/>
          <w:szCs w:val="28"/>
        </w:rPr>
      </w:pPr>
      <w:r w:rsidRPr="00920C9C">
        <w:rPr>
          <w:rFonts w:ascii="Times New Roman" w:hAnsi="Times New Roman" w:cs="Times New Roman"/>
          <w:i/>
          <w:sz w:val="28"/>
          <w:szCs w:val="28"/>
        </w:rPr>
        <w:t>Livestock</w:t>
      </w:r>
    </w:p>
    <w:p w14:paraId="236A9C62" w14:textId="6FAFA2FF" w:rsidR="00831E77" w:rsidRPr="00831E77" w:rsidRDefault="0072730C" w:rsidP="0072730C">
      <w:pPr>
        <w:ind w:firstLine="567"/>
        <w:jc w:val="both"/>
        <w:rPr>
          <w:rFonts w:ascii="Arial" w:hAnsi="Arial" w:cs="Arial"/>
          <w:b/>
          <w:sz w:val="10"/>
          <w:szCs w:val="24"/>
        </w:rPr>
      </w:pPr>
      <w:r w:rsidRPr="0072730C">
        <w:rPr>
          <w:rFonts w:ascii="Times New Roman" w:hAnsi="Times New Roman" w:cs="Times New Roman"/>
          <w:sz w:val="28"/>
          <w:szCs w:val="28"/>
        </w:rPr>
        <w:t>Buffaloes and cows' husbandry in the month had a stable development. Pig and poultry farming is gradually stabilizing because businesses, farms, and raising households were proactive in breeding stock, linking consumption of output products, and ensuring hygiene and bio-security. However, the livestock industry is still facing difficulties due to high feed prices, and the high risk of recurrence of African swine fever, so it is necessary to take effective measures to prevent and deal with epidemics, especially during the time of changing seasons.</w:t>
      </w:r>
    </w:p>
    <w:p w14:paraId="07C7850D" w14:textId="77777777" w:rsidR="003F2789" w:rsidRPr="003F2789" w:rsidRDefault="003F2789" w:rsidP="003F2789">
      <w:pPr>
        <w:spacing w:after="0" w:line="240" w:lineRule="auto"/>
        <w:jc w:val="center"/>
        <w:rPr>
          <w:rFonts w:ascii="Arial" w:hAnsi="Arial" w:cs="Arial"/>
          <w:b/>
          <w:sz w:val="24"/>
          <w:szCs w:val="24"/>
        </w:rPr>
      </w:pPr>
      <w:r w:rsidRPr="003F2789">
        <w:rPr>
          <w:rFonts w:ascii="Arial" w:hAnsi="Arial" w:cs="Arial"/>
          <w:b/>
          <w:sz w:val="24"/>
          <w:szCs w:val="24"/>
        </w:rPr>
        <w:t xml:space="preserve">Figure 2. The growth rate of the population of livestock at the </w:t>
      </w:r>
    </w:p>
    <w:p w14:paraId="7DEB29DC" w14:textId="0C47E6F1" w:rsidR="00AA6FDA" w:rsidRPr="00831E77" w:rsidRDefault="003F2789" w:rsidP="003F2789">
      <w:pPr>
        <w:spacing w:after="0" w:line="240" w:lineRule="auto"/>
        <w:jc w:val="center"/>
        <w:rPr>
          <w:rFonts w:ascii="Arial" w:hAnsi="Arial" w:cs="Arial"/>
          <w:b/>
          <w:sz w:val="2"/>
          <w:szCs w:val="24"/>
        </w:rPr>
      </w:pPr>
      <w:r w:rsidRPr="003F2789">
        <w:rPr>
          <w:rFonts w:ascii="Arial" w:hAnsi="Arial" w:cs="Arial"/>
          <w:b/>
          <w:sz w:val="24"/>
          <w:szCs w:val="24"/>
        </w:rPr>
        <w:t>end of April 2022 compared to the same time last year</w:t>
      </w:r>
    </w:p>
    <w:p w14:paraId="41B1E7EA" w14:textId="74297658" w:rsidR="004B7BAF" w:rsidRDefault="009C39D5" w:rsidP="004B7BAF">
      <w:pPr>
        <w:spacing w:after="40" w:line="240" w:lineRule="auto"/>
        <w:jc w:val="center"/>
        <w:rPr>
          <w:rFonts w:ascii="Arial" w:hAnsi="Arial" w:cs="Arial"/>
          <w:b/>
          <w:sz w:val="24"/>
          <w:szCs w:val="24"/>
        </w:rPr>
      </w:pPr>
      <w:r w:rsidRPr="000E232E">
        <w:rPr>
          <w:noProof/>
          <w:lang w:val="en-US"/>
        </w:rPr>
        <w:drawing>
          <wp:inline distT="0" distB="0" distL="0" distR="0" wp14:anchorId="75ADFAE9" wp14:editId="46CBCBF0">
            <wp:extent cx="5760085" cy="1530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530484"/>
                    </a:xfrm>
                    <a:prstGeom prst="rect">
                      <a:avLst/>
                    </a:prstGeom>
                    <a:noFill/>
                    <a:ln>
                      <a:noFill/>
                    </a:ln>
                  </pic:spPr>
                </pic:pic>
              </a:graphicData>
            </a:graphic>
          </wp:inline>
        </w:drawing>
      </w:r>
    </w:p>
    <w:p w14:paraId="611AD3BF" w14:textId="77777777" w:rsidR="004B7BAF" w:rsidRPr="00DB1A65" w:rsidRDefault="004B7BAF" w:rsidP="004B7BAF">
      <w:pPr>
        <w:spacing w:after="40" w:line="240" w:lineRule="auto"/>
        <w:jc w:val="center"/>
        <w:rPr>
          <w:rFonts w:ascii="Arial" w:hAnsi="Arial" w:cs="Arial"/>
          <w:b/>
          <w:sz w:val="12"/>
          <w:szCs w:val="24"/>
        </w:rPr>
      </w:pPr>
    </w:p>
    <w:p w14:paraId="33C7F8F7" w14:textId="77777777" w:rsidR="006D0DAE" w:rsidRDefault="006D0DAE" w:rsidP="00F17373">
      <w:pPr>
        <w:tabs>
          <w:tab w:val="left" w:pos="720"/>
        </w:tabs>
        <w:spacing w:before="40" w:after="40" w:line="257" w:lineRule="auto"/>
        <w:ind w:firstLine="567"/>
        <w:jc w:val="both"/>
        <w:rPr>
          <w:rFonts w:ascii="Times New Roman" w:hAnsi="Times New Roman" w:cs="Times New Roman"/>
          <w:bCs/>
          <w:spacing w:val="-2"/>
          <w:sz w:val="28"/>
          <w:szCs w:val="28"/>
        </w:rPr>
      </w:pPr>
      <w:r w:rsidRPr="006D0DAE">
        <w:rPr>
          <w:rFonts w:ascii="Times New Roman" w:hAnsi="Times New Roman" w:cs="Times New Roman"/>
          <w:bCs/>
          <w:spacing w:val="-2"/>
          <w:sz w:val="28"/>
          <w:szCs w:val="28"/>
        </w:rPr>
        <w:t>As of April 24, 2022, the whole country has no longer blue-ear disease and foot-and-mouth disease; avian flu was still in 5 localities; LSD was still in 4 localities and African swine fever was reported in 27 localities for less than 21 days.</w:t>
      </w:r>
    </w:p>
    <w:p w14:paraId="1DFB1451" w14:textId="68D7A453" w:rsidR="001D1D1E" w:rsidRPr="00F17373" w:rsidRDefault="001D1D1E" w:rsidP="00F17373">
      <w:pPr>
        <w:tabs>
          <w:tab w:val="left" w:pos="720"/>
        </w:tabs>
        <w:spacing w:before="40" w:after="40" w:line="257" w:lineRule="auto"/>
        <w:ind w:firstLine="567"/>
        <w:jc w:val="both"/>
        <w:rPr>
          <w:rFonts w:ascii="Times New Roman" w:hAnsi="Times New Roman" w:cs="Times New Roman"/>
          <w:b/>
          <w:bCs/>
          <w:i/>
          <w:iCs/>
          <w:sz w:val="28"/>
          <w:szCs w:val="28"/>
        </w:rPr>
      </w:pPr>
      <w:r w:rsidRPr="00F17373">
        <w:rPr>
          <w:rFonts w:ascii="Times New Roman" w:hAnsi="Times New Roman" w:cs="Times New Roman"/>
          <w:b/>
          <w:bCs/>
          <w:i/>
          <w:iCs/>
          <w:sz w:val="28"/>
          <w:szCs w:val="28"/>
        </w:rPr>
        <w:t xml:space="preserve">b) </w:t>
      </w:r>
      <w:r w:rsidR="00742BF8" w:rsidRPr="004036DA">
        <w:rPr>
          <w:rFonts w:ascii="Times New Roman" w:hAnsi="Times New Roman" w:cs="Times New Roman"/>
          <w:b/>
          <w:bCs/>
          <w:i/>
          <w:sz w:val="28"/>
          <w:szCs w:val="28"/>
          <w:lang w:val="de-DE"/>
        </w:rPr>
        <w:t>Forestry</w:t>
      </w:r>
    </w:p>
    <w:p w14:paraId="36BA0484" w14:textId="77777777" w:rsidR="00041A93" w:rsidRDefault="00041A93" w:rsidP="00F17373">
      <w:pPr>
        <w:spacing w:before="40" w:after="40" w:line="257" w:lineRule="auto"/>
        <w:ind w:firstLine="567"/>
        <w:jc w:val="both"/>
        <w:rPr>
          <w:rFonts w:ascii="Times New Roman" w:hAnsi="Times New Roman" w:cs="Times New Roman"/>
          <w:sz w:val="28"/>
          <w:szCs w:val="28"/>
          <w:lang w:val="vi-VN"/>
        </w:rPr>
      </w:pPr>
      <w:r w:rsidRPr="00041A93">
        <w:rPr>
          <w:rFonts w:ascii="Times New Roman" w:hAnsi="Times New Roman" w:cs="Times New Roman"/>
          <w:sz w:val="28"/>
          <w:szCs w:val="28"/>
          <w:lang w:val="vi-VN"/>
        </w:rPr>
        <w:t xml:space="preserve">In April 2022, the newly concentrated planted forest area nationwide was estimated at 30.3 thousand hectares, up 2.9% over the same period last year; the number of scattered planted trees reached 7.8 million trees, up 2.1%. The weather in the month was favorable, so the localities actively implemented afforestation. Provinces had high progress in afforestation like Yen Bai with 3.2 thousand hectares, up 24.5% over the same period last year, Nghe An 2.5 thousand hectares, an increase of 7.9%, Thanh Hoa 2 thousand hectares, an </w:t>
      </w:r>
      <w:r w:rsidRPr="00041A93">
        <w:rPr>
          <w:rFonts w:ascii="Times New Roman" w:hAnsi="Times New Roman" w:cs="Times New Roman"/>
          <w:sz w:val="28"/>
          <w:szCs w:val="28"/>
          <w:lang w:val="vi-VN"/>
        </w:rPr>
        <w:lastRenderedPageBreak/>
        <w:t>increase of 4.8%. Timber production in April 2022 was estimated at 1.6 million m</w:t>
      </w:r>
      <w:r w:rsidRPr="0090534A">
        <w:rPr>
          <w:rFonts w:ascii="Times New Roman" w:hAnsi="Times New Roman" w:cs="Times New Roman"/>
          <w:sz w:val="28"/>
          <w:szCs w:val="28"/>
          <w:vertAlign w:val="superscript"/>
          <w:lang w:val="vi-VN"/>
        </w:rPr>
        <w:t>3</w:t>
      </w:r>
      <w:r w:rsidRPr="00041A93">
        <w:rPr>
          <w:rFonts w:ascii="Times New Roman" w:hAnsi="Times New Roman" w:cs="Times New Roman"/>
          <w:sz w:val="28"/>
          <w:szCs w:val="28"/>
          <w:lang w:val="vi-VN"/>
        </w:rPr>
        <w:t>, up 5.9%; firewood production reached 1.6 million ste, equal to the same period last year. Localities with high timber output named Nghe An reached 114.5 thousand m</w:t>
      </w:r>
      <w:r w:rsidRPr="0090534A">
        <w:rPr>
          <w:rFonts w:ascii="Times New Roman" w:hAnsi="Times New Roman" w:cs="Times New Roman"/>
          <w:sz w:val="28"/>
          <w:szCs w:val="28"/>
          <w:vertAlign w:val="superscript"/>
          <w:lang w:val="vi-VN"/>
        </w:rPr>
        <w:t>3</w:t>
      </w:r>
      <w:r w:rsidRPr="00041A93">
        <w:rPr>
          <w:rFonts w:ascii="Times New Roman" w:hAnsi="Times New Roman" w:cs="Times New Roman"/>
          <w:sz w:val="28"/>
          <w:szCs w:val="28"/>
          <w:lang w:val="vi-VN"/>
        </w:rPr>
        <w:t>, up 7.9% over the same period in 2021, Thanh Hoa 80.5 thousand m</w:t>
      </w:r>
      <w:r w:rsidRPr="0090534A">
        <w:rPr>
          <w:rFonts w:ascii="Times New Roman" w:hAnsi="Times New Roman" w:cs="Times New Roman"/>
          <w:sz w:val="28"/>
          <w:szCs w:val="28"/>
          <w:vertAlign w:val="superscript"/>
          <w:lang w:val="vi-VN"/>
        </w:rPr>
        <w:t>3</w:t>
      </w:r>
      <w:r w:rsidRPr="00041A93">
        <w:rPr>
          <w:rFonts w:ascii="Times New Roman" w:hAnsi="Times New Roman" w:cs="Times New Roman"/>
          <w:sz w:val="28"/>
          <w:szCs w:val="28"/>
          <w:lang w:val="vi-VN"/>
        </w:rPr>
        <w:t>, up 5.6%, Lang Son 13.9 thousand m</w:t>
      </w:r>
      <w:r w:rsidRPr="0090534A">
        <w:rPr>
          <w:rFonts w:ascii="Times New Roman" w:hAnsi="Times New Roman" w:cs="Times New Roman"/>
          <w:sz w:val="28"/>
          <w:szCs w:val="28"/>
          <w:vertAlign w:val="superscript"/>
          <w:lang w:val="vi-VN"/>
        </w:rPr>
        <w:t>3</w:t>
      </w:r>
      <w:r w:rsidRPr="00041A93">
        <w:rPr>
          <w:rFonts w:ascii="Times New Roman" w:hAnsi="Times New Roman" w:cs="Times New Roman"/>
          <w:sz w:val="28"/>
          <w:szCs w:val="28"/>
          <w:lang w:val="vi-VN"/>
        </w:rPr>
        <w:t>, up 7.8%. Generally, in the first four months of 2022, the newly concentrated planted forest area nationwide was estimated at 67.2 thousand hectares, up 4.1% over the same period last year; the number of scattered planted trees reached 34.8 million trees, an increase of 6.8%; timber production reached 4.7 million m</w:t>
      </w:r>
      <w:r w:rsidRPr="0090534A">
        <w:rPr>
          <w:rFonts w:ascii="Times New Roman" w:hAnsi="Times New Roman" w:cs="Times New Roman"/>
          <w:sz w:val="28"/>
          <w:szCs w:val="28"/>
          <w:vertAlign w:val="superscript"/>
          <w:lang w:val="vi-VN"/>
        </w:rPr>
        <w:t>3</w:t>
      </w:r>
      <w:r w:rsidRPr="00041A93">
        <w:rPr>
          <w:rFonts w:ascii="Times New Roman" w:hAnsi="Times New Roman" w:cs="Times New Roman"/>
          <w:sz w:val="28"/>
          <w:szCs w:val="28"/>
          <w:lang w:val="vi-VN"/>
        </w:rPr>
        <w:t>, an increase of 4.4%; firewood production was 6.2 million ste, up 0.7%.</w:t>
      </w:r>
    </w:p>
    <w:p w14:paraId="19C2A4D7" w14:textId="46549A8E" w:rsidR="00140EF0" w:rsidRPr="00F17373" w:rsidRDefault="00140EF0" w:rsidP="00F17373">
      <w:pPr>
        <w:spacing w:before="40" w:after="40" w:line="257" w:lineRule="auto"/>
        <w:ind w:firstLine="567"/>
        <w:jc w:val="both"/>
        <w:rPr>
          <w:rFonts w:ascii="Times New Roman" w:hAnsi="Times New Roman" w:cs="Times New Roman"/>
          <w:sz w:val="28"/>
          <w:szCs w:val="28"/>
          <w:lang w:val="pt-BR"/>
        </w:rPr>
      </w:pPr>
      <w:r w:rsidRPr="00140EF0">
        <w:rPr>
          <w:rFonts w:ascii="Times New Roman" w:hAnsi="Times New Roman" w:cs="Times New Roman"/>
          <w:sz w:val="28"/>
          <w:szCs w:val="28"/>
          <w:lang w:val="pt-BR"/>
        </w:rPr>
        <w:t>The situation of forest damage in the first four months of 2022 decreased compared to the first four months of 2021. Damaged forest area</w:t>
      </w:r>
      <w:r w:rsidR="00C168ED" w:rsidRPr="00F17373">
        <w:rPr>
          <w:rStyle w:val="FootnoteReference"/>
          <w:rFonts w:ascii="Times New Roman" w:hAnsi="Times New Roman"/>
          <w:sz w:val="28"/>
          <w:szCs w:val="28"/>
          <w:lang w:val="pt-BR"/>
        </w:rPr>
        <w:footnoteReference w:id="1"/>
      </w:r>
      <w:r w:rsidRPr="00140EF0">
        <w:rPr>
          <w:rFonts w:ascii="Times New Roman" w:hAnsi="Times New Roman" w:cs="Times New Roman"/>
          <w:sz w:val="28"/>
          <w:szCs w:val="28"/>
          <w:lang w:val="pt-BR"/>
        </w:rPr>
        <w:t xml:space="preserve"> in the month was estimated at 118.6 hectares, down 0.1% over the same period in 2021, including </w:t>
      </w:r>
      <w:r w:rsidR="006544E1">
        <w:rPr>
          <w:rFonts w:ascii="Times New Roman" w:hAnsi="Times New Roman" w:cs="Times New Roman"/>
          <w:sz w:val="28"/>
          <w:szCs w:val="28"/>
          <w:lang w:val="pt-BR"/>
        </w:rPr>
        <w:t>b</w:t>
      </w:r>
      <w:r w:rsidRPr="00140EF0">
        <w:rPr>
          <w:rFonts w:ascii="Times New Roman" w:hAnsi="Times New Roman" w:cs="Times New Roman"/>
          <w:sz w:val="28"/>
          <w:szCs w:val="28"/>
          <w:lang w:val="pt-BR"/>
        </w:rPr>
        <w:t xml:space="preserve">urnt forest area was 4.3 hectares, down 77.5%; </w:t>
      </w:r>
      <w:r w:rsidR="006544E1" w:rsidRPr="006D7720">
        <w:rPr>
          <w:rFonts w:ascii="Times New Roman" w:hAnsi="Times New Roman" w:cs="Times New Roman"/>
          <w:sz w:val="28"/>
          <w:szCs w:val="28"/>
        </w:rPr>
        <w:t>deforested forest area</w:t>
      </w:r>
      <w:r w:rsidRPr="00140EF0">
        <w:rPr>
          <w:rFonts w:ascii="Times New Roman" w:hAnsi="Times New Roman" w:cs="Times New Roman"/>
          <w:sz w:val="28"/>
          <w:szCs w:val="28"/>
          <w:lang w:val="pt-BR"/>
        </w:rPr>
        <w:t xml:space="preserve"> was 114.3 hectares, an increase of 14.6%. The provinces had the highest deforestation area in the month named Kon Tum with 26.1 hectares, Nghe An with 20.2 hectares, Dak Lak with 12.5 hectares. The damaged forest area in the first four months of 2022 was 361.8 hectares, down 25.2% over the same period last year, including </w:t>
      </w:r>
      <w:r w:rsidR="006544E1">
        <w:rPr>
          <w:rFonts w:ascii="Times New Roman" w:hAnsi="Times New Roman" w:cs="Times New Roman"/>
          <w:sz w:val="28"/>
          <w:szCs w:val="28"/>
          <w:lang w:val="pt-BR"/>
        </w:rPr>
        <w:t>burnt</w:t>
      </w:r>
      <w:r w:rsidRPr="00140EF0">
        <w:rPr>
          <w:rFonts w:ascii="Times New Roman" w:hAnsi="Times New Roman" w:cs="Times New Roman"/>
          <w:sz w:val="28"/>
          <w:szCs w:val="28"/>
          <w:lang w:val="pt-BR"/>
        </w:rPr>
        <w:t xml:space="preserve"> forest area was 13.7 hectares, down 89.8 % (it was 134 hectares in the same period in 2021 ); the </w:t>
      </w:r>
      <w:r w:rsidR="006544E1" w:rsidRPr="006D7720">
        <w:rPr>
          <w:rFonts w:ascii="Times New Roman" w:hAnsi="Times New Roman" w:cs="Times New Roman"/>
          <w:sz w:val="28"/>
          <w:szCs w:val="28"/>
        </w:rPr>
        <w:t>deforested forest area</w:t>
      </w:r>
      <w:r w:rsidR="006544E1" w:rsidRPr="006D2413">
        <w:rPr>
          <w:rFonts w:ascii="Times New Roman" w:hAnsi="Times New Roman" w:cs="Times New Roman"/>
          <w:sz w:val="28"/>
          <w:szCs w:val="28"/>
          <w:lang w:val="de-DE"/>
        </w:rPr>
        <w:t xml:space="preserve"> </w:t>
      </w:r>
      <w:r w:rsidRPr="00140EF0">
        <w:rPr>
          <w:rFonts w:ascii="Times New Roman" w:hAnsi="Times New Roman" w:cs="Times New Roman"/>
          <w:sz w:val="28"/>
          <w:szCs w:val="28"/>
          <w:lang w:val="pt-BR"/>
        </w:rPr>
        <w:t>was 348.1 hectares, down 0.4%.</w:t>
      </w:r>
    </w:p>
    <w:p w14:paraId="7F8DF984" w14:textId="0599DDE0" w:rsidR="001D1D1E" w:rsidRPr="001D1D1E" w:rsidRDefault="001D1D1E" w:rsidP="00F17373">
      <w:pPr>
        <w:spacing w:before="20" w:after="20" w:line="262" w:lineRule="auto"/>
        <w:ind w:firstLine="567"/>
        <w:jc w:val="both"/>
        <w:rPr>
          <w:rFonts w:ascii="Times New Roman" w:hAnsi="Times New Roman" w:cs="Times New Roman"/>
          <w:b/>
          <w:bCs/>
          <w:i/>
          <w:iCs/>
          <w:sz w:val="28"/>
          <w:szCs w:val="28"/>
          <w:lang w:val="vi-VN"/>
        </w:rPr>
      </w:pPr>
      <w:r w:rsidRPr="001D1D1E">
        <w:rPr>
          <w:rFonts w:ascii="Times New Roman" w:hAnsi="Times New Roman" w:cs="Times New Roman"/>
          <w:b/>
          <w:bCs/>
          <w:i/>
          <w:iCs/>
          <w:sz w:val="28"/>
          <w:szCs w:val="28"/>
          <w:lang w:val="nl-NL"/>
        </w:rPr>
        <w:t xml:space="preserve">c) </w:t>
      </w:r>
      <w:r w:rsidR="00DA736D" w:rsidRPr="006D3634">
        <w:rPr>
          <w:rFonts w:ascii="Times New Roman" w:hAnsi="Times New Roman" w:cs="Times New Roman"/>
          <w:b/>
          <w:bCs/>
          <w:i/>
          <w:sz w:val="28"/>
          <w:szCs w:val="28"/>
          <w:lang w:val="de-DE"/>
        </w:rPr>
        <w:t>Fishery</w:t>
      </w:r>
    </w:p>
    <w:p w14:paraId="60774C97" w14:textId="77777777" w:rsidR="00D96BDA" w:rsidRDefault="00E944C8" w:rsidP="00F17373">
      <w:pPr>
        <w:spacing w:before="20" w:after="20" w:line="262" w:lineRule="auto"/>
        <w:ind w:firstLine="567"/>
        <w:jc w:val="both"/>
        <w:rPr>
          <w:rFonts w:ascii="Times New Roman" w:hAnsi="Times New Roman" w:cs="Times New Roman"/>
          <w:spacing w:val="-4"/>
          <w:sz w:val="28"/>
          <w:szCs w:val="28"/>
          <w:lang w:val="pt-BR"/>
        </w:rPr>
      </w:pPr>
      <w:r w:rsidRPr="00E944C8">
        <w:rPr>
          <w:rFonts w:ascii="Times New Roman" w:hAnsi="Times New Roman" w:cs="Times New Roman"/>
          <w:spacing w:val="-4"/>
          <w:sz w:val="28"/>
          <w:szCs w:val="28"/>
          <w:lang w:val="pt-BR"/>
        </w:rPr>
        <w:t xml:space="preserve">Aquatic production in April was estimated at 736.4 thousand tons, up 2.6% over the same period last year, of which: Fish reached 528.6 thousand tons, up 2%; shrimp reached 99.2 thousand tons, up 7.8%; other aquatic products reached 108.6 thousand tons, up 1.3%. </w:t>
      </w:r>
    </w:p>
    <w:p w14:paraId="1E818D94" w14:textId="5D8207EF" w:rsidR="00E944C8" w:rsidRPr="001E40A3" w:rsidRDefault="00E944C8" w:rsidP="00F17373">
      <w:pPr>
        <w:spacing w:before="20" w:after="20" w:line="262" w:lineRule="auto"/>
        <w:ind w:firstLine="567"/>
        <w:jc w:val="both"/>
        <w:rPr>
          <w:rFonts w:ascii="Times New Roman" w:hAnsi="Times New Roman" w:cs="Times New Roman"/>
          <w:spacing w:val="-4"/>
          <w:sz w:val="28"/>
          <w:szCs w:val="28"/>
          <w:lang w:val="pt-BR"/>
        </w:rPr>
      </w:pPr>
      <w:r w:rsidRPr="00E944C8">
        <w:rPr>
          <w:rFonts w:ascii="Times New Roman" w:hAnsi="Times New Roman" w:cs="Times New Roman"/>
          <w:spacing w:val="-4"/>
          <w:sz w:val="28"/>
          <w:szCs w:val="28"/>
          <w:lang w:val="pt-BR"/>
        </w:rPr>
        <w:t>Aquaculture production in April 2022 was estimated at 380.4 thousand tons, up 5.8% over the same period last year, including fish was 252 thousand tons, up 5%; shrimp reached 86.5 thousand tons, up 9.2%; other aquatic products reached 41.9 thousand tons, up 4.2%.</w:t>
      </w:r>
    </w:p>
    <w:p w14:paraId="46F733BB" w14:textId="53526FD1" w:rsidR="00286B33" w:rsidRDefault="006D7909" w:rsidP="00F17373">
      <w:pPr>
        <w:spacing w:before="20" w:after="20" w:line="262" w:lineRule="auto"/>
        <w:ind w:firstLine="567"/>
        <w:jc w:val="both"/>
        <w:rPr>
          <w:rFonts w:ascii="Times New Roman" w:hAnsi="Times New Roman" w:cs="Times New Roman"/>
          <w:sz w:val="28"/>
          <w:szCs w:val="28"/>
          <w:lang w:val="vi-VN"/>
        </w:rPr>
      </w:pPr>
      <w:r w:rsidRPr="006D7909">
        <w:rPr>
          <w:rFonts w:ascii="Times New Roman" w:hAnsi="Times New Roman" w:cs="Times New Roman"/>
          <w:sz w:val="28"/>
          <w:szCs w:val="28"/>
          <w:lang w:val="pt-BR"/>
        </w:rPr>
        <w:t>As of mid-April, the price of raw pangasius in the Mekong Delta from 0.8 - 1.1 kg/fish fluctuated at 31,000 - 32,500 VND/kg, an increase of more than 10,000 VND/kg over the same period last year, an increase of more than 30% compared to the beginning of 2022. Pangasius output in the month was estimated at 125.4 thousand tons, up 8.5% over the same period last year.</w:t>
      </w:r>
      <w:r>
        <w:rPr>
          <w:rFonts w:ascii="Times New Roman" w:hAnsi="Times New Roman" w:cs="Times New Roman"/>
          <w:sz w:val="28"/>
          <w:szCs w:val="28"/>
          <w:lang w:val="vi-VN"/>
        </w:rPr>
        <w:t xml:space="preserve"> </w:t>
      </w:r>
      <w:r w:rsidR="00286B33" w:rsidRPr="00286B33">
        <w:rPr>
          <w:rFonts w:ascii="Times New Roman" w:hAnsi="Times New Roman" w:cs="Times New Roman"/>
          <w:sz w:val="28"/>
          <w:szCs w:val="28"/>
          <w:lang w:val="vi-VN"/>
        </w:rPr>
        <w:t>The price of raw shrimp in the Mekong Delta provinces in the month decreased slightly compared to the previous month</w:t>
      </w:r>
      <w:r w:rsidR="00286B33" w:rsidRPr="001D1D1E">
        <w:rPr>
          <w:rStyle w:val="FootnoteReference"/>
          <w:rFonts w:ascii="Times New Roman" w:hAnsi="Times New Roman"/>
          <w:sz w:val="28"/>
          <w:szCs w:val="28"/>
        </w:rPr>
        <w:footnoteReference w:id="2"/>
      </w:r>
      <w:r w:rsidR="00286B33" w:rsidRPr="00286B33">
        <w:rPr>
          <w:rFonts w:ascii="Times New Roman" w:hAnsi="Times New Roman" w:cs="Times New Roman"/>
          <w:sz w:val="28"/>
          <w:szCs w:val="28"/>
          <w:lang w:val="vi-VN"/>
        </w:rPr>
        <w:t xml:space="preserve">. The model of intensive farming of white leg shrimp, super-intensive in two stages, applying high technology is </w:t>
      </w:r>
      <w:r w:rsidR="00286B33" w:rsidRPr="00286B33">
        <w:rPr>
          <w:rFonts w:ascii="Times New Roman" w:hAnsi="Times New Roman" w:cs="Times New Roman"/>
          <w:sz w:val="28"/>
          <w:szCs w:val="28"/>
          <w:lang w:val="vi-VN"/>
        </w:rPr>
        <w:lastRenderedPageBreak/>
        <w:t>increasingly developing and bringing efficiency and high productivity. Vanamei shrimp production in April was estimated at 60 thousand tons, up 14.1% over the same period last year; Black tiger shrimp production reached 22.6 thousand tons, down 0.9%.</w:t>
      </w:r>
    </w:p>
    <w:p w14:paraId="1C988DC1" w14:textId="1BFCEA84" w:rsidR="00AC61AC" w:rsidRDefault="00AC61AC" w:rsidP="00F17373">
      <w:pPr>
        <w:spacing w:before="20" w:after="20" w:line="262" w:lineRule="auto"/>
        <w:ind w:firstLine="567"/>
        <w:jc w:val="both"/>
        <w:rPr>
          <w:rFonts w:ascii="Times New Roman" w:hAnsi="Times New Roman" w:cs="Times New Roman"/>
          <w:sz w:val="28"/>
          <w:szCs w:val="28"/>
          <w:lang w:val="vi-VN"/>
        </w:rPr>
      </w:pPr>
      <w:r w:rsidRPr="00AC61AC">
        <w:rPr>
          <w:rFonts w:ascii="Times New Roman" w:hAnsi="Times New Roman" w:cs="Times New Roman"/>
          <w:sz w:val="28"/>
          <w:szCs w:val="28"/>
          <w:lang w:val="vi-VN"/>
        </w:rPr>
        <w:t>Catch fishing output in April 2022 was estimated at 356,000 tons, down 0.6% over the same period last year, of which: Fish reached 276.6 thousand tons, down 0.6%; shrimp was 12.7 thousand tons, down 0.8%; other aquatic products gained 66.7 thousand tons, down 0.4%. Marine fishing in the month decreased due to the high cost of gasoline and oil, the weather in early April was unfavorable for offshore fishing, and the Central Coast provinces were affected by unusual rains and floods. Marine fishing output in April was estimated at 342 thousand tons, down 0.6% over the same period last year.</w:t>
      </w:r>
    </w:p>
    <w:p w14:paraId="086A3EB0" w14:textId="77777777" w:rsidR="00024476" w:rsidRPr="00AD3EC9" w:rsidRDefault="00024476" w:rsidP="00831E77">
      <w:pPr>
        <w:spacing w:after="40" w:line="240" w:lineRule="auto"/>
        <w:ind w:firstLine="567"/>
        <w:jc w:val="center"/>
        <w:rPr>
          <w:rFonts w:ascii="Arial" w:hAnsi="Arial" w:cs="Arial"/>
          <w:b/>
          <w:bCs/>
          <w:sz w:val="8"/>
          <w:szCs w:val="24"/>
          <w:lang w:val="de-DE"/>
        </w:rPr>
      </w:pPr>
    </w:p>
    <w:p w14:paraId="1325FF9D" w14:textId="745A7DFD" w:rsidR="00024476" w:rsidRPr="00FE6B8E" w:rsidRDefault="004E5BDF" w:rsidP="00024476">
      <w:pPr>
        <w:spacing w:after="40"/>
        <w:jc w:val="center"/>
        <w:rPr>
          <w:rFonts w:ascii="Times New Roman" w:hAnsi="Times New Roman" w:cs="Times New Roman"/>
          <w:spacing w:val="-4"/>
          <w:sz w:val="28"/>
          <w:szCs w:val="28"/>
        </w:rPr>
      </w:pPr>
      <w:r w:rsidRPr="004E5BDF">
        <w:rPr>
          <w:rFonts w:ascii="Arial" w:hAnsi="Arial" w:cs="Arial"/>
          <w:b/>
          <w:bCs/>
          <w:sz w:val="24"/>
          <w:szCs w:val="24"/>
          <w:lang w:val="de-DE"/>
        </w:rPr>
        <w:t xml:space="preserve">Figure 3. Aquaculture and catch fishery production </w:t>
      </w:r>
      <w:r w:rsidR="005834F9">
        <w:rPr>
          <w:noProof/>
        </w:rPr>
        <w:drawing>
          <wp:inline distT="0" distB="0" distL="0" distR="0" wp14:anchorId="710047C8" wp14:editId="78144C1B">
            <wp:extent cx="4853940" cy="1866900"/>
            <wp:effectExtent l="0" t="0" r="0" b="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3940" cy="1866900"/>
                    </a:xfrm>
                    <a:prstGeom prst="rect">
                      <a:avLst/>
                    </a:prstGeom>
                    <a:noFill/>
                    <a:ln>
                      <a:noFill/>
                    </a:ln>
                  </pic:spPr>
                </pic:pic>
              </a:graphicData>
            </a:graphic>
          </wp:inline>
        </w:drawing>
      </w:r>
    </w:p>
    <w:p w14:paraId="33CBDF03" w14:textId="28F6C947" w:rsidR="00722C96" w:rsidRPr="00024476" w:rsidRDefault="00722C96" w:rsidP="00A7390A">
      <w:pPr>
        <w:spacing w:before="40" w:after="40" w:line="290" w:lineRule="auto"/>
        <w:ind w:firstLine="567"/>
        <w:jc w:val="both"/>
        <w:rPr>
          <w:rFonts w:ascii="Times New Roman" w:hAnsi="Times New Roman" w:cs="Times New Roman"/>
          <w:b/>
          <w:bCs/>
          <w:sz w:val="28"/>
          <w:szCs w:val="28"/>
          <w:lang w:val="pl-PL"/>
        </w:rPr>
      </w:pPr>
      <w:r w:rsidRPr="00024476">
        <w:rPr>
          <w:rFonts w:ascii="Times New Roman" w:hAnsi="Times New Roman" w:cs="Times New Roman"/>
          <w:b/>
          <w:bCs/>
          <w:sz w:val="28"/>
          <w:szCs w:val="28"/>
          <w:lang w:val="pl-PL"/>
        </w:rPr>
        <w:t xml:space="preserve">2. </w:t>
      </w:r>
      <w:r w:rsidR="0096532D" w:rsidRPr="006D3634">
        <w:rPr>
          <w:rFonts w:ascii="Times New Roman" w:hAnsi="Times New Roman" w:cs="Times New Roman"/>
          <w:b/>
          <w:sz w:val="28"/>
          <w:szCs w:val="28"/>
          <w:lang w:val="sv-SE"/>
        </w:rPr>
        <w:t>Industrial production</w:t>
      </w:r>
    </w:p>
    <w:p w14:paraId="199F3172" w14:textId="38FA2968" w:rsidR="0048160B" w:rsidRDefault="0048160B" w:rsidP="00315B93">
      <w:pPr>
        <w:widowControl w:val="0"/>
        <w:shd w:val="clear" w:color="auto" w:fill="FFFFFF"/>
        <w:tabs>
          <w:tab w:val="left" w:pos="8931"/>
        </w:tabs>
        <w:spacing w:before="40" w:after="40" w:line="281" w:lineRule="auto"/>
        <w:ind w:firstLine="567"/>
        <w:jc w:val="both"/>
        <w:rPr>
          <w:rFonts w:ascii="Times New Roman" w:hAnsi="Times New Roman" w:cs="Times New Roman"/>
          <w:i/>
          <w:spacing w:val="-2"/>
          <w:sz w:val="28"/>
          <w:szCs w:val="28"/>
          <w:lang w:val="sv-SE"/>
        </w:rPr>
      </w:pPr>
      <w:r w:rsidRPr="0048160B">
        <w:rPr>
          <w:rFonts w:ascii="Times New Roman" w:hAnsi="Times New Roman" w:cs="Times New Roman"/>
          <w:i/>
          <w:spacing w:val="-2"/>
          <w:sz w:val="28"/>
          <w:szCs w:val="28"/>
          <w:lang w:val="sv-SE"/>
        </w:rPr>
        <w:t xml:space="preserve">Industrial production in April was estimated to increase by 2% over the previous month and by 9.4% over the same period last year due to the control of the Covid-19 pandemic, businesses being more proactive in terms of labor and production plans, </w:t>
      </w:r>
      <w:r w:rsidR="00A535D2" w:rsidRPr="00A535D2">
        <w:rPr>
          <w:rFonts w:ascii="Times New Roman" w:hAnsi="Times New Roman" w:cs="Times New Roman"/>
          <w:i/>
          <w:spacing w:val="-2"/>
          <w:sz w:val="28"/>
          <w:szCs w:val="28"/>
          <w:lang w:val="sv-SE"/>
        </w:rPr>
        <w:t>overcoming difficulties</w:t>
      </w:r>
      <w:r w:rsidR="00A535D2">
        <w:rPr>
          <w:rFonts w:ascii="Times New Roman" w:hAnsi="Times New Roman" w:cs="Times New Roman"/>
          <w:i/>
          <w:spacing w:val="-2"/>
          <w:sz w:val="28"/>
          <w:szCs w:val="28"/>
          <w:lang w:val="vi-VN"/>
        </w:rPr>
        <w:t xml:space="preserve"> </w:t>
      </w:r>
      <w:r w:rsidRPr="0048160B">
        <w:rPr>
          <w:rFonts w:ascii="Times New Roman" w:hAnsi="Times New Roman" w:cs="Times New Roman"/>
          <w:i/>
          <w:spacing w:val="-2"/>
          <w:sz w:val="28"/>
          <w:szCs w:val="28"/>
          <w:lang w:val="sv-SE"/>
        </w:rPr>
        <w:t>to recover and expand production. Generally, in the first four months of 2022, the industrial index of production increased by 7.5% over the same period last year.</w:t>
      </w:r>
    </w:p>
    <w:p w14:paraId="24FA7077" w14:textId="38D1557C" w:rsidR="008A7EF7" w:rsidRDefault="008A7EF7" w:rsidP="00315B93">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8A7EF7">
        <w:rPr>
          <w:rFonts w:ascii="Times New Roman" w:hAnsi="Times New Roman" w:cs="Times New Roman"/>
          <w:sz w:val="28"/>
          <w:szCs w:val="28"/>
          <w:lang w:val="pl-PL"/>
        </w:rPr>
        <w:t>The index of industrial production (IIP) of April 2022 was estimated to increase by 2% over the previous last month</w:t>
      </w:r>
      <w:r>
        <w:rPr>
          <w:rStyle w:val="FootnoteReference"/>
          <w:rFonts w:ascii="Times New Roman" w:hAnsi="Times New Roman"/>
          <w:sz w:val="28"/>
          <w:szCs w:val="28"/>
          <w:lang w:val="pl-PL"/>
        </w:rPr>
        <w:footnoteReference w:id="3"/>
      </w:r>
      <w:r w:rsidRPr="008A7EF7">
        <w:rPr>
          <w:rFonts w:ascii="Times New Roman" w:hAnsi="Times New Roman" w:cs="Times New Roman"/>
          <w:sz w:val="28"/>
          <w:szCs w:val="28"/>
          <w:lang w:val="pl-PL"/>
        </w:rPr>
        <w:t xml:space="preserve"> and increased by 9.4% over the same period last year. Of which, compared to the same period last year, the </w:t>
      </w:r>
      <w:r w:rsidR="00A535D2" w:rsidRPr="00A535D2">
        <w:rPr>
          <w:rFonts w:ascii="Times New Roman" w:hAnsi="Times New Roman" w:cs="Times New Roman"/>
          <w:sz w:val="28"/>
          <w:szCs w:val="28"/>
          <w:lang w:val="pl-PL"/>
        </w:rPr>
        <w:t>manufacturing rose</w:t>
      </w:r>
      <w:r w:rsidR="00A535D2">
        <w:rPr>
          <w:rFonts w:ascii="Times New Roman" w:hAnsi="Times New Roman" w:cs="Times New Roman"/>
          <w:sz w:val="28"/>
          <w:szCs w:val="28"/>
          <w:lang w:val="vi-VN"/>
        </w:rPr>
        <w:t xml:space="preserve"> </w:t>
      </w:r>
      <w:r w:rsidRPr="008A7EF7">
        <w:rPr>
          <w:rFonts w:ascii="Times New Roman" w:hAnsi="Times New Roman" w:cs="Times New Roman"/>
          <w:sz w:val="28"/>
          <w:szCs w:val="28"/>
          <w:lang w:val="pl-PL"/>
        </w:rPr>
        <w:t>by 11.3% (higher than the growth rate of 5.8% and 9.6% of the same period in 2018 and 2019, the years without the Covid-19 epidemic); electricity production and distribution went up by 2.8%; the mining and quarrying surged by 2.3%; water supply, waste and wastewater management, and treatment peaked up 0.4%.</w:t>
      </w:r>
    </w:p>
    <w:p w14:paraId="194AC683" w14:textId="77777777" w:rsidR="00017401" w:rsidRDefault="00017401" w:rsidP="007750AA">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017401">
        <w:rPr>
          <w:rFonts w:ascii="Times New Roman" w:hAnsi="Times New Roman" w:cs="Times New Roman"/>
          <w:sz w:val="28"/>
          <w:szCs w:val="28"/>
          <w:lang w:val="pl-PL"/>
        </w:rPr>
        <w:lastRenderedPageBreak/>
        <w:t>Overall, in the first 4 months of 2021, the IIP was estimated to increase by 7.5% over the same period last year (the same period in 2021 was 9.5%). Of which, the manufacturing rose by 8.3% (the same period last year up 12.1%), contributing 6.5 percentage points to the general growth; electricity production and distribution went up by 6.6%, contributing 0.6 percentage points; the mining and quarrying peaked up by 2.6%, contributing 0.4 percentage point; water supply, waste and wastewater management, and treatment peaked up by 1.1%, contributing 0.02 percentage points to the general growth rate.</w:t>
      </w:r>
    </w:p>
    <w:p w14:paraId="02C8D496" w14:textId="72D4CDFC" w:rsidR="00017401" w:rsidRPr="007750AA" w:rsidRDefault="00017401" w:rsidP="007750AA">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017401">
        <w:rPr>
          <w:rFonts w:ascii="Times New Roman" w:hAnsi="Times New Roman" w:cs="Times New Roman"/>
          <w:i/>
          <w:iCs/>
          <w:sz w:val="28"/>
          <w:szCs w:val="28"/>
          <w:lang w:val="pl-PL"/>
        </w:rPr>
        <w:t xml:space="preserve">The index of production </w:t>
      </w:r>
      <w:r w:rsidRPr="00017401">
        <w:rPr>
          <w:rFonts w:ascii="Times New Roman" w:hAnsi="Times New Roman" w:cs="Times New Roman"/>
          <w:sz w:val="28"/>
          <w:szCs w:val="28"/>
          <w:lang w:val="pl-PL"/>
        </w:rPr>
        <w:t>in the first 4 months of 2022 belonging to 2-digit industrial activities significantly increased compared to the same period in 2019 (the years without the Covid-19 epidemic): Manufacture of wearing apparel (20.1%) (the same period in 2019 up 7.9%); Manufacture of electrical equipment (19.1%) (the same period in 2019 up 9.2%); Manufacture of machinery and equipment n.e.c (13.2%) (the same period in 2019 up 10.9%); Manufacture of fabricated metal products, except machinery and equipment, Manufacture of leather and related products (both 12.8%) (the same period in 2019 up 3.9% and 8.3% respectively); Manufacture of pharmaceuticals, medicinal chemical and botanical products (11.1%) (%) (the same period in 2019 up 3.4%); Printing and reproduction of recorded media (10.6%) (the same period in 2019 up 13.1%); Manufacture of computer, electronic and optical products (9.8%) (the same period in 2019 up 2.4%); Manufacture of paper and paper products (9.7%) (the same period in 2019 up 8.8%). On the opposite side, the IIP of some industries decreased: Manufacture of rubber and plastics products (-12.9%); Repair and installation of machinery and equipment (-11.5%); Manufacture of coke and refined petroleum products (-8.3%); Other mining and quarrying (stone, sand, and clay) (-4%); Sewerage and sewer treatment activities (-3.3%); Extraction of crude petroleum and natural gas (-1.7%).</w:t>
      </w:r>
    </w:p>
    <w:p w14:paraId="30272CD3" w14:textId="77777777" w:rsidR="002F58D0" w:rsidRPr="002F58D0" w:rsidRDefault="002F58D0" w:rsidP="002F58D0">
      <w:pPr>
        <w:shd w:val="clear" w:color="auto" w:fill="FFFFFF"/>
        <w:tabs>
          <w:tab w:val="left" w:pos="8931"/>
        </w:tabs>
        <w:spacing w:after="0" w:line="240" w:lineRule="auto"/>
        <w:ind w:right="-278"/>
        <w:jc w:val="center"/>
        <w:rPr>
          <w:rFonts w:ascii="Arial" w:hAnsi="Arial" w:cs="Arial"/>
          <w:b/>
          <w:spacing w:val="-2"/>
          <w:sz w:val="24"/>
          <w:lang w:val="pl-PL"/>
        </w:rPr>
      </w:pPr>
      <w:r w:rsidRPr="002F58D0">
        <w:rPr>
          <w:rFonts w:ascii="Arial" w:hAnsi="Arial" w:cs="Arial"/>
          <w:b/>
          <w:spacing w:val="-2"/>
          <w:sz w:val="24"/>
          <w:lang w:val="pl-PL"/>
        </w:rPr>
        <w:t>Table 1. The increase/decrease growth rate of every 4-month IIP</w:t>
      </w:r>
    </w:p>
    <w:p w14:paraId="752629D5" w14:textId="77777777" w:rsidR="000F601D" w:rsidRDefault="002F58D0" w:rsidP="002F58D0">
      <w:pPr>
        <w:shd w:val="clear" w:color="auto" w:fill="FFFFFF"/>
        <w:tabs>
          <w:tab w:val="left" w:pos="8931"/>
        </w:tabs>
        <w:spacing w:after="0" w:line="240" w:lineRule="auto"/>
        <w:ind w:right="-278"/>
        <w:jc w:val="center"/>
        <w:rPr>
          <w:rFonts w:ascii="Arial" w:hAnsi="Arial" w:cs="Arial"/>
          <w:b/>
          <w:spacing w:val="-2"/>
          <w:sz w:val="24"/>
          <w:lang w:val="pl-PL"/>
        </w:rPr>
      </w:pPr>
      <w:r w:rsidRPr="002F58D0">
        <w:rPr>
          <w:rFonts w:ascii="Arial" w:hAnsi="Arial" w:cs="Arial"/>
          <w:b/>
          <w:spacing w:val="-2"/>
          <w:sz w:val="24"/>
          <w:lang w:val="pl-PL"/>
        </w:rPr>
        <w:t>in 2018-2022 of some key industries</w:t>
      </w:r>
    </w:p>
    <w:p w14:paraId="75641D20" w14:textId="2C6F4173" w:rsidR="00873B28" w:rsidRDefault="00873B28" w:rsidP="000F601D">
      <w:pPr>
        <w:shd w:val="clear" w:color="auto" w:fill="FFFFFF"/>
        <w:tabs>
          <w:tab w:val="left" w:pos="8931"/>
        </w:tabs>
        <w:spacing w:after="0" w:line="240" w:lineRule="auto"/>
        <w:ind w:right="-278"/>
        <w:jc w:val="right"/>
        <w:rPr>
          <w:rFonts w:ascii="Arial" w:hAnsi="Arial" w:cs="Arial"/>
          <w:spacing w:val="-2"/>
          <w:sz w:val="20"/>
          <w:szCs w:val="20"/>
          <w:lang w:val="pl-PL"/>
        </w:rPr>
      </w:pPr>
      <w:r w:rsidRPr="00831E77">
        <w:rPr>
          <w:rFonts w:ascii="Arial" w:hAnsi="Arial" w:cs="Arial"/>
          <w:spacing w:val="-2"/>
          <w:sz w:val="20"/>
          <w:szCs w:val="20"/>
          <w:lang w:val="pl-PL"/>
        </w:rPr>
        <w:t>%</w:t>
      </w:r>
    </w:p>
    <w:tbl>
      <w:tblPr>
        <w:tblW w:w="9720" w:type="dxa"/>
        <w:jc w:val="center"/>
        <w:tblLook w:val="04A0" w:firstRow="1" w:lastRow="0" w:firstColumn="1" w:lastColumn="0" w:noHBand="0" w:noVBand="1"/>
      </w:tblPr>
      <w:tblGrid>
        <w:gridCol w:w="5112"/>
        <w:gridCol w:w="722"/>
        <w:gridCol w:w="996"/>
        <w:gridCol w:w="996"/>
        <w:gridCol w:w="996"/>
        <w:gridCol w:w="898"/>
      </w:tblGrid>
      <w:tr w:rsidR="001118C6" w:rsidRPr="001118C6" w14:paraId="3075824C" w14:textId="77777777" w:rsidTr="001118C6">
        <w:trPr>
          <w:trHeight w:val="397"/>
          <w:jc w:val="center"/>
        </w:trPr>
        <w:tc>
          <w:tcPr>
            <w:tcW w:w="5112" w:type="dxa"/>
            <w:tcBorders>
              <w:top w:val="single" w:sz="4" w:space="0" w:color="auto"/>
            </w:tcBorders>
            <w:shd w:val="clear" w:color="auto" w:fill="auto"/>
            <w:noWrap/>
            <w:vAlign w:val="bottom"/>
            <w:hideMark/>
          </w:tcPr>
          <w:p w14:paraId="70CC5179" w14:textId="77777777" w:rsidR="001118C6" w:rsidRPr="001118C6" w:rsidRDefault="001118C6" w:rsidP="000F4C80">
            <w:pPr>
              <w:rPr>
                <w:rFonts w:ascii="Arial" w:hAnsi="Arial" w:cs="Arial"/>
                <w:sz w:val="20"/>
                <w:szCs w:val="20"/>
              </w:rPr>
            </w:pPr>
          </w:p>
        </w:tc>
        <w:tc>
          <w:tcPr>
            <w:tcW w:w="722" w:type="dxa"/>
            <w:tcBorders>
              <w:top w:val="single" w:sz="4" w:space="0" w:color="auto"/>
              <w:bottom w:val="single" w:sz="4" w:space="0" w:color="auto"/>
            </w:tcBorders>
            <w:shd w:val="clear" w:color="auto" w:fill="auto"/>
            <w:noWrap/>
            <w:vAlign w:val="center"/>
            <w:hideMark/>
          </w:tcPr>
          <w:p w14:paraId="695E8E0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2018</w:t>
            </w:r>
          </w:p>
        </w:tc>
        <w:tc>
          <w:tcPr>
            <w:tcW w:w="996" w:type="dxa"/>
            <w:tcBorders>
              <w:top w:val="single" w:sz="4" w:space="0" w:color="auto"/>
              <w:bottom w:val="single" w:sz="4" w:space="0" w:color="auto"/>
            </w:tcBorders>
            <w:shd w:val="clear" w:color="auto" w:fill="auto"/>
            <w:noWrap/>
            <w:vAlign w:val="center"/>
            <w:hideMark/>
          </w:tcPr>
          <w:p w14:paraId="6B7BCB8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2019</w:t>
            </w:r>
          </w:p>
        </w:tc>
        <w:tc>
          <w:tcPr>
            <w:tcW w:w="996" w:type="dxa"/>
            <w:tcBorders>
              <w:top w:val="single" w:sz="4" w:space="0" w:color="auto"/>
              <w:bottom w:val="single" w:sz="4" w:space="0" w:color="auto"/>
            </w:tcBorders>
            <w:shd w:val="clear" w:color="auto" w:fill="auto"/>
            <w:noWrap/>
            <w:vAlign w:val="center"/>
            <w:hideMark/>
          </w:tcPr>
          <w:p w14:paraId="073B04B6"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2020</w:t>
            </w:r>
          </w:p>
        </w:tc>
        <w:tc>
          <w:tcPr>
            <w:tcW w:w="996" w:type="dxa"/>
            <w:tcBorders>
              <w:top w:val="single" w:sz="4" w:space="0" w:color="auto"/>
              <w:bottom w:val="single" w:sz="4" w:space="0" w:color="auto"/>
            </w:tcBorders>
            <w:shd w:val="clear" w:color="auto" w:fill="auto"/>
            <w:noWrap/>
            <w:vAlign w:val="center"/>
            <w:hideMark/>
          </w:tcPr>
          <w:p w14:paraId="7E305C8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2021</w:t>
            </w:r>
          </w:p>
        </w:tc>
        <w:tc>
          <w:tcPr>
            <w:tcW w:w="898" w:type="dxa"/>
            <w:tcBorders>
              <w:top w:val="single" w:sz="4" w:space="0" w:color="auto"/>
              <w:bottom w:val="single" w:sz="4" w:space="0" w:color="auto"/>
            </w:tcBorders>
            <w:shd w:val="clear" w:color="auto" w:fill="auto"/>
            <w:noWrap/>
            <w:vAlign w:val="center"/>
            <w:hideMark/>
          </w:tcPr>
          <w:p w14:paraId="2059CF6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2022</w:t>
            </w:r>
          </w:p>
        </w:tc>
      </w:tr>
      <w:tr w:rsidR="001118C6" w:rsidRPr="001118C6" w14:paraId="17C617EB" w14:textId="77777777" w:rsidTr="001118C6">
        <w:trPr>
          <w:trHeight w:val="287"/>
          <w:jc w:val="center"/>
        </w:trPr>
        <w:tc>
          <w:tcPr>
            <w:tcW w:w="5112" w:type="dxa"/>
            <w:shd w:val="clear" w:color="auto" w:fill="auto"/>
            <w:noWrap/>
            <w:vAlign w:val="bottom"/>
            <w:hideMark/>
          </w:tcPr>
          <w:p w14:paraId="27147115" w14:textId="77777777" w:rsidR="001118C6" w:rsidRPr="001118C6" w:rsidRDefault="001118C6" w:rsidP="000F4C80">
            <w:pPr>
              <w:rPr>
                <w:rFonts w:ascii="Arial" w:hAnsi="Arial" w:cs="Arial"/>
                <w:color w:val="000000"/>
                <w:sz w:val="20"/>
                <w:szCs w:val="20"/>
              </w:rPr>
            </w:pPr>
          </w:p>
          <w:p w14:paraId="5642F371"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wearing apparel</w:t>
            </w:r>
          </w:p>
        </w:tc>
        <w:tc>
          <w:tcPr>
            <w:tcW w:w="722" w:type="dxa"/>
            <w:tcBorders>
              <w:top w:val="single" w:sz="4" w:space="0" w:color="auto"/>
            </w:tcBorders>
            <w:shd w:val="clear" w:color="auto" w:fill="auto"/>
            <w:noWrap/>
            <w:vAlign w:val="bottom"/>
            <w:hideMark/>
          </w:tcPr>
          <w:p w14:paraId="61821475"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9.2</w:t>
            </w:r>
          </w:p>
        </w:tc>
        <w:tc>
          <w:tcPr>
            <w:tcW w:w="996" w:type="dxa"/>
            <w:tcBorders>
              <w:top w:val="single" w:sz="4" w:space="0" w:color="auto"/>
            </w:tcBorders>
            <w:shd w:val="clear" w:color="auto" w:fill="auto"/>
            <w:noWrap/>
            <w:vAlign w:val="bottom"/>
            <w:hideMark/>
          </w:tcPr>
          <w:p w14:paraId="5657C79C"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7.9</w:t>
            </w:r>
          </w:p>
        </w:tc>
        <w:tc>
          <w:tcPr>
            <w:tcW w:w="996" w:type="dxa"/>
            <w:tcBorders>
              <w:top w:val="single" w:sz="4" w:space="0" w:color="auto"/>
            </w:tcBorders>
            <w:shd w:val="clear" w:color="auto" w:fill="auto"/>
            <w:noWrap/>
            <w:vAlign w:val="bottom"/>
            <w:hideMark/>
          </w:tcPr>
          <w:p w14:paraId="0091963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-6.5</w:t>
            </w:r>
          </w:p>
        </w:tc>
        <w:tc>
          <w:tcPr>
            <w:tcW w:w="996" w:type="dxa"/>
            <w:tcBorders>
              <w:top w:val="single" w:sz="4" w:space="0" w:color="auto"/>
            </w:tcBorders>
            <w:shd w:val="clear" w:color="auto" w:fill="auto"/>
            <w:noWrap/>
            <w:vAlign w:val="bottom"/>
            <w:hideMark/>
          </w:tcPr>
          <w:p w14:paraId="6C3CC76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8.1</w:t>
            </w:r>
          </w:p>
        </w:tc>
        <w:tc>
          <w:tcPr>
            <w:tcW w:w="898" w:type="dxa"/>
            <w:tcBorders>
              <w:top w:val="single" w:sz="4" w:space="0" w:color="auto"/>
            </w:tcBorders>
            <w:shd w:val="clear" w:color="auto" w:fill="auto"/>
            <w:noWrap/>
            <w:vAlign w:val="bottom"/>
            <w:hideMark/>
          </w:tcPr>
          <w:p w14:paraId="72BB555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20.1</w:t>
            </w:r>
          </w:p>
        </w:tc>
      </w:tr>
      <w:tr w:rsidR="001118C6" w:rsidRPr="001118C6" w14:paraId="6D16951E" w14:textId="77777777" w:rsidTr="001118C6">
        <w:trPr>
          <w:trHeight w:val="287"/>
          <w:jc w:val="center"/>
        </w:trPr>
        <w:tc>
          <w:tcPr>
            <w:tcW w:w="5112" w:type="dxa"/>
            <w:shd w:val="clear" w:color="auto" w:fill="auto"/>
            <w:noWrap/>
            <w:vAlign w:val="bottom"/>
            <w:hideMark/>
          </w:tcPr>
          <w:p w14:paraId="25904B18"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electrical equipment</w:t>
            </w:r>
          </w:p>
        </w:tc>
        <w:tc>
          <w:tcPr>
            <w:tcW w:w="722" w:type="dxa"/>
            <w:shd w:val="clear" w:color="auto" w:fill="auto"/>
            <w:noWrap/>
            <w:vAlign w:val="bottom"/>
            <w:hideMark/>
          </w:tcPr>
          <w:p w14:paraId="2B9D9E74"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13.1</w:t>
            </w:r>
          </w:p>
        </w:tc>
        <w:tc>
          <w:tcPr>
            <w:tcW w:w="996" w:type="dxa"/>
            <w:shd w:val="clear" w:color="auto" w:fill="auto"/>
            <w:noWrap/>
            <w:vAlign w:val="bottom"/>
            <w:hideMark/>
          </w:tcPr>
          <w:p w14:paraId="58D48D9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9.2</w:t>
            </w:r>
          </w:p>
        </w:tc>
        <w:tc>
          <w:tcPr>
            <w:tcW w:w="996" w:type="dxa"/>
            <w:shd w:val="clear" w:color="auto" w:fill="auto"/>
            <w:noWrap/>
            <w:vAlign w:val="bottom"/>
            <w:hideMark/>
          </w:tcPr>
          <w:p w14:paraId="6D490F0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-5.2</w:t>
            </w:r>
          </w:p>
        </w:tc>
        <w:tc>
          <w:tcPr>
            <w:tcW w:w="996" w:type="dxa"/>
            <w:shd w:val="clear" w:color="auto" w:fill="auto"/>
            <w:noWrap/>
            <w:vAlign w:val="bottom"/>
            <w:hideMark/>
          </w:tcPr>
          <w:p w14:paraId="26D287B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13.3</w:t>
            </w:r>
          </w:p>
        </w:tc>
        <w:tc>
          <w:tcPr>
            <w:tcW w:w="898" w:type="dxa"/>
            <w:shd w:val="clear" w:color="auto" w:fill="auto"/>
            <w:noWrap/>
            <w:vAlign w:val="bottom"/>
            <w:hideMark/>
          </w:tcPr>
          <w:p w14:paraId="75AC466C"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19.1</w:t>
            </w:r>
          </w:p>
        </w:tc>
      </w:tr>
      <w:tr w:rsidR="001118C6" w:rsidRPr="001118C6" w14:paraId="2BFAF009" w14:textId="77777777" w:rsidTr="001118C6">
        <w:trPr>
          <w:trHeight w:val="284"/>
          <w:jc w:val="center"/>
        </w:trPr>
        <w:tc>
          <w:tcPr>
            <w:tcW w:w="5112" w:type="dxa"/>
            <w:shd w:val="clear" w:color="auto" w:fill="auto"/>
            <w:noWrap/>
            <w:vAlign w:val="bottom"/>
            <w:hideMark/>
          </w:tcPr>
          <w:p w14:paraId="166391B8"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machinery and equipment n.e.c</w:t>
            </w:r>
          </w:p>
        </w:tc>
        <w:tc>
          <w:tcPr>
            <w:tcW w:w="722" w:type="dxa"/>
            <w:shd w:val="clear" w:color="auto" w:fill="auto"/>
            <w:noWrap/>
            <w:vAlign w:val="bottom"/>
            <w:hideMark/>
          </w:tcPr>
          <w:p w14:paraId="04D9F00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5.2</w:t>
            </w:r>
          </w:p>
        </w:tc>
        <w:tc>
          <w:tcPr>
            <w:tcW w:w="996" w:type="dxa"/>
            <w:shd w:val="clear" w:color="auto" w:fill="auto"/>
            <w:noWrap/>
            <w:vAlign w:val="bottom"/>
            <w:hideMark/>
          </w:tcPr>
          <w:p w14:paraId="37D9E82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10.9</w:t>
            </w:r>
          </w:p>
        </w:tc>
        <w:tc>
          <w:tcPr>
            <w:tcW w:w="996" w:type="dxa"/>
            <w:shd w:val="clear" w:color="auto" w:fill="auto"/>
            <w:noWrap/>
            <w:vAlign w:val="bottom"/>
            <w:hideMark/>
          </w:tcPr>
          <w:p w14:paraId="3DABEF1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-8.0</w:t>
            </w:r>
          </w:p>
        </w:tc>
        <w:tc>
          <w:tcPr>
            <w:tcW w:w="996" w:type="dxa"/>
            <w:shd w:val="clear" w:color="auto" w:fill="auto"/>
            <w:noWrap/>
            <w:vAlign w:val="bottom"/>
            <w:hideMark/>
          </w:tcPr>
          <w:p w14:paraId="07FF434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13.9</w:t>
            </w:r>
          </w:p>
        </w:tc>
        <w:tc>
          <w:tcPr>
            <w:tcW w:w="898" w:type="dxa"/>
            <w:shd w:val="clear" w:color="auto" w:fill="auto"/>
            <w:noWrap/>
            <w:vAlign w:val="bottom"/>
            <w:hideMark/>
          </w:tcPr>
          <w:p w14:paraId="66C4EE6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13.2</w:t>
            </w:r>
          </w:p>
        </w:tc>
      </w:tr>
      <w:tr w:rsidR="001118C6" w:rsidRPr="001118C6" w14:paraId="6A66D8A1" w14:textId="77777777" w:rsidTr="001118C6">
        <w:trPr>
          <w:trHeight w:val="287"/>
          <w:jc w:val="center"/>
        </w:trPr>
        <w:tc>
          <w:tcPr>
            <w:tcW w:w="5112" w:type="dxa"/>
            <w:shd w:val="clear" w:color="auto" w:fill="auto"/>
            <w:noWrap/>
            <w:vAlign w:val="bottom"/>
            <w:hideMark/>
          </w:tcPr>
          <w:p w14:paraId="54D76475"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leather and related products</w:t>
            </w:r>
          </w:p>
        </w:tc>
        <w:tc>
          <w:tcPr>
            <w:tcW w:w="722" w:type="dxa"/>
            <w:shd w:val="clear" w:color="auto" w:fill="auto"/>
            <w:noWrap/>
            <w:vAlign w:val="bottom"/>
            <w:hideMark/>
          </w:tcPr>
          <w:p w14:paraId="6635B884"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9.1</w:t>
            </w:r>
          </w:p>
        </w:tc>
        <w:tc>
          <w:tcPr>
            <w:tcW w:w="996" w:type="dxa"/>
            <w:shd w:val="clear" w:color="auto" w:fill="auto"/>
            <w:noWrap/>
            <w:vAlign w:val="bottom"/>
            <w:hideMark/>
          </w:tcPr>
          <w:p w14:paraId="35F47BE4"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8.3</w:t>
            </w:r>
          </w:p>
        </w:tc>
        <w:tc>
          <w:tcPr>
            <w:tcW w:w="996" w:type="dxa"/>
            <w:shd w:val="clear" w:color="auto" w:fill="auto"/>
            <w:noWrap/>
            <w:vAlign w:val="bottom"/>
            <w:hideMark/>
          </w:tcPr>
          <w:p w14:paraId="7F41AEC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-0.3</w:t>
            </w:r>
          </w:p>
        </w:tc>
        <w:tc>
          <w:tcPr>
            <w:tcW w:w="996" w:type="dxa"/>
            <w:shd w:val="clear" w:color="auto" w:fill="auto"/>
            <w:noWrap/>
            <w:vAlign w:val="bottom"/>
            <w:hideMark/>
          </w:tcPr>
          <w:p w14:paraId="15DBA134"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9.6</w:t>
            </w:r>
          </w:p>
        </w:tc>
        <w:tc>
          <w:tcPr>
            <w:tcW w:w="898" w:type="dxa"/>
            <w:shd w:val="clear" w:color="auto" w:fill="auto"/>
            <w:noWrap/>
            <w:vAlign w:val="bottom"/>
            <w:hideMark/>
          </w:tcPr>
          <w:p w14:paraId="25C3FA52"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12.8</w:t>
            </w:r>
          </w:p>
        </w:tc>
      </w:tr>
      <w:tr w:rsidR="001118C6" w:rsidRPr="001118C6" w14:paraId="7AFCB05F" w14:textId="77777777" w:rsidTr="001118C6">
        <w:trPr>
          <w:trHeight w:val="587"/>
          <w:jc w:val="center"/>
        </w:trPr>
        <w:tc>
          <w:tcPr>
            <w:tcW w:w="5112" w:type="dxa"/>
            <w:shd w:val="clear" w:color="auto" w:fill="auto"/>
            <w:vAlign w:val="bottom"/>
            <w:hideMark/>
          </w:tcPr>
          <w:p w14:paraId="06918537" w14:textId="5491FAEA"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lastRenderedPageBreak/>
              <w:t xml:space="preserve">Manufacture of fabricated metal products, </w:t>
            </w:r>
            <w:r w:rsidRPr="001118C6">
              <w:rPr>
                <w:rFonts w:ascii="Arial" w:hAnsi="Arial" w:cs="Arial"/>
                <w:color w:val="000000"/>
                <w:sz w:val="20"/>
                <w:szCs w:val="20"/>
              </w:rPr>
              <w:br/>
              <w:t xml:space="preserve">except </w:t>
            </w:r>
            <w:r w:rsidR="005751D4">
              <w:rPr>
                <w:rFonts w:ascii="Arial" w:hAnsi="Arial" w:cs="Arial"/>
                <w:color w:val="000000"/>
                <w:sz w:val="20"/>
                <w:szCs w:val="20"/>
              </w:rPr>
              <w:t xml:space="preserve">for </w:t>
            </w:r>
            <w:r w:rsidRPr="001118C6">
              <w:rPr>
                <w:rFonts w:ascii="Arial" w:hAnsi="Arial" w:cs="Arial"/>
                <w:color w:val="000000"/>
                <w:sz w:val="20"/>
                <w:szCs w:val="20"/>
              </w:rPr>
              <w:t>machinery and equipment</w:t>
            </w:r>
          </w:p>
        </w:tc>
        <w:tc>
          <w:tcPr>
            <w:tcW w:w="722" w:type="dxa"/>
            <w:shd w:val="clear" w:color="auto" w:fill="auto"/>
            <w:noWrap/>
            <w:vAlign w:val="bottom"/>
            <w:hideMark/>
          </w:tcPr>
          <w:p w14:paraId="17B0319A"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15.8</w:t>
            </w:r>
          </w:p>
        </w:tc>
        <w:tc>
          <w:tcPr>
            <w:tcW w:w="996" w:type="dxa"/>
            <w:shd w:val="clear" w:color="auto" w:fill="auto"/>
            <w:noWrap/>
            <w:vAlign w:val="bottom"/>
            <w:hideMark/>
          </w:tcPr>
          <w:p w14:paraId="5D6B9146"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3.9</w:t>
            </w:r>
          </w:p>
        </w:tc>
        <w:tc>
          <w:tcPr>
            <w:tcW w:w="996" w:type="dxa"/>
            <w:shd w:val="clear" w:color="auto" w:fill="auto"/>
            <w:noWrap/>
            <w:vAlign w:val="bottom"/>
            <w:hideMark/>
          </w:tcPr>
          <w:p w14:paraId="02B10A5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2.5</w:t>
            </w:r>
          </w:p>
        </w:tc>
        <w:tc>
          <w:tcPr>
            <w:tcW w:w="996" w:type="dxa"/>
            <w:shd w:val="clear" w:color="auto" w:fill="auto"/>
            <w:noWrap/>
            <w:vAlign w:val="bottom"/>
            <w:hideMark/>
          </w:tcPr>
          <w:p w14:paraId="5CE6724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10.5</w:t>
            </w:r>
          </w:p>
        </w:tc>
        <w:tc>
          <w:tcPr>
            <w:tcW w:w="898" w:type="dxa"/>
            <w:shd w:val="clear" w:color="auto" w:fill="auto"/>
            <w:noWrap/>
            <w:vAlign w:val="bottom"/>
            <w:hideMark/>
          </w:tcPr>
          <w:p w14:paraId="0FBA593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12.8</w:t>
            </w:r>
          </w:p>
        </w:tc>
      </w:tr>
      <w:tr w:rsidR="001118C6" w:rsidRPr="001118C6" w14:paraId="144DF658" w14:textId="77777777" w:rsidTr="001118C6">
        <w:trPr>
          <w:trHeight w:val="287"/>
          <w:jc w:val="center"/>
        </w:trPr>
        <w:tc>
          <w:tcPr>
            <w:tcW w:w="5112" w:type="dxa"/>
            <w:shd w:val="clear" w:color="auto" w:fill="auto"/>
            <w:noWrap/>
            <w:vAlign w:val="bottom"/>
            <w:hideMark/>
          </w:tcPr>
          <w:p w14:paraId="4B072B37"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chemicals and chemical products</w:t>
            </w:r>
          </w:p>
        </w:tc>
        <w:tc>
          <w:tcPr>
            <w:tcW w:w="722" w:type="dxa"/>
            <w:shd w:val="clear" w:color="auto" w:fill="auto"/>
            <w:noWrap/>
            <w:vAlign w:val="bottom"/>
            <w:hideMark/>
          </w:tcPr>
          <w:p w14:paraId="6D11BCD0"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7.5</w:t>
            </w:r>
          </w:p>
        </w:tc>
        <w:tc>
          <w:tcPr>
            <w:tcW w:w="996" w:type="dxa"/>
            <w:shd w:val="clear" w:color="auto" w:fill="auto"/>
            <w:noWrap/>
            <w:vAlign w:val="bottom"/>
            <w:hideMark/>
          </w:tcPr>
          <w:p w14:paraId="5C855D9D"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-3.4</w:t>
            </w:r>
          </w:p>
        </w:tc>
        <w:tc>
          <w:tcPr>
            <w:tcW w:w="996" w:type="dxa"/>
            <w:shd w:val="clear" w:color="auto" w:fill="auto"/>
            <w:noWrap/>
            <w:vAlign w:val="bottom"/>
            <w:hideMark/>
          </w:tcPr>
          <w:p w14:paraId="0365392A"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26.4</w:t>
            </w:r>
          </w:p>
        </w:tc>
        <w:tc>
          <w:tcPr>
            <w:tcW w:w="996" w:type="dxa"/>
            <w:shd w:val="clear" w:color="auto" w:fill="auto"/>
            <w:noWrap/>
            <w:vAlign w:val="bottom"/>
            <w:hideMark/>
          </w:tcPr>
          <w:p w14:paraId="5D4EADAA"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2.4</w:t>
            </w:r>
          </w:p>
        </w:tc>
        <w:tc>
          <w:tcPr>
            <w:tcW w:w="898" w:type="dxa"/>
            <w:shd w:val="clear" w:color="auto" w:fill="auto"/>
            <w:noWrap/>
            <w:vAlign w:val="bottom"/>
            <w:hideMark/>
          </w:tcPr>
          <w:p w14:paraId="2E692F72"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11.1</w:t>
            </w:r>
          </w:p>
        </w:tc>
      </w:tr>
      <w:tr w:rsidR="001118C6" w:rsidRPr="001118C6" w14:paraId="01CEE4D7" w14:textId="77777777" w:rsidTr="001118C6">
        <w:trPr>
          <w:trHeight w:val="287"/>
          <w:jc w:val="center"/>
        </w:trPr>
        <w:tc>
          <w:tcPr>
            <w:tcW w:w="5112" w:type="dxa"/>
            <w:shd w:val="clear" w:color="auto" w:fill="auto"/>
            <w:noWrap/>
            <w:vAlign w:val="bottom"/>
            <w:hideMark/>
          </w:tcPr>
          <w:p w14:paraId="0DF03DDA"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Printing and reproduction of recorded media</w:t>
            </w:r>
          </w:p>
        </w:tc>
        <w:tc>
          <w:tcPr>
            <w:tcW w:w="722" w:type="dxa"/>
            <w:shd w:val="clear" w:color="auto" w:fill="auto"/>
            <w:noWrap/>
            <w:vAlign w:val="bottom"/>
            <w:hideMark/>
          </w:tcPr>
          <w:p w14:paraId="54818A4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6.3</w:t>
            </w:r>
          </w:p>
        </w:tc>
        <w:tc>
          <w:tcPr>
            <w:tcW w:w="996" w:type="dxa"/>
            <w:shd w:val="clear" w:color="auto" w:fill="auto"/>
            <w:noWrap/>
            <w:vAlign w:val="bottom"/>
            <w:hideMark/>
          </w:tcPr>
          <w:p w14:paraId="08A33EA2"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13.1</w:t>
            </w:r>
          </w:p>
        </w:tc>
        <w:tc>
          <w:tcPr>
            <w:tcW w:w="996" w:type="dxa"/>
            <w:shd w:val="clear" w:color="auto" w:fill="auto"/>
            <w:noWrap/>
            <w:vAlign w:val="bottom"/>
            <w:hideMark/>
          </w:tcPr>
          <w:p w14:paraId="79A6891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-0.4</w:t>
            </w:r>
          </w:p>
        </w:tc>
        <w:tc>
          <w:tcPr>
            <w:tcW w:w="996" w:type="dxa"/>
            <w:shd w:val="clear" w:color="auto" w:fill="auto"/>
            <w:noWrap/>
            <w:vAlign w:val="bottom"/>
            <w:hideMark/>
          </w:tcPr>
          <w:p w14:paraId="04E6390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-5.4</w:t>
            </w:r>
          </w:p>
        </w:tc>
        <w:tc>
          <w:tcPr>
            <w:tcW w:w="898" w:type="dxa"/>
            <w:shd w:val="clear" w:color="auto" w:fill="auto"/>
            <w:noWrap/>
            <w:vAlign w:val="bottom"/>
            <w:hideMark/>
          </w:tcPr>
          <w:p w14:paraId="0F27B81D"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10.6</w:t>
            </w:r>
          </w:p>
        </w:tc>
      </w:tr>
      <w:tr w:rsidR="001118C6" w:rsidRPr="001118C6" w14:paraId="07F83A68" w14:textId="77777777" w:rsidTr="001118C6">
        <w:trPr>
          <w:trHeight w:val="636"/>
          <w:jc w:val="center"/>
        </w:trPr>
        <w:tc>
          <w:tcPr>
            <w:tcW w:w="5112" w:type="dxa"/>
            <w:shd w:val="clear" w:color="auto" w:fill="auto"/>
            <w:vAlign w:val="bottom"/>
            <w:hideMark/>
          </w:tcPr>
          <w:p w14:paraId="792DB756"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computer, electronic and optical products</w:t>
            </w:r>
          </w:p>
        </w:tc>
        <w:tc>
          <w:tcPr>
            <w:tcW w:w="722" w:type="dxa"/>
            <w:shd w:val="clear" w:color="auto" w:fill="auto"/>
            <w:noWrap/>
            <w:vAlign w:val="bottom"/>
            <w:hideMark/>
          </w:tcPr>
          <w:p w14:paraId="69DF570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23.6</w:t>
            </w:r>
          </w:p>
        </w:tc>
        <w:tc>
          <w:tcPr>
            <w:tcW w:w="996" w:type="dxa"/>
            <w:shd w:val="clear" w:color="auto" w:fill="auto"/>
            <w:noWrap/>
            <w:vAlign w:val="bottom"/>
            <w:hideMark/>
          </w:tcPr>
          <w:p w14:paraId="381A90F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2.4</w:t>
            </w:r>
          </w:p>
        </w:tc>
        <w:tc>
          <w:tcPr>
            <w:tcW w:w="996" w:type="dxa"/>
            <w:shd w:val="clear" w:color="auto" w:fill="auto"/>
            <w:noWrap/>
            <w:vAlign w:val="bottom"/>
            <w:hideMark/>
          </w:tcPr>
          <w:p w14:paraId="6E38435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10.5</w:t>
            </w:r>
          </w:p>
        </w:tc>
        <w:tc>
          <w:tcPr>
            <w:tcW w:w="996" w:type="dxa"/>
            <w:shd w:val="clear" w:color="auto" w:fill="auto"/>
            <w:noWrap/>
            <w:vAlign w:val="bottom"/>
            <w:hideMark/>
          </w:tcPr>
          <w:p w14:paraId="7F7D861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14.6</w:t>
            </w:r>
          </w:p>
        </w:tc>
        <w:tc>
          <w:tcPr>
            <w:tcW w:w="898" w:type="dxa"/>
            <w:shd w:val="clear" w:color="auto" w:fill="auto"/>
            <w:noWrap/>
            <w:vAlign w:val="bottom"/>
            <w:hideMark/>
          </w:tcPr>
          <w:p w14:paraId="0D8D7CC5"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9.8</w:t>
            </w:r>
          </w:p>
        </w:tc>
      </w:tr>
      <w:tr w:rsidR="001118C6" w:rsidRPr="001118C6" w14:paraId="4B02F1A2" w14:textId="77777777" w:rsidTr="001118C6">
        <w:trPr>
          <w:trHeight w:val="287"/>
          <w:jc w:val="center"/>
        </w:trPr>
        <w:tc>
          <w:tcPr>
            <w:tcW w:w="5112" w:type="dxa"/>
            <w:shd w:val="clear" w:color="auto" w:fill="auto"/>
            <w:noWrap/>
            <w:vAlign w:val="bottom"/>
            <w:hideMark/>
          </w:tcPr>
          <w:p w14:paraId="58E55B08"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paper and paper products</w:t>
            </w:r>
          </w:p>
        </w:tc>
        <w:tc>
          <w:tcPr>
            <w:tcW w:w="722" w:type="dxa"/>
            <w:shd w:val="clear" w:color="auto" w:fill="auto"/>
            <w:noWrap/>
            <w:vAlign w:val="bottom"/>
            <w:hideMark/>
          </w:tcPr>
          <w:p w14:paraId="71E2250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10.1</w:t>
            </w:r>
          </w:p>
        </w:tc>
        <w:tc>
          <w:tcPr>
            <w:tcW w:w="996" w:type="dxa"/>
            <w:shd w:val="clear" w:color="auto" w:fill="auto"/>
            <w:noWrap/>
            <w:vAlign w:val="bottom"/>
            <w:hideMark/>
          </w:tcPr>
          <w:p w14:paraId="0BB3B00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8.8</w:t>
            </w:r>
          </w:p>
        </w:tc>
        <w:tc>
          <w:tcPr>
            <w:tcW w:w="996" w:type="dxa"/>
            <w:shd w:val="clear" w:color="auto" w:fill="auto"/>
            <w:noWrap/>
            <w:vAlign w:val="bottom"/>
            <w:hideMark/>
          </w:tcPr>
          <w:p w14:paraId="0774A36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9.8</w:t>
            </w:r>
          </w:p>
        </w:tc>
        <w:tc>
          <w:tcPr>
            <w:tcW w:w="996" w:type="dxa"/>
            <w:shd w:val="clear" w:color="auto" w:fill="auto"/>
            <w:noWrap/>
            <w:vAlign w:val="bottom"/>
            <w:hideMark/>
          </w:tcPr>
          <w:p w14:paraId="20AE973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11.0</w:t>
            </w:r>
          </w:p>
        </w:tc>
        <w:tc>
          <w:tcPr>
            <w:tcW w:w="898" w:type="dxa"/>
            <w:shd w:val="clear" w:color="auto" w:fill="auto"/>
            <w:noWrap/>
            <w:vAlign w:val="bottom"/>
            <w:hideMark/>
          </w:tcPr>
          <w:p w14:paraId="64EBF42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9.7</w:t>
            </w:r>
          </w:p>
        </w:tc>
      </w:tr>
      <w:tr w:rsidR="001118C6" w:rsidRPr="001118C6" w14:paraId="0AD9D2DC" w14:textId="77777777" w:rsidTr="001118C6">
        <w:trPr>
          <w:trHeight w:val="287"/>
          <w:jc w:val="center"/>
        </w:trPr>
        <w:tc>
          <w:tcPr>
            <w:tcW w:w="5112" w:type="dxa"/>
            <w:shd w:val="clear" w:color="auto" w:fill="auto"/>
            <w:noWrap/>
            <w:vAlign w:val="bottom"/>
            <w:hideMark/>
          </w:tcPr>
          <w:p w14:paraId="4AFCAFCA"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Mining of coal and lignite</w:t>
            </w:r>
          </w:p>
        </w:tc>
        <w:tc>
          <w:tcPr>
            <w:tcW w:w="722" w:type="dxa"/>
            <w:shd w:val="clear" w:color="auto" w:fill="auto"/>
            <w:noWrap/>
            <w:vAlign w:val="bottom"/>
            <w:hideMark/>
          </w:tcPr>
          <w:p w14:paraId="5AF0AD5A"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9.3</w:t>
            </w:r>
          </w:p>
        </w:tc>
        <w:tc>
          <w:tcPr>
            <w:tcW w:w="996" w:type="dxa"/>
            <w:shd w:val="clear" w:color="auto" w:fill="auto"/>
            <w:noWrap/>
            <w:vAlign w:val="bottom"/>
            <w:hideMark/>
          </w:tcPr>
          <w:p w14:paraId="5E372EC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15.0</w:t>
            </w:r>
          </w:p>
        </w:tc>
        <w:tc>
          <w:tcPr>
            <w:tcW w:w="996" w:type="dxa"/>
            <w:shd w:val="clear" w:color="auto" w:fill="auto"/>
            <w:noWrap/>
            <w:vAlign w:val="bottom"/>
            <w:hideMark/>
          </w:tcPr>
          <w:p w14:paraId="060AADBD"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6.5</w:t>
            </w:r>
          </w:p>
        </w:tc>
        <w:tc>
          <w:tcPr>
            <w:tcW w:w="996" w:type="dxa"/>
            <w:shd w:val="clear" w:color="auto" w:fill="auto"/>
            <w:noWrap/>
            <w:vAlign w:val="bottom"/>
            <w:hideMark/>
          </w:tcPr>
          <w:p w14:paraId="62B7E18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-4.3</w:t>
            </w:r>
          </w:p>
        </w:tc>
        <w:tc>
          <w:tcPr>
            <w:tcW w:w="898" w:type="dxa"/>
            <w:shd w:val="clear" w:color="auto" w:fill="auto"/>
            <w:noWrap/>
            <w:vAlign w:val="bottom"/>
            <w:hideMark/>
          </w:tcPr>
          <w:p w14:paraId="43540F40"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9.3</w:t>
            </w:r>
          </w:p>
        </w:tc>
      </w:tr>
      <w:tr w:rsidR="001118C6" w:rsidRPr="001118C6" w14:paraId="459D9FFB" w14:textId="77777777" w:rsidTr="001118C6">
        <w:trPr>
          <w:trHeight w:val="287"/>
          <w:jc w:val="center"/>
        </w:trPr>
        <w:tc>
          <w:tcPr>
            <w:tcW w:w="5112" w:type="dxa"/>
            <w:shd w:val="clear" w:color="auto" w:fill="auto"/>
            <w:noWrap/>
            <w:vAlign w:val="bottom"/>
            <w:hideMark/>
          </w:tcPr>
          <w:p w14:paraId="617AF5C5"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Extraction of crude petroleum and natural gas</w:t>
            </w:r>
          </w:p>
        </w:tc>
        <w:tc>
          <w:tcPr>
            <w:tcW w:w="722" w:type="dxa"/>
            <w:shd w:val="clear" w:color="auto" w:fill="auto"/>
            <w:noWrap/>
            <w:vAlign w:val="bottom"/>
            <w:hideMark/>
          </w:tcPr>
          <w:p w14:paraId="45337B14"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-3.1</w:t>
            </w:r>
          </w:p>
        </w:tc>
        <w:tc>
          <w:tcPr>
            <w:tcW w:w="996" w:type="dxa"/>
            <w:shd w:val="clear" w:color="auto" w:fill="auto"/>
            <w:noWrap/>
            <w:vAlign w:val="bottom"/>
            <w:hideMark/>
          </w:tcPr>
          <w:p w14:paraId="63059969"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-4.4</w:t>
            </w:r>
          </w:p>
        </w:tc>
        <w:tc>
          <w:tcPr>
            <w:tcW w:w="996" w:type="dxa"/>
            <w:shd w:val="clear" w:color="auto" w:fill="auto"/>
            <w:noWrap/>
            <w:vAlign w:val="bottom"/>
            <w:hideMark/>
          </w:tcPr>
          <w:p w14:paraId="68DB479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-10.8</w:t>
            </w:r>
          </w:p>
        </w:tc>
        <w:tc>
          <w:tcPr>
            <w:tcW w:w="996" w:type="dxa"/>
            <w:shd w:val="clear" w:color="auto" w:fill="auto"/>
            <w:noWrap/>
            <w:vAlign w:val="bottom"/>
            <w:hideMark/>
          </w:tcPr>
          <w:p w14:paraId="3F56E5D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-9.9</w:t>
            </w:r>
          </w:p>
        </w:tc>
        <w:tc>
          <w:tcPr>
            <w:tcW w:w="898" w:type="dxa"/>
            <w:shd w:val="clear" w:color="auto" w:fill="auto"/>
            <w:noWrap/>
            <w:vAlign w:val="bottom"/>
            <w:hideMark/>
          </w:tcPr>
          <w:p w14:paraId="03BB5AF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-1.7</w:t>
            </w:r>
          </w:p>
        </w:tc>
      </w:tr>
      <w:tr w:rsidR="001118C6" w:rsidRPr="001118C6" w14:paraId="1096D06A" w14:textId="77777777" w:rsidTr="001118C6">
        <w:trPr>
          <w:trHeight w:val="287"/>
          <w:jc w:val="center"/>
        </w:trPr>
        <w:tc>
          <w:tcPr>
            <w:tcW w:w="5112" w:type="dxa"/>
            <w:shd w:val="clear" w:color="auto" w:fill="auto"/>
            <w:noWrap/>
            <w:vAlign w:val="bottom"/>
            <w:hideMark/>
          </w:tcPr>
          <w:p w14:paraId="4B0F2963"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Sewerage and sewer treatment activities</w:t>
            </w:r>
          </w:p>
        </w:tc>
        <w:tc>
          <w:tcPr>
            <w:tcW w:w="722" w:type="dxa"/>
            <w:shd w:val="clear" w:color="auto" w:fill="auto"/>
            <w:noWrap/>
            <w:vAlign w:val="bottom"/>
            <w:hideMark/>
          </w:tcPr>
          <w:p w14:paraId="1FB3A690"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7.0</w:t>
            </w:r>
          </w:p>
        </w:tc>
        <w:tc>
          <w:tcPr>
            <w:tcW w:w="996" w:type="dxa"/>
            <w:shd w:val="clear" w:color="auto" w:fill="auto"/>
            <w:noWrap/>
            <w:vAlign w:val="bottom"/>
            <w:hideMark/>
          </w:tcPr>
          <w:p w14:paraId="4A09B5D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4.6</w:t>
            </w:r>
          </w:p>
        </w:tc>
        <w:tc>
          <w:tcPr>
            <w:tcW w:w="996" w:type="dxa"/>
            <w:shd w:val="clear" w:color="auto" w:fill="auto"/>
            <w:noWrap/>
            <w:vAlign w:val="bottom"/>
            <w:hideMark/>
          </w:tcPr>
          <w:p w14:paraId="719280B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2.5</w:t>
            </w:r>
          </w:p>
        </w:tc>
        <w:tc>
          <w:tcPr>
            <w:tcW w:w="996" w:type="dxa"/>
            <w:shd w:val="clear" w:color="auto" w:fill="auto"/>
            <w:noWrap/>
            <w:vAlign w:val="bottom"/>
            <w:hideMark/>
          </w:tcPr>
          <w:p w14:paraId="1C6053A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-3.5</w:t>
            </w:r>
          </w:p>
        </w:tc>
        <w:tc>
          <w:tcPr>
            <w:tcW w:w="898" w:type="dxa"/>
            <w:shd w:val="clear" w:color="auto" w:fill="auto"/>
            <w:noWrap/>
            <w:vAlign w:val="bottom"/>
            <w:hideMark/>
          </w:tcPr>
          <w:p w14:paraId="36770F6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-3.3</w:t>
            </w:r>
          </w:p>
        </w:tc>
      </w:tr>
      <w:tr w:rsidR="001118C6" w:rsidRPr="001118C6" w14:paraId="4CDEB122" w14:textId="77777777" w:rsidTr="001118C6">
        <w:trPr>
          <w:trHeight w:val="287"/>
          <w:jc w:val="center"/>
        </w:trPr>
        <w:tc>
          <w:tcPr>
            <w:tcW w:w="5112" w:type="dxa"/>
            <w:shd w:val="clear" w:color="auto" w:fill="auto"/>
            <w:noWrap/>
            <w:vAlign w:val="bottom"/>
            <w:hideMark/>
          </w:tcPr>
          <w:p w14:paraId="04C63EDD"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 xml:space="preserve">Other mining and quarrying </w:t>
            </w:r>
            <w:r w:rsidRPr="001118C6">
              <w:rPr>
                <w:rFonts w:ascii="Arial" w:hAnsi="Arial" w:cs="Arial"/>
                <w:color w:val="000000"/>
                <w:sz w:val="20"/>
                <w:szCs w:val="20"/>
              </w:rPr>
              <w:br/>
              <w:t>(stone, sand and clay)</w:t>
            </w:r>
          </w:p>
        </w:tc>
        <w:tc>
          <w:tcPr>
            <w:tcW w:w="722" w:type="dxa"/>
            <w:shd w:val="clear" w:color="auto" w:fill="auto"/>
            <w:noWrap/>
            <w:vAlign w:val="bottom"/>
            <w:hideMark/>
          </w:tcPr>
          <w:p w14:paraId="44665B4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-0.1</w:t>
            </w:r>
          </w:p>
        </w:tc>
        <w:tc>
          <w:tcPr>
            <w:tcW w:w="996" w:type="dxa"/>
            <w:shd w:val="clear" w:color="auto" w:fill="auto"/>
            <w:noWrap/>
            <w:vAlign w:val="bottom"/>
            <w:hideMark/>
          </w:tcPr>
          <w:p w14:paraId="25C8BF6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-1.5</w:t>
            </w:r>
          </w:p>
        </w:tc>
        <w:tc>
          <w:tcPr>
            <w:tcW w:w="996" w:type="dxa"/>
            <w:shd w:val="clear" w:color="auto" w:fill="auto"/>
            <w:noWrap/>
            <w:vAlign w:val="bottom"/>
            <w:hideMark/>
          </w:tcPr>
          <w:p w14:paraId="2164DCD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-2.8</w:t>
            </w:r>
          </w:p>
        </w:tc>
        <w:tc>
          <w:tcPr>
            <w:tcW w:w="996" w:type="dxa"/>
            <w:shd w:val="clear" w:color="auto" w:fill="auto"/>
            <w:noWrap/>
            <w:vAlign w:val="bottom"/>
            <w:hideMark/>
          </w:tcPr>
          <w:p w14:paraId="357903F1"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3.8</w:t>
            </w:r>
          </w:p>
        </w:tc>
        <w:tc>
          <w:tcPr>
            <w:tcW w:w="898" w:type="dxa"/>
            <w:shd w:val="clear" w:color="auto" w:fill="auto"/>
            <w:noWrap/>
            <w:vAlign w:val="bottom"/>
            <w:hideMark/>
          </w:tcPr>
          <w:p w14:paraId="7E98F43D"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-4.0</w:t>
            </w:r>
          </w:p>
        </w:tc>
      </w:tr>
      <w:tr w:rsidR="001118C6" w:rsidRPr="001118C6" w14:paraId="14F6B9F9" w14:textId="77777777" w:rsidTr="001118C6">
        <w:trPr>
          <w:trHeight w:val="287"/>
          <w:jc w:val="center"/>
        </w:trPr>
        <w:tc>
          <w:tcPr>
            <w:tcW w:w="5112" w:type="dxa"/>
            <w:shd w:val="clear" w:color="auto" w:fill="auto"/>
            <w:noWrap/>
            <w:vAlign w:val="bottom"/>
            <w:hideMark/>
          </w:tcPr>
          <w:p w14:paraId="163E51A0"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coke and refined petroleum products</w:t>
            </w:r>
          </w:p>
        </w:tc>
        <w:tc>
          <w:tcPr>
            <w:tcW w:w="722" w:type="dxa"/>
            <w:shd w:val="clear" w:color="auto" w:fill="auto"/>
            <w:noWrap/>
            <w:vAlign w:val="bottom"/>
            <w:hideMark/>
          </w:tcPr>
          <w:p w14:paraId="6FCE2CA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4.5</w:t>
            </w:r>
          </w:p>
        </w:tc>
        <w:tc>
          <w:tcPr>
            <w:tcW w:w="996" w:type="dxa"/>
            <w:shd w:val="clear" w:color="auto" w:fill="auto"/>
            <w:noWrap/>
            <w:vAlign w:val="bottom"/>
            <w:hideMark/>
          </w:tcPr>
          <w:p w14:paraId="5394187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78.1</w:t>
            </w:r>
          </w:p>
        </w:tc>
        <w:tc>
          <w:tcPr>
            <w:tcW w:w="996" w:type="dxa"/>
            <w:shd w:val="clear" w:color="auto" w:fill="auto"/>
            <w:noWrap/>
            <w:vAlign w:val="bottom"/>
            <w:hideMark/>
          </w:tcPr>
          <w:p w14:paraId="737AD18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16.5</w:t>
            </w:r>
          </w:p>
        </w:tc>
        <w:tc>
          <w:tcPr>
            <w:tcW w:w="996" w:type="dxa"/>
            <w:shd w:val="clear" w:color="auto" w:fill="auto"/>
            <w:noWrap/>
            <w:vAlign w:val="bottom"/>
            <w:hideMark/>
          </w:tcPr>
          <w:p w14:paraId="49C47158"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-2.5</w:t>
            </w:r>
          </w:p>
        </w:tc>
        <w:tc>
          <w:tcPr>
            <w:tcW w:w="898" w:type="dxa"/>
            <w:shd w:val="clear" w:color="auto" w:fill="auto"/>
            <w:noWrap/>
            <w:vAlign w:val="bottom"/>
            <w:hideMark/>
          </w:tcPr>
          <w:p w14:paraId="103D2665"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-8.3</w:t>
            </w:r>
          </w:p>
        </w:tc>
      </w:tr>
      <w:tr w:rsidR="001118C6" w:rsidRPr="001118C6" w14:paraId="7D98F2DA" w14:textId="77777777" w:rsidTr="001118C6">
        <w:trPr>
          <w:trHeight w:val="287"/>
          <w:jc w:val="center"/>
        </w:trPr>
        <w:tc>
          <w:tcPr>
            <w:tcW w:w="5112" w:type="dxa"/>
            <w:shd w:val="clear" w:color="auto" w:fill="auto"/>
            <w:noWrap/>
            <w:vAlign w:val="bottom"/>
            <w:hideMark/>
          </w:tcPr>
          <w:p w14:paraId="584951A8"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Repair and installation of machinery and equipment</w:t>
            </w:r>
          </w:p>
        </w:tc>
        <w:tc>
          <w:tcPr>
            <w:tcW w:w="722" w:type="dxa"/>
            <w:shd w:val="clear" w:color="auto" w:fill="auto"/>
            <w:noWrap/>
            <w:vAlign w:val="bottom"/>
            <w:hideMark/>
          </w:tcPr>
          <w:p w14:paraId="0FCE8FD2"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0.1</w:t>
            </w:r>
          </w:p>
        </w:tc>
        <w:tc>
          <w:tcPr>
            <w:tcW w:w="996" w:type="dxa"/>
            <w:shd w:val="clear" w:color="auto" w:fill="auto"/>
            <w:noWrap/>
            <w:vAlign w:val="bottom"/>
            <w:hideMark/>
          </w:tcPr>
          <w:p w14:paraId="02703373"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0.9</w:t>
            </w:r>
          </w:p>
        </w:tc>
        <w:tc>
          <w:tcPr>
            <w:tcW w:w="996" w:type="dxa"/>
            <w:shd w:val="clear" w:color="auto" w:fill="auto"/>
            <w:noWrap/>
            <w:vAlign w:val="bottom"/>
            <w:hideMark/>
          </w:tcPr>
          <w:p w14:paraId="2572732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-11.3</w:t>
            </w:r>
          </w:p>
        </w:tc>
        <w:tc>
          <w:tcPr>
            <w:tcW w:w="996" w:type="dxa"/>
            <w:shd w:val="clear" w:color="auto" w:fill="auto"/>
            <w:noWrap/>
            <w:vAlign w:val="bottom"/>
            <w:hideMark/>
          </w:tcPr>
          <w:p w14:paraId="32B9929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5.6</w:t>
            </w:r>
          </w:p>
        </w:tc>
        <w:tc>
          <w:tcPr>
            <w:tcW w:w="898" w:type="dxa"/>
            <w:shd w:val="clear" w:color="auto" w:fill="auto"/>
            <w:noWrap/>
            <w:vAlign w:val="bottom"/>
            <w:hideMark/>
          </w:tcPr>
          <w:p w14:paraId="14398466"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-11.5</w:t>
            </w:r>
          </w:p>
        </w:tc>
      </w:tr>
      <w:tr w:rsidR="001118C6" w:rsidRPr="001118C6" w14:paraId="4BA2EB74" w14:textId="77777777" w:rsidTr="001118C6">
        <w:trPr>
          <w:trHeight w:val="414"/>
          <w:jc w:val="center"/>
        </w:trPr>
        <w:tc>
          <w:tcPr>
            <w:tcW w:w="5112" w:type="dxa"/>
            <w:tcBorders>
              <w:bottom w:val="single" w:sz="4" w:space="0" w:color="auto"/>
            </w:tcBorders>
            <w:shd w:val="clear" w:color="auto" w:fill="auto"/>
            <w:noWrap/>
            <w:vAlign w:val="bottom"/>
            <w:hideMark/>
          </w:tcPr>
          <w:p w14:paraId="6FA97F11" w14:textId="77777777" w:rsidR="001118C6" w:rsidRPr="001118C6" w:rsidRDefault="001118C6" w:rsidP="000F4C80">
            <w:pPr>
              <w:rPr>
                <w:rFonts w:ascii="Arial" w:hAnsi="Arial" w:cs="Arial"/>
                <w:color w:val="000000"/>
                <w:sz w:val="20"/>
                <w:szCs w:val="20"/>
              </w:rPr>
            </w:pPr>
            <w:r w:rsidRPr="001118C6">
              <w:rPr>
                <w:rFonts w:ascii="Arial" w:hAnsi="Arial" w:cs="Arial"/>
                <w:color w:val="000000"/>
                <w:sz w:val="20"/>
                <w:szCs w:val="20"/>
              </w:rPr>
              <w:t>Manufacture of rubber and plastics products</w:t>
            </w:r>
          </w:p>
        </w:tc>
        <w:tc>
          <w:tcPr>
            <w:tcW w:w="722" w:type="dxa"/>
            <w:tcBorders>
              <w:bottom w:val="single" w:sz="4" w:space="0" w:color="auto"/>
            </w:tcBorders>
            <w:shd w:val="clear" w:color="auto" w:fill="auto"/>
            <w:noWrap/>
            <w:vAlign w:val="bottom"/>
            <w:hideMark/>
          </w:tcPr>
          <w:p w14:paraId="547CA257"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2.3</w:t>
            </w:r>
          </w:p>
        </w:tc>
        <w:tc>
          <w:tcPr>
            <w:tcW w:w="996" w:type="dxa"/>
            <w:tcBorders>
              <w:bottom w:val="single" w:sz="4" w:space="0" w:color="auto"/>
            </w:tcBorders>
            <w:shd w:val="clear" w:color="auto" w:fill="auto"/>
            <w:noWrap/>
            <w:vAlign w:val="bottom"/>
            <w:hideMark/>
          </w:tcPr>
          <w:p w14:paraId="4C6CC47D"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13.3</w:t>
            </w:r>
          </w:p>
        </w:tc>
        <w:tc>
          <w:tcPr>
            <w:tcW w:w="996" w:type="dxa"/>
            <w:tcBorders>
              <w:bottom w:val="single" w:sz="4" w:space="0" w:color="auto"/>
            </w:tcBorders>
            <w:shd w:val="clear" w:color="auto" w:fill="auto"/>
            <w:noWrap/>
            <w:vAlign w:val="bottom"/>
            <w:hideMark/>
          </w:tcPr>
          <w:p w14:paraId="03BAC3EF"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1.0</w:t>
            </w:r>
          </w:p>
        </w:tc>
        <w:tc>
          <w:tcPr>
            <w:tcW w:w="996" w:type="dxa"/>
            <w:tcBorders>
              <w:bottom w:val="single" w:sz="4" w:space="0" w:color="auto"/>
            </w:tcBorders>
            <w:shd w:val="clear" w:color="auto" w:fill="auto"/>
            <w:noWrap/>
            <w:vAlign w:val="bottom"/>
            <w:hideMark/>
          </w:tcPr>
          <w:p w14:paraId="2EFB571B"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12.5</w:t>
            </w:r>
          </w:p>
        </w:tc>
        <w:tc>
          <w:tcPr>
            <w:tcW w:w="898" w:type="dxa"/>
            <w:tcBorders>
              <w:bottom w:val="single" w:sz="4" w:space="0" w:color="auto"/>
            </w:tcBorders>
            <w:shd w:val="clear" w:color="auto" w:fill="auto"/>
            <w:noWrap/>
            <w:vAlign w:val="bottom"/>
            <w:hideMark/>
          </w:tcPr>
          <w:p w14:paraId="7B4971E2" w14:textId="77777777" w:rsidR="001118C6" w:rsidRPr="001118C6" w:rsidRDefault="001118C6" w:rsidP="000F4C80">
            <w:pPr>
              <w:jc w:val="right"/>
              <w:rPr>
                <w:rFonts w:ascii="Arial" w:hAnsi="Arial" w:cs="Arial"/>
                <w:color w:val="000000"/>
                <w:sz w:val="20"/>
                <w:szCs w:val="20"/>
              </w:rPr>
            </w:pPr>
            <w:r w:rsidRPr="001118C6">
              <w:rPr>
                <w:rFonts w:ascii="Arial" w:hAnsi="Arial" w:cs="Arial"/>
                <w:color w:val="000000"/>
                <w:sz w:val="20"/>
                <w:szCs w:val="20"/>
              </w:rPr>
              <w:t>-12.9</w:t>
            </w:r>
          </w:p>
        </w:tc>
      </w:tr>
    </w:tbl>
    <w:p w14:paraId="432EADBF" w14:textId="77777777" w:rsidR="001118C6" w:rsidRPr="00831E77" w:rsidRDefault="001118C6" w:rsidP="000F601D">
      <w:pPr>
        <w:shd w:val="clear" w:color="auto" w:fill="FFFFFF"/>
        <w:tabs>
          <w:tab w:val="left" w:pos="8931"/>
        </w:tabs>
        <w:spacing w:after="0" w:line="240" w:lineRule="auto"/>
        <w:ind w:right="-278"/>
        <w:jc w:val="right"/>
        <w:rPr>
          <w:rFonts w:ascii="Arial" w:hAnsi="Arial" w:cs="Arial"/>
          <w:spacing w:val="-2"/>
          <w:sz w:val="20"/>
          <w:szCs w:val="20"/>
          <w:lang w:val="pl-PL"/>
        </w:rPr>
      </w:pPr>
    </w:p>
    <w:p w14:paraId="07128AA0" w14:textId="77777777" w:rsidR="00024476" w:rsidRPr="00831E77" w:rsidRDefault="00024476" w:rsidP="00873B28">
      <w:pPr>
        <w:shd w:val="clear" w:color="auto" w:fill="FFFFFF"/>
        <w:spacing w:before="40" w:after="40"/>
        <w:ind w:firstLine="567"/>
        <w:jc w:val="both"/>
        <w:rPr>
          <w:rFonts w:ascii="Times New Roman" w:hAnsi="Times New Roman" w:cs="Times New Roman"/>
          <w:i/>
          <w:sz w:val="2"/>
          <w:szCs w:val="28"/>
          <w:lang w:val="pl-PL"/>
        </w:rPr>
      </w:pPr>
    </w:p>
    <w:p w14:paraId="1D920D3D" w14:textId="48D13AD2" w:rsidR="003D6869" w:rsidRPr="00831E77" w:rsidRDefault="006C63C0" w:rsidP="006C63C0">
      <w:pPr>
        <w:shd w:val="clear" w:color="auto" w:fill="FFFFFF"/>
        <w:spacing w:after="0" w:line="240" w:lineRule="auto"/>
        <w:jc w:val="both"/>
        <w:rPr>
          <w:rFonts w:ascii="Arial" w:hAnsi="Arial" w:cs="Arial"/>
          <w:b/>
          <w:bCs/>
          <w:sz w:val="4"/>
          <w:szCs w:val="24"/>
          <w:lang w:val="pl-PL"/>
        </w:rPr>
      </w:pPr>
      <w:r w:rsidRPr="006C63C0">
        <w:rPr>
          <w:rFonts w:ascii="Times New Roman" w:hAnsi="Times New Roman" w:cs="Times New Roman"/>
          <w:i/>
          <w:sz w:val="28"/>
          <w:szCs w:val="28"/>
          <w:lang w:val="pl-PL"/>
        </w:rPr>
        <w:t xml:space="preserve">The index of industrial production in the first 4 months of 2022 </w:t>
      </w:r>
      <w:r w:rsidRPr="006C63C0">
        <w:rPr>
          <w:rFonts w:ascii="Times New Roman" w:hAnsi="Times New Roman" w:cs="Times New Roman"/>
          <w:iCs/>
          <w:sz w:val="28"/>
          <w:szCs w:val="28"/>
          <w:lang w:val="pl-PL"/>
        </w:rPr>
        <w:t>over the same period last year increased in 61 localities and decreased in 02 localities across the country.</w:t>
      </w:r>
    </w:p>
    <w:p w14:paraId="75CFABF4" w14:textId="77777777" w:rsidR="00897848" w:rsidRPr="00897848" w:rsidRDefault="00897848" w:rsidP="00897848">
      <w:pPr>
        <w:shd w:val="clear" w:color="auto" w:fill="FFFFFF"/>
        <w:spacing w:after="0" w:line="240" w:lineRule="auto"/>
        <w:jc w:val="center"/>
        <w:rPr>
          <w:rFonts w:ascii="Arial" w:hAnsi="Arial" w:cs="Arial"/>
          <w:b/>
          <w:bCs/>
          <w:sz w:val="24"/>
          <w:szCs w:val="24"/>
          <w:lang w:val="pl-PL"/>
        </w:rPr>
      </w:pPr>
      <w:r w:rsidRPr="00897848">
        <w:rPr>
          <w:rFonts w:ascii="Arial" w:hAnsi="Arial" w:cs="Arial"/>
          <w:b/>
          <w:bCs/>
          <w:sz w:val="24"/>
          <w:szCs w:val="24"/>
          <w:lang w:val="pl-PL"/>
        </w:rPr>
        <w:t xml:space="preserve">Figure 4. The IIP growth rate of some provinces in the first 4 months of 2022 </w:t>
      </w:r>
    </w:p>
    <w:p w14:paraId="14B79DAE" w14:textId="3B04A7C0" w:rsidR="00A7390A" w:rsidRPr="00A7390A" w:rsidRDefault="00897848" w:rsidP="00897848">
      <w:pPr>
        <w:shd w:val="clear" w:color="auto" w:fill="FFFFFF"/>
        <w:spacing w:after="0" w:line="240" w:lineRule="auto"/>
        <w:jc w:val="center"/>
        <w:rPr>
          <w:rFonts w:ascii="Arial" w:hAnsi="Arial" w:cs="Arial"/>
          <w:b/>
          <w:bCs/>
          <w:sz w:val="14"/>
          <w:szCs w:val="24"/>
          <w:lang w:val="pl-PL"/>
        </w:rPr>
      </w:pPr>
      <w:r w:rsidRPr="00897848">
        <w:rPr>
          <w:rFonts w:ascii="Arial" w:hAnsi="Arial" w:cs="Arial"/>
          <w:b/>
          <w:bCs/>
          <w:sz w:val="24"/>
          <w:szCs w:val="24"/>
          <w:lang w:val="pl-PL"/>
        </w:rPr>
        <w:t>over the same period last year (%)</w:t>
      </w:r>
    </w:p>
    <w:tbl>
      <w:tblPr>
        <w:tblStyle w:val="TableGrid"/>
        <w:tblW w:w="1006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5"/>
        <w:gridCol w:w="5302"/>
      </w:tblGrid>
      <w:tr w:rsidR="00873B28" w14:paraId="3A141BFA" w14:textId="77777777" w:rsidTr="003D6869">
        <w:trPr>
          <w:trHeight w:val="4087"/>
        </w:trPr>
        <w:tc>
          <w:tcPr>
            <w:tcW w:w="4765" w:type="dxa"/>
          </w:tcPr>
          <w:p w14:paraId="6328DED2" w14:textId="00093B4C" w:rsidR="00873B28" w:rsidRDefault="0046202D" w:rsidP="003D6869">
            <w:pPr>
              <w:spacing w:before="40" w:after="40" w:line="262" w:lineRule="auto"/>
              <w:jc w:val="both"/>
              <w:rPr>
                <w:i/>
                <w:spacing w:val="-2"/>
                <w:lang w:val="pl-PL"/>
              </w:rPr>
            </w:pPr>
            <w:r>
              <w:rPr>
                <w:noProof/>
              </w:rPr>
              <w:drawing>
                <wp:inline distT="0" distB="0" distL="0" distR="0" wp14:anchorId="7D348961" wp14:editId="638745F9">
                  <wp:extent cx="3257550" cy="33528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302" w:type="dxa"/>
          </w:tcPr>
          <w:p w14:paraId="31F90A7D" w14:textId="412B332E" w:rsidR="00873B28" w:rsidRDefault="0046202D" w:rsidP="00873B28">
            <w:pPr>
              <w:spacing w:before="40" w:after="40" w:line="262" w:lineRule="auto"/>
              <w:jc w:val="both"/>
              <w:rPr>
                <w:i/>
                <w:spacing w:val="-2"/>
                <w:lang w:val="pl-PL"/>
              </w:rPr>
            </w:pPr>
            <w:r>
              <w:rPr>
                <w:noProof/>
              </w:rPr>
              <w:drawing>
                <wp:inline distT="0" distB="0" distL="0" distR="0" wp14:anchorId="31574F97" wp14:editId="7D953290">
                  <wp:extent cx="3295650" cy="3343275"/>
                  <wp:effectExtent l="0" t="0" r="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75217992" w14:textId="77777777" w:rsidR="006D4321" w:rsidRDefault="006D4321" w:rsidP="00831E77">
      <w:pPr>
        <w:spacing w:before="40" w:after="40" w:line="271" w:lineRule="auto"/>
        <w:ind w:firstLine="567"/>
        <w:jc w:val="both"/>
        <w:rPr>
          <w:rFonts w:ascii="Times New Roman" w:hAnsi="Times New Roman" w:cs="Times New Roman"/>
          <w:i/>
          <w:sz w:val="28"/>
          <w:szCs w:val="28"/>
          <w:lang w:val="pl-PL"/>
        </w:rPr>
      </w:pPr>
      <w:r w:rsidRPr="006D4321">
        <w:rPr>
          <w:rFonts w:ascii="Times New Roman" w:hAnsi="Times New Roman" w:cs="Times New Roman"/>
          <w:i/>
          <w:sz w:val="28"/>
          <w:szCs w:val="28"/>
          <w:lang w:val="pl-PL"/>
        </w:rPr>
        <w:t>Some major industrial products in the first 4 months of 2022 increased sharply over the same period last year</w:t>
      </w:r>
      <w:r w:rsidRPr="006D4321">
        <w:rPr>
          <w:rFonts w:ascii="Times New Roman" w:hAnsi="Times New Roman" w:cs="Times New Roman"/>
          <w:iCs/>
          <w:sz w:val="28"/>
          <w:szCs w:val="28"/>
          <w:lang w:val="pl-PL"/>
        </w:rPr>
        <w:t xml:space="preserve">: Monosodium glutamate and Phone accessories (both 21.5%); Steel bars and corners (15.2%); Textile fabric from </w:t>
      </w:r>
      <w:r w:rsidRPr="006D4321">
        <w:rPr>
          <w:rFonts w:ascii="Times New Roman" w:hAnsi="Times New Roman" w:cs="Times New Roman"/>
          <w:iCs/>
          <w:sz w:val="28"/>
          <w:szCs w:val="28"/>
          <w:lang w:val="pl-PL"/>
        </w:rPr>
        <w:lastRenderedPageBreak/>
        <w:t>natural yarn (13.5%); Urea fertilizer (13.2%); Aluminium (12.7%); Clothes (12.3%); Automobile (12%); Processed fishery products (11.3%); Fresh milk (9.7%); Laminated steel (9.6%); Coal (pure) (9.3%). In the opposite side, a number of products decreased compared to the same period last year: Television (-18.9%); Mobile phone (-9.9%); Petroleum (-9.7%); Textile fabric from polyester or artificial yarn (-9.1%); Aquatic feed (-8.4%); Crude steel, iron (-5.8%); Chemical paint (-2.6%); Natural gas (in the form of air) (-2.1%); Extracted crude oil (-1.1%).</w:t>
      </w:r>
    </w:p>
    <w:p w14:paraId="08DCA5C4" w14:textId="77777777" w:rsidR="005B095D" w:rsidRDefault="005B095D" w:rsidP="00831E77">
      <w:pPr>
        <w:spacing w:before="40" w:after="40" w:line="271" w:lineRule="auto"/>
        <w:ind w:firstLine="567"/>
        <w:jc w:val="both"/>
        <w:rPr>
          <w:rFonts w:ascii="Times New Roman" w:hAnsi="Times New Roman" w:cs="Times New Roman"/>
          <w:i/>
          <w:sz w:val="28"/>
          <w:szCs w:val="28"/>
          <w:lang w:val="pl-PL"/>
        </w:rPr>
      </w:pPr>
      <w:r w:rsidRPr="005B095D">
        <w:rPr>
          <w:rFonts w:ascii="Times New Roman" w:hAnsi="Times New Roman" w:cs="Times New Roman"/>
          <w:i/>
          <w:sz w:val="28"/>
          <w:szCs w:val="28"/>
          <w:lang w:val="pl-PL"/>
        </w:rPr>
        <w:t xml:space="preserve">The number of employees working in industrial enterprises </w:t>
      </w:r>
      <w:r w:rsidRPr="005B095D">
        <w:rPr>
          <w:rFonts w:ascii="Times New Roman" w:hAnsi="Times New Roman" w:cs="Times New Roman"/>
          <w:iCs/>
          <w:sz w:val="28"/>
          <w:szCs w:val="28"/>
          <w:lang w:val="pl-PL"/>
        </w:rPr>
        <w:t>as of 01/4/2022 was up 1.3% over the same period last month and rose by 3.9% over the same period last year. Of which the number of working employees in the state-owned enterprise sector was up 0.2% and decreased by 3.9%; non-state enterprises rose by 1.1% and declined by 2.4%; enterprises of foreign direct investment peaked by 1.5% and surged by 5.3%. By industry, the number of employees working in mining and quarrying was up 0.3% over the same period last month and went down by 1.8% over the same period last year; manufacturing was up 1.4% and increased by 4.3%; the production and distribution of electricity kept unchanged and peaked up by 0.7%; the water supply, sewerage, waste management, and remediation activities were constant and rosed by 1.8%.</w:t>
      </w:r>
    </w:p>
    <w:p w14:paraId="1CFA460C" w14:textId="36417971" w:rsidR="00B31A7B" w:rsidRPr="00B31A7B" w:rsidRDefault="00B31A7B" w:rsidP="00831E77">
      <w:pPr>
        <w:spacing w:before="40" w:after="40" w:line="271" w:lineRule="auto"/>
        <w:ind w:firstLine="567"/>
        <w:jc w:val="both"/>
        <w:rPr>
          <w:rFonts w:ascii="Times New Roman" w:hAnsi="Times New Roman" w:cs="Times New Roman"/>
          <w:sz w:val="28"/>
          <w:szCs w:val="28"/>
          <w:lang w:val="it-IT"/>
        </w:rPr>
      </w:pPr>
      <w:r w:rsidRPr="00B31A7B">
        <w:rPr>
          <w:rFonts w:ascii="Times New Roman" w:hAnsi="Times New Roman" w:cs="Times New Roman"/>
          <w:b/>
          <w:bCs/>
          <w:sz w:val="28"/>
          <w:szCs w:val="28"/>
          <w:lang w:val="pl-PL"/>
        </w:rPr>
        <w:t>3.</w:t>
      </w:r>
      <w:r w:rsidRPr="00B31A7B">
        <w:rPr>
          <w:rFonts w:ascii="Times New Roman" w:hAnsi="Times New Roman" w:cs="Times New Roman"/>
          <w:b/>
          <w:bCs/>
          <w:sz w:val="28"/>
          <w:szCs w:val="28"/>
          <w:lang w:val="it-IT"/>
        </w:rPr>
        <w:t xml:space="preserve"> </w:t>
      </w:r>
      <w:r w:rsidR="00555AC1" w:rsidRPr="00555AC1">
        <w:rPr>
          <w:rFonts w:ascii="Times New Roman" w:hAnsi="Times New Roman" w:cs="Times New Roman"/>
          <w:b/>
          <w:sz w:val="28"/>
          <w:szCs w:val="28"/>
          <w:lang w:val="it-IT"/>
        </w:rPr>
        <w:t>Enterprise registration status</w:t>
      </w:r>
      <w:r w:rsidRPr="00B31A7B">
        <w:rPr>
          <w:rFonts w:ascii="Times New Roman" w:hAnsi="Times New Roman" w:cs="Times New Roman"/>
          <w:bCs/>
          <w:sz w:val="28"/>
          <w:szCs w:val="28"/>
          <w:vertAlign w:val="superscript"/>
        </w:rPr>
        <w:footnoteReference w:id="4"/>
      </w:r>
    </w:p>
    <w:p w14:paraId="74851689" w14:textId="77777777" w:rsidR="00C81582" w:rsidRDefault="00C81582" w:rsidP="004367EF">
      <w:pPr>
        <w:spacing w:before="40" w:after="40" w:line="252" w:lineRule="auto"/>
        <w:ind w:firstLine="567"/>
        <w:jc w:val="both"/>
        <w:rPr>
          <w:rFonts w:ascii="Times New Roman" w:hAnsi="Times New Roman" w:cs="Times New Roman"/>
          <w:i/>
          <w:iCs/>
          <w:sz w:val="28"/>
          <w:szCs w:val="28"/>
          <w:lang w:val="en"/>
        </w:rPr>
      </w:pPr>
      <w:r w:rsidRPr="00C81582">
        <w:rPr>
          <w:rFonts w:ascii="Times New Roman" w:hAnsi="Times New Roman" w:cs="Times New Roman"/>
          <w:i/>
          <w:iCs/>
          <w:sz w:val="28"/>
          <w:szCs w:val="28"/>
          <w:lang w:val="en"/>
        </w:rPr>
        <w:t>In April, the business started strongly. The number of newly-established enterprises reached 15,000 enterprises for the first time, if including the number of enterprises returning to operation, the number of enterprises participating in the market in April was more than twice over the enterprises withdrawing from the market. In the first 4 months of 2022, the number of newly-established enterprises increased by 12.3% compared to the same period in 2021; the number of enterprises returning to operation increased by 60.6% and the number of enterprises completing dissolution procedures decreased by 17.5%. The above results showed that the solutions to run the socio-economic recovery and development program have created a trust for people and the business community.</w:t>
      </w:r>
    </w:p>
    <w:p w14:paraId="44F6F0BC" w14:textId="65367075" w:rsidR="004367EF" w:rsidRDefault="004367EF" w:rsidP="004367EF">
      <w:pPr>
        <w:spacing w:before="40" w:after="40" w:line="252" w:lineRule="auto"/>
        <w:ind w:firstLine="567"/>
        <w:jc w:val="both"/>
        <w:rPr>
          <w:rFonts w:ascii="Times New Roman" w:hAnsi="Times New Roman" w:cs="Times New Roman"/>
          <w:sz w:val="28"/>
          <w:szCs w:val="28"/>
          <w:lang w:val="it-IT"/>
        </w:rPr>
      </w:pPr>
      <w:r w:rsidRPr="00E43F43">
        <w:rPr>
          <w:rFonts w:ascii="Times New Roman" w:hAnsi="Times New Roman" w:cs="Times New Roman"/>
          <w:sz w:val="28"/>
          <w:szCs w:val="28"/>
          <w:lang w:val="it-IT"/>
        </w:rPr>
        <w:t xml:space="preserve">In </w:t>
      </w:r>
      <w:r>
        <w:rPr>
          <w:rFonts w:ascii="Times New Roman" w:hAnsi="Times New Roman" w:cs="Times New Roman"/>
          <w:sz w:val="28"/>
          <w:szCs w:val="28"/>
          <w:lang w:val="it-IT"/>
        </w:rPr>
        <w:t>April</w:t>
      </w:r>
      <w:r w:rsidRPr="00E43F43">
        <w:rPr>
          <w:rFonts w:ascii="Times New Roman" w:hAnsi="Times New Roman" w:cs="Times New Roman"/>
          <w:sz w:val="28"/>
          <w:szCs w:val="28"/>
          <w:lang w:val="it-IT"/>
        </w:rPr>
        <w:t xml:space="preserve">, the whole country had </w:t>
      </w:r>
      <w:r>
        <w:rPr>
          <w:rFonts w:ascii="Times New Roman" w:hAnsi="Times New Roman" w:cs="Times New Roman"/>
          <w:sz w:val="28"/>
          <w:szCs w:val="28"/>
          <w:lang w:val="it-IT"/>
        </w:rPr>
        <w:t>15</w:t>
      </w:r>
      <w:r w:rsidRPr="00E43F43">
        <w:rPr>
          <w:rFonts w:ascii="Times New Roman" w:hAnsi="Times New Roman" w:cs="Times New Roman"/>
          <w:sz w:val="28"/>
          <w:szCs w:val="28"/>
          <w:lang w:val="it-IT"/>
        </w:rPr>
        <w:t xml:space="preserve"> thousand newly established enterprises with registered capital was 1</w:t>
      </w:r>
      <w:r>
        <w:rPr>
          <w:rFonts w:ascii="Times New Roman" w:hAnsi="Times New Roman" w:cs="Times New Roman"/>
          <w:sz w:val="28"/>
          <w:szCs w:val="28"/>
          <w:lang w:val="it-IT"/>
        </w:rPr>
        <w:t xml:space="preserve">64.1 </w:t>
      </w:r>
      <w:r w:rsidRPr="00E43F43">
        <w:rPr>
          <w:rFonts w:ascii="Times New Roman" w:hAnsi="Times New Roman" w:cs="Times New Roman"/>
          <w:sz w:val="28"/>
          <w:szCs w:val="28"/>
          <w:lang w:val="it-IT"/>
        </w:rPr>
        <w:t xml:space="preserve">trillion VND and a total number of registered employees of </w:t>
      </w:r>
      <w:r>
        <w:rPr>
          <w:rFonts w:ascii="Times New Roman" w:hAnsi="Times New Roman" w:cs="Times New Roman"/>
          <w:sz w:val="28"/>
          <w:szCs w:val="28"/>
          <w:lang w:val="it-IT"/>
        </w:rPr>
        <w:t>nearly 104</w:t>
      </w:r>
      <w:r w:rsidRPr="00E43F43">
        <w:rPr>
          <w:rFonts w:ascii="Times New Roman" w:hAnsi="Times New Roman" w:cs="Times New Roman"/>
          <w:sz w:val="28"/>
          <w:szCs w:val="28"/>
          <w:lang w:val="it-IT"/>
        </w:rPr>
        <w:t xml:space="preserve">.8 thousand employees, an increase of </w:t>
      </w:r>
      <w:r>
        <w:rPr>
          <w:rFonts w:ascii="Times New Roman" w:hAnsi="Times New Roman" w:cs="Times New Roman"/>
          <w:sz w:val="28"/>
          <w:szCs w:val="28"/>
          <w:lang w:val="it-IT"/>
        </w:rPr>
        <w:t>4</w:t>
      </w:r>
      <w:r w:rsidRPr="00E43F43">
        <w:rPr>
          <w:rFonts w:ascii="Times New Roman" w:hAnsi="Times New Roman" w:cs="Times New Roman"/>
          <w:sz w:val="28"/>
          <w:szCs w:val="28"/>
          <w:lang w:val="it-IT"/>
        </w:rPr>
        <w:t>.</w:t>
      </w:r>
      <w:r>
        <w:rPr>
          <w:rFonts w:ascii="Times New Roman" w:hAnsi="Times New Roman" w:cs="Times New Roman"/>
          <w:sz w:val="28"/>
          <w:szCs w:val="28"/>
          <w:lang w:val="it-IT"/>
        </w:rPr>
        <w:t>9</w:t>
      </w:r>
      <w:r w:rsidRPr="00E43F43">
        <w:rPr>
          <w:rFonts w:ascii="Times New Roman" w:hAnsi="Times New Roman" w:cs="Times New Roman"/>
          <w:sz w:val="28"/>
          <w:szCs w:val="28"/>
          <w:lang w:val="it-IT"/>
        </w:rPr>
        <w:t xml:space="preserve">% </w:t>
      </w:r>
      <w:r>
        <w:rPr>
          <w:rFonts w:ascii="Times New Roman" w:hAnsi="Times New Roman" w:cs="Times New Roman"/>
          <w:sz w:val="28"/>
          <w:szCs w:val="28"/>
          <w:lang w:val="it-IT"/>
        </w:rPr>
        <w:t>in the number of enterprises, a</w:t>
      </w:r>
      <w:r w:rsidRPr="00E43F43">
        <w:rPr>
          <w:rFonts w:ascii="Times New Roman" w:hAnsi="Times New Roman" w:cs="Times New Roman"/>
          <w:sz w:val="28"/>
          <w:szCs w:val="28"/>
          <w:lang w:val="it-IT"/>
        </w:rPr>
        <w:t xml:space="preserve"> </w:t>
      </w:r>
      <w:r>
        <w:rPr>
          <w:rFonts w:ascii="Times New Roman" w:hAnsi="Times New Roman" w:cs="Times New Roman"/>
          <w:sz w:val="28"/>
          <w:szCs w:val="28"/>
          <w:lang w:val="it-IT"/>
        </w:rPr>
        <w:t>de</w:t>
      </w:r>
      <w:r w:rsidRPr="00E43F43">
        <w:rPr>
          <w:rFonts w:ascii="Times New Roman" w:hAnsi="Times New Roman" w:cs="Times New Roman"/>
          <w:sz w:val="28"/>
          <w:szCs w:val="28"/>
          <w:lang w:val="it-IT"/>
        </w:rPr>
        <w:t>crease of 1</w:t>
      </w:r>
      <w:r>
        <w:rPr>
          <w:rFonts w:ascii="Times New Roman" w:hAnsi="Times New Roman" w:cs="Times New Roman"/>
          <w:sz w:val="28"/>
          <w:szCs w:val="28"/>
          <w:lang w:val="it-IT"/>
        </w:rPr>
        <w:t>5</w:t>
      </w:r>
      <w:r w:rsidRPr="00E43F43">
        <w:rPr>
          <w:rFonts w:ascii="Times New Roman" w:hAnsi="Times New Roman" w:cs="Times New Roman"/>
          <w:sz w:val="28"/>
          <w:szCs w:val="28"/>
          <w:lang w:val="it-IT"/>
        </w:rPr>
        <w:t xml:space="preserve">.3% in registered capital and an increase of </w:t>
      </w:r>
      <w:r>
        <w:rPr>
          <w:rFonts w:ascii="Times New Roman" w:hAnsi="Times New Roman" w:cs="Times New Roman"/>
          <w:sz w:val="28"/>
          <w:szCs w:val="28"/>
          <w:lang w:val="it-IT"/>
        </w:rPr>
        <w:t>11</w:t>
      </w:r>
      <w:r w:rsidRPr="00E43F43">
        <w:rPr>
          <w:rFonts w:ascii="Times New Roman" w:hAnsi="Times New Roman" w:cs="Times New Roman"/>
          <w:sz w:val="28"/>
          <w:szCs w:val="28"/>
          <w:lang w:val="it-IT"/>
        </w:rPr>
        <w:t>.</w:t>
      </w:r>
      <w:r>
        <w:rPr>
          <w:rFonts w:ascii="Times New Roman" w:hAnsi="Times New Roman" w:cs="Times New Roman"/>
          <w:sz w:val="28"/>
          <w:szCs w:val="28"/>
          <w:lang w:val="it-IT"/>
        </w:rPr>
        <w:t>7</w:t>
      </w:r>
      <w:r w:rsidRPr="00E43F43">
        <w:rPr>
          <w:rFonts w:ascii="Times New Roman" w:hAnsi="Times New Roman" w:cs="Times New Roman"/>
          <w:sz w:val="28"/>
          <w:szCs w:val="28"/>
          <w:lang w:val="it-IT"/>
        </w:rPr>
        <w:t xml:space="preserve">% in the number of employees compared to </w:t>
      </w:r>
      <w:r>
        <w:rPr>
          <w:rFonts w:ascii="Times New Roman" w:hAnsi="Times New Roman" w:cs="Times New Roman"/>
          <w:sz w:val="28"/>
          <w:szCs w:val="28"/>
          <w:lang w:val="it-IT"/>
        </w:rPr>
        <w:t>March</w:t>
      </w:r>
      <w:r w:rsidRPr="00E43F43">
        <w:rPr>
          <w:rFonts w:ascii="Times New Roman" w:hAnsi="Times New Roman" w:cs="Times New Roman"/>
          <w:sz w:val="28"/>
          <w:szCs w:val="28"/>
          <w:lang w:val="it-IT"/>
        </w:rPr>
        <w:t xml:space="preserve"> 2022. Compared to the same period last year, an increase of </w:t>
      </w:r>
      <w:r>
        <w:rPr>
          <w:rFonts w:ascii="Times New Roman" w:hAnsi="Times New Roman" w:cs="Times New Roman"/>
          <w:sz w:val="28"/>
          <w:szCs w:val="28"/>
          <w:lang w:val="it-IT"/>
        </w:rPr>
        <w:t>0.9</w:t>
      </w:r>
      <w:r w:rsidRPr="00E43F43">
        <w:rPr>
          <w:rFonts w:ascii="Times New Roman" w:hAnsi="Times New Roman" w:cs="Times New Roman"/>
          <w:sz w:val="28"/>
          <w:szCs w:val="28"/>
          <w:lang w:val="it-IT"/>
        </w:rPr>
        <w:t xml:space="preserve">% in the number of enterprises, </w:t>
      </w:r>
      <w:r>
        <w:rPr>
          <w:rFonts w:ascii="Times New Roman" w:hAnsi="Times New Roman" w:cs="Times New Roman"/>
          <w:sz w:val="28"/>
          <w:szCs w:val="28"/>
          <w:lang w:val="it-IT"/>
        </w:rPr>
        <w:t>a decrease of 8</w:t>
      </w:r>
      <w:r w:rsidRPr="00E43F43">
        <w:rPr>
          <w:rFonts w:ascii="Times New Roman" w:hAnsi="Times New Roman" w:cs="Times New Roman"/>
          <w:sz w:val="28"/>
          <w:szCs w:val="28"/>
          <w:lang w:val="it-IT"/>
        </w:rPr>
        <w:t>.</w:t>
      </w:r>
      <w:r>
        <w:rPr>
          <w:rFonts w:ascii="Times New Roman" w:hAnsi="Times New Roman" w:cs="Times New Roman"/>
          <w:sz w:val="28"/>
          <w:szCs w:val="28"/>
          <w:lang w:val="it-IT"/>
        </w:rPr>
        <w:t>8</w:t>
      </w:r>
      <w:r w:rsidRPr="00E43F43">
        <w:rPr>
          <w:rFonts w:ascii="Times New Roman" w:hAnsi="Times New Roman" w:cs="Times New Roman"/>
          <w:sz w:val="28"/>
          <w:szCs w:val="28"/>
          <w:lang w:val="it-IT"/>
        </w:rPr>
        <w:t xml:space="preserve">% in registered capital, and </w:t>
      </w:r>
      <w:r>
        <w:rPr>
          <w:rFonts w:ascii="Times New Roman" w:hAnsi="Times New Roman" w:cs="Times New Roman"/>
          <w:sz w:val="28"/>
          <w:szCs w:val="28"/>
          <w:lang w:val="it-IT"/>
        </w:rPr>
        <w:t>increase of 10</w:t>
      </w:r>
      <w:r w:rsidRPr="00E43F43">
        <w:rPr>
          <w:rFonts w:ascii="Times New Roman" w:hAnsi="Times New Roman" w:cs="Times New Roman"/>
          <w:sz w:val="28"/>
          <w:szCs w:val="28"/>
          <w:lang w:val="it-IT"/>
        </w:rPr>
        <w:t>.</w:t>
      </w:r>
      <w:r>
        <w:rPr>
          <w:rFonts w:ascii="Times New Roman" w:hAnsi="Times New Roman" w:cs="Times New Roman"/>
          <w:sz w:val="28"/>
          <w:szCs w:val="28"/>
          <w:lang w:val="it-IT"/>
        </w:rPr>
        <w:t>7</w:t>
      </w:r>
      <w:r w:rsidRPr="00E43F43">
        <w:rPr>
          <w:rFonts w:ascii="Times New Roman" w:hAnsi="Times New Roman" w:cs="Times New Roman"/>
          <w:sz w:val="28"/>
          <w:szCs w:val="28"/>
          <w:lang w:val="it-IT"/>
        </w:rPr>
        <w:t xml:space="preserve">% in the number of employees. The average registered capital of a newly established enterprise in </w:t>
      </w:r>
      <w:r w:rsidRPr="00E43F43">
        <w:rPr>
          <w:rFonts w:ascii="Times New Roman" w:hAnsi="Times New Roman" w:cs="Times New Roman"/>
          <w:sz w:val="28"/>
          <w:szCs w:val="28"/>
          <w:lang w:val="it-IT"/>
        </w:rPr>
        <w:lastRenderedPageBreak/>
        <w:t xml:space="preserve">the month reached </w:t>
      </w:r>
      <w:r>
        <w:rPr>
          <w:rFonts w:ascii="Times New Roman" w:hAnsi="Times New Roman" w:cs="Times New Roman"/>
          <w:sz w:val="28"/>
          <w:szCs w:val="28"/>
          <w:lang w:val="it-IT"/>
        </w:rPr>
        <w:t>10</w:t>
      </w:r>
      <w:r w:rsidRPr="00E43F43">
        <w:rPr>
          <w:rFonts w:ascii="Times New Roman" w:hAnsi="Times New Roman" w:cs="Times New Roman"/>
          <w:sz w:val="28"/>
          <w:szCs w:val="28"/>
          <w:lang w:val="it-IT"/>
        </w:rPr>
        <w:t>.</w:t>
      </w:r>
      <w:r>
        <w:rPr>
          <w:rFonts w:ascii="Times New Roman" w:hAnsi="Times New Roman" w:cs="Times New Roman"/>
          <w:sz w:val="28"/>
          <w:szCs w:val="28"/>
          <w:lang w:val="it-IT"/>
        </w:rPr>
        <w:t>9 billion VND, a</w:t>
      </w:r>
      <w:r w:rsidRPr="00E43F43">
        <w:rPr>
          <w:rFonts w:ascii="Times New Roman" w:hAnsi="Times New Roman" w:cs="Times New Roman"/>
          <w:sz w:val="28"/>
          <w:szCs w:val="28"/>
          <w:lang w:val="it-IT"/>
        </w:rPr>
        <w:t xml:space="preserve"> </w:t>
      </w:r>
      <w:r>
        <w:rPr>
          <w:rFonts w:ascii="Times New Roman" w:hAnsi="Times New Roman" w:cs="Times New Roman"/>
          <w:sz w:val="28"/>
          <w:szCs w:val="28"/>
          <w:lang w:val="it-IT"/>
        </w:rPr>
        <w:t>de</w:t>
      </w:r>
      <w:r w:rsidRPr="00E43F43">
        <w:rPr>
          <w:rFonts w:ascii="Times New Roman" w:hAnsi="Times New Roman" w:cs="Times New Roman"/>
          <w:sz w:val="28"/>
          <w:szCs w:val="28"/>
          <w:lang w:val="it-IT"/>
        </w:rPr>
        <w:t>crease of 1</w:t>
      </w:r>
      <w:r>
        <w:rPr>
          <w:rFonts w:ascii="Times New Roman" w:hAnsi="Times New Roman" w:cs="Times New Roman"/>
          <w:sz w:val="28"/>
          <w:szCs w:val="28"/>
          <w:lang w:val="it-IT"/>
        </w:rPr>
        <w:t>9</w:t>
      </w:r>
      <w:r w:rsidRPr="00E43F43">
        <w:rPr>
          <w:rFonts w:ascii="Times New Roman" w:hAnsi="Times New Roman" w:cs="Times New Roman"/>
          <w:sz w:val="28"/>
          <w:szCs w:val="28"/>
          <w:lang w:val="it-IT"/>
        </w:rPr>
        <w:t>.</w:t>
      </w:r>
      <w:r>
        <w:rPr>
          <w:rFonts w:ascii="Times New Roman" w:hAnsi="Times New Roman" w:cs="Times New Roman"/>
          <w:sz w:val="28"/>
          <w:szCs w:val="28"/>
          <w:lang w:val="it-IT"/>
        </w:rPr>
        <w:t>2</w:t>
      </w:r>
      <w:r w:rsidRPr="00E43F43">
        <w:rPr>
          <w:rFonts w:ascii="Times New Roman" w:hAnsi="Times New Roman" w:cs="Times New Roman"/>
          <w:sz w:val="28"/>
          <w:szCs w:val="28"/>
          <w:lang w:val="it-IT"/>
        </w:rPr>
        <w:t xml:space="preserve">% compared to the previous month and </w:t>
      </w:r>
      <w:r>
        <w:rPr>
          <w:rFonts w:ascii="Times New Roman" w:hAnsi="Times New Roman" w:cs="Times New Roman"/>
          <w:sz w:val="28"/>
          <w:szCs w:val="28"/>
          <w:lang w:val="it-IT"/>
        </w:rPr>
        <w:t>9</w:t>
      </w:r>
      <w:r w:rsidRPr="00E43F43">
        <w:rPr>
          <w:rFonts w:ascii="Times New Roman" w:hAnsi="Times New Roman" w:cs="Times New Roman"/>
          <w:sz w:val="28"/>
          <w:szCs w:val="28"/>
          <w:lang w:val="it-IT"/>
        </w:rPr>
        <w:t>.</w:t>
      </w:r>
      <w:r>
        <w:rPr>
          <w:rFonts w:ascii="Times New Roman" w:hAnsi="Times New Roman" w:cs="Times New Roman"/>
          <w:sz w:val="28"/>
          <w:szCs w:val="28"/>
          <w:lang w:val="it-IT"/>
        </w:rPr>
        <w:t>6</w:t>
      </w:r>
      <w:r w:rsidRPr="00E43F43">
        <w:rPr>
          <w:rFonts w:ascii="Times New Roman" w:hAnsi="Times New Roman" w:cs="Times New Roman"/>
          <w:sz w:val="28"/>
          <w:szCs w:val="28"/>
          <w:lang w:val="it-IT"/>
        </w:rPr>
        <w:t xml:space="preserve">% over the same period last year. In addition, the country also had </w:t>
      </w:r>
      <w:r>
        <w:rPr>
          <w:rFonts w:ascii="Times New Roman" w:hAnsi="Times New Roman" w:cs="Times New Roman"/>
          <w:sz w:val="28"/>
          <w:szCs w:val="28"/>
          <w:lang w:val="it-IT"/>
        </w:rPr>
        <w:t>7,034</w:t>
      </w:r>
      <w:r w:rsidRPr="00E43F43">
        <w:rPr>
          <w:rFonts w:ascii="Times New Roman" w:hAnsi="Times New Roman" w:cs="Times New Roman"/>
          <w:sz w:val="28"/>
          <w:szCs w:val="28"/>
          <w:lang w:val="it-IT"/>
        </w:rPr>
        <w:t xml:space="preserve"> enterprises re-operated, up </w:t>
      </w:r>
      <w:r>
        <w:rPr>
          <w:rFonts w:ascii="Times New Roman" w:hAnsi="Times New Roman" w:cs="Times New Roman"/>
          <w:sz w:val="28"/>
          <w:szCs w:val="28"/>
          <w:lang w:val="it-IT"/>
        </w:rPr>
        <w:t>63</w:t>
      </w:r>
      <w:r w:rsidRPr="00E43F43">
        <w:rPr>
          <w:rFonts w:ascii="Times New Roman" w:hAnsi="Times New Roman" w:cs="Times New Roman"/>
          <w:sz w:val="28"/>
          <w:szCs w:val="28"/>
          <w:lang w:val="it-IT"/>
        </w:rPr>
        <w:t xml:space="preserve">.6% compared to the previous month and </w:t>
      </w:r>
      <w:r>
        <w:rPr>
          <w:rFonts w:ascii="Times New Roman" w:hAnsi="Times New Roman" w:cs="Times New Roman"/>
          <w:sz w:val="28"/>
          <w:szCs w:val="28"/>
          <w:lang w:val="it-IT"/>
        </w:rPr>
        <w:t>22</w:t>
      </w:r>
      <w:r w:rsidRPr="00E43F43">
        <w:rPr>
          <w:rFonts w:ascii="Times New Roman" w:hAnsi="Times New Roman" w:cs="Times New Roman"/>
          <w:sz w:val="28"/>
          <w:szCs w:val="28"/>
          <w:lang w:val="it-IT"/>
        </w:rPr>
        <w:t>.</w:t>
      </w:r>
      <w:r>
        <w:rPr>
          <w:rFonts w:ascii="Times New Roman" w:hAnsi="Times New Roman" w:cs="Times New Roman"/>
          <w:sz w:val="28"/>
          <w:szCs w:val="28"/>
          <w:lang w:val="it-IT"/>
        </w:rPr>
        <w:t>4</w:t>
      </w:r>
      <w:r w:rsidRPr="00E43F43">
        <w:rPr>
          <w:rFonts w:ascii="Times New Roman" w:hAnsi="Times New Roman" w:cs="Times New Roman"/>
          <w:sz w:val="28"/>
          <w:szCs w:val="28"/>
          <w:lang w:val="it-IT"/>
        </w:rPr>
        <w:t>% compared to the same period in 2021.</w:t>
      </w:r>
    </w:p>
    <w:p w14:paraId="101D0B8E" w14:textId="77777777" w:rsidR="00904D9C" w:rsidRPr="004B2F05" w:rsidRDefault="00904D9C" w:rsidP="00904D9C">
      <w:pPr>
        <w:spacing w:before="40" w:after="40" w:line="288" w:lineRule="auto"/>
        <w:ind w:firstLine="567"/>
        <w:jc w:val="both"/>
        <w:rPr>
          <w:rFonts w:ascii="Times New Roman" w:hAnsi="Times New Roman" w:cs="Times New Roman"/>
          <w:sz w:val="28"/>
          <w:szCs w:val="28"/>
          <w:lang w:val="en-US"/>
        </w:rPr>
      </w:pPr>
      <w:r w:rsidRPr="00753986">
        <w:rPr>
          <w:rFonts w:ascii="Times New Roman" w:hAnsi="Times New Roman" w:cs="Times New Roman"/>
          <w:sz w:val="28"/>
          <w:szCs w:val="28"/>
          <w:lang w:val="en-US"/>
        </w:rPr>
        <w:t xml:space="preserve">In the first </w:t>
      </w:r>
      <w:r>
        <w:rPr>
          <w:rFonts w:ascii="Times New Roman" w:hAnsi="Times New Roman" w:cs="Times New Roman"/>
          <w:sz w:val="28"/>
          <w:szCs w:val="28"/>
          <w:lang w:val="en-US"/>
        </w:rPr>
        <w:t>4</w:t>
      </w:r>
      <w:r w:rsidRPr="00753986">
        <w:rPr>
          <w:rFonts w:ascii="Times New Roman" w:hAnsi="Times New Roman" w:cs="Times New Roman"/>
          <w:sz w:val="28"/>
          <w:szCs w:val="28"/>
          <w:lang w:val="en-US"/>
        </w:rPr>
        <w:t xml:space="preserve"> months of 2022, the country had nearly </w:t>
      </w:r>
      <w:r>
        <w:rPr>
          <w:rFonts w:ascii="Times New Roman" w:hAnsi="Times New Roman" w:cs="Times New Roman"/>
          <w:sz w:val="28"/>
          <w:szCs w:val="28"/>
          <w:lang w:val="en-US"/>
        </w:rPr>
        <w:t>49</w:t>
      </w:r>
      <w:r w:rsidRPr="00753986">
        <w:rPr>
          <w:rFonts w:ascii="Times New Roman" w:hAnsi="Times New Roman" w:cs="Times New Roman"/>
          <w:sz w:val="28"/>
          <w:szCs w:val="28"/>
          <w:lang w:val="en-US"/>
        </w:rPr>
        <w:t xml:space="preserve">.6 thousand newly registered enterprises with a total registered capital of </w:t>
      </w:r>
      <w:r>
        <w:rPr>
          <w:rFonts w:ascii="Times New Roman" w:hAnsi="Times New Roman" w:cs="Times New Roman"/>
          <w:sz w:val="28"/>
          <w:szCs w:val="28"/>
          <w:lang w:val="en-US"/>
        </w:rPr>
        <w:t>635</w:t>
      </w:r>
      <w:r w:rsidRPr="00753986">
        <w:rPr>
          <w:rFonts w:ascii="Times New Roman" w:hAnsi="Times New Roman" w:cs="Times New Roman"/>
          <w:sz w:val="28"/>
          <w:szCs w:val="28"/>
          <w:lang w:val="en-US"/>
        </w:rPr>
        <w:t>.</w:t>
      </w:r>
      <w:r>
        <w:rPr>
          <w:rFonts w:ascii="Times New Roman" w:hAnsi="Times New Roman" w:cs="Times New Roman"/>
          <w:sz w:val="28"/>
          <w:szCs w:val="28"/>
          <w:lang w:val="en-US"/>
        </w:rPr>
        <w:t>3</w:t>
      </w:r>
      <w:r w:rsidRPr="00753986">
        <w:rPr>
          <w:rFonts w:ascii="Times New Roman" w:hAnsi="Times New Roman" w:cs="Times New Roman"/>
          <w:sz w:val="28"/>
          <w:szCs w:val="28"/>
          <w:lang w:val="en-US"/>
        </w:rPr>
        <w:t xml:space="preserve"> trillion VND and the total number of registered employees was </w:t>
      </w:r>
      <w:r>
        <w:rPr>
          <w:rFonts w:ascii="Times New Roman" w:hAnsi="Times New Roman" w:cs="Times New Roman"/>
          <w:sz w:val="28"/>
          <w:szCs w:val="28"/>
          <w:lang w:val="en-US"/>
        </w:rPr>
        <w:t>3</w:t>
      </w:r>
      <w:r w:rsidRPr="00753986">
        <w:rPr>
          <w:rFonts w:ascii="Times New Roman" w:hAnsi="Times New Roman" w:cs="Times New Roman"/>
          <w:sz w:val="28"/>
          <w:szCs w:val="28"/>
          <w:lang w:val="en-US"/>
        </w:rPr>
        <w:t>4</w:t>
      </w:r>
      <w:r>
        <w:rPr>
          <w:rFonts w:ascii="Times New Roman" w:hAnsi="Times New Roman" w:cs="Times New Roman"/>
          <w:sz w:val="28"/>
          <w:szCs w:val="28"/>
          <w:lang w:val="en-US"/>
        </w:rPr>
        <w:t>8</w:t>
      </w:r>
      <w:r w:rsidRPr="00753986">
        <w:rPr>
          <w:rFonts w:ascii="Times New Roman" w:hAnsi="Times New Roman" w:cs="Times New Roman"/>
          <w:sz w:val="28"/>
          <w:szCs w:val="28"/>
          <w:lang w:val="en-US"/>
        </w:rPr>
        <w:t>.</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 xml:space="preserve"> thousand </w:t>
      </w:r>
      <w:r>
        <w:rPr>
          <w:rFonts w:ascii="Times New Roman" w:hAnsi="Times New Roman" w:cs="Times New Roman"/>
          <w:sz w:val="28"/>
          <w:szCs w:val="28"/>
          <w:lang w:val="en-US"/>
        </w:rPr>
        <w:t>employees</w:t>
      </w:r>
      <w:r w:rsidRPr="00753986">
        <w:rPr>
          <w:rFonts w:ascii="Times New Roman" w:hAnsi="Times New Roman" w:cs="Times New Roman"/>
          <w:sz w:val="28"/>
          <w:szCs w:val="28"/>
          <w:lang w:val="en-US"/>
        </w:rPr>
        <w:t>, an increase of 1</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w:t>
      </w:r>
      <w:r>
        <w:rPr>
          <w:rFonts w:ascii="Times New Roman" w:hAnsi="Times New Roman" w:cs="Times New Roman"/>
          <w:sz w:val="28"/>
          <w:szCs w:val="28"/>
          <w:lang w:val="en-US"/>
        </w:rPr>
        <w:t>3</w:t>
      </w:r>
      <w:r w:rsidRPr="00753986">
        <w:rPr>
          <w:rFonts w:ascii="Times New Roman" w:hAnsi="Times New Roman" w:cs="Times New Roman"/>
          <w:sz w:val="28"/>
          <w:szCs w:val="28"/>
          <w:lang w:val="en-US"/>
        </w:rPr>
        <w:t xml:space="preserve">% in the number of enterprises, an increase of </w:t>
      </w:r>
      <w:r>
        <w:rPr>
          <w:rFonts w:ascii="Times New Roman" w:hAnsi="Times New Roman" w:cs="Times New Roman"/>
          <w:sz w:val="28"/>
          <w:szCs w:val="28"/>
          <w:lang w:val="en-US"/>
        </w:rPr>
        <w:t>1</w:t>
      </w:r>
      <w:r w:rsidRPr="00753986">
        <w:rPr>
          <w:rFonts w:ascii="Times New Roman" w:hAnsi="Times New Roman" w:cs="Times New Roman"/>
          <w:sz w:val="28"/>
          <w:szCs w:val="28"/>
          <w:lang w:val="en-US"/>
        </w:rPr>
        <w:t xml:space="preserve">.2% in registered capital and a decrease of </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w:t>
      </w:r>
      <w:r>
        <w:rPr>
          <w:rFonts w:ascii="Times New Roman" w:hAnsi="Times New Roman" w:cs="Times New Roman"/>
          <w:sz w:val="28"/>
          <w:szCs w:val="28"/>
          <w:lang w:val="en-US"/>
        </w:rPr>
        <w:t>3</w:t>
      </w:r>
      <w:r w:rsidRPr="00753986">
        <w:rPr>
          <w:rFonts w:ascii="Times New Roman" w:hAnsi="Times New Roman" w:cs="Times New Roman"/>
          <w:sz w:val="28"/>
          <w:szCs w:val="28"/>
          <w:lang w:val="en-US"/>
        </w:rPr>
        <w:t xml:space="preserve">% in the number of employees compared to the same period last year. The average registered capital of a newly established enterprise in the first </w:t>
      </w:r>
      <w:r>
        <w:rPr>
          <w:rFonts w:ascii="Times New Roman" w:hAnsi="Times New Roman" w:cs="Times New Roman"/>
          <w:sz w:val="28"/>
          <w:szCs w:val="28"/>
          <w:lang w:val="en-US"/>
        </w:rPr>
        <w:t>4</w:t>
      </w:r>
      <w:r w:rsidRPr="00753986">
        <w:rPr>
          <w:rFonts w:ascii="Times New Roman" w:hAnsi="Times New Roman" w:cs="Times New Roman"/>
          <w:sz w:val="28"/>
          <w:szCs w:val="28"/>
          <w:lang w:val="en-US"/>
        </w:rPr>
        <w:t xml:space="preserve"> months of 2022 reached 1</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w:t>
      </w:r>
      <w:r>
        <w:rPr>
          <w:rFonts w:ascii="Times New Roman" w:hAnsi="Times New Roman" w:cs="Times New Roman"/>
          <w:sz w:val="28"/>
          <w:szCs w:val="28"/>
          <w:lang w:val="en-US"/>
        </w:rPr>
        <w:t>8</w:t>
      </w:r>
      <w:r w:rsidRPr="00753986">
        <w:rPr>
          <w:rFonts w:ascii="Times New Roman" w:hAnsi="Times New Roman" w:cs="Times New Roman"/>
          <w:sz w:val="28"/>
          <w:szCs w:val="28"/>
          <w:lang w:val="en-US"/>
        </w:rPr>
        <w:t xml:space="preserve"> billion VND, down </w:t>
      </w:r>
      <w:r>
        <w:rPr>
          <w:rFonts w:ascii="Times New Roman" w:hAnsi="Times New Roman" w:cs="Times New Roman"/>
          <w:sz w:val="28"/>
          <w:szCs w:val="28"/>
          <w:lang w:val="en-US"/>
        </w:rPr>
        <w:t>9</w:t>
      </w:r>
      <w:r w:rsidRPr="00753986">
        <w:rPr>
          <w:rFonts w:ascii="Times New Roman" w:hAnsi="Times New Roman" w:cs="Times New Roman"/>
          <w:sz w:val="28"/>
          <w:szCs w:val="28"/>
          <w:lang w:val="en-US"/>
        </w:rPr>
        <w:t xml:space="preserve">.9% compared to the same period in 2021. If including </w:t>
      </w:r>
      <w:r>
        <w:rPr>
          <w:rFonts w:ascii="Times New Roman" w:hAnsi="Times New Roman" w:cs="Times New Roman"/>
          <w:sz w:val="28"/>
          <w:szCs w:val="28"/>
          <w:lang w:val="en-US"/>
        </w:rPr>
        <w:t>1,345</w:t>
      </w:r>
      <w:r w:rsidRPr="00753986">
        <w:rPr>
          <w:rFonts w:ascii="Times New Roman" w:hAnsi="Times New Roman" w:cs="Times New Roman"/>
          <w:sz w:val="28"/>
          <w:szCs w:val="28"/>
          <w:lang w:val="en-US"/>
        </w:rPr>
        <w:t>.</w:t>
      </w:r>
      <w:r>
        <w:rPr>
          <w:rFonts w:ascii="Times New Roman" w:hAnsi="Times New Roman" w:cs="Times New Roman"/>
          <w:sz w:val="28"/>
          <w:szCs w:val="28"/>
          <w:lang w:val="en-US"/>
        </w:rPr>
        <w:t>5</w:t>
      </w:r>
      <w:r w:rsidRPr="00753986">
        <w:rPr>
          <w:rFonts w:ascii="Times New Roman" w:hAnsi="Times New Roman" w:cs="Times New Roman"/>
          <w:sz w:val="28"/>
          <w:szCs w:val="28"/>
          <w:lang w:val="en-US"/>
        </w:rPr>
        <w:t xml:space="preserve"> trillion VND of</w:t>
      </w:r>
      <w:r>
        <w:rPr>
          <w:rFonts w:ascii="Times New Roman" w:hAnsi="Times New Roman" w:cs="Times New Roman"/>
          <w:sz w:val="28"/>
          <w:szCs w:val="28"/>
          <w:lang w:val="en-US"/>
        </w:rPr>
        <w:t xml:space="preserve"> the</w:t>
      </w:r>
      <w:r w:rsidRPr="00753986">
        <w:rPr>
          <w:rFonts w:ascii="Times New Roman" w:hAnsi="Times New Roman" w:cs="Times New Roman"/>
          <w:sz w:val="28"/>
          <w:szCs w:val="28"/>
          <w:lang w:val="en-US"/>
        </w:rPr>
        <w:t xml:space="preserve"> additional</w:t>
      </w:r>
      <w:r>
        <w:rPr>
          <w:rFonts w:ascii="Times New Roman" w:hAnsi="Times New Roman" w:cs="Times New Roman"/>
          <w:sz w:val="28"/>
          <w:szCs w:val="28"/>
          <w:lang w:val="en-US"/>
        </w:rPr>
        <w:t>ly</w:t>
      </w:r>
      <w:r w:rsidRPr="00753986">
        <w:rPr>
          <w:rFonts w:ascii="Times New Roman" w:hAnsi="Times New Roman" w:cs="Times New Roman"/>
          <w:sz w:val="28"/>
          <w:szCs w:val="28"/>
          <w:lang w:val="en-US"/>
        </w:rPr>
        <w:t xml:space="preserve"> registered capital of 1</w:t>
      </w:r>
      <w:r>
        <w:rPr>
          <w:rFonts w:ascii="Times New Roman" w:hAnsi="Times New Roman" w:cs="Times New Roman"/>
          <w:sz w:val="28"/>
          <w:szCs w:val="28"/>
          <w:lang w:val="en-US"/>
        </w:rPr>
        <w:t>7</w:t>
      </w:r>
      <w:r w:rsidRPr="00753986">
        <w:rPr>
          <w:rFonts w:ascii="Times New Roman" w:hAnsi="Times New Roman" w:cs="Times New Roman"/>
          <w:sz w:val="28"/>
          <w:szCs w:val="28"/>
          <w:lang w:val="en-US"/>
        </w:rPr>
        <w:t>.</w:t>
      </w:r>
      <w:r>
        <w:rPr>
          <w:rFonts w:ascii="Times New Roman" w:hAnsi="Times New Roman" w:cs="Times New Roman"/>
          <w:sz w:val="28"/>
          <w:szCs w:val="28"/>
          <w:lang w:val="en-US"/>
        </w:rPr>
        <w:t>1</w:t>
      </w:r>
      <w:r w:rsidRPr="00753986">
        <w:rPr>
          <w:rFonts w:ascii="Times New Roman" w:hAnsi="Times New Roman" w:cs="Times New Roman"/>
          <w:sz w:val="28"/>
          <w:szCs w:val="28"/>
          <w:lang w:val="en-US"/>
        </w:rPr>
        <w:t xml:space="preserve"> thousand enterprises </w:t>
      </w:r>
      <w:r w:rsidRPr="004B2F05">
        <w:rPr>
          <w:rFonts w:ascii="Times New Roman" w:hAnsi="Times New Roman" w:cs="Times New Roman"/>
          <w:sz w:val="28"/>
          <w:szCs w:val="28"/>
          <w:lang w:val="en-US"/>
        </w:rPr>
        <w:t>that recorded an upward adjustment of capital</w:t>
      </w:r>
      <w:r>
        <w:rPr>
          <w:rFonts w:ascii="Times New Roman" w:hAnsi="Times New Roman" w:cs="Times New Roman"/>
          <w:sz w:val="28"/>
          <w:szCs w:val="28"/>
          <w:lang w:val="en-US"/>
        </w:rPr>
        <w:t>,</w:t>
      </w:r>
      <w:r w:rsidRPr="00753986">
        <w:rPr>
          <w:rFonts w:ascii="Times New Roman" w:hAnsi="Times New Roman" w:cs="Times New Roman"/>
          <w:sz w:val="28"/>
          <w:szCs w:val="28"/>
          <w:lang w:val="en-US"/>
        </w:rPr>
        <w:t xml:space="preserve"> </w:t>
      </w:r>
      <w:r w:rsidRPr="004B2F05">
        <w:rPr>
          <w:rFonts w:ascii="Times New Roman" w:hAnsi="Times New Roman" w:cs="Times New Roman"/>
          <w:sz w:val="28"/>
          <w:szCs w:val="28"/>
          <w:lang w:val="en-US"/>
        </w:rPr>
        <w:t>the total additional registered capital in the economy</w:t>
      </w:r>
      <w:r w:rsidRPr="00753986">
        <w:rPr>
          <w:rFonts w:ascii="Times New Roman" w:hAnsi="Times New Roman" w:cs="Times New Roman"/>
          <w:sz w:val="28"/>
          <w:szCs w:val="28"/>
          <w:lang w:val="en-US"/>
        </w:rPr>
        <w:t xml:space="preserve"> in the first </w:t>
      </w:r>
      <w:r>
        <w:rPr>
          <w:rFonts w:ascii="Times New Roman" w:hAnsi="Times New Roman" w:cs="Times New Roman"/>
          <w:sz w:val="28"/>
          <w:szCs w:val="28"/>
          <w:lang w:val="en-US"/>
        </w:rPr>
        <w:t>fourth</w:t>
      </w:r>
      <w:r w:rsidRPr="00753986">
        <w:rPr>
          <w:rFonts w:ascii="Times New Roman" w:hAnsi="Times New Roman" w:cs="Times New Roman"/>
          <w:sz w:val="28"/>
          <w:szCs w:val="28"/>
          <w:lang w:val="en-US"/>
        </w:rPr>
        <w:t xml:space="preserve"> months of 2022 was 1,</w:t>
      </w:r>
      <w:r>
        <w:rPr>
          <w:rFonts w:ascii="Times New Roman" w:hAnsi="Times New Roman" w:cs="Times New Roman"/>
          <w:sz w:val="28"/>
          <w:szCs w:val="28"/>
          <w:lang w:val="en-US"/>
        </w:rPr>
        <w:t>980</w:t>
      </w:r>
      <w:r w:rsidRPr="00753986">
        <w:rPr>
          <w:rFonts w:ascii="Times New Roman" w:hAnsi="Times New Roman" w:cs="Times New Roman"/>
          <w:sz w:val="28"/>
          <w:szCs w:val="28"/>
          <w:lang w:val="en-US"/>
        </w:rPr>
        <w:t>.</w:t>
      </w:r>
      <w:r>
        <w:rPr>
          <w:rFonts w:ascii="Times New Roman" w:hAnsi="Times New Roman" w:cs="Times New Roman"/>
          <w:sz w:val="28"/>
          <w:szCs w:val="28"/>
          <w:lang w:val="en-US"/>
        </w:rPr>
        <w:t>8</w:t>
      </w:r>
      <w:r w:rsidRPr="00753986">
        <w:rPr>
          <w:rFonts w:ascii="Times New Roman" w:hAnsi="Times New Roman" w:cs="Times New Roman"/>
          <w:sz w:val="28"/>
          <w:szCs w:val="28"/>
          <w:lang w:val="en-US"/>
        </w:rPr>
        <w:t xml:space="preserve"> trillion</w:t>
      </w:r>
      <w:r>
        <w:rPr>
          <w:rFonts w:ascii="Times New Roman" w:hAnsi="Times New Roman" w:cs="Times New Roman"/>
          <w:sz w:val="28"/>
          <w:szCs w:val="28"/>
          <w:lang w:val="en-US"/>
        </w:rPr>
        <w:t xml:space="preserve"> </w:t>
      </w:r>
      <w:r w:rsidRPr="00753986">
        <w:rPr>
          <w:rFonts w:ascii="Times New Roman" w:hAnsi="Times New Roman" w:cs="Times New Roman"/>
          <w:sz w:val="28"/>
          <w:szCs w:val="28"/>
          <w:lang w:val="en-US"/>
        </w:rPr>
        <w:t xml:space="preserve">VND, an increase of </w:t>
      </w:r>
      <w:r>
        <w:rPr>
          <w:rFonts w:ascii="Times New Roman" w:hAnsi="Times New Roman" w:cs="Times New Roman"/>
          <w:sz w:val="28"/>
          <w:szCs w:val="28"/>
          <w:lang w:val="en-US"/>
        </w:rPr>
        <w:t>39.4</w:t>
      </w:r>
      <w:r w:rsidRPr="00753986">
        <w:rPr>
          <w:rFonts w:ascii="Times New Roman" w:hAnsi="Times New Roman" w:cs="Times New Roman"/>
          <w:sz w:val="28"/>
          <w:szCs w:val="28"/>
          <w:lang w:val="en-US"/>
        </w:rPr>
        <w:t xml:space="preserve">% compared to the same period last year. In addition, </w:t>
      </w:r>
      <w:r>
        <w:rPr>
          <w:rFonts w:ascii="Times New Roman" w:hAnsi="Times New Roman" w:cs="Times New Roman"/>
          <w:sz w:val="28"/>
          <w:szCs w:val="28"/>
          <w:lang w:val="en-US"/>
        </w:rPr>
        <w:t>30</w:t>
      </w:r>
      <w:r w:rsidRPr="00753986">
        <w:rPr>
          <w:rFonts w:ascii="Times New Roman" w:hAnsi="Times New Roman" w:cs="Times New Roman"/>
          <w:sz w:val="28"/>
          <w:szCs w:val="28"/>
          <w:lang w:val="en-US"/>
        </w:rPr>
        <w:t>.</w:t>
      </w:r>
      <w:r>
        <w:rPr>
          <w:rFonts w:ascii="Times New Roman" w:hAnsi="Times New Roman" w:cs="Times New Roman"/>
          <w:sz w:val="28"/>
          <w:szCs w:val="28"/>
          <w:lang w:val="en-US"/>
        </w:rPr>
        <w:t>9</w:t>
      </w:r>
      <w:r w:rsidRPr="00753986">
        <w:rPr>
          <w:rFonts w:ascii="Times New Roman" w:hAnsi="Times New Roman" w:cs="Times New Roman"/>
          <w:sz w:val="28"/>
          <w:szCs w:val="28"/>
          <w:lang w:val="en-US"/>
        </w:rPr>
        <w:t xml:space="preserve"> thousand </w:t>
      </w:r>
      <w:r>
        <w:rPr>
          <w:rFonts w:ascii="Times New Roman" w:hAnsi="Times New Roman" w:cs="Times New Roman"/>
          <w:sz w:val="28"/>
          <w:szCs w:val="28"/>
          <w:lang w:val="en-US"/>
        </w:rPr>
        <w:t>re-operated enterprises (up 60</w:t>
      </w:r>
      <w:r w:rsidRPr="00753986">
        <w:rPr>
          <w:rFonts w:ascii="Times New Roman" w:hAnsi="Times New Roman" w:cs="Times New Roman"/>
          <w:sz w:val="28"/>
          <w:szCs w:val="28"/>
          <w:lang w:val="en-US"/>
        </w:rPr>
        <w:t xml:space="preserve">.6% compared to the same period in 2021), bringing the total number of </w:t>
      </w:r>
      <w:r>
        <w:rPr>
          <w:rFonts w:ascii="Times New Roman" w:hAnsi="Times New Roman" w:cs="Times New Roman"/>
          <w:sz w:val="28"/>
          <w:szCs w:val="28"/>
          <w:lang w:val="en-US"/>
        </w:rPr>
        <w:t>newly-established</w:t>
      </w:r>
      <w:r w:rsidRPr="00753986">
        <w:rPr>
          <w:rFonts w:ascii="Times New Roman" w:hAnsi="Times New Roman" w:cs="Times New Roman"/>
          <w:sz w:val="28"/>
          <w:szCs w:val="28"/>
          <w:lang w:val="en-US"/>
        </w:rPr>
        <w:t xml:space="preserve"> enterprises and </w:t>
      </w:r>
      <w:r w:rsidRPr="004B2F05">
        <w:rPr>
          <w:rFonts w:ascii="Times New Roman" w:hAnsi="Times New Roman" w:cs="Times New Roman"/>
          <w:sz w:val="28"/>
          <w:szCs w:val="28"/>
          <w:lang w:val="en-US"/>
        </w:rPr>
        <w:t>re-operated enterprises</w:t>
      </w:r>
      <w:r w:rsidRPr="00753986">
        <w:rPr>
          <w:rFonts w:ascii="Times New Roman" w:hAnsi="Times New Roman" w:cs="Times New Roman"/>
          <w:sz w:val="28"/>
          <w:szCs w:val="28"/>
          <w:lang w:val="en-US"/>
        </w:rPr>
        <w:t xml:space="preserve"> in the first </w:t>
      </w:r>
      <w:r>
        <w:rPr>
          <w:rFonts w:ascii="Times New Roman" w:hAnsi="Times New Roman" w:cs="Times New Roman"/>
          <w:sz w:val="28"/>
          <w:szCs w:val="28"/>
          <w:lang w:val="en-US"/>
        </w:rPr>
        <w:t>4</w:t>
      </w:r>
      <w:r w:rsidRPr="00753986">
        <w:rPr>
          <w:rFonts w:ascii="Times New Roman" w:hAnsi="Times New Roman" w:cs="Times New Roman"/>
          <w:sz w:val="28"/>
          <w:szCs w:val="28"/>
          <w:lang w:val="en-US"/>
        </w:rPr>
        <w:t xml:space="preserve"> months of 2022 to </w:t>
      </w:r>
      <w:r>
        <w:rPr>
          <w:rFonts w:ascii="Times New Roman" w:hAnsi="Times New Roman" w:cs="Times New Roman"/>
          <w:sz w:val="28"/>
          <w:szCs w:val="28"/>
          <w:lang w:val="en-US"/>
        </w:rPr>
        <w:t>8</w:t>
      </w:r>
      <w:r w:rsidRPr="00753986">
        <w:rPr>
          <w:rFonts w:ascii="Times New Roman" w:hAnsi="Times New Roman" w:cs="Times New Roman"/>
          <w:sz w:val="28"/>
          <w:szCs w:val="28"/>
          <w:lang w:val="en-US"/>
        </w:rPr>
        <w:t>0.</w:t>
      </w:r>
      <w:r>
        <w:rPr>
          <w:rFonts w:ascii="Times New Roman" w:hAnsi="Times New Roman" w:cs="Times New Roman"/>
          <w:sz w:val="28"/>
          <w:szCs w:val="28"/>
          <w:lang w:val="en-US"/>
        </w:rPr>
        <w:t>5</w:t>
      </w:r>
      <w:r w:rsidRPr="00753986">
        <w:rPr>
          <w:rFonts w:ascii="Times New Roman" w:hAnsi="Times New Roman" w:cs="Times New Roman"/>
          <w:sz w:val="28"/>
          <w:szCs w:val="28"/>
          <w:lang w:val="en-US"/>
        </w:rPr>
        <w:t xml:space="preserve"> thousand enterprises, up </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6.</w:t>
      </w:r>
      <w:r>
        <w:rPr>
          <w:rFonts w:ascii="Times New Roman" w:hAnsi="Times New Roman" w:cs="Times New Roman"/>
          <w:sz w:val="28"/>
          <w:szCs w:val="28"/>
          <w:lang w:val="en-US"/>
        </w:rPr>
        <w:t>9</w:t>
      </w:r>
      <w:r w:rsidRPr="00753986">
        <w:rPr>
          <w:rFonts w:ascii="Times New Roman" w:hAnsi="Times New Roman" w:cs="Times New Roman"/>
          <w:sz w:val="28"/>
          <w:szCs w:val="28"/>
          <w:lang w:val="en-US"/>
        </w:rPr>
        <w:t xml:space="preserve">% compared to the same period last year. </w:t>
      </w:r>
      <w:r w:rsidRPr="004B2F05">
        <w:rPr>
          <w:rFonts w:ascii="Times New Roman" w:hAnsi="Times New Roman" w:cs="Times New Roman"/>
          <w:sz w:val="28"/>
          <w:szCs w:val="28"/>
          <w:lang w:val="en-US"/>
        </w:rPr>
        <w:t xml:space="preserve">The average every month had </w:t>
      </w:r>
      <w:r>
        <w:rPr>
          <w:rFonts w:ascii="Times New Roman" w:hAnsi="Times New Roman" w:cs="Times New Roman"/>
          <w:sz w:val="28"/>
          <w:szCs w:val="28"/>
          <w:lang w:val="en-US"/>
        </w:rPr>
        <w:t>20.1</w:t>
      </w:r>
      <w:r w:rsidRPr="004B2F05">
        <w:rPr>
          <w:rFonts w:ascii="Times New Roman" w:hAnsi="Times New Roman" w:cs="Times New Roman"/>
          <w:sz w:val="28"/>
          <w:szCs w:val="28"/>
          <w:lang w:val="en-US"/>
        </w:rPr>
        <w:t xml:space="preserve"> thousand newly established and re-operated enterprises.</w:t>
      </w:r>
    </w:p>
    <w:p w14:paraId="27A0110C" w14:textId="77777777" w:rsidR="00656499" w:rsidRDefault="00656499" w:rsidP="00656499">
      <w:pPr>
        <w:spacing w:before="40" w:after="40" w:line="288" w:lineRule="auto"/>
        <w:ind w:firstLine="567"/>
        <w:jc w:val="both"/>
        <w:rPr>
          <w:rFonts w:ascii="Times New Roman" w:hAnsi="Times New Roman" w:cs="Times New Roman"/>
          <w:sz w:val="28"/>
          <w:szCs w:val="28"/>
          <w:lang w:val="en-US"/>
        </w:rPr>
      </w:pPr>
      <w:r w:rsidRPr="004B2F05">
        <w:rPr>
          <w:rFonts w:ascii="Times New Roman" w:hAnsi="Times New Roman" w:cs="Times New Roman"/>
          <w:sz w:val="28"/>
          <w:szCs w:val="28"/>
          <w:lang w:val="en-US"/>
        </w:rPr>
        <w:t xml:space="preserve">By economic sector in </w:t>
      </w:r>
      <w:r>
        <w:rPr>
          <w:rFonts w:ascii="Times New Roman" w:hAnsi="Times New Roman" w:cs="Times New Roman"/>
          <w:sz w:val="28"/>
          <w:szCs w:val="28"/>
          <w:lang w:val="en-US"/>
        </w:rPr>
        <w:t>the</w:t>
      </w:r>
      <w:r>
        <w:rPr>
          <w:rFonts w:ascii="Times New Roman" w:hAnsi="Times New Roman" w:cs="Times New Roman"/>
          <w:sz w:val="28"/>
          <w:szCs w:val="28"/>
          <w:lang w:val="vi-VN"/>
        </w:rPr>
        <w:t xml:space="preserve"> first </w:t>
      </w:r>
      <w:r>
        <w:rPr>
          <w:rFonts w:ascii="Times New Roman" w:hAnsi="Times New Roman" w:cs="Times New Roman"/>
          <w:sz w:val="28"/>
          <w:szCs w:val="28"/>
          <w:lang w:val="en-US"/>
        </w:rPr>
        <w:t>4</w:t>
      </w:r>
      <w:r w:rsidRPr="004B2F05">
        <w:rPr>
          <w:rFonts w:ascii="Times New Roman" w:hAnsi="Times New Roman" w:cs="Times New Roman"/>
          <w:sz w:val="28"/>
          <w:szCs w:val="28"/>
          <w:lang w:val="en-US"/>
        </w:rPr>
        <w:t xml:space="preserve"> months,</w:t>
      </w:r>
      <w:r w:rsidRPr="00753986">
        <w:rPr>
          <w:rFonts w:ascii="Times New Roman" w:hAnsi="Times New Roman" w:cs="Times New Roman"/>
          <w:sz w:val="28"/>
          <w:szCs w:val="28"/>
          <w:lang w:val="en-US"/>
        </w:rPr>
        <w:t xml:space="preserve"> there were </w:t>
      </w:r>
      <w:r>
        <w:rPr>
          <w:rFonts w:ascii="Times New Roman" w:hAnsi="Times New Roman" w:cs="Times New Roman"/>
          <w:sz w:val="28"/>
          <w:szCs w:val="28"/>
          <w:lang w:val="en-US"/>
        </w:rPr>
        <w:t>711</w:t>
      </w:r>
      <w:r w:rsidRPr="00753986">
        <w:rPr>
          <w:rFonts w:ascii="Times New Roman" w:hAnsi="Times New Roman" w:cs="Times New Roman"/>
          <w:sz w:val="28"/>
          <w:szCs w:val="28"/>
          <w:lang w:val="en-US"/>
        </w:rPr>
        <w:t xml:space="preserve"> </w:t>
      </w:r>
      <w:r>
        <w:rPr>
          <w:rFonts w:ascii="Times New Roman" w:hAnsi="Times New Roman" w:cs="Times New Roman"/>
          <w:sz w:val="28"/>
          <w:szCs w:val="28"/>
          <w:lang w:val="en-US"/>
        </w:rPr>
        <w:t>newly-established</w:t>
      </w:r>
      <w:r w:rsidRPr="00753986">
        <w:rPr>
          <w:rFonts w:ascii="Times New Roman" w:hAnsi="Times New Roman" w:cs="Times New Roman"/>
          <w:sz w:val="28"/>
          <w:szCs w:val="28"/>
          <w:lang w:val="en-US"/>
        </w:rPr>
        <w:t xml:space="preserve"> enterprises in the agricultural, forestry</w:t>
      </w:r>
      <w:r>
        <w:rPr>
          <w:rFonts w:ascii="Times New Roman" w:hAnsi="Times New Roman" w:cs="Times New Roman"/>
          <w:sz w:val="28"/>
          <w:szCs w:val="28"/>
          <w:lang w:val="en-US"/>
        </w:rPr>
        <w:t>,</w:t>
      </w:r>
      <w:r w:rsidRPr="00753986">
        <w:rPr>
          <w:rFonts w:ascii="Times New Roman" w:hAnsi="Times New Roman" w:cs="Times New Roman"/>
          <w:sz w:val="28"/>
          <w:szCs w:val="28"/>
          <w:lang w:val="en-US"/>
        </w:rPr>
        <w:t xml:space="preserve"> and fishery sectors, an increase of </w:t>
      </w:r>
      <w:r>
        <w:rPr>
          <w:rFonts w:ascii="Times New Roman" w:hAnsi="Times New Roman" w:cs="Times New Roman"/>
          <w:sz w:val="28"/>
          <w:szCs w:val="28"/>
          <w:lang w:val="en-US"/>
        </w:rPr>
        <w:t>2.4</w:t>
      </w:r>
      <w:r w:rsidRPr="00753986">
        <w:rPr>
          <w:rFonts w:ascii="Times New Roman" w:hAnsi="Times New Roman" w:cs="Times New Roman"/>
          <w:sz w:val="28"/>
          <w:szCs w:val="28"/>
          <w:lang w:val="en-US"/>
        </w:rPr>
        <w:t xml:space="preserve">% compared to the same period last year; </w:t>
      </w:r>
      <w:r>
        <w:rPr>
          <w:rFonts w:ascii="Times New Roman" w:hAnsi="Times New Roman" w:cs="Times New Roman"/>
          <w:sz w:val="28"/>
          <w:szCs w:val="28"/>
          <w:lang w:val="en-US"/>
        </w:rPr>
        <w:t>12.8 thousand</w:t>
      </w:r>
      <w:r w:rsidRPr="00753986">
        <w:rPr>
          <w:rFonts w:ascii="Times New Roman" w:hAnsi="Times New Roman" w:cs="Times New Roman"/>
          <w:sz w:val="28"/>
          <w:szCs w:val="28"/>
          <w:lang w:val="en-US"/>
        </w:rPr>
        <w:t xml:space="preserve"> enterprises in the industrial and construction sectors, an increase of </w:t>
      </w:r>
      <w:r>
        <w:rPr>
          <w:rFonts w:ascii="Times New Roman" w:hAnsi="Times New Roman" w:cs="Times New Roman"/>
          <w:sz w:val="28"/>
          <w:szCs w:val="28"/>
          <w:lang w:val="en-US"/>
        </w:rPr>
        <w:t>5</w:t>
      </w:r>
      <w:r w:rsidRPr="00753986">
        <w:rPr>
          <w:rFonts w:ascii="Times New Roman" w:hAnsi="Times New Roman" w:cs="Times New Roman"/>
          <w:sz w:val="28"/>
          <w:szCs w:val="28"/>
          <w:lang w:val="en-US"/>
        </w:rPr>
        <w:t>.</w:t>
      </w:r>
      <w:r>
        <w:rPr>
          <w:rFonts w:ascii="Times New Roman" w:hAnsi="Times New Roman" w:cs="Times New Roman"/>
          <w:sz w:val="28"/>
          <w:szCs w:val="28"/>
          <w:lang w:val="en-US"/>
        </w:rPr>
        <w:t>3</w:t>
      </w:r>
      <w:r w:rsidRPr="00753986">
        <w:rPr>
          <w:rFonts w:ascii="Times New Roman" w:hAnsi="Times New Roman" w:cs="Times New Roman"/>
          <w:sz w:val="28"/>
          <w:szCs w:val="28"/>
          <w:lang w:val="en-US"/>
        </w:rPr>
        <w:t xml:space="preserve">%; nearly </w:t>
      </w:r>
      <w:r>
        <w:rPr>
          <w:rFonts w:ascii="Times New Roman" w:hAnsi="Times New Roman" w:cs="Times New Roman"/>
          <w:sz w:val="28"/>
          <w:szCs w:val="28"/>
          <w:lang w:val="en-US"/>
        </w:rPr>
        <w:t>36</w:t>
      </w:r>
      <w:r w:rsidRPr="00753986">
        <w:rPr>
          <w:rFonts w:ascii="Times New Roman" w:hAnsi="Times New Roman" w:cs="Times New Roman"/>
          <w:sz w:val="28"/>
          <w:szCs w:val="28"/>
          <w:lang w:val="en-US"/>
        </w:rPr>
        <w:t xml:space="preserve">.1 thousand enterprises in the service sector, an increase of </w:t>
      </w:r>
      <w:r>
        <w:rPr>
          <w:rFonts w:ascii="Times New Roman" w:hAnsi="Times New Roman" w:cs="Times New Roman"/>
          <w:sz w:val="28"/>
          <w:szCs w:val="28"/>
          <w:lang w:val="en-US"/>
        </w:rPr>
        <w:t>15</w:t>
      </w:r>
      <w:r w:rsidRPr="00753986">
        <w:rPr>
          <w:rFonts w:ascii="Times New Roman" w:hAnsi="Times New Roman" w:cs="Times New Roman"/>
          <w:sz w:val="28"/>
          <w:szCs w:val="28"/>
          <w:lang w:val="en-US"/>
        </w:rPr>
        <w:t>.</w:t>
      </w:r>
      <w:r>
        <w:rPr>
          <w:rFonts w:ascii="Times New Roman" w:hAnsi="Times New Roman" w:cs="Times New Roman"/>
          <w:sz w:val="28"/>
          <w:szCs w:val="28"/>
          <w:lang w:val="en-US"/>
        </w:rPr>
        <w:t>2</w:t>
      </w:r>
      <w:r w:rsidRPr="00753986">
        <w:rPr>
          <w:rFonts w:ascii="Times New Roman" w:hAnsi="Times New Roman" w:cs="Times New Roman"/>
          <w:sz w:val="28"/>
          <w:szCs w:val="28"/>
          <w:lang w:val="en-US"/>
        </w:rPr>
        <w:t>%.</w:t>
      </w:r>
    </w:p>
    <w:p w14:paraId="1E0491E1" w14:textId="3C484308" w:rsidR="00B31A7B" w:rsidRPr="00D458BF" w:rsidRDefault="00F00BC5" w:rsidP="00B31A7B">
      <w:pPr>
        <w:spacing w:before="40" w:after="40" w:line="278" w:lineRule="auto"/>
        <w:ind w:right="-3"/>
        <w:jc w:val="center"/>
        <w:rPr>
          <w:sz w:val="6"/>
          <w:lang w:val="it-IT"/>
        </w:rPr>
      </w:pPr>
      <w:r w:rsidRPr="00F00BC5">
        <w:rPr>
          <w:rFonts w:ascii="Arial" w:hAnsi="Arial" w:cs="Arial"/>
          <w:b/>
          <w:sz w:val="24"/>
          <w:szCs w:val="24"/>
          <w:lang w:val="it-IT"/>
        </w:rPr>
        <w:t>Figure 5. Enterprise registration situation</w:t>
      </w:r>
    </w:p>
    <w:p w14:paraId="305D343D" w14:textId="5DF0F839" w:rsidR="00B31A7B" w:rsidRDefault="002978DF" w:rsidP="00B31A7B">
      <w:pPr>
        <w:spacing w:before="40" w:after="40" w:line="288" w:lineRule="auto"/>
        <w:jc w:val="center"/>
        <w:rPr>
          <w:lang w:val="it-IT"/>
        </w:rPr>
      </w:pPr>
      <w:r>
        <w:rPr>
          <w:noProof/>
        </w:rPr>
        <w:drawing>
          <wp:inline distT="0" distB="0" distL="0" distR="0" wp14:anchorId="71F9911A" wp14:editId="51432A6F">
            <wp:extent cx="4512945" cy="2116455"/>
            <wp:effectExtent l="0" t="0" r="0" b="0"/>
            <wp:docPr id="24" name="Picture 24" descr="Diagram,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arrow&#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2945" cy="2116455"/>
                    </a:xfrm>
                    <a:prstGeom prst="rect">
                      <a:avLst/>
                    </a:prstGeom>
                    <a:noFill/>
                    <a:ln>
                      <a:noFill/>
                    </a:ln>
                  </pic:spPr>
                </pic:pic>
              </a:graphicData>
            </a:graphic>
          </wp:inline>
        </w:drawing>
      </w:r>
    </w:p>
    <w:p w14:paraId="02A9D74A" w14:textId="77777777" w:rsidR="00831E77" w:rsidRPr="00831E77" w:rsidRDefault="00831E77" w:rsidP="00B31A7B">
      <w:pPr>
        <w:spacing w:before="40" w:after="40"/>
        <w:ind w:firstLine="567"/>
        <w:jc w:val="both"/>
        <w:rPr>
          <w:rFonts w:ascii="Times New Roman" w:hAnsi="Times New Roman" w:cs="Times New Roman"/>
          <w:sz w:val="10"/>
          <w:szCs w:val="28"/>
          <w:lang w:val="it-IT"/>
        </w:rPr>
      </w:pPr>
    </w:p>
    <w:p w14:paraId="398751FC" w14:textId="77777777" w:rsidR="00A0071A" w:rsidRPr="00B170A4" w:rsidRDefault="00A0071A" w:rsidP="00A0071A">
      <w:pPr>
        <w:spacing w:before="40" w:after="40" w:line="288" w:lineRule="auto"/>
        <w:ind w:firstLine="567"/>
        <w:jc w:val="both"/>
        <w:rPr>
          <w:rFonts w:ascii="Times New Roman" w:hAnsi="Times New Roman" w:cs="Times New Roman"/>
          <w:sz w:val="28"/>
          <w:szCs w:val="28"/>
          <w:lang w:val="en-US"/>
        </w:rPr>
      </w:pPr>
      <w:r w:rsidRPr="00B170A4">
        <w:rPr>
          <w:rFonts w:ascii="Times New Roman" w:hAnsi="Times New Roman" w:cs="Times New Roman"/>
          <w:sz w:val="28"/>
          <w:szCs w:val="28"/>
          <w:lang w:val="en-US"/>
        </w:rPr>
        <w:t xml:space="preserve">Also in </w:t>
      </w:r>
      <w:r>
        <w:rPr>
          <w:rFonts w:ascii="Times New Roman" w:hAnsi="Times New Roman" w:cs="Times New Roman"/>
          <w:sz w:val="28"/>
          <w:szCs w:val="28"/>
          <w:lang w:val="en-US"/>
        </w:rPr>
        <w:t>April</w:t>
      </w:r>
      <w:r>
        <w:rPr>
          <w:rFonts w:ascii="Times New Roman" w:hAnsi="Times New Roman" w:cs="Times New Roman"/>
          <w:sz w:val="28"/>
          <w:szCs w:val="28"/>
          <w:lang w:val="vi-VN"/>
        </w:rPr>
        <w:t xml:space="preserve"> 2022</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there</w:t>
      </w:r>
      <w:r>
        <w:rPr>
          <w:rFonts w:ascii="Times New Roman" w:hAnsi="Times New Roman" w:cs="Times New Roman"/>
          <w:sz w:val="28"/>
          <w:szCs w:val="28"/>
          <w:lang w:val="vi-VN"/>
        </w:rPr>
        <w:t xml:space="preserve"> were </w:t>
      </w:r>
      <w:r>
        <w:rPr>
          <w:rFonts w:ascii="Times New Roman" w:hAnsi="Times New Roman" w:cs="Times New Roman"/>
          <w:sz w:val="28"/>
          <w:szCs w:val="28"/>
          <w:lang w:val="en-US"/>
        </w:rPr>
        <w:t>5</w:t>
      </w:r>
      <w:r w:rsidRPr="00B170A4">
        <w:rPr>
          <w:rFonts w:ascii="Times New Roman" w:hAnsi="Times New Roman" w:cs="Times New Roman"/>
          <w:sz w:val="28"/>
          <w:szCs w:val="28"/>
          <w:lang w:val="en-US"/>
        </w:rPr>
        <w:t>,</w:t>
      </w:r>
      <w:r>
        <w:rPr>
          <w:rFonts w:ascii="Times New Roman" w:hAnsi="Times New Roman" w:cs="Times New Roman"/>
          <w:sz w:val="28"/>
          <w:szCs w:val="28"/>
          <w:lang w:val="en-US"/>
        </w:rPr>
        <w:t>391</w:t>
      </w:r>
      <w:r w:rsidRPr="00B170A4">
        <w:rPr>
          <w:rFonts w:ascii="Times New Roman" w:hAnsi="Times New Roman" w:cs="Times New Roman"/>
          <w:sz w:val="28"/>
          <w:szCs w:val="28"/>
          <w:lang w:val="en-US"/>
        </w:rPr>
        <w:t xml:space="preserve"> enterprises </w:t>
      </w:r>
      <w:r w:rsidRPr="009F65AF">
        <w:rPr>
          <w:rFonts w:ascii="Times New Roman" w:hAnsi="Times New Roman" w:cs="Times New Roman"/>
          <w:sz w:val="28"/>
          <w:szCs w:val="28"/>
          <w:lang w:val="en-US"/>
        </w:rPr>
        <w:t>ceased for a certain time</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up</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81</w:t>
      </w:r>
      <w:r w:rsidRPr="00B170A4">
        <w:rPr>
          <w:rFonts w:ascii="Times New Roman" w:hAnsi="Times New Roman" w:cs="Times New Roman"/>
          <w:sz w:val="28"/>
          <w:szCs w:val="28"/>
          <w:lang w:val="en-US"/>
        </w:rPr>
        <w:t xml:space="preserve">.1% compared to the previous month and up </w:t>
      </w:r>
      <w:r>
        <w:rPr>
          <w:rFonts w:ascii="Times New Roman" w:hAnsi="Times New Roman" w:cs="Times New Roman"/>
          <w:sz w:val="28"/>
          <w:szCs w:val="28"/>
          <w:lang w:val="en-US"/>
        </w:rPr>
        <w:t>17.2</w:t>
      </w:r>
      <w:r w:rsidRPr="00B170A4">
        <w:rPr>
          <w:rFonts w:ascii="Times New Roman" w:hAnsi="Times New Roman" w:cs="Times New Roman"/>
          <w:sz w:val="28"/>
          <w:szCs w:val="28"/>
          <w:lang w:val="en-US"/>
        </w:rPr>
        <w:t xml:space="preserve">% over the same period </w:t>
      </w:r>
      <w:r w:rsidRPr="00B170A4">
        <w:rPr>
          <w:rFonts w:ascii="Times New Roman" w:hAnsi="Times New Roman" w:cs="Times New Roman"/>
          <w:sz w:val="28"/>
          <w:szCs w:val="28"/>
          <w:lang w:val="en-US"/>
        </w:rPr>
        <w:lastRenderedPageBreak/>
        <w:t>in</w:t>
      </w:r>
      <w:r>
        <w:rPr>
          <w:rFonts w:ascii="Times New Roman" w:hAnsi="Times New Roman" w:cs="Times New Roman"/>
          <w:sz w:val="28"/>
          <w:szCs w:val="28"/>
          <w:lang w:val="vi-VN"/>
        </w:rPr>
        <w:t xml:space="preserve"> </w:t>
      </w:r>
      <w:r w:rsidRPr="00B170A4">
        <w:rPr>
          <w:rFonts w:ascii="Times New Roman" w:hAnsi="Times New Roman" w:cs="Times New Roman"/>
          <w:sz w:val="28"/>
          <w:szCs w:val="28"/>
          <w:lang w:val="en-US"/>
        </w:rPr>
        <w:t xml:space="preserve">2021; </w:t>
      </w:r>
      <w:r>
        <w:rPr>
          <w:rFonts w:ascii="Times New Roman" w:hAnsi="Times New Roman" w:cs="Times New Roman"/>
          <w:sz w:val="28"/>
          <w:szCs w:val="28"/>
          <w:lang w:val="en-US"/>
        </w:rPr>
        <w:t>3</w:t>
      </w:r>
      <w:r w:rsidRPr="00B170A4">
        <w:rPr>
          <w:rFonts w:ascii="Times New Roman" w:hAnsi="Times New Roman" w:cs="Times New Roman"/>
          <w:sz w:val="28"/>
          <w:szCs w:val="28"/>
          <w:lang w:val="en-US"/>
        </w:rPr>
        <w:t>,</w:t>
      </w:r>
      <w:r>
        <w:rPr>
          <w:rFonts w:ascii="Times New Roman" w:hAnsi="Times New Roman" w:cs="Times New Roman"/>
          <w:sz w:val="28"/>
          <w:szCs w:val="28"/>
          <w:lang w:val="en-US"/>
        </w:rPr>
        <w:t>762</w:t>
      </w:r>
      <w:r w:rsidRPr="00B170A4">
        <w:rPr>
          <w:rFonts w:ascii="Times New Roman" w:hAnsi="Times New Roman" w:cs="Times New Roman"/>
          <w:sz w:val="28"/>
          <w:szCs w:val="28"/>
          <w:lang w:val="en-US"/>
        </w:rPr>
        <w:t xml:space="preserve"> enterprises </w:t>
      </w:r>
      <w:r w:rsidRPr="009F65AF">
        <w:rPr>
          <w:rFonts w:ascii="Times New Roman" w:hAnsi="Times New Roman" w:cs="Times New Roman"/>
          <w:sz w:val="28"/>
          <w:szCs w:val="28"/>
          <w:lang w:val="en-US"/>
        </w:rPr>
        <w:t>temporarily ceased and awaited dissolution procedures</w:t>
      </w:r>
      <w:r w:rsidRPr="00B170A4">
        <w:rPr>
          <w:rFonts w:ascii="Times New Roman" w:hAnsi="Times New Roman" w:cs="Times New Roman"/>
          <w:sz w:val="28"/>
          <w:szCs w:val="28"/>
          <w:lang w:val="en-US"/>
        </w:rPr>
        <w:t xml:space="preserve">, an increase of </w:t>
      </w:r>
      <w:r>
        <w:rPr>
          <w:rFonts w:ascii="Times New Roman" w:hAnsi="Times New Roman" w:cs="Times New Roman"/>
          <w:sz w:val="28"/>
          <w:szCs w:val="28"/>
          <w:lang w:val="en-US"/>
        </w:rPr>
        <w:t>52</w:t>
      </w:r>
      <w:r w:rsidRPr="00B170A4">
        <w:rPr>
          <w:rFonts w:ascii="Times New Roman" w:hAnsi="Times New Roman" w:cs="Times New Roman"/>
          <w:sz w:val="28"/>
          <w:szCs w:val="28"/>
          <w:lang w:val="en-US"/>
        </w:rPr>
        <w:t xml:space="preserve">.1% and a decrease of </w:t>
      </w:r>
      <w:r>
        <w:rPr>
          <w:rFonts w:ascii="Times New Roman" w:hAnsi="Times New Roman" w:cs="Times New Roman"/>
          <w:sz w:val="28"/>
          <w:szCs w:val="28"/>
          <w:lang w:val="en-US"/>
        </w:rPr>
        <w:t>32</w:t>
      </w:r>
      <w:r w:rsidRPr="00B170A4">
        <w:rPr>
          <w:rFonts w:ascii="Times New Roman" w:hAnsi="Times New Roman" w:cs="Times New Roman"/>
          <w:sz w:val="28"/>
          <w:szCs w:val="28"/>
          <w:lang w:val="en-US"/>
        </w:rPr>
        <w:t>.</w:t>
      </w:r>
      <w:r>
        <w:rPr>
          <w:rFonts w:ascii="Times New Roman" w:hAnsi="Times New Roman" w:cs="Times New Roman"/>
          <w:sz w:val="28"/>
          <w:szCs w:val="28"/>
          <w:lang w:val="en-US"/>
        </w:rPr>
        <w:t>9</w:t>
      </w:r>
      <w:r w:rsidRPr="00B170A4">
        <w:rPr>
          <w:rFonts w:ascii="Times New Roman" w:hAnsi="Times New Roman" w:cs="Times New Roman"/>
          <w:sz w:val="28"/>
          <w:szCs w:val="28"/>
          <w:lang w:val="en-US"/>
        </w:rPr>
        <w:t>%; 1,</w:t>
      </w:r>
      <w:r>
        <w:rPr>
          <w:rFonts w:ascii="Times New Roman" w:hAnsi="Times New Roman" w:cs="Times New Roman"/>
          <w:sz w:val="28"/>
          <w:szCs w:val="28"/>
          <w:lang w:val="en-US"/>
        </w:rPr>
        <w:t>22</w:t>
      </w:r>
      <w:r w:rsidRPr="00B170A4">
        <w:rPr>
          <w:rFonts w:ascii="Times New Roman" w:hAnsi="Times New Roman" w:cs="Times New Roman"/>
          <w:sz w:val="28"/>
          <w:szCs w:val="28"/>
          <w:lang w:val="en-US"/>
        </w:rPr>
        <w:t xml:space="preserve">7 enterprises completed dissolution procedures, </w:t>
      </w:r>
      <w:r>
        <w:rPr>
          <w:rFonts w:ascii="Times New Roman" w:hAnsi="Times New Roman" w:cs="Times New Roman"/>
          <w:sz w:val="28"/>
          <w:szCs w:val="28"/>
          <w:lang w:val="en-US"/>
        </w:rPr>
        <w:t xml:space="preserve">up </w:t>
      </w:r>
      <w:r w:rsidRPr="00B170A4">
        <w:rPr>
          <w:rFonts w:ascii="Times New Roman" w:hAnsi="Times New Roman" w:cs="Times New Roman"/>
          <w:sz w:val="28"/>
          <w:szCs w:val="28"/>
          <w:lang w:val="en-US"/>
        </w:rPr>
        <w:t>1</w:t>
      </w:r>
      <w:r>
        <w:rPr>
          <w:rFonts w:ascii="Times New Roman" w:hAnsi="Times New Roman" w:cs="Times New Roman"/>
          <w:sz w:val="28"/>
          <w:szCs w:val="28"/>
          <w:lang w:val="en-US"/>
        </w:rPr>
        <w:t>3</w:t>
      </w:r>
      <w:r w:rsidRPr="00B170A4">
        <w:rPr>
          <w:rFonts w:ascii="Times New Roman" w:hAnsi="Times New Roman" w:cs="Times New Roman"/>
          <w:sz w:val="28"/>
          <w:szCs w:val="28"/>
          <w:lang w:val="en-US"/>
        </w:rPr>
        <w:t>.</w:t>
      </w:r>
      <w:r>
        <w:rPr>
          <w:rFonts w:ascii="Times New Roman" w:hAnsi="Times New Roman" w:cs="Times New Roman"/>
          <w:sz w:val="28"/>
          <w:szCs w:val="28"/>
          <w:lang w:val="en-US"/>
        </w:rPr>
        <w:t>9</w:t>
      </w:r>
      <w:r w:rsidRPr="00B170A4">
        <w:rPr>
          <w:rFonts w:ascii="Times New Roman" w:hAnsi="Times New Roman" w:cs="Times New Roman"/>
          <w:sz w:val="28"/>
          <w:szCs w:val="28"/>
          <w:lang w:val="en-US"/>
        </w:rPr>
        <w:t xml:space="preserve">% and down </w:t>
      </w:r>
      <w:r>
        <w:rPr>
          <w:rFonts w:ascii="Times New Roman" w:hAnsi="Times New Roman" w:cs="Times New Roman"/>
          <w:sz w:val="28"/>
          <w:szCs w:val="28"/>
          <w:lang w:val="en-US"/>
        </w:rPr>
        <w:t>20.4</w:t>
      </w:r>
      <w:r w:rsidRPr="00B170A4">
        <w:rPr>
          <w:rFonts w:ascii="Times New Roman" w:hAnsi="Times New Roman" w:cs="Times New Roman"/>
          <w:sz w:val="28"/>
          <w:szCs w:val="28"/>
          <w:lang w:val="en-US"/>
        </w:rPr>
        <w:t xml:space="preserve">%. </w:t>
      </w:r>
    </w:p>
    <w:p w14:paraId="28962647" w14:textId="60F610D0" w:rsidR="003F3125" w:rsidRDefault="003F3125" w:rsidP="003F3125">
      <w:pPr>
        <w:spacing w:before="40" w:after="40"/>
        <w:ind w:firstLine="567"/>
        <w:jc w:val="both"/>
        <w:rPr>
          <w:rFonts w:ascii="Times New Roman" w:hAnsi="Times New Roman" w:cs="Times New Roman"/>
          <w:sz w:val="28"/>
          <w:szCs w:val="28"/>
          <w:lang w:val="en-US"/>
        </w:rPr>
      </w:pPr>
      <w:r w:rsidRPr="00B170A4">
        <w:rPr>
          <w:rFonts w:ascii="Times New Roman" w:hAnsi="Times New Roman" w:cs="Times New Roman"/>
          <w:sz w:val="28"/>
          <w:szCs w:val="28"/>
          <w:lang w:val="en-US"/>
        </w:rPr>
        <w:t xml:space="preserve">In the first </w:t>
      </w:r>
      <w:r>
        <w:rPr>
          <w:rFonts w:ascii="Times New Roman" w:hAnsi="Times New Roman" w:cs="Times New Roman"/>
          <w:sz w:val="28"/>
          <w:szCs w:val="28"/>
          <w:lang w:val="en-US"/>
        </w:rPr>
        <w:t>4</w:t>
      </w:r>
      <w:r w:rsidRPr="00B170A4">
        <w:rPr>
          <w:rFonts w:ascii="Times New Roman" w:hAnsi="Times New Roman" w:cs="Times New Roman"/>
          <w:sz w:val="28"/>
          <w:szCs w:val="28"/>
          <w:lang w:val="en-US"/>
        </w:rPr>
        <w:t xml:space="preserve"> months of 2022, </w:t>
      </w:r>
      <w:r>
        <w:rPr>
          <w:rFonts w:ascii="Times New Roman" w:hAnsi="Times New Roman" w:cs="Times New Roman"/>
          <w:sz w:val="28"/>
          <w:szCs w:val="28"/>
          <w:lang w:val="en-US"/>
        </w:rPr>
        <w:t>there were 41</w:t>
      </w:r>
      <w:r w:rsidRPr="00B170A4">
        <w:rPr>
          <w:rFonts w:ascii="Times New Roman" w:hAnsi="Times New Roman" w:cs="Times New Roman"/>
          <w:sz w:val="28"/>
          <w:szCs w:val="28"/>
          <w:lang w:val="en-US"/>
        </w:rPr>
        <w:t xml:space="preserve"> thousand enterprises</w:t>
      </w:r>
      <w:r w:rsidRPr="00147B0F">
        <w:rPr>
          <w:rFonts w:ascii="Times New Roman" w:hAnsi="Times New Roman" w:cs="Times New Roman"/>
          <w:sz w:val="28"/>
          <w:szCs w:val="28"/>
          <w:lang w:val="en-US"/>
        </w:rPr>
        <w:t xml:space="preserve"> </w:t>
      </w:r>
      <w:r w:rsidRPr="009F65AF">
        <w:rPr>
          <w:rFonts w:ascii="Times New Roman" w:hAnsi="Times New Roman" w:cs="Times New Roman"/>
          <w:sz w:val="28"/>
          <w:szCs w:val="28"/>
          <w:lang w:val="en-US"/>
        </w:rPr>
        <w:t>temporarily ceased for a certain time</w:t>
      </w:r>
      <w:r w:rsidRPr="00B170A4">
        <w:rPr>
          <w:rFonts w:ascii="Times New Roman" w:hAnsi="Times New Roman" w:cs="Times New Roman"/>
          <w:sz w:val="28"/>
          <w:szCs w:val="28"/>
          <w:lang w:val="en-US"/>
        </w:rPr>
        <w:t>, an increase of 4</w:t>
      </w:r>
      <w:r>
        <w:rPr>
          <w:rFonts w:ascii="Times New Roman" w:hAnsi="Times New Roman" w:cs="Times New Roman"/>
          <w:sz w:val="28"/>
          <w:szCs w:val="28"/>
          <w:lang w:val="en-US"/>
        </w:rPr>
        <w:t>4</w:t>
      </w:r>
      <w:r w:rsidRPr="00B170A4">
        <w:rPr>
          <w:rFonts w:ascii="Times New Roman" w:hAnsi="Times New Roman" w:cs="Times New Roman"/>
          <w:sz w:val="28"/>
          <w:szCs w:val="28"/>
          <w:lang w:val="en-US"/>
        </w:rPr>
        <w:t>.</w:t>
      </w:r>
      <w:r>
        <w:rPr>
          <w:rFonts w:ascii="Times New Roman" w:hAnsi="Times New Roman" w:cs="Times New Roman"/>
          <w:sz w:val="28"/>
          <w:szCs w:val="28"/>
          <w:lang w:val="en-US"/>
        </w:rPr>
        <w:t>6</w:t>
      </w:r>
      <w:r w:rsidRPr="00B170A4">
        <w:rPr>
          <w:rFonts w:ascii="Times New Roman" w:hAnsi="Times New Roman" w:cs="Times New Roman"/>
          <w:sz w:val="28"/>
          <w:szCs w:val="28"/>
          <w:lang w:val="en-US"/>
        </w:rPr>
        <w:t xml:space="preserve">% compared to the same period last year; </w:t>
      </w:r>
      <w:r>
        <w:rPr>
          <w:rFonts w:ascii="Times New Roman" w:hAnsi="Times New Roman" w:cs="Times New Roman"/>
          <w:sz w:val="28"/>
          <w:szCs w:val="28"/>
          <w:lang w:val="en-US"/>
        </w:rPr>
        <w:t>15</w:t>
      </w:r>
      <w:r w:rsidRPr="00B170A4">
        <w:rPr>
          <w:rFonts w:ascii="Times New Roman" w:hAnsi="Times New Roman" w:cs="Times New Roman"/>
          <w:sz w:val="28"/>
          <w:szCs w:val="28"/>
          <w:lang w:val="en-US"/>
        </w:rPr>
        <w:t xml:space="preserve"> thousand enterprises </w:t>
      </w:r>
      <w:r w:rsidRPr="009F65AF">
        <w:rPr>
          <w:rFonts w:ascii="Times New Roman" w:hAnsi="Times New Roman" w:cs="Times New Roman"/>
          <w:sz w:val="28"/>
          <w:szCs w:val="28"/>
          <w:lang w:val="en-US"/>
        </w:rPr>
        <w:t>temporarily ceased and awaited dissolution procedure</w:t>
      </w:r>
      <w:r>
        <w:rPr>
          <w:rFonts w:ascii="Times New Roman" w:hAnsi="Times New Roman" w:cs="Times New Roman"/>
          <w:sz w:val="28"/>
          <w:szCs w:val="28"/>
          <w:lang w:val="en-US"/>
        </w:rPr>
        <w:t>s, a de</w:t>
      </w:r>
      <w:r w:rsidRPr="00B170A4">
        <w:rPr>
          <w:rFonts w:ascii="Times New Roman" w:hAnsi="Times New Roman" w:cs="Times New Roman"/>
          <w:sz w:val="28"/>
          <w:szCs w:val="28"/>
          <w:lang w:val="en-US"/>
        </w:rPr>
        <w:t xml:space="preserve">crease of </w:t>
      </w:r>
      <w:r>
        <w:rPr>
          <w:rFonts w:ascii="Times New Roman" w:hAnsi="Times New Roman" w:cs="Times New Roman"/>
          <w:sz w:val="28"/>
          <w:szCs w:val="28"/>
          <w:lang w:val="en-US"/>
        </w:rPr>
        <w:t>8</w:t>
      </w:r>
      <w:r w:rsidRPr="00B170A4">
        <w:rPr>
          <w:rFonts w:ascii="Times New Roman" w:hAnsi="Times New Roman" w:cs="Times New Roman"/>
          <w:sz w:val="28"/>
          <w:szCs w:val="28"/>
          <w:lang w:val="en-US"/>
        </w:rPr>
        <w:t>.</w:t>
      </w:r>
      <w:r>
        <w:rPr>
          <w:rFonts w:ascii="Times New Roman" w:hAnsi="Times New Roman" w:cs="Times New Roman"/>
          <w:sz w:val="28"/>
          <w:szCs w:val="28"/>
          <w:lang w:val="en-US"/>
        </w:rPr>
        <w:t>7</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nearly 5.6 thousand enterprises </w:t>
      </w:r>
      <w:r w:rsidRPr="00B170A4">
        <w:rPr>
          <w:rFonts w:ascii="Times New Roman" w:hAnsi="Times New Roman" w:cs="Times New Roman"/>
          <w:sz w:val="28"/>
          <w:szCs w:val="28"/>
          <w:lang w:val="en-US"/>
        </w:rPr>
        <w:t>completed dissolution procedures, down 1</w:t>
      </w:r>
      <w:r>
        <w:rPr>
          <w:rFonts w:ascii="Times New Roman" w:hAnsi="Times New Roman" w:cs="Times New Roman"/>
          <w:sz w:val="28"/>
          <w:szCs w:val="28"/>
          <w:lang w:val="en-US"/>
        </w:rPr>
        <w:t>7</w:t>
      </w:r>
      <w:r w:rsidRPr="00B170A4">
        <w:rPr>
          <w:rFonts w:ascii="Times New Roman" w:hAnsi="Times New Roman" w:cs="Times New Roman"/>
          <w:sz w:val="28"/>
          <w:szCs w:val="28"/>
          <w:lang w:val="en-US"/>
        </w:rPr>
        <w:t>.</w:t>
      </w:r>
      <w:r>
        <w:rPr>
          <w:rFonts w:ascii="Times New Roman" w:hAnsi="Times New Roman" w:cs="Times New Roman"/>
          <w:sz w:val="28"/>
          <w:szCs w:val="28"/>
          <w:lang w:val="en-US"/>
        </w:rPr>
        <w:t>5</w:t>
      </w:r>
      <w:r w:rsidRPr="00B170A4">
        <w:rPr>
          <w:rFonts w:ascii="Times New Roman" w:hAnsi="Times New Roman" w:cs="Times New Roman"/>
          <w:sz w:val="28"/>
          <w:szCs w:val="28"/>
          <w:lang w:val="en-US"/>
        </w:rPr>
        <w:t xml:space="preserve">%, </w:t>
      </w:r>
      <w:r w:rsidRPr="009F65AF">
        <w:rPr>
          <w:rFonts w:ascii="Times New Roman" w:hAnsi="Times New Roman" w:cs="Times New Roman"/>
          <w:sz w:val="28"/>
          <w:szCs w:val="28"/>
          <w:lang w:val="en-US"/>
        </w:rPr>
        <w:t>of which</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13.3</w:t>
      </w:r>
      <w:r w:rsidRPr="00B170A4">
        <w:rPr>
          <w:rFonts w:ascii="Times New Roman" w:hAnsi="Times New Roman" w:cs="Times New Roman"/>
          <w:sz w:val="28"/>
          <w:szCs w:val="28"/>
          <w:lang w:val="en-US"/>
        </w:rPr>
        <w:t xml:space="preserve"> thousand enterprises with </w:t>
      </w:r>
      <w:r>
        <w:rPr>
          <w:rFonts w:ascii="Times New Roman" w:hAnsi="Times New Roman" w:cs="Times New Roman"/>
          <w:sz w:val="28"/>
          <w:szCs w:val="28"/>
          <w:lang w:val="en-US"/>
        </w:rPr>
        <w:t xml:space="preserve">a </w:t>
      </w:r>
      <w:r w:rsidRPr="00B170A4">
        <w:rPr>
          <w:rFonts w:ascii="Times New Roman" w:hAnsi="Times New Roman" w:cs="Times New Roman"/>
          <w:sz w:val="28"/>
          <w:szCs w:val="28"/>
          <w:lang w:val="en-US"/>
        </w:rPr>
        <w:t xml:space="preserve">capital </w:t>
      </w:r>
      <w:r>
        <w:rPr>
          <w:rFonts w:ascii="Times New Roman" w:hAnsi="Times New Roman" w:cs="Times New Roman"/>
          <w:sz w:val="28"/>
          <w:szCs w:val="28"/>
          <w:lang w:val="en-US"/>
        </w:rPr>
        <w:t>size</w:t>
      </w:r>
      <w:r w:rsidRPr="00B170A4">
        <w:rPr>
          <w:rFonts w:ascii="Times New Roman" w:hAnsi="Times New Roman" w:cs="Times New Roman"/>
          <w:sz w:val="28"/>
          <w:szCs w:val="28"/>
          <w:lang w:val="en-US"/>
        </w:rPr>
        <w:t xml:space="preserve"> of less than 10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VND,</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down 1</w:t>
      </w:r>
      <w:r>
        <w:rPr>
          <w:rFonts w:ascii="Times New Roman" w:hAnsi="Times New Roman" w:cs="Times New Roman"/>
          <w:sz w:val="28"/>
          <w:szCs w:val="28"/>
          <w:lang w:val="en-US"/>
        </w:rPr>
        <w:t>0</w:t>
      </w:r>
      <w:r w:rsidRPr="00B170A4">
        <w:rPr>
          <w:rFonts w:ascii="Times New Roman" w:hAnsi="Times New Roman" w:cs="Times New Roman"/>
          <w:sz w:val="28"/>
          <w:szCs w:val="28"/>
          <w:lang w:val="en-US"/>
        </w:rPr>
        <w:t>.</w:t>
      </w:r>
      <w:r>
        <w:rPr>
          <w:rFonts w:ascii="Times New Roman" w:hAnsi="Times New Roman" w:cs="Times New Roman"/>
          <w:sz w:val="28"/>
          <w:szCs w:val="28"/>
          <w:lang w:val="en-US"/>
        </w:rPr>
        <w:t>3</w:t>
      </w:r>
      <w:r w:rsidRPr="00B170A4">
        <w:rPr>
          <w:rFonts w:ascii="Times New Roman" w:hAnsi="Times New Roman" w:cs="Times New Roman"/>
          <w:sz w:val="28"/>
          <w:szCs w:val="28"/>
          <w:lang w:val="en-US"/>
        </w:rPr>
        <w:t xml:space="preserve">%; </w:t>
      </w:r>
      <w:r>
        <w:rPr>
          <w:rFonts w:ascii="Times New Roman" w:hAnsi="Times New Roman" w:cs="Times New Roman"/>
          <w:sz w:val="28"/>
          <w:szCs w:val="28"/>
          <w:lang w:val="en-US"/>
        </w:rPr>
        <w:t>211 enterprises had a capital size</w:t>
      </w:r>
      <w:r w:rsidRPr="00B170A4">
        <w:rPr>
          <w:rFonts w:ascii="Times New Roman" w:hAnsi="Times New Roman" w:cs="Times New Roman"/>
          <w:sz w:val="28"/>
          <w:szCs w:val="28"/>
          <w:lang w:val="en-US"/>
        </w:rPr>
        <w:t xml:space="preserve"> of over 100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 xml:space="preserve">VND, </w:t>
      </w:r>
      <w:r>
        <w:rPr>
          <w:rFonts w:ascii="Times New Roman" w:hAnsi="Times New Roman" w:cs="Times New Roman"/>
          <w:sz w:val="28"/>
          <w:szCs w:val="28"/>
          <w:lang w:val="en-US"/>
        </w:rPr>
        <w:t>equaling</w:t>
      </w:r>
      <w:r>
        <w:rPr>
          <w:rFonts w:ascii="Times New Roman" w:hAnsi="Times New Roman" w:cs="Times New Roman"/>
          <w:sz w:val="28"/>
          <w:szCs w:val="28"/>
          <w:lang w:val="vi-VN"/>
        </w:rPr>
        <w:t xml:space="preserve"> </w:t>
      </w:r>
      <w:r w:rsidR="004827F8" w:rsidRPr="004827F8">
        <w:rPr>
          <w:rFonts w:ascii="Times New Roman" w:hAnsi="Times New Roman" w:cs="Times New Roman"/>
          <w:sz w:val="28"/>
          <w:szCs w:val="28"/>
          <w:lang w:val="en-US"/>
        </w:rPr>
        <w:t>the same period</w:t>
      </w:r>
      <w:r w:rsidR="004827F8">
        <w:rPr>
          <w:rFonts w:ascii="Times New Roman" w:hAnsi="Times New Roman" w:cs="Times New Roman"/>
          <w:sz w:val="28"/>
          <w:szCs w:val="28"/>
          <w:lang w:val="en-US"/>
        </w:rPr>
        <w:t xml:space="preserve"> </w:t>
      </w:r>
      <w:r>
        <w:rPr>
          <w:rFonts w:ascii="Times New Roman" w:hAnsi="Times New Roman" w:cs="Times New Roman"/>
          <w:sz w:val="28"/>
          <w:szCs w:val="28"/>
          <w:lang w:val="en-US"/>
        </w:rPr>
        <w:t>last year</w:t>
      </w:r>
      <w:r w:rsidRPr="00B170A4">
        <w:rPr>
          <w:rFonts w:ascii="Times New Roman" w:hAnsi="Times New Roman" w:cs="Times New Roman"/>
          <w:sz w:val="28"/>
          <w:szCs w:val="28"/>
          <w:lang w:val="en-US"/>
        </w:rPr>
        <w:t>. On average, 1</w:t>
      </w:r>
      <w:r>
        <w:rPr>
          <w:rFonts w:ascii="Times New Roman" w:hAnsi="Times New Roman" w:cs="Times New Roman"/>
          <w:sz w:val="28"/>
          <w:szCs w:val="28"/>
          <w:lang w:val="en-US"/>
        </w:rPr>
        <w:t>5</w:t>
      </w:r>
      <w:r w:rsidRPr="00B170A4">
        <w:rPr>
          <w:rFonts w:ascii="Times New Roman" w:hAnsi="Times New Roman" w:cs="Times New Roman"/>
          <w:sz w:val="28"/>
          <w:szCs w:val="28"/>
          <w:lang w:val="en-US"/>
        </w:rPr>
        <w:t>.</w:t>
      </w:r>
      <w:r>
        <w:rPr>
          <w:rFonts w:ascii="Times New Roman" w:hAnsi="Times New Roman" w:cs="Times New Roman"/>
          <w:sz w:val="28"/>
          <w:szCs w:val="28"/>
          <w:lang w:val="en-US"/>
        </w:rPr>
        <w:t>4</w:t>
      </w:r>
      <w:r w:rsidRPr="00B170A4">
        <w:rPr>
          <w:rFonts w:ascii="Times New Roman" w:hAnsi="Times New Roman" w:cs="Times New Roman"/>
          <w:sz w:val="28"/>
          <w:szCs w:val="28"/>
          <w:lang w:val="en-US"/>
        </w:rPr>
        <w:t xml:space="preserve"> thousand </w:t>
      </w:r>
      <w:r w:rsidRPr="009F65AF">
        <w:rPr>
          <w:rFonts w:ascii="Times New Roman" w:hAnsi="Times New Roman" w:cs="Times New Roman"/>
          <w:sz w:val="28"/>
          <w:szCs w:val="28"/>
          <w:lang w:val="en-US"/>
        </w:rPr>
        <w:t>enterprises withdraw from the market each month</w:t>
      </w:r>
      <w:r>
        <w:rPr>
          <w:rFonts w:ascii="Times New Roman" w:hAnsi="Times New Roman" w:cs="Times New Roman"/>
          <w:sz w:val="28"/>
          <w:szCs w:val="28"/>
          <w:lang w:val="en-US"/>
        </w:rPr>
        <w:t>.</w:t>
      </w:r>
    </w:p>
    <w:p w14:paraId="0A6DEF9C" w14:textId="77777777" w:rsidR="00B31A7B" w:rsidRPr="00024476" w:rsidRDefault="00B31A7B" w:rsidP="00B31A7B">
      <w:pPr>
        <w:tabs>
          <w:tab w:val="left" w:pos="6810"/>
        </w:tabs>
        <w:jc w:val="center"/>
        <w:rPr>
          <w:rFonts w:ascii="Arial" w:hAnsi="Arial" w:cs="Arial"/>
          <w:b/>
          <w:sz w:val="2"/>
          <w:szCs w:val="20"/>
          <w:lang w:val="it-IT"/>
        </w:rPr>
      </w:pPr>
    </w:p>
    <w:p w14:paraId="13F6F269" w14:textId="346E2490" w:rsidR="00024476" w:rsidRDefault="007F2858" w:rsidP="00B31A7B">
      <w:pPr>
        <w:tabs>
          <w:tab w:val="left" w:pos="6810"/>
        </w:tabs>
        <w:spacing w:after="0" w:line="240" w:lineRule="auto"/>
        <w:jc w:val="center"/>
        <w:rPr>
          <w:rFonts w:ascii="Arial" w:hAnsi="Arial" w:cs="Arial"/>
          <w:b/>
          <w:sz w:val="24"/>
          <w:szCs w:val="20"/>
          <w:lang w:val="it-IT"/>
        </w:rPr>
      </w:pPr>
      <w:r w:rsidRPr="007F2858">
        <w:rPr>
          <w:rFonts w:ascii="Arial" w:hAnsi="Arial" w:cs="Arial"/>
          <w:b/>
          <w:sz w:val="24"/>
          <w:szCs w:val="20"/>
          <w:lang w:val="it-IT"/>
        </w:rPr>
        <w:t>Table 2: Number of newly registered enterprises and completed dissolution procedures in the first 4 months, 2022  by kinds of activity</w:t>
      </w:r>
    </w:p>
    <w:p w14:paraId="03BE65C3" w14:textId="77777777" w:rsidR="00B31A7B" w:rsidRPr="006B032F" w:rsidRDefault="00B31A7B" w:rsidP="00B31A7B">
      <w:pPr>
        <w:tabs>
          <w:tab w:val="left" w:pos="6810"/>
        </w:tabs>
        <w:spacing w:before="40" w:after="40" w:line="278" w:lineRule="auto"/>
        <w:ind w:firstLine="567"/>
        <w:jc w:val="center"/>
        <w:rPr>
          <w:rFonts w:ascii="Arial" w:hAnsi="Arial" w:cs="Arial"/>
          <w:b/>
          <w:sz w:val="4"/>
          <w:szCs w:val="20"/>
          <w:lang w:val="it-IT"/>
        </w:rPr>
      </w:pPr>
    </w:p>
    <w:tbl>
      <w:tblPr>
        <w:tblW w:w="8893" w:type="dxa"/>
        <w:jc w:val="center"/>
        <w:tblLook w:val="04A0" w:firstRow="1" w:lastRow="0" w:firstColumn="1" w:lastColumn="0" w:noHBand="0" w:noVBand="1"/>
      </w:tblPr>
      <w:tblGrid>
        <w:gridCol w:w="3509"/>
        <w:gridCol w:w="1398"/>
        <w:gridCol w:w="1425"/>
        <w:gridCol w:w="1345"/>
        <w:gridCol w:w="1216"/>
      </w:tblGrid>
      <w:tr w:rsidR="00BB0ED3" w:rsidRPr="00A30BEB" w14:paraId="6C263ABB" w14:textId="77777777" w:rsidTr="000F4C80">
        <w:trPr>
          <w:cantSplit/>
          <w:trHeight w:val="1253"/>
          <w:jc w:val="center"/>
        </w:trPr>
        <w:tc>
          <w:tcPr>
            <w:tcW w:w="3509" w:type="dxa"/>
            <w:vMerge w:val="restart"/>
            <w:tcBorders>
              <w:top w:val="single" w:sz="4" w:space="0" w:color="auto"/>
            </w:tcBorders>
            <w:shd w:val="clear" w:color="auto" w:fill="auto"/>
            <w:noWrap/>
            <w:vAlign w:val="bottom"/>
            <w:hideMark/>
          </w:tcPr>
          <w:p w14:paraId="547A46A2" w14:textId="77777777" w:rsidR="00BB0ED3" w:rsidRPr="00A30BEB" w:rsidRDefault="00BB0ED3" w:rsidP="000F4C80">
            <w:pPr>
              <w:jc w:val="center"/>
              <w:rPr>
                <w:rFonts w:ascii="Arial" w:hAnsi="Arial" w:cs="Arial"/>
                <w:color w:val="000000"/>
                <w:sz w:val="20"/>
                <w:szCs w:val="20"/>
                <w:lang w:val="it-IT"/>
              </w:rPr>
            </w:pPr>
            <w:r w:rsidRPr="00A30BEB">
              <w:rPr>
                <w:rFonts w:ascii="Arial" w:hAnsi="Arial" w:cs="Arial"/>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14:paraId="71F499B4" w14:textId="77777777" w:rsidR="00BB0ED3" w:rsidRPr="00A30BEB" w:rsidRDefault="00BB0ED3" w:rsidP="000F4C80">
            <w:pPr>
              <w:spacing w:before="40" w:after="40" w:line="240" w:lineRule="auto"/>
              <w:jc w:val="center"/>
              <w:rPr>
                <w:rFonts w:ascii="Arial" w:hAnsi="Arial" w:cs="Arial"/>
                <w:bCs/>
                <w:color w:val="000000"/>
                <w:sz w:val="20"/>
                <w:szCs w:val="20"/>
                <w:lang w:val="it-IT"/>
              </w:rPr>
            </w:pPr>
            <w:r w:rsidRPr="00A30BEB">
              <w:rPr>
                <w:rFonts w:ascii="Arial" w:hAnsi="Arial" w:cs="Arial"/>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14:paraId="4FB97AF6" w14:textId="77777777" w:rsidR="00BB0ED3" w:rsidRPr="00A30BEB" w:rsidRDefault="00BB0ED3" w:rsidP="000F4C80">
            <w:pPr>
              <w:spacing w:before="40" w:after="40" w:line="240" w:lineRule="auto"/>
              <w:jc w:val="center"/>
              <w:rPr>
                <w:rFonts w:ascii="Arial" w:hAnsi="Arial" w:cs="Arial"/>
                <w:bCs/>
                <w:color w:val="000000"/>
                <w:sz w:val="20"/>
                <w:szCs w:val="20"/>
              </w:rPr>
            </w:pPr>
            <w:r w:rsidRPr="00A30BEB">
              <w:rPr>
                <w:rFonts w:ascii="Arial" w:hAnsi="Arial" w:cs="Arial"/>
                <w:bCs/>
                <w:color w:val="000000"/>
                <w:sz w:val="20"/>
                <w:szCs w:val="20"/>
              </w:rPr>
              <w:t xml:space="preserve">Growth rate </w:t>
            </w:r>
          </w:p>
          <w:p w14:paraId="19AF10DA" w14:textId="77777777" w:rsidR="00BB0ED3" w:rsidRPr="00A30BEB" w:rsidRDefault="00BB0ED3" w:rsidP="000F4C80">
            <w:pPr>
              <w:spacing w:before="40" w:after="40" w:line="240" w:lineRule="auto"/>
              <w:jc w:val="center"/>
              <w:rPr>
                <w:rFonts w:ascii="Arial" w:hAnsi="Arial" w:cs="Arial"/>
                <w:bCs/>
                <w:color w:val="000000"/>
                <w:sz w:val="20"/>
                <w:szCs w:val="20"/>
                <w:lang w:val="it-IT"/>
              </w:rPr>
            </w:pPr>
            <w:r w:rsidRPr="00A30BEB">
              <w:rPr>
                <w:rFonts w:ascii="Arial" w:hAnsi="Arial" w:cs="Arial"/>
                <w:bCs/>
                <w:color w:val="000000"/>
                <w:sz w:val="20"/>
                <w:szCs w:val="20"/>
                <w:lang w:val="en-US"/>
              </w:rPr>
              <w:t>over the same period last year (%)</w:t>
            </w:r>
          </w:p>
        </w:tc>
      </w:tr>
      <w:tr w:rsidR="00BB0ED3" w:rsidRPr="00A30BEB" w14:paraId="59D763AE" w14:textId="77777777" w:rsidTr="000F4C80">
        <w:trPr>
          <w:cantSplit/>
          <w:trHeight w:val="1122"/>
          <w:jc w:val="center"/>
        </w:trPr>
        <w:tc>
          <w:tcPr>
            <w:tcW w:w="3509" w:type="dxa"/>
            <w:vMerge/>
            <w:vAlign w:val="center"/>
            <w:hideMark/>
          </w:tcPr>
          <w:p w14:paraId="11A81957" w14:textId="77777777" w:rsidR="00BB0ED3" w:rsidRPr="00A30BEB" w:rsidRDefault="00BB0ED3" w:rsidP="000F4C80">
            <w:pPr>
              <w:rPr>
                <w:rFonts w:ascii="Arial" w:hAnsi="Arial" w:cs="Arial"/>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14:paraId="78E0C664" w14:textId="77777777" w:rsidR="00BB0ED3" w:rsidRPr="00A30BEB" w:rsidRDefault="00BB0ED3" w:rsidP="000F4C8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Newly registered</w:t>
            </w:r>
          </w:p>
        </w:tc>
        <w:tc>
          <w:tcPr>
            <w:tcW w:w="1425" w:type="dxa"/>
            <w:tcBorders>
              <w:top w:val="single" w:sz="4" w:space="0" w:color="auto"/>
              <w:bottom w:val="single" w:sz="4" w:space="0" w:color="auto"/>
            </w:tcBorders>
            <w:shd w:val="clear" w:color="auto" w:fill="auto"/>
            <w:vAlign w:val="center"/>
            <w:hideMark/>
          </w:tcPr>
          <w:p w14:paraId="6227D579" w14:textId="77777777" w:rsidR="00BB0ED3" w:rsidRPr="00A30BEB" w:rsidRDefault="00BB0ED3" w:rsidP="000F4C80">
            <w:pPr>
              <w:spacing w:before="60" w:after="60"/>
              <w:jc w:val="center"/>
              <w:rPr>
                <w:rFonts w:ascii="Arial" w:hAnsi="Arial" w:cs="Arial"/>
                <w:bCs/>
                <w:color w:val="000000"/>
                <w:sz w:val="20"/>
                <w:szCs w:val="20"/>
                <w:lang w:val="en-US"/>
              </w:rPr>
            </w:pPr>
          </w:p>
          <w:p w14:paraId="2D357992" w14:textId="77777777" w:rsidR="00BB0ED3" w:rsidRPr="00A30BEB" w:rsidRDefault="00BB0ED3" w:rsidP="000F4C8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Dissolution</w:t>
            </w:r>
          </w:p>
          <w:p w14:paraId="77859E1E" w14:textId="77777777" w:rsidR="00BB0ED3" w:rsidRPr="00A30BEB" w:rsidRDefault="00BB0ED3" w:rsidP="000F4C80">
            <w:pPr>
              <w:spacing w:before="60" w:after="60"/>
              <w:jc w:val="center"/>
              <w:rPr>
                <w:rFonts w:ascii="Arial" w:hAnsi="Arial" w:cs="Arial"/>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14:paraId="5C0FDB0F" w14:textId="77777777" w:rsidR="00BB0ED3" w:rsidRPr="00A30BEB" w:rsidRDefault="00BB0ED3" w:rsidP="000F4C8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14:paraId="6753B985" w14:textId="77777777" w:rsidR="00BB0ED3" w:rsidRPr="00A30BEB" w:rsidRDefault="00BB0ED3" w:rsidP="000F4C80">
            <w:pPr>
              <w:spacing w:before="60" w:after="60"/>
              <w:jc w:val="center"/>
              <w:rPr>
                <w:rFonts w:ascii="Arial" w:hAnsi="Arial" w:cs="Arial"/>
                <w:bCs/>
                <w:color w:val="000000"/>
                <w:sz w:val="20"/>
                <w:szCs w:val="20"/>
                <w:lang w:val="en-US"/>
              </w:rPr>
            </w:pPr>
          </w:p>
          <w:p w14:paraId="120112D0" w14:textId="77777777" w:rsidR="00BB0ED3" w:rsidRPr="00A30BEB" w:rsidRDefault="00BB0ED3" w:rsidP="000F4C8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Dissolution</w:t>
            </w:r>
          </w:p>
          <w:p w14:paraId="4E3B73D4" w14:textId="77777777" w:rsidR="00BB0ED3" w:rsidRPr="00A30BEB" w:rsidRDefault="00BB0ED3" w:rsidP="000F4C80">
            <w:pPr>
              <w:spacing w:before="60" w:after="60"/>
              <w:jc w:val="center"/>
              <w:rPr>
                <w:rFonts w:ascii="Arial" w:hAnsi="Arial" w:cs="Arial"/>
                <w:bCs/>
                <w:color w:val="000000"/>
                <w:sz w:val="20"/>
                <w:szCs w:val="20"/>
                <w:lang w:val="en-US"/>
              </w:rPr>
            </w:pPr>
          </w:p>
        </w:tc>
      </w:tr>
      <w:tr w:rsidR="00BB0ED3" w:rsidRPr="00A30BEB" w14:paraId="720B2626" w14:textId="77777777" w:rsidTr="000F4C80">
        <w:trPr>
          <w:cantSplit/>
          <w:trHeight w:val="1159"/>
          <w:jc w:val="center"/>
        </w:trPr>
        <w:tc>
          <w:tcPr>
            <w:tcW w:w="3509" w:type="dxa"/>
            <w:shd w:val="clear" w:color="auto" w:fill="auto"/>
            <w:noWrap/>
            <w:vAlign w:val="bottom"/>
            <w:hideMark/>
          </w:tcPr>
          <w:p w14:paraId="3717F7FB" w14:textId="77777777" w:rsidR="00BB0ED3" w:rsidRPr="00A30BEB" w:rsidRDefault="00BB0ED3" w:rsidP="000F4C80">
            <w:pPr>
              <w:spacing w:before="240" w:after="40" w:line="240" w:lineRule="auto"/>
              <w:rPr>
                <w:rFonts w:ascii="Arial" w:hAnsi="Arial" w:cs="Arial"/>
                <w:color w:val="000000"/>
                <w:sz w:val="20"/>
                <w:szCs w:val="20"/>
              </w:rPr>
            </w:pPr>
            <w:r w:rsidRPr="00A30BEB">
              <w:rPr>
                <w:rFonts w:ascii="Arial" w:hAnsi="Arial" w:cs="Arial"/>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14:paraId="2D9135FF" w14:textId="77777777" w:rsidR="00BB0ED3" w:rsidRPr="00A30BEB" w:rsidRDefault="00BB0ED3" w:rsidP="000F4C80">
            <w:pPr>
              <w:spacing w:before="240" w:after="80"/>
              <w:ind w:right="176"/>
              <w:jc w:val="right"/>
              <w:rPr>
                <w:rFonts w:ascii="Arial" w:hAnsi="Arial" w:cs="Arial"/>
                <w:color w:val="000000"/>
                <w:sz w:val="20"/>
                <w:szCs w:val="20"/>
              </w:rPr>
            </w:pPr>
            <w:r w:rsidRPr="00A30BEB">
              <w:rPr>
                <w:rFonts w:ascii="Arial" w:hAnsi="Arial" w:cs="Arial"/>
                <w:color w:val="000000"/>
                <w:sz w:val="20"/>
                <w:szCs w:val="20"/>
              </w:rPr>
              <w:t>17,620</w:t>
            </w:r>
          </w:p>
        </w:tc>
        <w:tc>
          <w:tcPr>
            <w:tcW w:w="1425" w:type="dxa"/>
            <w:tcBorders>
              <w:top w:val="single" w:sz="4" w:space="0" w:color="auto"/>
            </w:tcBorders>
            <w:shd w:val="clear" w:color="auto" w:fill="auto"/>
            <w:noWrap/>
            <w:vAlign w:val="bottom"/>
            <w:hideMark/>
          </w:tcPr>
          <w:p w14:paraId="36D13B00" w14:textId="77777777" w:rsidR="00BB0ED3" w:rsidRPr="00A30BEB" w:rsidRDefault="00BB0ED3" w:rsidP="000F4C80">
            <w:pPr>
              <w:spacing w:before="240" w:after="80"/>
              <w:ind w:right="176"/>
              <w:jc w:val="right"/>
              <w:rPr>
                <w:rFonts w:ascii="Arial" w:hAnsi="Arial" w:cs="Arial"/>
                <w:color w:val="FF0000"/>
                <w:sz w:val="20"/>
                <w:szCs w:val="20"/>
              </w:rPr>
            </w:pPr>
            <w:r w:rsidRPr="00A30BEB">
              <w:rPr>
                <w:rFonts w:ascii="Arial" w:hAnsi="Arial" w:cs="Arial"/>
                <w:sz w:val="20"/>
                <w:szCs w:val="20"/>
              </w:rPr>
              <w:t>2,044</w:t>
            </w:r>
          </w:p>
        </w:tc>
        <w:tc>
          <w:tcPr>
            <w:tcW w:w="1345" w:type="dxa"/>
            <w:tcBorders>
              <w:top w:val="single" w:sz="4" w:space="0" w:color="auto"/>
            </w:tcBorders>
            <w:shd w:val="clear" w:color="auto" w:fill="auto"/>
            <w:noWrap/>
            <w:vAlign w:val="bottom"/>
            <w:hideMark/>
          </w:tcPr>
          <w:p w14:paraId="13D12DCB" w14:textId="77777777" w:rsidR="00BB0ED3" w:rsidRPr="00A30BEB" w:rsidRDefault="00BB0ED3" w:rsidP="000F4C80">
            <w:pPr>
              <w:spacing w:before="240" w:after="80"/>
              <w:ind w:right="316"/>
              <w:jc w:val="right"/>
              <w:rPr>
                <w:rFonts w:ascii="Arial" w:hAnsi="Arial" w:cs="Arial"/>
                <w:sz w:val="20"/>
                <w:szCs w:val="20"/>
              </w:rPr>
            </w:pPr>
            <w:r w:rsidRPr="00A30BEB">
              <w:rPr>
                <w:rFonts w:ascii="Arial" w:hAnsi="Arial" w:cs="Arial"/>
                <w:sz w:val="20"/>
                <w:szCs w:val="20"/>
              </w:rPr>
              <w:t>19.9</w:t>
            </w:r>
          </w:p>
        </w:tc>
        <w:tc>
          <w:tcPr>
            <w:tcW w:w="1216" w:type="dxa"/>
            <w:tcBorders>
              <w:top w:val="single" w:sz="4" w:space="0" w:color="auto"/>
            </w:tcBorders>
            <w:shd w:val="clear" w:color="auto" w:fill="auto"/>
            <w:noWrap/>
            <w:vAlign w:val="bottom"/>
            <w:hideMark/>
          </w:tcPr>
          <w:p w14:paraId="5AD68076" w14:textId="77777777" w:rsidR="00BB0ED3" w:rsidRPr="00A30BEB" w:rsidRDefault="00BB0ED3" w:rsidP="000F4C80">
            <w:pPr>
              <w:spacing w:before="240" w:after="80"/>
              <w:ind w:right="176"/>
              <w:jc w:val="right"/>
              <w:rPr>
                <w:rFonts w:ascii="Arial" w:hAnsi="Arial" w:cs="Arial"/>
                <w:color w:val="FF0000"/>
                <w:sz w:val="20"/>
                <w:szCs w:val="20"/>
              </w:rPr>
            </w:pPr>
            <w:r w:rsidRPr="00A30BEB">
              <w:rPr>
                <w:rFonts w:ascii="Arial" w:hAnsi="Arial" w:cs="Arial"/>
                <w:sz w:val="20"/>
                <w:szCs w:val="20"/>
              </w:rPr>
              <w:t>-17.8</w:t>
            </w:r>
          </w:p>
        </w:tc>
      </w:tr>
      <w:tr w:rsidR="00BB0ED3" w:rsidRPr="00A30BEB" w14:paraId="017EC5FF" w14:textId="77777777" w:rsidTr="000F4C80">
        <w:trPr>
          <w:cantSplit/>
          <w:trHeight w:val="542"/>
          <w:jc w:val="center"/>
        </w:trPr>
        <w:tc>
          <w:tcPr>
            <w:tcW w:w="3509" w:type="dxa"/>
            <w:shd w:val="clear" w:color="auto" w:fill="auto"/>
            <w:noWrap/>
            <w:vAlign w:val="bottom"/>
            <w:hideMark/>
          </w:tcPr>
          <w:p w14:paraId="30C3869A" w14:textId="77777777" w:rsidR="00BB0ED3" w:rsidRPr="00A30BEB" w:rsidRDefault="00BB0ED3" w:rsidP="000F4C8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2. Manufacturing</w:t>
            </w:r>
          </w:p>
        </w:tc>
        <w:tc>
          <w:tcPr>
            <w:tcW w:w="1398" w:type="dxa"/>
            <w:shd w:val="clear" w:color="auto" w:fill="auto"/>
            <w:noWrap/>
            <w:vAlign w:val="bottom"/>
            <w:hideMark/>
          </w:tcPr>
          <w:p w14:paraId="580F9317" w14:textId="77777777" w:rsidR="00BB0ED3" w:rsidRPr="00A30BEB" w:rsidRDefault="00BB0ED3" w:rsidP="000F4C80">
            <w:pPr>
              <w:spacing w:before="80" w:after="80"/>
              <w:ind w:right="176"/>
              <w:jc w:val="right"/>
              <w:rPr>
                <w:rFonts w:ascii="Arial" w:hAnsi="Arial" w:cs="Arial"/>
                <w:color w:val="000000"/>
                <w:sz w:val="20"/>
                <w:szCs w:val="20"/>
              </w:rPr>
            </w:pPr>
            <w:r w:rsidRPr="00A30BEB">
              <w:rPr>
                <w:rFonts w:ascii="Arial" w:hAnsi="Arial" w:cs="Arial"/>
                <w:color w:val="000000"/>
                <w:sz w:val="20"/>
                <w:szCs w:val="20"/>
              </w:rPr>
              <w:t>6,470</w:t>
            </w:r>
          </w:p>
        </w:tc>
        <w:tc>
          <w:tcPr>
            <w:tcW w:w="1425" w:type="dxa"/>
            <w:shd w:val="clear" w:color="auto" w:fill="auto"/>
            <w:noWrap/>
            <w:vAlign w:val="bottom"/>
            <w:hideMark/>
          </w:tcPr>
          <w:p w14:paraId="688ACEB1"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605</w:t>
            </w:r>
          </w:p>
        </w:tc>
        <w:tc>
          <w:tcPr>
            <w:tcW w:w="1345" w:type="dxa"/>
            <w:shd w:val="clear" w:color="auto" w:fill="auto"/>
            <w:noWrap/>
            <w:vAlign w:val="bottom"/>
            <w:hideMark/>
          </w:tcPr>
          <w:p w14:paraId="30284760" w14:textId="77777777" w:rsidR="00BB0ED3" w:rsidRPr="00A30BEB" w:rsidRDefault="00BB0ED3" w:rsidP="000F4C80">
            <w:pPr>
              <w:spacing w:before="80" w:after="80"/>
              <w:ind w:right="316"/>
              <w:jc w:val="right"/>
              <w:rPr>
                <w:rFonts w:ascii="Arial" w:hAnsi="Arial" w:cs="Arial"/>
                <w:sz w:val="20"/>
                <w:szCs w:val="20"/>
              </w:rPr>
            </w:pPr>
            <w:r w:rsidRPr="00A30BEB">
              <w:rPr>
                <w:rFonts w:ascii="Arial" w:hAnsi="Arial" w:cs="Arial"/>
                <w:sz w:val="20"/>
                <w:szCs w:val="20"/>
              </w:rPr>
              <w:t>14.5</w:t>
            </w:r>
          </w:p>
        </w:tc>
        <w:tc>
          <w:tcPr>
            <w:tcW w:w="1216" w:type="dxa"/>
            <w:shd w:val="clear" w:color="auto" w:fill="auto"/>
            <w:noWrap/>
            <w:vAlign w:val="bottom"/>
            <w:hideMark/>
          </w:tcPr>
          <w:p w14:paraId="1446F702" w14:textId="77777777" w:rsidR="00BB0ED3" w:rsidRPr="00A30BEB" w:rsidRDefault="00BB0ED3" w:rsidP="000F4C80">
            <w:pPr>
              <w:spacing w:before="80" w:after="80"/>
              <w:ind w:right="176"/>
              <w:jc w:val="right"/>
              <w:rPr>
                <w:rFonts w:ascii="Arial" w:hAnsi="Arial" w:cs="Arial"/>
                <w:color w:val="FF0000"/>
                <w:sz w:val="20"/>
                <w:szCs w:val="20"/>
              </w:rPr>
            </w:pPr>
            <w:r w:rsidRPr="00A30BEB">
              <w:rPr>
                <w:rFonts w:ascii="Arial" w:hAnsi="Arial" w:cs="Arial"/>
                <w:sz w:val="20"/>
                <w:szCs w:val="20"/>
              </w:rPr>
              <w:t>-22.4</w:t>
            </w:r>
          </w:p>
        </w:tc>
      </w:tr>
      <w:tr w:rsidR="00BB0ED3" w:rsidRPr="00A30BEB" w14:paraId="3637F5D0" w14:textId="77777777" w:rsidTr="000F4C80">
        <w:trPr>
          <w:cantSplit/>
          <w:trHeight w:val="542"/>
          <w:jc w:val="center"/>
        </w:trPr>
        <w:tc>
          <w:tcPr>
            <w:tcW w:w="3509" w:type="dxa"/>
            <w:shd w:val="clear" w:color="auto" w:fill="auto"/>
            <w:noWrap/>
            <w:vAlign w:val="bottom"/>
            <w:hideMark/>
          </w:tcPr>
          <w:p w14:paraId="777E78F0" w14:textId="77777777" w:rsidR="00BB0ED3" w:rsidRPr="00A30BEB" w:rsidRDefault="00BB0ED3" w:rsidP="000F4C80">
            <w:pPr>
              <w:spacing w:before="60" w:after="60" w:line="240" w:lineRule="auto"/>
              <w:rPr>
                <w:rFonts w:ascii="Arial" w:hAnsi="Arial" w:cs="Arial"/>
                <w:color w:val="000000"/>
                <w:sz w:val="20"/>
                <w:szCs w:val="20"/>
                <w:lang w:val="en-US"/>
              </w:rPr>
            </w:pPr>
            <w:r w:rsidRPr="00A30BEB">
              <w:rPr>
                <w:rFonts w:ascii="Arial" w:hAnsi="Arial" w:cs="Arial"/>
                <w:color w:val="000000"/>
                <w:sz w:val="20"/>
                <w:szCs w:val="20"/>
                <w:lang w:val="en-US"/>
              </w:rPr>
              <w:t>3. Construction</w:t>
            </w:r>
          </w:p>
        </w:tc>
        <w:tc>
          <w:tcPr>
            <w:tcW w:w="1398" w:type="dxa"/>
            <w:shd w:val="clear" w:color="auto" w:fill="auto"/>
            <w:noWrap/>
            <w:vAlign w:val="bottom"/>
            <w:hideMark/>
          </w:tcPr>
          <w:p w14:paraId="49F27CF5" w14:textId="77777777" w:rsidR="00BB0ED3" w:rsidRPr="00A30BEB" w:rsidRDefault="00BB0ED3" w:rsidP="000F4C80">
            <w:pPr>
              <w:spacing w:before="80" w:after="80"/>
              <w:ind w:right="176"/>
              <w:jc w:val="right"/>
              <w:rPr>
                <w:rFonts w:ascii="Arial" w:hAnsi="Arial" w:cs="Arial"/>
                <w:color w:val="000000"/>
                <w:sz w:val="20"/>
                <w:szCs w:val="20"/>
              </w:rPr>
            </w:pPr>
            <w:r w:rsidRPr="00A30BEB">
              <w:rPr>
                <w:rFonts w:ascii="Arial" w:hAnsi="Arial" w:cs="Arial"/>
                <w:color w:val="000000"/>
                <w:sz w:val="20"/>
                <w:szCs w:val="20"/>
              </w:rPr>
              <w:t>5,684</w:t>
            </w:r>
          </w:p>
        </w:tc>
        <w:tc>
          <w:tcPr>
            <w:tcW w:w="1425" w:type="dxa"/>
            <w:shd w:val="clear" w:color="auto" w:fill="auto"/>
            <w:noWrap/>
            <w:vAlign w:val="bottom"/>
            <w:hideMark/>
          </w:tcPr>
          <w:p w14:paraId="76B0AC6D"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458</w:t>
            </w:r>
          </w:p>
        </w:tc>
        <w:tc>
          <w:tcPr>
            <w:tcW w:w="1345" w:type="dxa"/>
            <w:shd w:val="clear" w:color="auto" w:fill="auto"/>
            <w:noWrap/>
            <w:vAlign w:val="bottom"/>
            <w:hideMark/>
          </w:tcPr>
          <w:p w14:paraId="72D3C13D" w14:textId="77777777" w:rsidR="00BB0ED3" w:rsidRPr="00A30BEB" w:rsidRDefault="00BB0ED3" w:rsidP="000F4C80">
            <w:pPr>
              <w:spacing w:before="80" w:after="80"/>
              <w:ind w:right="316"/>
              <w:jc w:val="right"/>
              <w:rPr>
                <w:rFonts w:ascii="Arial" w:hAnsi="Arial" w:cs="Arial"/>
                <w:color w:val="FF0000"/>
                <w:sz w:val="20"/>
                <w:szCs w:val="20"/>
              </w:rPr>
            </w:pPr>
            <w:r w:rsidRPr="00A30BEB">
              <w:rPr>
                <w:rFonts w:ascii="Arial" w:hAnsi="Arial" w:cs="Arial"/>
                <w:sz w:val="20"/>
                <w:szCs w:val="20"/>
              </w:rPr>
              <w:t>-0.9</w:t>
            </w:r>
          </w:p>
        </w:tc>
        <w:tc>
          <w:tcPr>
            <w:tcW w:w="1216" w:type="dxa"/>
            <w:shd w:val="clear" w:color="auto" w:fill="auto"/>
            <w:noWrap/>
            <w:vAlign w:val="bottom"/>
            <w:hideMark/>
          </w:tcPr>
          <w:p w14:paraId="40A933E0"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-25.0</w:t>
            </w:r>
          </w:p>
        </w:tc>
      </w:tr>
      <w:tr w:rsidR="00BB0ED3" w:rsidRPr="00A30BEB" w14:paraId="2A9046E7" w14:textId="77777777" w:rsidTr="000F4C80">
        <w:trPr>
          <w:cantSplit/>
          <w:trHeight w:val="542"/>
          <w:jc w:val="center"/>
        </w:trPr>
        <w:tc>
          <w:tcPr>
            <w:tcW w:w="3509" w:type="dxa"/>
            <w:shd w:val="clear" w:color="auto" w:fill="auto"/>
            <w:noWrap/>
            <w:vAlign w:val="bottom"/>
            <w:hideMark/>
          </w:tcPr>
          <w:p w14:paraId="1BDDF372" w14:textId="77777777" w:rsidR="00BB0ED3" w:rsidRPr="00A30BEB" w:rsidRDefault="00BB0ED3" w:rsidP="000F4C8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4. Real estate business</w:t>
            </w:r>
          </w:p>
        </w:tc>
        <w:tc>
          <w:tcPr>
            <w:tcW w:w="1398" w:type="dxa"/>
            <w:shd w:val="clear" w:color="auto" w:fill="auto"/>
            <w:noWrap/>
            <w:vAlign w:val="bottom"/>
            <w:hideMark/>
          </w:tcPr>
          <w:p w14:paraId="2CD12FD0"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3,606</w:t>
            </w:r>
          </w:p>
        </w:tc>
        <w:tc>
          <w:tcPr>
            <w:tcW w:w="1425" w:type="dxa"/>
            <w:shd w:val="clear" w:color="auto" w:fill="auto"/>
            <w:noWrap/>
            <w:vAlign w:val="bottom"/>
            <w:hideMark/>
          </w:tcPr>
          <w:p w14:paraId="7023F868"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332</w:t>
            </w:r>
          </w:p>
        </w:tc>
        <w:tc>
          <w:tcPr>
            <w:tcW w:w="1345" w:type="dxa"/>
            <w:shd w:val="clear" w:color="auto" w:fill="auto"/>
            <w:noWrap/>
            <w:vAlign w:val="bottom"/>
            <w:hideMark/>
          </w:tcPr>
          <w:p w14:paraId="2EFD9050" w14:textId="77777777" w:rsidR="00BB0ED3" w:rsidRPr="00A30BEB" w:rsidRDefault="00BB0ED3" w:rsidP="000F4C80">
            <w:pPr>
              <w:spacing w:before="80" w:after="80"/>
              <w:ind w:right="316"/>
              <w:jc w:val="right"/>
              <w:rPr>
                <w:rFonts w:ascii="Arial" w:hAnsi="Arial" w:cs="Arial"/>
                <w:color w:val="000000"/>
                <w:sz w:val="20"/>
                <w:szCs w:val="20"/>
              </w:rPr>
            </w:pPr>
            <w:r w:rsidRPr="00A30BEB">
              <w:rPr>
                <w:rFonts w:ascii="Arial" w:hAnsi="Arial" w:cs="Arial"/>
                <w:color w:val="000000"/>
                <w:sz w:val="20"/>
                <w:szCs w:val="20"/>
              </w:rPr>
              <w:t>32.2</w:t>
            </w:r>
          </w:p>
        </w:tc>
        <w:tc>
          <w:tcPr>
            <w:tcW w:w="1216" w:type="dxa"/>
            <w:shd w:val="clear" w:color="auto" w:fill="auto"/>
            <w:noWrap/>
            <w:vAlign w:val="bottom"/>
            <w:hideMark/>
          </w:tcPr>
          <w:p w14:paraId="50962182"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-3.8</w:t>
            </w:r>
          </w:p>
        </w:tc>
      </w:tr>
      <w:tr w:rsidR="00BB0ED3" w:rsidRPr="00A30BEB" w14:paraId="225FC4B6" w14:textId="77777777" w:rsidTr="000F4C80">
        <w:trPr>
          <w:cantSplit/>
          <w:trHeight w:val="542"/>
          <w:jc w:val="center"/>
        </w:trPr>
        <w:tc>
          <w:tcPr>
            <w:tcW w:w="3509" w:type="dxa"/>
            <w:shd w:val="clear" w:color="auto" w:fill="auto"/>
            <w:noWrap/>
            <w:vAlign w:val="bottom"/>
            <w:hideMark/>
          </w:tcPr>
          <w:p w14:paraId="7BFCDB1D" w14:textId="77777777" w:rsidR="00BB0ED3" w:rsidRPr="00A30BEB" w:rsidRDefault="00BB0ED3" w:rsidP="000F4C80">
            <w:pPr>
              <w:spacing w:before="60" w:after="60" w:line="240" w:lineRule="auto"/>
              <w:rPr>
                <w:rFonts w:ascii="Arial" w:hAnsi="Arial" w:cs="Arial"/>
                <w:color w:val="000000"/>
                <w:sz w:val="20"/>
                <w:szCs w:val="20"/>
                <w:lang w:val="en-US"/>
              </w:rPr>
            </w:pPr>
            <w:r w:rsidRPr="00A30BEB">
              <w:rPr>
                <w:rFonts w:ascii="Arial" w:hAnsi="Arial" w:cs="Arial"/>
                <w:color w:val="000000"/>
                <w:sz w:val="20"/>
                <w:szCs w:val="20"/>
                <w:lang w:val="en-US"/>
              </w:rPr>
              <w:t>5. Transportation and storage</w:t>
            </w:r>
          </w:p>
        </w:tc>
        <w:tc>
          <w:tcPr>
            <w:tcW w:w="1398" w:type="dxa"/>
            <w:shd w:val="clear" w:color="auto" w:fill="auto"/>
            <w:noWrap/>
            <w:vAlign w:val="bottom"/>
            <w:hideMark/>
          </w:tcPr>
          <w:p w14:paraId="2E6EE784"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2,565</w:t>
            </w:r>
          </w:p>
        </w:tc>
        <w:tc>
          <w:tcPr>
            <w:tcW w:w="1425" w:type="dxa"/>
            <w:shd w:val="clear" w:color="auto" w:fill="auto"/>
            <w:noWrap/>
            <w:vAlign w:val="bottom"/>
            <w:hideMark/>
          </w:tcPr>
          <w:p w14:paraId="6FB46FB8"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225</w:t>
            </w:r>
          </w:p>
        </w:tc>
        <w:tc>
          <w:tcPr>
            <w:tcW w:w="1345" w:type="dxa"/>
            <w:shd w:val="clear" w:color="auto" w:fill="auto"/>
            <w:noWrap/>
            <w:vAlign w:val="bottom"/>
            <w:hideMark/>
          </w:tcPr>
          <w:p w14:paraId="782ECB98" w14:textId="77777777" w:rsidR="00BB0ED3" w:rsidRPr="00A30BEB" w:rsidRDefault="00BB0ED3" w:rsidP="000F4C80">
            <w:pPr>
              <w:spacing w:before="80" w:after="80"/>
              <w:ind w:right="316"/>
              <w:jc w:val="right"/>
              <w:rPr>
                <w:rFonts w:ascii="Arial" w:hAnsi="Arial" w:cs="Arial"/>
                <w:color w:val="000000"/>
                <w:sz w:val="20"/>
                <w:szCs w:val="20"/>
              </w:rPr>
            </w:pPr>
            <w:r w:rsidRPr="00A30BEB">
              <w:rPr>
                <w:rFonts w:ascii="Arial" w:hAnsi="Arial" w:cs="Arial"/>
                <w:color w:val="000000"/>
                <w:sz w:val="20"/>
                <w:szCs w:val="20"/>
              </w:rPr>
              <w:t>21.2</w:t>
            </w:r>
          </w:p>
        </w:tc>
        <w:tc>
          <w:tcPr>
            <w:tcW w:w="1216" w:type="dxa"/>
            <w:shd w:val="clear" w:color="auto" w:fill="auto"/>
            <w:noWrap/>
            <w:vAlign w:val="bottom"/>
            <w:hideMark/>
          </w:tcPr>
          <w:p w14:paraId="364579D6"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-29.0</w:t>
            </w:r>
          </w:p>
        </w:tc>
      </w:tr>
      <w:tr w:rsidR="00BB0ED3" w:rsidRPr="00A30BEB" w14:paraId="7CEACD7C" w14:textId="77777777" w:rsidTr="000F4C80">
        <w:trPr>
          <w:cantSplit/>
          <w:trHeight w:val="561"/>
          <w:jc w:val="center"/>
        </w:trPr>
        <w:tc>
          <w:tcPr>
            <w:tcW w:w="3509" w:type="dxa"/>
            <w:shd w:val="clear" w:color="auto" w:fill="auto"/>
            <w:noWrap/>
            <w:vAlign w:val="bottom"/>
            <w:hideMark/>
          </w:tcPr>
          <w:p w14:paraId="4F0A35E9" w14:textId="77777777" w:rsidR="00BB0ED3" w:rsidRPr="00A30BEB" w:rsidRDefault="00BB0ED3" w:rsidP="000F4C8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6. Accommodation and catering service</w:t>
            </w:r>
          </w:p>
        </w:tc>
        <w:tc>
          <w:tcPr>
            <w:tcW w:w="1398" w:type="dxa"/>
            <w:shd w:val="clear" w:color="auto" w:fill="auto"/>
            <w:noWrap/>
            <w:vAlign w:val="bottom"/>
            <w:hideMark/>
          </w:tcPr>
          <w:p w14:paraId="55C30389"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1,854</w:t>
            </w:r>
          </w:p>
        </w:tc>
        <w:tc>
          <w:tcPr>
            <w:tcW w:w="1425" w:type="dxa"/>
            <w:shd w:val="clear" w:color="auto" w:fill="auto"/>
            <w:noWrap/>
            <w:vAlign w:val="bottom"/>
            <w:hideMark/>
          </w:tcPr>
          <w:p w14:paraId="356B7B15"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297</w:t>
            </w:r>
          </w:p>
        </w:tc>
        <w:tc>
          <w:tcPr>
            <w:tcW w:w="1345" w:type="dxa"/>
            <w:shd w:val="clear" w:color="auto" w:fill="auto"/>
            <w:noWrap/>
            <w:vAlign w:val="bottom"/>
            <w:hideMark/>
          </w:tcPr>
          <w:p w14:paraId="775DA613" w14:textId="77777777" w:rsidR="00BB0ED3" w:rsidRPr="00A30BEB" w:rsidRDefault="00BB0ED3" w:rsidP="000F4C80">
            <w:pPr>
              <w:spacing w:before="80" w:after="80"/>
              <w:ind w:right="316"/>
              <w:jc w:val="right"/>
              <w:rPr>
                <w:rFonts w:ascii="Arial" w:hAnsi="Arial" w:cs="Arial"/>
                <w:color w:val="000000"/>
                <w:sz w:val="20"/>
                <w:szCs w:val="20"/>
              </w:rPr>
            </w:pPr>
            <w:r w:rsidRPr="00A30BEB">
              <w:rPr>
                <w:rFonts w:ascii="Arial" w:hAnsi="Arial" w:cs="Arial"/>
                <w:color w:val="000000"/>
                <w:sz w:val="20"/>
                <w:szCs w:val="20"/>
              </w:rPr>
              <w:t>16.2</w:t>
            </w:r>
          </w:p>
        </w:tc>
        <w:tc>
          <w:tcPr>
            <w:tcW w:w="1216" w:type="dxa"/>
            <w:shd w:val="clear" w:color="auto" w:fill="auto"/>
            <w:noWrap/>
            <w:vAlign w:val="bottom"/>
            <w:hideMark/>
          </w:tcPr>
          <w:p w14:paraId="5EB911C0"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-22.3</w:t>
            </w:r>
          </w:p>
        </w:tc>
      </w:tr>
      <w:tr w:rsidR="00BB0ED3" w:rsidRPr="00A30BEB" w14:paraId="15A96396" w14:textId="77777777" w:rsidTr="000F4C80">
        <w:trPr>
          <w:cantSplit/>
          <w:trHeight w:val="897"/>
          <w:jc w:val="center"/>
        </w:trPr>
        <w:tc>
          <w:tcPr>
            <w:tcW w:w="3509" w:type="dxa"/>
            <w:tcBorders>
              <w:bottom w:val="single" w:sz="4" w:space="0" w:color="auto"/>
            </w:tcBorders>
            <w:shd w:val="clear" w:color="auto" w:fill="auto"/>
            <w:noWrap/>
            <w:vAlign w:val="bottom"/>
          </w:tcPr>
          <w:p w14:paraId="56DA0CF9" w14:textId="77777777" w:rsidR="00BB0ED3" w:rsidRPr="00A30BEB" w:rsidRDefault="00BB0ED3" w:rsidP="000F4C8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14:paraId="0630A146"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403</w:t>
            </w:r>
          </w:p>
        </w:tc>
        <w:tc>
          <w:tcPr>
            <w:tcW w:w="1425" w:type="dxa"/>
            <w:tcBorders>
              <w:bottom w:val="single" w:sz="4" w:space="0" w:color="auto"/>
            </w:tcBorders>
            <w:shd w:val="clear" w:color="auto" w:fill="auto"/>
            <w:noWrap/>
            <w:vAlign w:val="bottom"/>
          </w:tcPr>
          <w:p w14:paraId="12A7B4BA" w14:textId="77777777" w:rsidR="00BB0ED3" w:rsidRPr="00A30BEB" w:rsidRDefault="00BB0ED3" w:rsidP="000F4C80">
            <w:pPr>
              <w:spacing w:before="80" w:after="80"/>
              <w:ind w:right="176"/>
              <w:jc w:val="right"/>
              <w:rPr>
                <w:rFonts w:ascii="Arial" w:hAnsi="Arial" w:cs="Arial"/>
                <w:sz w:val="20"/>
                <w:szCs w:val="20"/>
              </w:rPr>
            </w:pPr>
            <w:r w:rsidRPr="00A30BEB">
              <w:rPr>
                <w:rFonts w:ascii="Arial" w:hAnsi="Arial" w:cs="Arial"/>
                <w:sz w:val="20"/>
                <w:szCs w:val="20"/>
              </w:rPr>
              <w:t>129</w:t>
            </w:r>
          </w:p>
        </w:tc>
        <w:tc>
          <w:tcPr>
            <w:tcW w:w="1345" w:type="dxa"/>
            <w:tcBorders>
              <w:bottom w:val="single" w:sz="4" w:space="0" w:color="auto"/>
            </w:tcBorders>
            <w:shd w:val="clear" w:color="auto" w:fill="auto"/>
            <w:noWrap/>
            <w:vAlign w:val="bottom"/>
          </w:tcPr>
          <w:p w14:paraId="46CD032F" w14:textId="77777777" w:rsidR="00BB0ED3" w:rsidRPr="00A30BEB" w:rsidRDefault="00BB0ED3" w:rsidP="000F4C80">
            <w:pPr>
              <w:spacing w:before="80" w:after="80"/>
              <w:ind w:right="316"/>
              <w:jc w:val="right"/>
              <w:rPr>
                <w:rFonts w:ascii="Arial" w:hAnsi="Arial" w:cs="Arial"/>
                <w:color w:val="000000"/>
                <w:sz w:val="20"/>
                <w:szCs w:val="20"/>
              </w:rPr>
            </w:pPr>
            <w:r w:rsidRPr="00A30BEB">
              <w:rPr>
                <w:rFonts w:ascii="Arial" w:hAnsi="Arial" w:cs="Arial"/>
                <w:color w:val="000000"/>
                <w:sz w:val="20"/>
                <w:szCs w:val="20"/>
              </w:rPr>
              <w:t>-25.8</w:t>
            </w:r>
          </w:p>
        </w:tc>
        <w:tc>
          <w:tcPr>
            <w:tcW w:w="1216" w:type="dxa"/>
            <w:tcBorders>
              <w:bottom w:val="single" w:sz="4" w:space="0" w:color="auto"/>
            </w:tcBorders>
            <w:shd w:val="clear" w:color="auto" w:fill="auto"/>
            <w:noWrap/>
            <w:vAlign w:val="bottom"/>
          </w:tcPr>
          <w:p w14:paraId="42000415" w14:textId="77777777" w:rsidR="00BB0ED3" w:rsidRPr="00A30BEB" w:rsidRDefault="00BB0ED3" w:rsidP="000F4C80">
            <w:pPr>
              <w:spacing w:before="80" w:after="80"/>
              <w:ind w:right="176"/>
              <w:jc w:val="right"/>
              <w:rPr>
                <w:rFonts w:ascii="Arial" w:hAnsi="Arial" w:cs="Arial"/>
                <w:color w:val="000000"/>
                <w:sz w:val="20"/>
                <w:szCs w:val="20"/>
              </w:rPr>
            </w:pPr>
            <w:r w:rsidRPr="00A30BEB">
              <w:rPr>
                <w:rFonts w:ascii="Arial" w:hAnsi="Arial" w:cs="Arial"/>
                <w:color w:val="000000"/>
                <w:sz w:val="20"/>
                <w:szCs w:val="20"/>
              </w:rPr>
              <w:t>-9.8</w:t>
            </w:r>
          </w:p>
        </w:tc>
      </w:tr>
    </w:tbl>
    <w:p w14:paraId="1B056D99" w14:textId="77777777" w:rsidR="00B31A7B" w:rsidRPr="00024476" w:rsidRDefault="00B31A7B" w:rsidP="00B31A7B">
      <w:pPr>
        <w:rPr>
          <w:sz w:val="4"/>
          <w:szCs w:val="16"/>
        </w:rPr>
      </w:pPr>
    </w:p>
    <w:p w14:paraId="3A4A4868" w14:textId="335F11F7" w:rsidR="00722C96" w:rsidRPr="001D1D1E" w:rsidRDefault="00722C96" w:rsidP="00024476">
      <w:pPr>
        <w:spacing w:before="40" w:after="40" w:line="288" w:lineRule="auto"/>
        <w:ind w:firstLine="567"/>
        <w:jc w:val="both"/>
        <w:rPr>
          <w:rFonts w:ascii="Times New Roman" w:hAnsi="Times New Roman" w:cs="Times New Roman"/>
          <w:b/>
          <w:bCs/>
          <w:sz w:val="28"/>
          <w:szCs w:val="28"/>
          <w:lang w:val="af-ZA"/>
        </w:rPr>
      </w:pPr>
      <w:r w:rsidRPr="001D1D1E">
        <w:rPr>
          <w:rFonts w:ascii="Times New Roman" w:hAnsi="Times New Roman" w:cs="Times New Roman"/>
          <w:b/>
          <w:bCs/>
          <w:sz w:val="28"/>
          <w:szCs w:val="28"/>
          <w:lang w:val="af-ZA"/>
        </w:rPr>
        <w:t xml:space="preserve">4. </w:t>
      </w:r>
      <w:r w:rsidR="00E8353F" w:rsidRPr="00E8353F">
        <w:rPr>
          <w:rFonts w:ascii="Times New Roman" w:hAnsi="Times New Roman" w:cs="Times New Roman"/>
          <w:b/>
          <w:bCs/>
          <w:sz w:val="28"/>
          <w:szCs w:val="28"/>
          <w:lang w:val="af-ZA"/>
        </w:rPr>
        <w:t>Investment</w:t>
      </w:r>
    </w:p>
    <w:p w14:paraId="113CD11A" w14:textId="00FC4D01" w:rsidR="00E63D0B" w:rsidRPr="006125B0" w:rsidRDefault="00E63D0B" w:rsidP="00024476">
      <w:pPr>
        <w:spacing w:before="40" w:after="40" w:line="288" w:lineRule="auto"/>
        <w:ind w:firstLine="567"/>
        <w:jc w:val="both"/>
        <w:rPr>
          <w:rFonts w:ascii="Times New Roman" w:hAnsi="Times New Roman" w:cs="Times New Roman"/>
          <w:i/>
          <w:sz w:val="28"/>
          <w:szCs w:val="28"/>
          <w:lang w:val="it-IT"/>
        </w:rPr>
      </w:pPr>
      <w:r w:rsidRPr="00E63D0B">
        <w:rPr>
          <w:rFonts w:ascii="Times New Roman Italic" w:hAnsi="Times New Roman Italic" w:cs="Times New Roman"/>
          <w:i/>
          <w:spacing w:val="-2"/>
          <w:sz w:val="28"/>
          <w:szCs w:val="28"/>
          <w:shd w:val="clear" w:color="auto" w:fill="FFFFFF"/>
        </w:rPr>
        <w:t xml:space="preserve">In April, ministries, branches and localities focused on promoting investment capital from the State budget. Generally, in the first four months of 2022, investment capital realized from the state budget was estimated to increase by </w:t>
      </w:r>
      <w:r w:rsidRPr="00E63D0B">
        <w:rPr>
          <w:rFonts w:ascii="Times New Roman Italic" w:hAnsi="Times New Roman Italic" w:cs="Times New Roman"/>
          <w:i/>
          <w:spacing w:val="-2"/>
          <w:sz w:val="28"/>
          <w:szCs w:val="28"/>
          <w:shd w:val="clear" w:color="auto" w:fill="FFFFFF"/>
        </w:rPr>
        <w:lastRenderedPageBreak/>
        <w:t xml:space="preserve">9.1% over the same period. </w:t>
      </w:r>
      <w:r w:rsidRPr="00E63D0B">
        <w:rPr>
          <w:rFonts w:ascii="Times New Roman" w:hAnsi="Times New Roman" w:cs="Times New Roman"/>
          <w:i/>
          <w:sz w:val="28"/>
          <w:szCs w:val="28"/>
          <w:lang w:val="it-IT"/>
        </w:rPr>
        <w:t xml:space="preserve">Realized Foreign direct investment capital in Vietnam in the first four months of 2022 was estimated at 5.92 billion USD, the highest value of the four months of 2018-2022, creating a core driving force for economic growth this year. </w:t>
      </w:r>
    </w:p>
    <w:p w14:paraId="3BE95E15" w14:textId="77777777" w:rsidR="00033F75" w:rsidRDefault="00033F75" w:rsidP="006F4F27">
      <w:pPr>
        <w:spacing w:before="40" w:after="40" w:line="288" w:lineRule="auto"/>
        <w:ind w:firstLine="567"/>
        <w:jc w:val="both"/>
        <w:rPr>
          <w:rFonts w:ascii="Times New Roman" w:hAnsi="Times New Roman" w:cs="Times New Roman"/>
          <w:bCs/>
          <w:i/>
          <w:iCs/>
          <w:sz w:val="28"/>
          <w:szCs w:val="28"/>
          <w:lang w:val="af-ZA"/>
        </w:rPr>
      </w:pPr>
      <w:r w:rsidRPr="00033F75">
        <w:rPr>
          <w:rFonts w:ascii="Times New Roman" w:hAnsi="Times New Roman" w:cs="Times New Roman"/>
          <w:bCs/>
          <w:i/>
          <w:iCs/>
          <w:sz w:val="28"/>
          <w:szCs w:val="28"/>
          <w:lang w:val="af-ZA"/>
        </w:rPr>
        <w:t xml:space="preserve">Investment capital </w:t>
      </w:r>
      <w:r w:rsidRPr="00033F75">
        <w:rPr>
          <w:rFonts w:ascii="Times New Roman" w:hAnsi="Times New Roman" w:cs="Times New Roman"/>
          <w:bCs/>
          <w:sz w:val="28"/>
          <w:szCs w:val="28"/>
          <w:lang w:val="af-ZA"/>
        </w:rPr>
        <w:t>from the State budget in April was estimated at 33.5 trillion VND, increasing by 6.6% over the same period last year, including Central capital of 6.2 trillion VND, up 10.5%; local capital of 27.3 trillion VND, up 5.7%. Generally, in the first 4 months of this year, realized investment capital from the State budget reached 109.6 trillion VND, equaling 20.6% of the year plan and up 9.1% against the same period last year (the same period last year 2021 equaled 20% and increased by 18.4%), including:</w:t>
      </w:r>
    </w:p>
    <w:p w14:paraId="070E0A16" w14:textId="0822D8F2" w:rsidR="006F4F27" w:rsidRPr="006F4F27" w:rsidRDefault="006F4F27" w:rsidP="006F4F27">
      <w:pPr>
        <w:spacing w:before="40" w:after="40" w:line="288" w:lineRule="auto"/>
        <w:ind w:firstLine="567"/>
        <w:jc w:val="both"/>
        <w:rPr>
          <w:rFonts w:ascii="Times New Roman" w:hAnsi="Times New Roman" w:cs="Times New Roman"/>
          <w:bCs/>
          <w:i/>
          <w:iCs/>
          <w:sz w:val="28"/>
          <w:szCs w:val="28"/>
          <w:lang w:val="af-ZA"/>
        </w:rPr>
      </w:pPr>
      <w:r w:rsidRPr="006F4F27">
        <w:rPr>
          <w:rFonts w:ascii="Times New Roman" w:hAnsi="Times New Roman" w:cs="Times New Roman"/>
          <w:bCs/>
          <w:i/>
          <w:iCs/>
          <w:sz w:val="28"/>
          <w:szCs w:val="28"/>
          <w:lang w:val="af-ZA"/>
        </w:rPr>
        <w:t>- The capital under central management was 18.4 trillion VND,</w:t>
      </w:r>
      <w:r w:rsidRPr="006F4F27">
        <w:rPr>
          <w:rFonts w:ascii="Times New Roman" w:hAnsi="Times New Roman" w:cs="Times New Roman"/>
          <w:bCs/>
          <w:sz w:val="28"/>
          <w:szCs w:val="28"/>
          <w:lang w:val="af-ZA"/>
        </w:rPr>
        <w:t xml:space="preserve"> equaling 18.1% of the yearly plan and increasing 15.3% against the same period last year.</w:t>
      </w:r>
    </w:p>
    <w:p w14:paraId="2B925CE4" w14:textId="77777777" w:rsidR="006F4F27" w:rsidRDefault="006F4F27" w:rsidP="00E71DAC">
      <w:pPr>
        <w:spacing w:after="0" w:line="240" w:lineRule="auto"/>
        <w:jc w:val="center"/>
        <w:rPr>
          <w:rFonts w:ascii="Times New Roman" w:hAnsi="Times New Roman" w:cs="Times New Roman"/>
          <w:bCs/>
          <w:iCs/>
          <w:sz w:val="28"/>
          <w:szCs w:val="28"/>
          <w:lang w:val="af-ZA"/>
        </w:rPr>
      </w:pPr>
    </w:p>
    <w:p w14:paraId="78FBE58D" w14:textId="77777777" w:rsidR="006B24D6" w:rsidRPr="006B24D6" w:rsidRDefault="006B24D6" w:rsidP="006B24D6">
      <w:pPr>
        <w:spacing w:before="40" w:after="40" w:line="264" w:lineRule="auto"/>
        <w:jc w:val="center"/>
        <w:rPr>
          <w:rFonts w:ascii="Arial" w:hAnsi="Arial" w:cs="Arial"/>
          <w:b/>
          <w:bCs/>
          <w:sz w:val="24"/>
          <w:szCs w:val="24"/>
        </w:rPr>
      </w:pPr>
      <w:r w:rsidRPr="006B24D6">
        <w:rPr>
          <w:rFonts w:ascii="Arial" w:hAnsi="Arial" w:cs="Arial"/>
          <w:b/>
          <w:bCs/>
          <w:sz w:val="24"/>
          <w:szCs w:val="24"/>
        </w:rPr>
        <w:t>Figure 6. Realized investment capital from the State budget</w:t>
      </w:r>
    </w:p>
    <w:p w14:paraId="5A7701D1" w14:textId="72A24CA7" w:rsidR="00E71DAC" w:rsidRPr="000823F1" w:rsidRDefault="006B24D6" w:rsidP="006B24D6">
      <w:pPr>
        <w:spacing w:before="40" w:after="40" w:line="264" w:lineRule="auto"/>
        <w:jc w:val="center"/>
        <w:rPr>
          <w:bCs/>
          <w:iCs/>
          <w:spacing w:val="-2"/>
          <w:sz w:val="2"/>
          <w:lang w:val="af-ZA"/>
        </w:rPr>
      </w:pPr>
      <w:r w:rsidRPr="006B24D6">
        <w:rPr>
          <w:rFonts w:ascii="Arial" w:hAnsi="Arial" w:cs="Arial"/>
          <w:b/>
          <w:bCs/>
          <w:sz w:val="24"/>
          <w:szCs w:val="24"/>
        </w:rPr>
        <w:t>in the first 4 months of 2022 by ministries and sectors</w:t>
      </w:r>
    </w:p>
    <w:tbl>
      <w:tblPr>
        <w:tblStyle w:val="TableGrid"/>
        <w:tblW w:w="0" w:type="auto"/>
        <w:jc w:val="center"/>
        <w:tblLook w:val="04A0" w:firstRow="1" w:lastRow="0" w:firstColumn="1" w:lastColumn="0" w:noHBand="0" w:noVBand="1"/>
      </w:tblPr>
      <w:tblGrid>
        <w:gridCol w:w="9287"/>
      </w:tblGrid>
      <w:tr w:rsidR="00E71DAC" w14:paraId="2C7C7C18" w14:textId="77777777" w:rsidTr="00E71DAC">
        <w:trPr>
          <w:trHeight w:val="264"/>
          <w:jc w:val="center"/>
        </w:trPr>
        <w:tc>
          <w:tcPr>
            <w:tcW w:w="9287" w:type="dxa"/>
            <w:tcBorders>
              <w:top w:val="nil"/>
              <w:left w:val="nil"/>
              <w:bottom w:val="nil"/>
              <w:right w:val="nil"/>
            </w:tcBorders>
          </w:tcPr>
          <w:p w14:paraId="228D943C" w14:textId="5E733DA6" w:rsidR="00E71DAC" w:rsidRPr="006578F9" w:rsidRDefault="006B24D6" w:rsidP="00873B28">
            <w:pPr>
              <w:spacing w:before="40" w:after="40" w:line="264" w:lineRule="auto"/>
              <w:ind w:firstLine="176"/>
              <w:rPr>
                <w:rFonts w:ascii="Arial" w:hAnsi="Arial" w:cs="Arial"/>
                <w:bCs/>
                <w:i/>
                <w:iCs/>
                <w:spacing w:val="-2"/>
                <w:sz w:val="16"/>
                <w:szCs w:val="10"/>
                <w:lang w:val="af-ZA"/>
              </w:rPr>
            </w:pPr>
            <w:r w:rsidRPr="006B24D6">
              <w:rPr>
                <w:rFonts w:ascii="Arial" w:hAnsi="Arial" w:cs="Arial"/>
                <w:bCs/>
                <w:i/>
                <w:iCs/>
                <w:spacing w:val="-2"/>
                <w:sz w:val="18"/>
                <w:szCs w:val="10"/>
                <w:lang w:val="af-ZA"/>
              </w:rPr>
              <w:t>Billion VND</w:t>
            </w:r>
          </w:p>
        </w:tc>
      </w:tr>
      <w:tr w:rsidR="00E71DAC" w14:paraId="3662F2E3" w14:textId="77777777" w:rsidTr="00E71DAC">
        <w:trPr>
          <w:trHeight w:val="4239"/>
          <w:jc w:val="center"/>
        </w:trPr>
        <w:tc>
          <w:tcPr>
            <w:tcW w:w="9287" w:type="dxa"/>
            <w:tcBorders>
              <w:top w:val="nil"/>
              <w:left w:val="nil"/>
              <w:bottom w:val="nil"/>
              <w:right w:val="nil"/>
            </w:tcBorders>
          </w:tcPr>
          <w:p w14:paraId="3EB16455" w14:textId="2A935A05" w:rsidR="00E71DAC" w:rsidRDefault="007147F8" w:rsidP="007147F8">
            <w:pPr>
              <w:spacing w:before="40" w:after="40" w:line="264" w:lineRule="auto"/>
              <w:jc w:val="center"/>
              <w:rPr>
                <w:bCs/>
                <w:iCs/>
                <w:spacing w:val="-2"/>
                <w:lang w:val="af-ZA"/>
              </w:rPr>
            </w:pPr>
            <w:r>
              <w:rPr>
                <w:noProof/>
              </w:rPr>
              <w:drawing>
                <wp:inline distT="0" distB="0" distL="0" distR="0" wp14:anchorId="1BBD8223" wp14:editId="46D9944C">
                  <wp:extent cx="5926182" cy="29206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2889" cy="2928865"/>
                          </a:xfrm>
                          <a:prstGeom prst="rect">
                            <a:avLst/>
                          </a:prstGeom>
                          <a:noFill/>
                          <a:ln>
                            <a:noFill/>
                          </a:ln>
                        </pic:spPr>
                      </pic:pic>
                    </a:graphicData>
                  </a:graphic>
                </wp:inline>
              </w:drawing>
            </w:r>
          </w:p>
        </w:tc>
      </w:tr>
    </w:tbl>
    <w:p w14:paraId="01990466" w14:textId="77777777" w:rsidR="009369D0" w:rsidRDefault="009369D0" w:rsidP="00076329">
      <w:pPr>
        <w:spacing w:before="40" w:after="40"/>
        <w:contextualSpacing/>
        <w:jc w:val="both"/>
        <w:rPr>
          <w:rFonts w:ascii="Times New Roman" w:hAnsi="Times New Roman" w:cs="Times New Roman"/>
          <w:bCs/>
          <w:iCs/>
          <w:sz w:val="28"/>
          <w:szCs w:val="28"/>
          <w:lang w:val="af-ZA"/>
        </w:rPr>
      </w:pPr>
    </w:p>
    <w:p w14:paraId="30C90598" w14:textId="77777777" w:rsidR="009369D0" w:rsidRPr="009369D0" w:rsidRDefault="009369D0" w:rsidP="009369D0">
      <w:pPr>
        <w:spacing w:before="40" w:after="40"/>
        <w:contextualSpacing/>
        <w:jc w:val="both"/>
        <w:rPr>
          <w:rFonts w:ascii="Times New Roman" w:hAnsi="Times New Roman" w:cs="Times New Roman"/>
          <w:bCs/>
          <w:iCs/>
          <w:sz w:val="28"/>
          <w:szCs w:val="28"/>
          <w:lang w:val="af-ZA"/>
        </w:rPr>
      </w:pPr>
      <w:r w:rsidRPr="009369D0">
        <w:rPr>
          <w:rFonts w:ascii="Times New Roman" w:hAnsi="Times New Roman" w:cs="Times New Roman"/>
          <w:bCs/>
          <w:iCs/>
          <w:sz w:val="28"/>
          <w:szCs w:val="28"/>
          <w:lang w:val="af-ZA"/>
        </w:rPr>
        <w:t>- The capital under local management reached 91.2 trillion VND, equaling 21.2% of the yearly plan and climbing up 8% over the same period in 2021.</w:t>
      </w:r>
    </w:p>
    <w:p w14:paraId="2AE876A1" w14:textId="77777777" w:rsidR="009369D0" w:rsidRPr="009369D0" w:rsidRDefault="009369D0" w:rsidP="009369D0">
      <w:pPr>
        <w:spacing w:before="40" w:after="40"/>
        <w:contextualSpacing/>
        <w:jc w:val="both"/>
        <w:rPr>
          <w:rFonts w:ascii="Times New Roman" w:hAnsi="Times New Roman" w:cs="Times New Roman"/>
          <w:bCs/>
          <w:iCs/>
          <w:sz w:val="28"/>
          <w:szCs w:val="28"/>
          <w:lang w:val="af-ZA"/>
        </w:rPr>
      </w:pPr>
      <w:r w:rsidRPr="009369D0">
        <w:rPr>
          <w:rFonts w:ascii="Times New Roman" w:hAnsi="Times New Roman" w:cs="Times New Roman"/>
          <w:bCs/>
          <w:iCs/>
          <w:sz w:val="28"/>
          <w:szCs w:val="28"/>
          <w:lang w:val="af-ZA"/>
        </w:rPr>
        <w:t>- The State budget capital under the provincial level reached 60.3 trillion VND, equaling 20.2% and growing by 3.5%;</w:t>
      </w:r>
    </w:p>
    <w:p w14:paraId="331BD33C" w14:textId="77777777" w:rsidR="009369D0" w:rsidRPr="009369D0" w:rsidRDefault="009369D0" w:rsidP="009369D0">
      <w:pPr>
        <w:spacing w:before="40" w:after="40"/>
        <w:contextualSpacing/>
        <w:jc w:val="both"/>
        <w:rPr>
          <w:rFonts w:ascii="Times New Roman" w:hAnsi="Times New Roman" w:cs="Times New Roman"/>
          <w:bCs/>
          <w:iCs/>
          <w:sz w:val="28"/>
          <w:szCs w:val="28"/>
          <w:lang w:val="af-ZA"/>
        </w:rPr>
      </w:pPr>
      <w:r w:rsidRPr="009369D0">
        <w:rPr>
          <w:rFonts w:ascii="Times New Roman" w:hAnsi="Times New Roman" w:cs="Times New Roman"/>
          <w:bCs/>
          <w:iCs/>
          <w:sz w:val="28"/>
          <w:szCs w:val="28"/>
          <w:lang w:val="af-ZA"/>
        </w:rPr>
        <w:t xml:space="preserve">The State budget capital at the district level gained 26.6 trillion VND, equaling 23.1% and increasing by 20%; </w:t>
      </w:r>
    </w:p>
    <w:p w14:paraId="4D8368FB" w14:textId="77777777" w:rsidR="009369D0" w:rsidRPr="009369D0" w:rsidRDefault="009369D0" w:rsidP="009369D0">
      <w:pPr>
        <w:spacing w:before="40" w:after="40"/>
        <w:contextualSpacing/>
        <w:jc w:val="both"/>
        <w:rPr>
          <w:rFonts w:ascii="Times New Roman" w:hAnsi="Times New Roman" w:cs="Times New Roman"/>
          <w:bCs/>
          <w:iCs/>
          <w:sz w:val="28"/>
          <w:szCs w:val="28"/>
          <w:lang w:val="af-ZA"/>
        </w:rPr>
      </w:pPr>
      <w:r w:rsidRPr="009369D0">
        <w:rPr>
          <w:rFonts w:ascii="Times New Roman" w:hAnsi="Times New Roman" w:cs="Times New Roman"/>
          <w:bCs/>
          <w:iCs/>
          <w:sz w:val="28"/>
          <w:szCs w:val="28"/>
          <w:lang w:val="af-ZA"/>
        </w:rPr>
        <w:t xml:space="preserve">- The State budget capital at the commune level was 4.3 trillion VND, equaling 27.2% and expanding by 6.1%. </w:t>
      </w:r>
    </w:p>
    <w:p w14:paraId="51CBB792" w14:textId="455F4A43" w:rsidR="009369D0" w:rsidRDefault="009369D0" w:rsidP="009369D0">
      <w:pPr>
        <w:spacing w:before="40" w:after="40"/>
        <w:contextualSpacing/>
        <w:jc w:val="both"/>
        <w:rPr>
          <w:rFonts w:ascii="Times New Roman" w:hAnsi="Times New Roman" w:cs="Times New Roman"/>
          <w:bCs/>
          <w:iCs/>
          <w:sz w:val="28"/>
          <w:szCs w:val="28"/>
          <w:lang w:val="af-ZA"/>
        </w:rPr>
      </w:pPr>
      <w:r w:rsidRPr="009369D0">
        <w:rPr>
          <w:rFonts w:ascii="Times New Roman" w:hAnsi="Times New Roman" w:cs="Times New Roman"/>
          <w:bCs/>
          <w:iCs/>
          <w:sz w:val="28"/>
          <w:szCs w:val="28"/>
          <w:lang w:val="af-ZA"/>
        </w:rPr>
        <w:lastRenderedPageBreak/>
        <w:t>The realized investment capital of the state budget in the first 4 months of 2022 of some provinces and cities directly under the Central Government was as follows:</w:t>
      </w:r>
    </w:p>
    <w:p w14:paraId="2A518DF6" w14:textId="77777777" w:rsidR="00076329" w:rsidRPr="00024476" w:rsidRDefault="00076329" w:rsidP="00076329">
      <w:pPr>
        <w:spacing w:before="40" w:after="40"/>
        <w:contextualSpacing/>
        <w:jc w:val="center"/>
        <w:rPr>
          <w:rFonts w:ascii="Arial" w:hAnsi="Arial" w:cs="Arial"/>
          <w:b/>
          <w:bCs/>
          <w:sz w:val="4"/>
          <w:szCs w:val="24"/>
        </w:rPr>
      </w:pPr>
    </w:p>
    <w:p w14:paraId="2028D745" w14:textId="77777777" w:rsidR="00AD3EC9" w:rsidRPr="00AD3EC9" w:rsidRDefault="00AD3EC9" w:rsidP="00024476">
      <w:pPr>
        <w:spacing w:before="40" w:after="40"/>
        <w:contextualSpacing/>
        <w:jc w:val="center"/>
        <w:rPr>
          <w:rFonts w:ascii="Arial" w:hAnsi="Arial" w:cs="Arial"/>
          <w:b/>
          <w:bCs/>
          <w:sz w:val="6"/>
          <w:szCs w:val="24"/>
        </w:rPr>
      </w:pPr>
    </w:p>
    <w:p w14:paraId="3AC6AEDC" w14:textId="77777777" w:rsidR="00B41696" w:rsidRPr="00B41696" w:rsidRDefault="00B41696" w:rsidP="00B41696">
      <w:pPr>
        <w:pStyle w:val="ListParagraph"/>
        <w:spacing w:before="40" w:after="40" w:line="264" w:lineRule="auto"/>
        <w:ind w:left="927"/>
        <w:contextualSpacing/>
        <w:jc w:val="center"/>
        <w:rPr>
          <w:rFonts w:ascii="Arial" w:hAnsi="Arial" w:cs="Arial"/>
          <w:b/>
          <w:bCs/>
          <w:sz w:val="24"/>
          <w:szCs w:val="24"/>
        </w:rPr>
      </w:pPr>
      <w:r w:rsidRPr="00B41696">
        <w:rPr>
          <w:rFonts w:ascii="Arial" w:hAnsi="Arial" w:cs="Arial"/>
          <w:b/>
          <w:bCs/>
          <w:sz w:val="24"/>
          <w:szCs w:val="24"/>
        </w:rPr>
        <w:t>Figure 7. Realized investment capital from the State budget</w:t>
      </w:r>
    </w:p>
    <w:p w14:paraId="2CB7BE62" w14:textId="732EFE9E" w:rsidR="00E71DAC" w:rsidRPr="00BC5450" w:rsidRDefault="00B41696" w:rsidP="00B41696">
      <w:pPr>
        <w:pStyle w:val="ListParagraph"/>
        <w:numPr>
          <w:ilvl w:val="0"/>
          <w:numId w:val="26"/>
        </w:numPr>
        <w:spacing w:before="40" w:after="40" w:line="264" w:lineRule="auto"/>
        <w:contextualSpacing/>
        <w:jc w:val="center"/>
        <w:rPr>
          <w:bCs/>
          <w:iCs/>
          <w:spacing w:val="-2"/>
          <w:sz w:val="2"/>
          <w:lang w:val="af-ZA"/>
        </w:rPr>
      </w:pPr>
      <w:r w:rsidRPr="00B41696">
        <w:rPr>
          <w:rFonts w:ascii="Arial" w:hAnsi="Arial" w:cs="Arial"/>
          <w:b/>
          <w:bCs/>
          <w:sz w:val="24"/>
          <w:szCs w:val="24"/>
        </w:rPr>
        <w:t>in first 4 months of 2022 in some localities</w:t>
      </w:r>
    </w:p>
    <w:tbl>
      <w:tblPr>
        <w:tblStyle w:val="TableGrid"/>
        <w:tblW w:w="0" w:type="auto"/>
        <w:jc w:val="center"/>
        <w:tblLook w:val="04A0" w:firstRow="1" w:lastRow="0" w:firstColumn="1" w:lastColumn="0" w:noHBand="0" w:noVBand="1"/>
      </w:tblPr>
      <w:tblGrid>
        <w:gridCol w:w="9287"/>
      </w:tblGrid>
      <w:tr w:rsidR="00E71DAC" w14:paraId="0C38DF2E" w14:textId="77777777" w:rsidTr="00873B28">
        <w:trPr>
          <w:jc w:val="center"/>
        </w:trPr>
        <w:tc>
          <w:tcPr>
            <w:tcW w:w="8966" w:type="dxa"/>
            <w:tcBorders>
              <w:top w:val="nil"/>
              <w:left w:val="nil"/>
              <w:bottom w:val="nil"/>
              <w:right w:val="nil"/>
            </w:tcBorders>
          </w:tcPr>
          <w:p w14:paraId="200F7644" w14:textId="62CA927A" w:rsidR="00E71DAC" w:rsidRPr="008E65D4" w:rsidRDefault="00524A5E" w:rsidP="00024476">
            <w:pPr>
              <w:spacing w:before="40"/>
              <w:ind w:firstLine="318"/>
              <w:rPr>
                <w:rFonts w:ascii="Arial" w:hAnsi="Arial" w:cs="Arial"/>
                <w:bCs/>
                <w:i/>
                <w:iCs/>
                <w:spacing w:val="-2"/>
                <w:sz w:val="16"/>
                <w:szCs w:val="10"/>
                <w:lang w:val="af-ZA"/>
              </w:rPr>
            </w:pPr>
            <w:r w:rsidRPr="00524A5E">
              <w:rPr>
                <w:rFonts w:ascii="Arial" w:hAnsi="Arial" w:cs="Arial"/>
                <w:bCs/>
                <w:i/>
                <w:iCs/>
                <w:spacing w:val="-2"/>
                <w:sz w:val="18"/>
                <w:szCs w:val="10"/>
                <w:lang w:val="af-ZA"/>
              </w:rPr>
              <w:t>Billion VND</w:t>
            </w:r>
          </w:p>
        </w:tc>
      </w:tr>
      <w:tr w:rsidR="00E71DAC" w14:paraId="50850CAD" w14:textId="77777777" w:rsidTr="00873B28">
        <w:trPr>
          <w:jc w:val="center"/>
        </w:trPr>
        <w:tc>
          <w:tcPr>
            <w:tcW w:w="8966" w:type="dxa"/>
            <w:tcBorders>
              <w:top w:val="nil"/>
              <w:left w:val="nil"/>
              <w:bottom w:val="nil"/>
              <w:right w:val="nil"/>
            </w:tcBorders>
          </w:tcPr>
          <w:p w14:paraId="7CD69E55" w14:textId="263AAC6C" w:rsidR="00E71DAC" w:rsidRDefault="00247DCB" w:rsidP="000665EC">
            <w:pPr>
              <w:spacing w:before="40" w:after="40" w:line="264" w:lineRule="auto"/>
              <w:jc w:val="center"/>
              <w:rPr>
                <w:bCs/>
                <w:iCs/>
                <w:spacing w:val="-2"/>
                <w:lang w:val="af-ZA"/>
              </w:rPr>
            </w:pPr>
            <w:r>
              <w:rPr>
                <w:noProof/>
              </w:rPr>
              <w:drawing>
                <wp:inline distT="0" distB="0" distL="0" distR="0" wp14:anchorId="75817D53" wp14:editId="597EBBFA">
                  <wp:extent cx="6185535" cy="25398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9512" cy="2545549"/>
                          </a:xfrm>
                          <a:prstGeom prst="rect">
                            <a:avLst/>
                          </a:prstGeom>
                          <a:noFill/>
                          <a:ln>
                            <a:noFill/>
                          </a:ln>
                        </pic:spPr>
                      </pic:pic>
                    </a:graphicData>
                  </a:graphic>
                </wp:inline>
              </w:drawing>
            </w:r>
          </w:p>
        </w:tc>
      </w:tr>
    </w:tbl>
    <w:p w14:paraId="1B4434F9" w14:textId="77777777" w:rsidR="00E71DAC" w:rsidRPr="00FB2709" w:rsidRDefault="00E71DAC" w:rsidP="00FB2709">
      <w:pPr>
        <w:spacing w:before="40" w:after="40"/>
        <w:contextualSpacing/>
        <w:jc w:val="both"/>
        <w:rPr>
          <w:rFonts w:ascii="Times New Roman" w:hAnsi="Times New Roman" w:cs="Times New Roman"/>
          <w:bCs/>
          <w:iCs/>
          <w:sz w:val="28"/>
          <w:szCs w:val="28"/>
          <w:lang w:val="af-ZA"/>
        </w:rPr>
      </w:pPr>
    </w:p>
    <w:p w14:paraId="18D5D432" w14:textId="5A88AEFD" w:rsidR="00FB2709" w:rsidRPr="0008105E" w:rsidRDefault="00FB2709" w:rsidP="008006A3">
      <w:pPr>
        <w:spacing w:before="40" w:after="40"/>
        <w:contextualSpacing/>
        <w:jc w:val="both"/>
        <w:rPr>
          <w:rFonts w:ascii="Times New Roman" w:hAnsi="Times New Roman" w:cs="Times New Roman"/>
          <w:iCs/>
          <w:sz w:val="28"/>
          <w:szCs w:val="28"/>
          <w:lang w:val="de-DE"/>
        </w:rPr>
      </w:pPr>
      <w:r>
        <w:rPr>
          <w:rFonts w:ascii="Times New Roman" w:hAnsi="Times New Roman" w:cs="Times New Roman"/>
          <w:bCs/>
          <w:iCs/>
          <w:sz w:val="28"/>
          <w:szCs w:val="28"/>
          <w:lang w:val="af-ZA"/>
        </w:rPr>
        <w:tab/>
      </w:r>
      <w:r w:rsidRPr="00FB2709">
        <w:rPr>
          <w:rFonts w:ascii="Times New Roman" w:hAnsi="Times New Roman" w:cs="Times New Roman"/>
          <w:bCs/>
          <w:iCs/>
          <w:sz w:val="28"/>
          <w:szCs w:val="28"/>
          <w:lang w:val="af-ZA"/>
        </w:rPr>
        <w:t>The foreign direct investment from the beginning of the year to 20th April 2022</w:t>
      </w:r>
      <w:r>
        <w:rPr>
          <w:rStyle w:val="FootnoteReference"/>
          <w:i/>
          <w:iCs/>
          <w:spacing w:val="-6"/>
          <w:lang w:val="de-DE"/>
        </w:rPr>
        <w:footnoteReference w:id="5"/>
      </w:r>
      <w:r>
        <w:rPr>
          <w:rFonts w:ascii="Times New Roman" w:hAnsi="Times New Roman" w:cs="Times New Roman"/>
          <w:bCs/>
          <w:iCs/>
          <w:sz w:val="28"/>
          <w:szCs w:val="28"/>
          <w:lang w:val="af-ZA"/>
        </w:rPr>
        <w:t xml:space="preserve"> </w:t>
      </w:r>
      <w:r w:rsidRPr="00FB2709">
        <w:rPr>
          <w:rFonts w:ascii="Times New Roman" w:hAnsi="Times New Roman" w:cs="Times New Roman"/>
          <w:bCs/>
          <w:iCs/>
          <w:sz w:val="28"/>
          <w:szCs w:val="28"/>
          <w:lang w:val="af-ZA"/>
        </w:rPr>
        <w:t xml:space="preserve">including newly registered capital, adjust registered capital, and the total value of capital contribution and share purchases of foreign investors reached nearly 10.81 billion USD, decreased by 11.7% compared to the same period in 2021. </w:t>
      </w:r>
    </w:p>
    <w:p w14:paraId="1567DA84" w14:textId="0A068B23" w:rsidR="0008105E" w:rsidRDefault="00F23E67" w:rsidP="0008105E">
      <w:pPr>
        <w:spacing w:after="0" w:line="240" w:lineRule="auto"/>
        <w:jc w:val="center"/>
        <w:rPr>
          <w:rFonts w:ascii="Arial" w:hAnsi="Arial" w:cs="Arial"/>
          <w:b/>
          <w:bCs/>
          <w:sz w:val="24"/>
          <w:szCs w:val="24"/>
          <w:lang w:val="de-DE"/>
        </w:rPr>
      </w:pPr>
      <w:r w:rsidRPr="00F23E67">
        <w:rPr>
          <w:rFonts w:ascii="Arial" w:hAnsi="Arial" w:cs="Arial"/>
          <w:b/>
          <w:bCs/>
          <w:sz w:val="24"/>
          <w:szCs w:val="24"/>
          <w:lang w:val="de-DE"/>
        </w:rPr>
        <w:t>Figure 8. The registered capital of foreign investment in Vietnam from as of April 20th, in 2018-2022 (Billion USD)</w:t>
      </w:r>
    </w:p>
    <w:p w14:paraId="64B059E0" w14:textId="77777777" w:rsidR="000665EC" w:rsidRDefault="000665EC" w:rsidP="0008105E">
      <w:pPr>
        <w:spacing w:after="0" w:line="240" w:lineRule="auto"/>
        <w:jc w:val="center"/>
        <w:rPr>
          <w:rFonts w:ascii="Arial" w:hAnsi="Arial" w:cs="Arial"/>
          <w:b/>
          <w:bCs/>
          <w:sz w:val="24"/>
          <w:lang w:val="de-DE"/>
        </w:rPr>
      </w:pPr>
    </w:p>
    <w:p w14:paraId="4C36B66B" w14:textId="575BBBA0" w:rsidR="0008105E" w:rsidRDefault="00F23E67" w:rsidP="0008105E">
      <w:pPr>
        <w:jc w:val="center"/>
        <w:rPr>
          <w:rFonts w:ascii="Arial" w:hAnsi="Arial" w:cs="Arial"/>
          <w:b/>
          <w:bCs/>
          <w:sz w:val="24"/>
          <w:lang w:val="de-DE"/>
        </w:rPr>
      </w:pPr>
      <w:r w:rsidRPr="00351190">
        <w:rPr>
          <w:rFonts w:ascii="Arial" w:hAnsi="Arial" w:cs="Arial"/>
          <w:b/>
          <w:bCs/>
          <w:noProof/>
          <w:sz w:val="24"/>
          <w:lang w:val="de-DE"/>
        </w:rPr>
        <w:drawing>
          <wp:inline distT="0" distB="0" distL="0" distR="0" wp14:anchorId="7539DE29" wp14:editId="31D1D943">
            <wp:extent cx="4572000" cy="240792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357370" w14:textId="77777777" w:rsidR="007B2C96" w:rsidRDefault="007B2C96" w:rsidP="0008105E">
      <w:pPr>
        <w:spacing w:before="40" w:after="40"/>
        <w:ind w:firstLine="567"/>
        <w:jc w:val="both"/>
        <w:rPr>
          <w:rFonts w:ascii="Times New Roman" w:hAnsi="Times New Roman" w:cs="Times New Roman"/>
          <w:iCs/>
          <w:sz w:val="28"/>
          <w:szCs w:val="28"/>
          <w:lang w:val="de-DE"/>
        </w:rPr>
      </w:pPr>
      <w:r w:rsidRPr="007B2C96">
        <w:rPr>
          <w:rFonts w:ascii="Times New Roman" w:hAnsi="Times New Roman" w:cs="Times New Roman"/>
          <w:iCs/>
          <w:sz w:val="28"/>
          <w:szCs w:val="28"/>
          <w:lang w:val="de-DE"/>
        </w:rPr>
        <w:lastRenderedPageBreak/>
        <w:t xml:space="preserve">- Newly registered capital included 454 newly licensed projects with a registered capital of 3.7 billion USD, an increase of 0.7% in the number of projects and a decrease of 56.3% of registered capital compared to the same period last year; of which, processing and manufacturing industry attracted the 1st foreign direct investor with the registered capital of newly licensed projects reaching 2.46 billion USD, accounting for 66.5% of the total newly registered capital; real estate business reached 662 million USD, accounting for 17.9%, the remaining industries reached 576.6 million USD, accounting for 15.6%. </w:t>
      </w:r>
    </w:p>
    <w:p w14:paraId="4661F01C" w14:textId="77777777" w:rsidR="00300215" w:rsidRDefault="00300215" w:rsidP="0008105E">
      <w:pPr>
        <w:spacing w:before="40" w:after="40"/>
        <w:ind w:firstLine="567"/>
        <w:jc w:val="both"/>
        <w:rPr>
          <w:rFonts w:ascii="Times New Roman" w:hAnsi="Times New Roman" w:cs="Times New Roman"/>
          <w:iCs/>
          <w:sz w:val="28"/>
          <w:szCs w:val="28"/>
          <w:lang w:val="de-DE"/>
        </w:rPr>
      </w:pPr>
      <w:r w:rsidRPr="00300215">
        <w:rPr>
          <w:rFonts w:ascii="Times New Roman" w:hAnsi="Times New Roman" w:cs="Times New Roman"/>
          <w:iCs/>
          <w:sz w:val="28"/>
          <w:szCs w:val="28"/>
          <w:lang w:val="de-DE"/>
        </w:rPr>
        <w:t xml:space="preserve">Among 42 countries and territories having newly licensed investment projects in 4 months of 2022, Denmark was the largest investor with 1.32 billion USD, accounting for 35.7% of total newly registered capital; Singapore was 793.6 million USD, accounting for 21.5%; China 495.4 million USD, accounting for 13.4%; Japan  256 million USD, accounting for 6.9%; Taiwan 236.1 million USD, accounting for 6.4%. </w:t>
      </w:r>
    </w:p>
    <w:p w14:paraId="1DCA413F" w14:textId="6822BCB4" w:rsidR="005E1278" w:rsidRDefault="005E1278" w:rsidP="0008105E">
      <w:pPr>
        <w:spacing w:before="40" w:after="40"/>
        <w:ind w:firstLine="567"/>
        <w:jc w:val="both"/>
        <w:rPr>
          <w:rFonts w:ascii="Times New Roman" w:hAnsi="Times New Roman" w:cs="Times New Roman"/>
          <w:iCs/>
          <w:sz w:val="28"/>
          <w:szCs w:val="28"/>
          <w:lang w:val="de-DE"/>
        </w:rPr>
      </w:pPr>
      <w:r w:rsidRPr="005E1278">
        <w:rPr>
          <w:rFonts w:ascii="Times New Roman" w:hAnsi="Times New Roman" w:cs="Times New Roman"/>
          <w:iCs/>
          <w:sz w:val="28"/>
          <w:szCs w:val="28"/>
          <w:lang w:val="de-DE"/>
        </w:rPr>
        <w:t xml:space="preserve">- Adjust registered capital included 323 turns of projects which were licensed from the previous years registered to adjust investment capital with the additional capital of 5.29 billion USD, increased by 92.5% compared to </w:t>
      </w:r>
      <w:r w:rsidR="000342CB">
        <w:rPr>
          <w:rFonts w:ascii="Times New Roman" w:hAnsi="Times New Roman" w:cs="Times New Roman"/>
          <w:iCs/>
          <w:sz w:val="28"/>
          <w:szCs w:val="28"/>
          <w:lang w:val="de-DE"/>
        </w:rPr>
        <w:t xml:space="preserve">the </w:t>
      </w:r>
      <w:r w:rsidRPr="005E1278">
        <w:rPr>
          <w:rFonts w:ascii="Times New Roman" w:hAnsi="Times New Roman" w:cs="Times New Roman"/>
          <w:iCs/>
          <w:sz w:val="28"/>
          <w:szCs w:val="28"/>
          <w:lang w:val="de-DE"/>
        </w:rPr>
        <w:t>same previous last year.</w:t>
      </w:r>
    </w:p>
    <w:p w14:paraId="0EB5B1A2" w14:textId="0361BCF7" w:rsidR="005D5C93" w:rsidRPr="005D5C93" w:rsidRDefault="005D5C93" w:rsidP="005D5C93">
      <w:pPr>
        <w:spacing w:after="0" w:line="240" w:lineRule="auto"/>
        <w:jc w:val="both"/>
        <w:rPr>
          <w:rFonts w:ascii="Times New Roman" w:hAnsi="Times New Roman" w:cs="Times New Roman"/>
          <w:iCs/>
          <w:sz w:val="28"/>
          <w:szCs w:val="28"/>
          <w:lang w:val="de-DE"/>
        </w:rPr>
      </w:pPr>
      <w:r>
        <w:rPr>
          <w:rFonts w:ascii="Times New Roman" w:hAnsi="Times New Roman" w:cs="Times New Roman"/>
          <w:iCs/>
          <w:sz w:val="28"/>
          <w:szCs w:val="28"/>
          <w:lang w:val="de-DE"/>
        </w:rPr>
        <w:tab/>
      </w:r>
      <w:r w:rsidRPr="005D5C93">
        <w:rPr>
          <w:rFonts w:ascii="Times New Roman" w:hAnsi="Times New Roman" w:cs="Times New Roman"/>
          <w:iCs/>
          <w:sz w:val="28"/>
          <w:szCs w:val="28"/>
          <w:lang w:val="de-DE"/>
        </w:rPr>
        <w:t>If including additionally newly registered capital and adjust registered capital of licensed projects in previous years, foreign direct investment capital in the processing and manufacturing industry reached 5.85 billion USD, accounting for 65.1% of the total newly registered capital and additional capital; real estate business reached 1.77 billion USD, accounting for 19.7%; the remaining industries reached 1.37 billion USD, accounting for 15.2%.</w:t>
      </w:r>
    </w:p>
    <w:p w14:paraId="065198DB" w14:textId="579AF412" w:rsidR="005D5C93" w:rsidRDefault="005D5C93" w:rsidP="005D5C93">
      <w:pPr>
        <w:spacing w:after="0" w:line="240" w:lineRule="auto"/>
        <w:jc w:val="both"/>
        <w:rPr>
          <w:rFonts w:ascii="Times New Roman" w:hAnsi="Times New Roman" w:cs="Times New Roman"/>
          <w:iCs/>
          <w:sz w:val="28"/>
          <w:szCs w:val="28"/>
          <w:lang w:val="de-DE"/>
        </w:rPr>
      </w:pPr>
      <w:r>
        <w:rPr>
          <w:rFonts w:ascii="Times New Roman" w:hAnsi="Times New Roman" w:cs="Times New Roman"/>
          <w:iCs/>
          <w:sz w:val="28"/>
          <w:szCs w:val="28"/>
          <w:lang w:val="de-DE"/>
        </w:rPr>
        <w:tab/>
      </w:r>
      <w:r w:rsidRPr="005D5C93">
        <w:rPr>
          <w:rFonts w:ascii="Times New Roman" w:hAnsi="Times New Roman" w:cs="Times New Roman"/>
          <w:iCs/>
          <w:sz w:val="28"/>
          <w:szCs w:val="28"/>
          <w:lang w:val="de-DE"/>
        </w:rPr>
        <w:t>- Capital contribution and share purchases of foreign investors included 1,026 turns with a total value of the capital contribution of 1.82 billion USD, an increase of 74.5% compared to the same period last year. Of which 429 turns of capital contribution, share purchase caused the increase of charter capital of the enterprise with the value of contributed capital of 899 million USD, and 597 turns of foreign investors repurchased domestic shares without increasing the charter capital with a value of 928.4 million USD. About the form of capital contribution and share purchase by foreign investors, the investment capital in the real estate business reached 1.05 billion USD, accounting for 57.4% of the total capital contribution; the processing and manufacturing industry reached 334.7 million USD, accounting for 18.3%; the remaining industries reached 444.7 million USD, accounting for 24.3%.</w:t>
      </w:r>
    </w:p>
    <w:p w14:paraId="6838C244" w14:textId="320509B1" w:rsidR="00F70271" w:rsidRDefault="001939AE" w:rsidP="005D5C93">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ab/>
      </w:r>
      <w:r w:rsidR="00F70271" w:rsidRPr="00F70271">
        <w:rPr>
          <w:rFonts w:ascii="Times New Roman" w:hAnsi="Times New Roman" w:cs="Times New Roman"/>
          <w:sz w:val="28"/>
          <w:szCs w:val="28"/>
          <w:lang w:val="de-DE"/>
        </w:rPr>
        <w:t xml:space="preserve">Foreign direct investment capital that implemented in 4 months of 2022 reached 5.92 billion USD, an increase of 7.6% over the same period last year, of which the processing and manufacturing industry reached 4.49 billion USD, accounting for 75.8% of total realized foreign direct investment capital; real estate business activities gained 555 million USD, making up 9.4%; electricity, </w:t>
      </w:r>
      <w:r w:rsidR="00F70271" w:rsidRPr="00F70271">
        <w:rPr>
          <w:rFonts w:ascii="Times New Roman" w:hAnsi="Times New Roman" w:cs="Times New Roman"/>
          <w:sz w:val="28"/>
          <w:szCs w:val="28"/>
          <w:lang w:val="de-DE"/>
        </w:rPr>
        <w:lastRenderedPageBreak/>
        <w:t>gas, steam, and air conditioning supply recorded 498.4 million USD, comprising of 8.4%.</w:t>
      </w:r>
    </w:p>
    <w:p w14:paraId="5D91D76F" w14:textId="77777777" w:rsidR="00F70271" w:rsidRPr="00F70271" w:rsidRDefault="00F70271" w:rsidP="00F70271">
      <w:pPr>
        <w:spacing w:after="0" w:line="240" w:lineRule="auto"/>
        <w:jc w:val="both"/>
        <w:rPr>
          <w:rFonts w:ascii="Times New Roman" w:hAnsi="Times New Roman" w:cs="Times New Roman"/>
          <w:sz w:val="28"/>
          <w:szCs w:val="28"/>
          <w:lang w:val="de-DE"/>
        </w:rPr>
      </w:pPr>
    </w:p>
    <w:p w14:paraId="6167023C" w14:textId="77777777" w:rsidR="00E45499" w:rsidRDefault="00E45499" w:rsidP="00E45499">
      <w:pPr>
        <w:spacing w:before="120"/>
        <w:jc w:val="center"/>
        <w:rPr>
          <w:rFonts w:ascii="Arial" w:hAnsi="Arial" w:cs="Arial"/>
          <w:b/>
          <w:bCs/>
          <w:sz w:val="24"/>
          <w:lang w:val="de-DE"/>
        </w:rPr>
      </w:pPr>
      <w:r>
        <w:rPr>
          <w:rFonts w:ascii="Arial" w:hAnsi="Arial" w:cs="Arial"/>
          <w:b/>
          <w:bCs/>
          <w:sz w:val="24"/>
          <w:lang w:val="de-DE"/>
        </w:rPr>
        <w:t>Figure 9. Implemented foreign direct investment</w:t>
      </w:r>
      <w:r>
        <w:rPr>
          <w:rFonts w:ascii="Arial" w:hAnsi="Arial" w:cs="Arial"/>
          <w:b/>
          <w:bCs/>
          <w:sz w:val="24"/>
          <w:lang w:val="de-DE"/>
        </w:rPr>
        <w:br/>
        <w:t>in the first 4 months of the years 2018-2022 (Billion USD)</w:t>
      </w:r>
    </w:p>
    <w:p w14:paraId="2F0C2C83" w14:textId="77777777" w:rsidR="0008105E" w:rsidRDefault="00CA5470" w:rsidP="0008105E">
      <w:pPr>
        <w:jc w:val="center"/>
        <w:rPr>
          <w:rFonts w:ascii="Arial" w:hAnsi="Arial" w:cs="Arial"/>
          <w:b/>
          <w:bCs/>
          <w:sz w:val="24"/>
          <w:lang w:val="de-DE"/>
        </w:rPr>
      </w:pPr>
      <w:r w:rsidRPr="001D65A5">
        <w:rPr>
          <w:rFonts w:ascii="Arial" w:hAnsi="Arial" w:cs="Arial"/>
          <w:b/>
          <w:bCs/>
          <w:noProof/>
          <w:sz w:val="24"/>
          <w:lang w:val="en-US"/>
        </w:rPr>
        <w:drawing>
          <wp:inline distT="0" distB="0" distL="0" distR="0" wp14:anchorId="04D853A8" wp14:editId="65CD41AB">
            <wp:extent cx="4572000" cy="196596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881624" w14:textId="2DCE2E6C" w:rsidR="001E59C1" w:rsidRPr="001E59C1" w:rsidRDefault="005D5C93" w:rsidP="001E59C1">
      <w:pPr>
        <w:spacing w:before="40" w:after="40"/>
        <w:ind w:firstLine="567"/>
        <w:jc w:val="both"/>
        <w:rPr>
          <w:rFonts w:ascii="Times New Roman" w:hAnsi="Times New Roman" w:cs="Times New Roman"/>
          <w:iCs/>
          <w:spacing w:val="-2"/>
          <w:sz w:val="28"/>
          <w:szCs w:val="28"/>
          <w:lang w:val="de-DE"/>
        </w:rPr>
      </w:pPr>
      <w:r w:rsidRPr="005D5C93">
        <w:rPr>
          <w:rFonts w:ascii="Times New Roman" w:hAnsi="Times New Roman" w:cs="Times New Roman"/>
          <w:iCs/>
          <w:spacing w:val="-2"/>
          <w:sz w:val="28"/>
          <w:szCs w:val="28"/>
          <w:lang w:val="de-DE"/>
        </w:rPr>
        <w:t>Vietnam's investment abroad in 4 months of 2022, there were 34 projects newly granted investment certificates with a total investment capital of 285.8 million USD, 2 times higher over the same period of last year</w:t>
      </w:r>
      <w:r w:rsidR="001E59C1" w:rsidRPr="001E59C1">
        <w:rPr>
          <w:rStyle w:val="FootnoteReference"/>
          <w:rFonts w:ascii="Times New Roman" w:hAnsi="Times New Roman"/>
          <w:iCs/>
          <w:spacing w:val="-2"/>
          <w:sz w:val="28"/>
          <w:szCs w:val="28"/>
          <w:lang w:val="de-DE"/>
        </w:rPr>
        <w:footnoteReference w:id="6"/>
      </w:r>
      <w:r w:rsidR="001E59C1" w:rsidRPr="001E59C1">
        <w:rPr>
          <w:rFonts w:ascii="Times New Roman" w:hAnsi="Times New Roman" w:cs="Times New Roman"/>
          <w:iCs/>
          <w:spacing w:val="-2"/>
          <w:sz w:val="28"/>
          <w:szCs w:val="28"/>
          <w:lang w:val="de-DE"/>
        </w:rPr>
        <w:t xml:space="preserve">; </w:t>
      </w:r>
      <w:r w:rsidRPr="005D5C93">
        <w:rPr>
          <w:rFonts w:ascii="Times New Roman" w:hAnsi="Times New Roman" w:cs="Times New Roman"/>
          <w:iCs/>
          <w:spacing w:val="-2"/>
          <w:sz w:val="28"/>
          <w:szCs w:val="28"/>
          <w:lang w:val="de-DE"/>
        </w:rPr>
        <w:t>09 turns of projects adjusted capital with adjust capital up 41.9 million USD, a decrease of 89.6%</w:t>
      </w:r>
      <w:r w:rsidR="001E59C1" w:rsidRPr="001E59C1">
        <w:rPr>
          <w:rStyle w:val="FootnoteReference"/>
          <w:rFonts w:ascii="Times New Roman" w:hAnsi="Times New Roman"/>
          <w:sz w:val="28"/>
          <w:szCs w:val="28"/>
          <w:lang w:val="de-DE"/>
        </w:rPr>
        <w:footnoteReference w:id="7"/>
      </w:r>
      <w:r w:rsidR="001E59C1" w:rsidRPr="001E59C1">
        <w:rPr>
          <w:rFonts w:ascii="Times New Roman" w:hAnsi="Times New Roman" w:cs="Times New Roman"/>
          <w:sz w:val="28"/>
          <w:szCs w:val="28"/>
          <w:lang w:val="de-DE"/>
        </w:rPr>
        <w:t>.</w:t>
      </w:r>
    </w:p>
    <w:p w14:paraId="318FD7E1" w14:textId="77777777" w:rsidR="004F189E" w:rsidRDefault="004F189E" w:rsidP="007D00CC">
      <w:pPr>
        <w:spacing w:before="40" w:after="40" w:line="288" w:lineRule="auto"/>
        <w:ind w:firstLine="567"/>
        <w:jc w:val="both"/>
        <w:rPr>
          <w:rFonts w:ascii="Times New Roman" w:hAnsi="Times New Roman" w:cs="Times New Roman"/>
          <w:iCs/>
          <w:spacing w:val="-2"/>
          <w:sz w:val="28"/>
          <w:szCs w:val="28"/>
          <w:lang w:val="de-DE"/>
        </w:rPr>
      </w:pPr>
      <w:r w:rsidRPr="004F189E">
        <w:rPr>
          <w:rFonts w:ascii="Times New Roman" w:hAnsi="Times New Roman" w:cs="Times New Roman"/>
          <w:iCs/>
          <w:spacing w:val="-2"/>
          <w:sz w:val="28"/>
          <w:szCs w:val="28"/>
          <w:lang w:val="de-DE"/>
        </w:rPr>
        <w:t>Generally, the total investment capital of Vietnam abroad (newly and additionally licensed capital) reached 327.7 million USD, a decrease of 40% over the same period last year, in which the processing and manufacturing industry 204.4 million USD, making up 62.4%; 33.5 million USD making up 10.2%; the financial, banking insurance activities reached 30.8 million USD, making up 9.4%.</w:t>
      </w:r>
    </w:p>
    <w:p w14:paraId="7DEE07E0" w14:textId="77777777" w:rsidR="00AA5094" w:rsidRDefault="00AA5094" w:rsidP="007D00CC">
      <w:pPr>
        <w:spacing w:before="40" w:after="40" w:line="288" w:lineRule="auto"/>
        <w:ind w:firstLine="567"/>
        <w:jc w:val="both"/>
        <w:rPr>
          <w:rFonts w:ascii="Times New Roman" w:hAnsi="Times New Roman" w:cs="Times New Roman"/>
          <w:iCs/>
          <w:spacing w:val="-2"/>
          <w:sz w:val="28"/>
          <w:szCs w:val="28"/>
          <w:lang w:val="de-DE"/>
        </w:rPr>
      </w:pPr>
      <w:r w:rsidRPr="00AA5094">
        <w:rPr>
          <w:rFonts w:ascii="Times New Roman" w:hAnsi="Times New Roman" w:cs="Times New Roman"/>
          <w:iCs/>
          <w:spacing w:val="-2"/>
          <w:sz w:val="28"/>
          <w:szCs w:val="28"/>
          <w:lang w:val="de-DE"/>
        </w:rPr>
        <w:t xml:space="preserve">In the first 4 months of 2022, 16 countries and territories received investment from Vietnam, of which Laos was the leading country with 64.5 million USD, making up 19.7%; Singapore with 35.9 million USD, making up 11%; United States with 35.8 million USD, making up 10.9%; Germany, Netherland, France both reached 34.7 million USD, also making up 10.6%. </w:t>
      </w:r>
    </w:p>
    <w:p w14:paraId="163EA6F6" w14:textId="056E9245" w:rsidR="007D00CC" w:rsidRPr="007D00CC" w:rsidRDefault="007D00CC" w:rsidP="007D00CC">
      <w:pPr>
        <w:spacing w:before="40" w:after="40" w:line="288" w:lineRule="auto"/>
        <w:ind w:firstLine="567"/>
        <w:jc w:val="both"/>
        <w:rPr>
          <w:rFonts w:ascii="Times New Roman" w:hAnsi="Times New Roman" w:cs="Times New Roman"/>
          <w:b/>
          <w:bCs/>
          <w:sz w:val="28"/>
          <w:szCs w:val="28"/>
        </w:rPr>
      </w:pPr>
      <w:r w:rsidRPr="007D00CC">
        <w:rPr>
          <w:rFonts w:ascii="Times New Roman" w:hAnsi="Times New Roman" w:cs="Times New Roman"/>
          <w:b/>
          <w:bCs/>
          <w:sz w:val="28"/>
          <w:szCs w:val="28"/>
        </w:rPr>
        <w:lastRenderedPageBreak/>
        <w:t xml:space="preserve">5. </w:t>
      </w:r>
      <w:r w:rsidR="00E1341E" w:rsidRPr="00E1341E">
        <w:rPr>
          <w:rFonts w:ascii="Times New Roman" w:hAnsi="Times New Roman" w:cs="Times New Roman"/>
          <w:b/>
          <w:bCs/>
          <w:sz w:val="28"/>
          <w:szCs w:val="28"/>
        </w:rPr>
        <w:t>State budget revenue and expenditure</w:t>
      </w:r>
      <w:r w:rsidR="00E1341E">
        <w:rPr>
          <w:rStyle w:val="FootnoteReference"/>
          <w:b/>
          <w:bCs/>
        </w:rPr>
        <w:footnoteReference w:id="8"/>
      </w:r>
    </w:p>
    <w:p w14:paraId="6D0FCAD0" w14:textId="366BE0B3" w:rsidR="00C4499B" w:rsidRDefault="0082206A" w:rsidP="005613CC">
      <w:pPr>
        <w:spacing w:before="40" w:after="160" w:line="264" w:lineRule="auto"/>
        <w:jc w:val="both"/>
        <w:rPr>
          <w:rFonts w:ascii="Times New Roman" w:hAnsi="Times New Roman" w:cs="Times New Roman"/>
          <w:i/>
          <w:sz w:val="28"/>
          <w:szCs w:val="28"/>
          <w:lang w:val="nl-NL"/>
        </w:rPr>
      </w:pPr>
      <w:r>
        <w:rPr>
          <w:rFonts w:ascii="Times New Roman" w:hAnsi="Times New Roman" w:cs="Times New Roman"/>
          <w:i/>
          <w:sz w:val="28"/>
          <w:szCs w:val="28"/>
          <w:lang w:val="nl-NL"/>
        </w:rPr>
        <w:tab/>
      </w:r>
      <w:r w:rsidR="005613CC" w:rsidRPr="005613CC">
        <w:rPr>
          <w:rFonts w:ascii="Times New Roman" w:hAnsi="Times New Roman" w:cs="Times New Roman"/>
          <w:i/>
          <w:sz w:val="28"/>
          <w:szCs w:val="28"/>
          <w:lang w:val="nl-NL"/>
        </w:rPr>
        <w:t>State budget revenue in the first four months of 2022 increased by 13.3% over the same period last year. State budget expenditure increased by 2.4% over the same period in 2021, meeting the needs of socio-economic development, defense, security, State management, payment of due debts as well as timely payment to subjects according to regulations.</w:t>
      </w:r>
    </w:p>
    <w:p w14:paraId="727FC348" w14:textId="77777777" w:rsidR="005613CC" w:rsidRPr="00C4499B" w:rsidRDefault="005613CC" w:rsidP="007D00CC">
      <w:pPr>
        <w:spacing w:before="40" w:after="160" w:line="264" w:lineRule="auto"/>
        <w:jc w:val="center"/>
        <w:rPr>
          <w:rFonts w:ascii="Arial" w:hAnsi="Arial" w:cs="Arial"/>
          <w:b/>
          <w:sz w:val="2"/>
          <w:szCs w:val="24"/>
          <w:lang w:val="nl-NL"/>
        </w:rPr>
      </w:pPr>
    </w:p>
    <w:p w14:paraId="082529B2" w14:textId="2BE8CC69" w:rsidR="007D00CC" w:rsidRDefault="00DB5DF6" w:rsidP="007D00CC">
      <w:pPr>
        <w:spacing w:before="40" w:after="160" w:line="264" w:lineRule="auto"/>
        <w:jc w:val="center"/>
        <w:rPr>
          <w:rFonts w:ascii="Arial" w:hAnsi="Arial" w:cs="Arial"/>
          <w:b/>
          <w:sz w:val="24"/>
          <w:szCs w:val="24"/>
          <w:lang w:val="nl-NL"/>
        </w:rPr>
      </w:pPr>
      <w:r w:rsidRPr="00DB5DF6">
        <w:rPr>
          <w:rFonts w:ascii="Arial" w:hAnsi="Arial" w:cs="Arial"/>
          <w:b/>
          <w:sz w:val="24"/>
          <w:szCs w:val="24"/>
          <w:lang w:val="nl-NL"/>
        </w:rPr>
        <w:t>Figure 8. State budget revenue and expenditure of the first 4 months 2022</w:t>
      </w:r>
    </w:p>
    <w:p w14:paraId="1CF6A46D" w14:textId="27EEB8BC" w:rsidR="0031135F" w:rsidRDefault="0031135F" w:rsidP="007D00CC">
      <w:pPr>
        <w:spacing w:before="40" w:after="160" w:line="264" w:lineRule="auto"/>
        <w:jc w:val="center"/>
        <w:rPr>
          <w:rFonts w:ascii="Arial" w:hAnsi="Arial" w:cs="Arial"/>
          <w:b/>
          <w:sz w:val="24"/>
          <w:szCs w:val="24"/>
          <w:lang w:val="nl-NL"/>
        </w:rPr>
      </w:pPr>
      <w:r>
        <w:rPr>
          <w:noProof/>
        </w:rPr>
        <w:drawing>
          <wp:inline distT="0" distB="0" distL="0" distR="0" wp14:anchorId="1D715D1C" wp14:editId="0327C64A">
            <wp:extent cx="5120640" cy="1691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640" cy="1691640"/>
                    </a:xfrm>
                    <a:prstGeom prst="rect">
                      <a:avLst/>
                    </a:prstGeom>
                    <a:noFill/>
                    <a:ln>
                      <a:noFill/>
                    </a:ln>
                  </pic:spPr>
                </pic:pic>
              </a:graphicData>
            </a:graphic>
          </wp:inline>
        </w:drawing>
      </w:r>
    </w:p>
    <w:p w14:paraId="3B51E0CA" w14:textId="77777777" w:rsidR="00F15246" w:rsidRDefault="00F15246" w:rsidP="00C4499B">
      <w:pPr>
        <w:spacing w:before="40" w:after="40" w:line="288" w:lineRule="auto"/>
        <w:ind w:firstLine="567"/>
        <w:jc w:val="both"/>
        <w:rPr>
          <w:rFonts w:ascii="Times New Roman" w:hAnsi="Times New Roman" w:cs="Times New Roman"/>
          <w:b/>
          <w:i/>
          <w:sz w:val="28"/>
          <w:szCs w:val="28"/>
          <w:lang w:val="it-IT"/>
        </w:rPr>
      </w:pPr>
      <w:r w:rsidRPr="00F15246">
        <w:rPr>
          <w:rFonts w:ascii="Times New Roman" w:hAnsi="Times New Roman" w:cs="Times New Roman"/>
          <w:b/>
          <w:i/>
          <w:sz w:val="28"/>
          <w:szCs w:val="28"/>
          <w:lang w:val="it-IT"/>
        </w:rPr>
        <w:t>State budget revenue:</w:t>
      </w:r>
    </w:p>
    <w:p w14:paraId="3BAA43F7" w14:textId="77777777" w:rsidR="001E3562" w:rsidRDefault="001E3562" w:rsidP="00C4499B">
      <w:pPr>
        <w:spacing w:before="40" w:after="40" w:line="288" w:lineRule="auto"/>
        <w:ind w:firstLine="567"/>
        <w:jc w:val="both"/>
        <w:rPr>
          <w:rFonts w:ascii="Times New Roman" w:hAnsi="Times New Roman" w:cs="Times New Roman"/>
          <w:sz w:val="28"/>
          <w:szCs w:val="28"/>
          <w:lang w:val="it-IT"/>
        </w:rPr>
      </w:pPr>
      <w:r w:rsidRPr="001E3562">
        <w:rPr>
          <w:rFonts w:ascii="Times New Roman" w:hAnsi="Times New Roman" w:cs="Times New Roman"/>
          <w:sz w:val="28"/>
          <w:szCs w:val="28"/>
          <w:lang w:val="it-IT"/>
        </w:rPr>
        <w:t>Total state budget revenue in April 2022 was estimated at 160.2 trillion VND. The accumulated total state budget revenue in the first 4 months of 2022 reached 645.3 trillion VND, equaling 45.7% of the year estimate and increasing by 13.3% over the same period last year. In which, some of the main revenues were as follows:</w:t>
      </w:r>
    </w:p>
    <w:p w14:paraId="468D3175" w14:textId="77777777" w:rsidR="00701E42" w:rsidRDefault="00701E42" w:rsidP="00C4499B">
      <w:pPr>
        <w:spacing w:before="40" w:after="40" w:line="288" w:lineRule="auto"/>
        <w:ind w:firstLine="567"/>
        <w:jc w:val="both"/>
        <w:rPr>
          <w:rFonts w:ascii="Times New Roman" w:hAnsi="Times New Roman" w:cs="Times New Roman"/>
          <w:i/>
          <w:sz w:val="28"/>
          <w:szCs w:val="28"/>
          <w:lang w:val="nl-NL"/>
        </w:rPr>
      </w:pPr>
      <w:r w:rsidRPr="00701E42">
        <w:rPr>
          <w:rFonts w:ascii="Times New Roman" w:hAnsi="Times New Roman" w:cs="Times New Roman"/>
          <w:i/>
          <w:sz w:val="28"/>
          <w:szCs w:val="28"/>
          <w:lang w:val="nl-NL"/>
        </w:rPr>
        <w:t xml:space="preserve">- Domestic revenue </w:t>
      </w:r>
      <w:r w:rsidRPr="00701E42">
        <w:rPr>
          <w:rFonts w:ascii="Times New Roman" w:hAnsi="Times New Roman" w:cs="Times New Roman"/>
          <w:iCs/>
          <w:sz w:val="28"/>
          <w:szCs w:val="28"/>
          <w:lang w:val="nl-NL"/>
        </w:rPr>
        <w:t>in April 2022 was estimated at 129.5 trillion VND. Accumulated in the first 4 months of the year reached 520.3 trillion VND, equaling 44.2% of the year estimate and up 9.1% over the same period last year.</w:t>
      </w:r>
    </w:p>
    <w:p w14:paraId="1544AAD4" w14:textId="77777777" w:rsidR="00401E34" w:rsidRPr="00401E34" w:rsidRDefault="00401E34" w:rsidP="00401E34">
      <w:pPr>
        <w:spacing w:before="40" w:after="40" w:line="288" w:lineRule="auto"/>
        <w:ind w:firstLine="567"/>
        <w:jc w:val="both"/>
        <w:rPr>
          <w:rFonts w:ascii="Times New Roman" w:hAnsi="Times New Roman" w:cs="Times New Roman"/>
          <w:i/>
          <w:sz w:val="28"/>
          <w:szCs w:val="28"/>
          <w:lang w:val="nl-NL"/>
        </w:rPr>
      </w:pPr>
      <w:r w:rsidRPr="00401E34">
        <w:rPr>
          <w:rFonts w:ascii="Times New Roman" w:hAnsi="Times New Roman" w:cs="Times New Roman"/>
          <w:i/>
          <w:sz w:val="28"/>
          <w:szCs w:val="28"/>
          <w:lang w:val="nl-NL"/>
        </w:rPr>
        <w:t xml:space="preserve">- Revenue from crude oil </w:t>
      </w:r>
      <w:r w:rsidRPr="00C92DCF">
        <w:rPr>
          <w:rFonts w:ascii="Times New Roman" w:hAnsi="Times New Roman" w:cs="Times New Roman"/>
          <w:iCs/>
          <w:sz w:val="28"/>
          <w:szCs w:val="28"/>
          <w:lang w:val="nl-NL"/>
        </w:rPr>
        <w:t>in April 2022 was estimated at 6.6 trillion VND; accumulated in the first 4 months of 2022 reached 24.1 trillion VND, equaling 85.4% of the yearly estimate and up 93.4% over the same period last year.</w:t>
      </w:r>
    </w:p>
    <w:p w14:paraId="065A492E" w14:textId="77777777" w:rsidR="00401E34" w:rsidRPr="00401E34" w:rsidRDefault="00401E34" w:rsidP="00401E34">
      <w:pPr>
        <w:spacing w:before="40" w:after="40" w:line="288" w:lineRule="auto"/>
        <w:ind w:firstLine="567"/>
        <w:jc w:val="both"/>
        <w:rPr>
          <w:rFonts w:ascii="Times New Roman" w:hAnsi="Times New Roman" w:cs="Times New Roman"/>
          <w:i/>
          <w:sz w:val="28"/>
          <w:szCs w:val="28"/>
          <w:lang w:val="nl-NL"/>
        </w:rPr>
      </w:pPr>
      <w:r w:rsidRPr="00401E34">
        <w:rPr>
          <w:rFonts w:ascii="Times New Roman" w:hAnsi="Times New Roman" w:cs="Times New Roman"/>
          <w:i/>
          <w:sz w:val="28"/>
          <w:szCs w:val="28"/>
          <w:lang w:val="nl-NL"/>
        </w:rPr>
        <w:t>- Balanced budget revenue</w:t>
      </w:r>
      <w:r w:rsidRPr="00C92DCF">
        <w:rPr>
          <w:rFonts w:ascii="Times New Roman" w:hAnsi="Times New Roman" w:cs="Times New Roman"/>
          <w:iCs/>
          <w:sz w:val="28"/>
          <w:szCs w:val="28"/>
          <w:lang w:val="nl-NL"/>
        </w:rPr>
        <w:t xml:space="preserve"> from import and export activities in April 2022 was estimated at 24.1 trillion VND; accumulated in the first 4 months of 2022 reached 100.9 trillion VND, equaling 50.7% of the year estimate and increasing by 27.1% over the same period last year.</w:t>
      </w:r>
    </w:p>
    <w:p w14:paraId="0EDB12BF" w14:textId="77777777" w:rsidR="00FE2513" w:rsidRDefault="00FE2513" w:rsidP="007D00CC">
      <w:pPr>
        <w:spacing w:before="40" w:after="40"/>
        <w:ind w:firstLine="567"/>
        <w:jc w:val="both"/>
        <w:rPr>
          <w:rFonts w:ascii="Times New Roman" w:hAnsi="Times New Roman" w:cs="Times New Roman"/>
          <w:b/>
          <w:i/>
          <w:sz w:val="28"/>
          <w:szCs w:val="28"/>
          <w:lang w:val="nl-NL"/>
        </w:rPr>
      </w:pPr>
      <w:r w:rsidRPr="00FE2513">
        <w:rPr>
          <w:rFonts w:ascii="Times New Roman" w:hAnsi="Times New Roman" w:cs="Times New Roman"/>
          <w:b/>
          <w:i/>
          <w:sz w:val="28"/>
          <w:szCs w:val="28"/>
          <w:lang w:val="nl-NL"/>
        </w:rPr>
        <w:t>State budget expenditure:</w:t>
      </w:r>
    </w:p>
    <w:p w14:paraId="7D2E5E12" w14:textId="77777777" w:rsidR="00B543B9" w:rsidRPr="00B543B9" w:rsidRDefault="00B543B9" w:rsidP="00B543B9">
      <w:pPr>
        <w:spacing w:before="40" w:after="40" w:line="288" w:lineRule="auto"/>
        <w:ind w:firstLine="567"/>
        <w:jc w:val="both"/>
        <w:rPr>
          <w:rFonts w:ascii="Times New Roman" w:hAnsi="Times New Roman" w:cs="Times New Roman"/>
          <w:iCs/>
          <w:sz w:val="28"/>
          <w:szCs w:val="28"/>
          <w:lang w:val="nl-NL"/>
        </w:rPr>
      </w:pPr>
      <w:r w:rsidRPr="00B543B9">
        <w:rPr>
          <w:rFonts w:ascii="Times New Roman" w:hAnsi="Times New Roman" w:cs="Times New Roman"/>
          <w:i/>
          <w:sz w:val="28"/>
          <w:szCs w:val="28"/>
          <w:lang w:val="nl-NL"/>
        </w:rPr>
        <w:t>Total state budget expenditure in</w:t>
      </w:r>
      <w:r w:rsidRPr="00B543B9">
        <w:rPr>
          <w:rFonts w:ascii="Times New Roman" w:hAnsi="Times New Roman" w:cs="Times New Roman"/>
          <w:iCs/>
          <w:sz w:val="28"/>
          <w:szCs w:val="28"/>
          <w:lang w:val="nl-NL"/>
        </w:rPr>
        <w:t xml:space="preserve"> April 2022 was estimated at 132.8 trillion VND; accumulated in the first 4 months of 2022 was estimated at 470.2 trillion VND, equaling 26.3% of the year estimate and increasing by 2.4% over the </w:t>
      </w:r>
      <w:r w:rsidRPr="00B543B9">
        <w:rPr>
          <w:rFonts w:ascii="Times New Roman" w:hAnsi="Times New Roman" w:cs="Times New Roman"/>
          <w:iCs/>
          <w:sz w:val="28"/>
          <w:szCs w:val="28"/>
          <w:lang w:val="nl-NL"/>
        </w:rPr>
        <w:lastRenderedPageBreak/>
        <w:t>same period last year. In which, recurrent expenditure in the first 4 months of 2022 reached 340.3 trillion VND, equaling 30.6% of the yearly estimate and up 1.8% over the same period last year; development investment expenditure reached 95.7 trillion VND, equaling 18.2% and increasing by 11.3%; debt payment interest was 33.8 trillion VND, equal to 32.6% and down 11.8%.</w:t>
      </w:r>
    </w:p>
    <w:p w14:paraId="0D646C22" w14:textId="1048D51D" w:rsidR="00E72A61" w:rsidRPr="00E72A61" w:rsidRDefault="00E72A61" w:rsidP="007D00CC">
      <w:pPr>
        <w:spacing w:before="40" w:after="40"/>
        <w:ind w:firstLine="567"/>
        <w:jc w:val="both"/>
        <w:rPr>
          <w:rFonts w:ascii="Times New Roman" w:hAnsi="Times New Roman" w:cs="Times New Roman"/>
          <w:sz w:val="28"/>
          <w:szCs w:val="28"/>
        </w:rPr>
      </w:pPr>
      <w:r w:rsidRPr="00E72A61">
        <w:rPr>
          <w:rFonts w:ascii="Times New Roman" w:hAnsi="Times New Roman" w:cs="Times New Roman"/>
          <w:b/>
          <w:bCs/>
          <w:sz w:val="28"/>
          <w:szCs w:val="28"/>
          <w:lang w:val="it-IT"/>
        </w:rPr>
        <w:t xml:space="preserve">6. </w:t>
      </w:r>
      <w:r w:rsidR="004F7766" w:rsidRPr="004F7766">
        <w:rPr>
          <w:rFonts w:ascii="Times New Roman" w:hAnsi="Times New Roman" w:cs="Times New Roman"/>
          <w:b/>
          <w:bCs/>
          <w:sz w:val="28"/>
          <w:szCs w:val="28"/>
          <w:lang w:val="it-IT"/>
        </w:rPr>
        <w:t>Trade, prices, transport and tourism</w:t>
      </w:r>
    </w:p>
    <w:p w14:paraId="6094FAB7" w14:textId="6C3C589C" w:rsidR="00E72A61" w:rsidRPr="00E72A61" w:rsidRDefault="00E72A61" w:rsidP="007D00CC">
      <w:pPr>
        <w:spacing w:before="40" w:after="40"/>
        <w:ind w:firstLine="567"/>
        <w:jc w:val="both"/>
        <w:rPr>
          <w:rFonts w:ascii="Times New Roman" w:hAnsi="Times New Roman" w:cs="Times New Roman"/>
          <w:b/>
          <w:i/>
          <w:sz w:val="28"/>
          <w:szCs w:val="28"/>
          <w:lang w:val="it-IT"/>
        </w:rPr>
      </w:pPr>
      <w:r w:rsidRPr="00E72A61">
        <w:rPr>
          <w:rFonts w:ascii="Times New Roman" w:hAnsi="Times New Roman" w:cs="Times New Roman"/>
          <w:b/>
          <w:i/>
          <w:sz w:val="28"/>
          <w:szCs w:val="28"/>
          <w:lang w:val="it-IT"/>
        </w:rPr>
        <w:t xml:space="preserve">a) </w:t>
      </w:r>
      <w:r w:rsidR="003A0526" w:rsidRPr="003A0526">
        <w:rPr>
          <w:rFonts w:ascii="Times New Roman" w:hAnsi="Times New Roman" w:cs="Times New Roman"/>
          <w:b/>
          <w:i/>
          <w:sz w:val="28"/>
          <w:szCs w:val="28"/>
          <w:lang w:val="it-IT"/>
        </w:rPr>
        <w:t>Retail sales of consumer goods and services</w:t>
      </w:r>
    </w:p>
    <w:p w14:paraId="2E7F2654" w14:textId="77777777" w:rsidR="004919B5" w:rsidRDefault="004919B5" w:rsidP="00081B16">
      <w:pPr>
        <w:spacing w:before="120" w:after="120"/>
        <w:ind w:firstLine="567"/>
        <w:jc w:val="both"/>
        <w:rPr>
          <w:rFonts w:ascii="Times New Roman" w:hAnsi="Times New Roman" w:cs="Times New Roman"/>
          <w:i/>
          <w:spacing w:val="-2"/>
          <w:sz w:val="28"/>
          <w:szCs w:val="28"/>
          <w:shd w:val="clear" w:color="auto" w:fill="FFFFFF"/>
        </w:rPr>
      </w:pPr>
      <w:r w:rsidRPr="004919B5">
        <w:rPr>
          <w:rFonts w:ascii="Times New Roman" w:hAnsi="Times New Roman" w:cs="Times New Roman"/>
          <w:i/>
          <w:spacing w:val="-2"/>
          <w:sz w:val="28"/>
          <w:szCs w:val="28"/>
          <w:shd w:val="clear" w:color="auto" w:fill="FFFFFF"/>
        </w:rPr>
        <w:t>Trade and service activities in April were quite active when people's daily life returned to the state of the years before the Covid-19 epidemic due to the effectiveness of the policy of opening tourism from March 15, 2022, and preparing for the 31st SEA Games will be held in May this year. Total retail sales of consumer goods and services in April increased by 3.1% over the previous month and by 12.1% over the same period last year. In which, accommodation, catering and traveling services recovered strongly with revenue increasing by 14.8% and 49.4% respectively over the same period last year. In the first 4 months of 2022, the total retail sales of consumer goods and services increased by 6.5% over the same period last year.</w:t>
      </w:r>
    </w:p>
    <w:p w14:paraId="11050D19" w14:textId="4CB18A2F" w:rsidR="00081B16" w:rsidRPr="00081B16" w:rsidRDefault="00446010" w:rsidP="00081B16">
      <w:pPr>
        <w:spacing w:before="120" w:after="120"/>
        <w:ind w:firstLine="567"/>
        <w:jc w:val="both"/>
        <w:rPr>
          <w:rFonts w:ascii="Times New Roman" w:hAnsi="Times New Roman" w:cs="Times New Roman"/>
          <w:bCs/>
          <w:sz w:val="28"/>
          <w:szCs w:val="28"/>
          <w:lang w:val="it-IT"/>
        </w:rPr>
      </w:pPr>
      <w:r w:rsidRPr="00446010">
        <w:rPr>
          <w:rFonts w:ascii="Times New Roman" w:hAnsi="Times New Roman" w:cs="Times New Roman"/>
          <w:bCs/>
          <w:i/>
          <w:iCs/>
          <w:sz w:val="28"/>
          <w:szCs w:val="28"/>
          <w:lang w:val="it-IT"/>
        </w:rPr>
        <w:t xml:space="preserve">Total retail sales of consumer goods and services </w:t>
      </w:r>
      <w:r w:rsidRPr="00446010">
        <w:rPr>
          <w:rFonts w:ascii="Times New Roman" w:hAnsi="Times New Roman" w:cs="Times New Roman"/>
          <w:bCs/>
          <w:sz w:val="28"/>
          <w:szCs w:val="28"/>
          <w:lang w:val="it-IT"/>
        </w:rPr>
        <w:t>in April 2022 were estimated at 455.5 trillion VND, up 3.1% from the previous month and up 12.1% over the same period last year, achieving a higher scale and growth rate compared to the same period in the years before the Covid-19 epidemic</w:t>
      </w:r>
      <w:r w:rsidR="00081B16" w:rsidRPr="00081B16">
        <w:rPr>
          <w:rStyle w:val="FootnoteReference"/>
          <w:rFonts w:ascii="Times New Roman" w:hAnsi="Times New Roman"/>
          <w:bCs/>
          <w:sz w:val="28"/>
          <w:szCs w:val="28"/>
          <w:lang w:val="it-IT"/>
        </w:rPr>
        <w:footnoteReference w:id="9"/>
      </w:r>
      <w:r w:rsidR="00081B16" w:rsidRPr="00081B16">
        <w:rPr>
          <w:rFonts w:ascii="Times New Roman" w:hAnsi="Times New Roman" w:cs="Times New Roman"/>
          <w:bCs/>
          <w:sz w:val="28"/>
          <w:szCs w:val="28"/>
          <w:lang w:val="it-IT"/>
        </w:rPr>
        <w:t xml:space="preserve">. </w:t>
      </w:r>
      <w:r w:rsidR="00D522EE" w:rsidRPr="00D522EE">
        <w:rPr>
          <w:rFonts w:ascii="Times New Roman" w:hAnsi="Times New Roman" w:cs="Times New Roman"/>
          <w:bCs/>
          <w:sz w:val="28"/>
          <w:szCs w:val="28"/>
          <w:lang w:val="it-IT"/>
        </w:rPr>
        <w:t>Generally, in the first 4 months of 2022, the total retail sales of consumer goods and services were estimated at 1,777.4 trillion VND, up 6.5% over the same period last year, if excluding the price factor it was an increase of 4.3% (in the same period in 2021 up 7.2%).</w:t>
      </w:r>
    </w:p>
    <w:p w14:paraId="42A314DA" w14:textId="77777777" w:rsidR="00131FB2" w:rsidRDefault="00131FB2" w:rsidP="00C03763">
      <w:pPr>
        <w:tabs>
          <w:tab w:val="left" w:pos="2835"/>
        </w:tabs>
        <w:spacing w:after="0" w:line="264" w:lineRule="auto"/>
        <w:ind w:right="471" w:firstLine="567"/>
        <w:jc w:val="center"/>
        <w:rPr>
          <w:rFonts w:ascii="Arial" w:hAnsi="Arial" w:cs="Arial"/>
          <w:b/>
          <w:spacing w:val="-2"/>
          <w:sz w:val="24"/>
          <w:szCs w:val="20"/>
          <w:lang w:val="pl-PL"/>
        </w:rPr>
      </w:pPr>
      <w:r w:rsidRPr="00131FB2">
        <w:rPr>
          <w:rFonts w:ascii="Arial" w:hAnsi="Arial" w:cs="Arial"/>
          <w:b/>
          <w:spacing w:val="-2"/>
          <w:sz w:val="24"/>
          <w:szCs w:val="20"/>
          <w:lang w:val="pl-PL"/>
        </w:rPr>
        <w:t>Table 3. Retail sales of consumer goods and services</w:t>
      </w:r>
    </w:p>
    <w:p w14:paraId="2CB2C534" w14:textId="3FBFEBA0" w:rsidR="00E72A61" w:rsidRPr="00C03763" w:rsidRDefault="0022480B" w:rsidP="00E72A61">
      <w:pPr>
        <w:tabs>
          <w:tab w:val="left" w:pos="2835"/>
        </w:tabs>
        <w:spacing w:after="0" w:line="264" w:lineRule="auto"/>
        <w:ind w:right="471" w:firstLine="567"/>
        <w:jc w:val="right"/>
        <w:rPr>
          <w:rFonts w:ascii="Arial" w:hAnsi="Arial" w:cs="Arial"/>
          <w:b/>
          <w:bCs/>
          <w:i/>
          <w:spacing w:val="-6"/>
          <w:sz w:val="20"/>
          <w:szCs w:val="20"/>
        </w:rPr>
      </w:pPr>
      <w:r w:rsidRPr="0022480B">
        <w:rPr>
          <w:rFonts w:ascii="Arial" w:hAnsi="Arial" w:cs="Arial"/>
          <w:b/>
          <w:bCs/>
          <w:i/>
          <w:spacing w:val="-6"/>
          <w:sz w:val="20"/>
          <w:szCs w:val="20"/>
        </w:rPr>
        <w:t>Trillion VND</w:t>
      </w:r>
    </w:p>
    <w:tbl>
      <w:tblPr>
        <w:tblW w:w="0" w:type="auto"/>
        <w:jc w:val="center"/>
        <w:tblLook w:val="04A0" w:firstRow="1" w:lastRow="0" w:firstColumn="1" w:lastColumn="0" w:noHBand="0" w:noVBand="1"/>
      </w:tblPr>
      <w:tblGrid>
        <w:gridCol w:w="2694"/>
        <w:gridCol w:w="1275"/>
        <w:gridCol w:w="1418"/>
        <w:gridCol w:w="1147"/>
        <w:gridCol w:w="412"/>
        <w:gridCol w:w="1418"/>
        <w:gridCol w:w="78"/>
      </w:tblGrid>
      <w:tr w:rsidR="0022480B" w:rsidRPr="00B259F9" w14:paraId="7ADF1016" w14:textId="77777777" w:rsidTr="00B318B1">
        <w:trPr>
          <w:gridAfter w:val="1"/>
          <w:wAfter w:w="78" w:type="dxa"/>
          <w:cantSplit/>
          <w:jc w:val="center"/>
        </w:trPr>
        <w:tc>
          <w:tcPr>
            <w:tcW w:w="2694" w:type="dxa"/>
            <w:tcBorders>
              <w:top w:val="single" w:sz="8" w:space="0" w:color="auto"/>
              <w:left w:val="nil"/>
              <w:bottom w:val="nil"/>
              <w:right w:val="nil"/>
            </w:tcBorders>
            <w:shd w:val="clear" w:color="auto" w:fill="auto"/>
            <w:hideMark/>
          </w:tcPr>
          <w:p w14:paraId="29E699C5" w14:textId="77777777" w:rsidR="0022480B" w:rsidRPr="00B259F9" w:rsidRDefault="0022480B" w:rsidP="00B318B1">
            <w:pPr>
              <w:jc w:val="both"/>
              <w:rPr>
                <w:rFonts w:ascii="Arial" w:hAnsi="Arial" w:cs="Arial"/>
                <w:color w:val="000000"/>
                <w:sz w:val="20"/>
                <w:szCs w:val="20"/>
              </w:rPr>
            </w:pPr>
            <w:r w:rsidRPr="00B259F9">
              <w:rPr>
                <w:rFonts w:ascii="Arial" w:hAnsi="Arial" w:cs="Arial"/>
                <w:bCs/>
                <w:color w:val="000000"/>
                <w:sz w:val="20"/>
                <w:szCs w:val="20"/>
              </w:rPr>
              <w:t> </w:t>
            </w:r>
          </w:p>
        </w:tc>
        <w:tc>
          <w:tcPr>
            <w:tcW w:w="1275" w:type="dxa"/>
            <w:vMerge w:val="restart"/>
            <w:tcBorders>
              <w:top w:val="single" w:sz="8" w:space="0" w:color="auto"/>
              <w:left w:val="nil"/>
              <w:right w:val="nil"/>
            </w:tcBorders>
            <w:shd w:val="clear" w:color="auto" w:fill="auto"/>
            <w:vAlign w:val="center"/>
            <w:hideMark/>
          </w:tcPr>
          <w:p w14:paraId="0EA5EF63" w14:textId="77777777" w:rsidR="0022480B" w:rsidRPr="00B259F9" w:rsidRDefault="0022480B" w:rsidP="00B318B1">
            <w:pPr>
              <w:jc w:val="center"/>
              <w:rPr>
                <w:rFonts w:ascii="Arial" w:hAnsi="Arial" w:cs="Arial"/>
                <w:color w:val="000000"/>
                <w:sz w:val="20"/>
                <w:szCs w:val="20"/>
              </w:rPr>
            </w:pPr>
            <w:r w:rsidRPr="00B259F9">
              <w:rPr>
                <w:rFonts w:ascii="Arial" w:hAnsi="Arial" w:cs="Arial"/>
                <w:bCs/>
                <w:sz w:val="20"/>
                <w:szCs w:val="20"/>
              </w:rPr>
              <w:t>Estimate</w:t>
            </w:r>
          </w:p>
          <w:p w14:paraId="0EDD741F" w14:textId="77777777" w:rsidR="0022480B" w:rsidRPr="00B259F9" w:rsidRDefault="0022480B" w:rsidP="00B318B1">
            <w:pPr>
              <w:jc w:val="center"/>
              <w:rPr>
                <w:rFonts w:ascii="Arial" w:hAnsi="Arial" w:cs="Arial"/>
                <w:color w:val="000000"/>
                <w:sz w:val="20"/>
                <w:szCs w:val="20"/>
              </w:rPr>
            </w:pPr>
            <w:r>
              <w:rPr>
                <w:rFonts w:ascii="Arial" w:hAnsi="Arial" w:cs="Arial"/>
                <w:color w:val="000000"/>
                <w:sz w:val="20"/>
                <w:szCs w:val="20"/>
              </w:rPr>
              <w:t>April</w:t>
            </w:r>
          </w:p>
          <w:p w14:paraId="60BC83DB" w14:textId="77777777" w:rsidR="0022480B" w:rsidRPr="00B259F9" w:rsidRDefault="0022480B" w:rsidP="00B318B1">
            <w:pPr>
              <w:jc w:val="center"/>
              <w:rPr>
                <w:rFonts w:ascii="Arial" w:hAnsi="Arial" w:cs="Arial"/>
                <w:color w:val="000000"/>
                <w:sz w:val="20"/>
                <w:szCs w:val="20"/>
              </w:rPr>
            </w:pPr>
            <w:r w:rsidRPr="00B259F9">
              <w:rPr>
                <w:rFonts w:ascii="Arial" w:hAnsi="Arial" w:cs="Arial"/>
                <w:color w:val="000000"/>
                <w:sz w:val="20"/>
                <w:szCs w:val="20"/>
              </w:rPr>
              <w:t>2022</w:t>
            </w:r>
          </w:p>
        </w:tc>
        <w:tc>
          <w:tcPr>
            <w:tcW w:w="1418" w:type="dxa"/>
            <w:vMerge w:val="restart"/>
            <w:tcBorders>
              <w:top w:val="single" w:sz="8" w:space="0" w:color="auto"/>
              <w:left w:val="nil"/>
              <w:right w:val="nil"/>
            </w:tcBorders>
            <w:shd w:val="clear" w:color="auto" w:fill="auto"/>
            <w:vAlign w:val="center"/>
            <w:hideMark/>
          </w:tcPr>
          <w:p w14:paraId="3B1B440C" w14:textId="77777777" w:rsidR="0022480B" w:rsidRPr="00B259F9" w:rsidRDefault="0022480B" w:rsidP="00B318B1">
            <w:pPr>
              <w:jc w:val="center"/>
              <w:rPr>
                <w:rFonts w:ascii="Arial" w:hAnsi="Arial" w:cs="Arial"/>
                <w:color w:val="000000"/>
                <w:sz w:val="20"/>
                <w:szCs w:val="20"/>
              </w:rPr>
            </w:pPr>
            <w:r w:rsidRPr="00B259F9">
              <w:rPr>
                <w:rFonts w:ascii="Arial" w:hAnsi="Arial" w:cs="Arial"/>
                <w:bCs/>
                <w:sz w:val="20"/>
                <w:szCs w:val="20"/>
              </w:rPr>
              <w:t>Estimate</w:t>
            </w:r>
          </w:p>
          <w:p w14:paraId="200E51E2" w14:textId="77777777" w:rsidR="0022480B" w:rsidRPr="00B259F9" w:rsidRDefault="0022480B" w:rsidP="00B318B1">
            <w:pPr>
              <w:jc w:val="center"/>
              <w:rPr>
                <w:rFonts w:ascii="Arial" w:hAnsi="Arial" w:cs="Arial"/>
                <w:color w:val="000000"/>
                <w:sz w:val="20"/>
                <w:szCs w:val="20"/>
              </w:rPr>
            </w:pPr>
            <w:r>
              <w:rPr>
                <w:rFonts w:ascii="Arial" w:hAnsi="Arial" w:cs="Arial"/>
                <w:color w:val="000000"/>
                <w:sz w:val="20"/>
                <w:szCs w:val="20"/>
              </w:rPr>
              <w:t>4 months</w:t>
            </w:r>
          </w:p>
          <w:p w14:paraId="6068168D" w14:textId="77777777" w:rsidR="0022480B" w:rsidRPr="00B259F9" w:rsidRDefault="0022480B" w:rsidP="00B318B1">
            <w:pPr>
              <w:jc w:val="center"/>
              <w:rPr>
                <w:rFonts w:ascii="Arial" w:hAnsi="Arial" w:cs="Arial"/>
                <w:color w:val="000000"/>
                <w:sz w:val="20"/>
                <w:szCs w:val="20"/>
              </w:rPr>
            </w:pPr>
            <w:r w:rsidRPr="00B259F9">
              <w:rPr>
                <w:rFonts w:ascii="Arial" w:hAnsi="Arial" w:cs="Arial"/>
                <w:color w:val="000000"/>
                <w:sz w:val="20"/>
                <w:szCs w:val="20"/>
              </w:rPr>
              <w:t>2022</w:t>
            </w:r>
          </w:p>
        </w:tc>
        <w:tc>
          <w:tcPr>
            <w:tcW w:w="2977" w:type="dxa"/>
            <w:gridSpan w:val="3"/>
            <w:vMerge w:val="restart"/>
            <w:tcBorders>
              <w:top w:val="single" w:sz="8" w:space="0" w:color="auto"/>
              <w:left w:val="nil"/>
              <w:right w:val="nil"/>
            </w:tcBorders>
            <w:shd w:val="clear" w:color="auto" w:fill="auto"/>
            <w:vAlign w:val="center"/>
            <w:hideMark/>
          </w:tcPr>
          <w:p w14:paraId="14361C0E" w14:textId="77777777" w:rsidR="0022480B" w:rsidRPr="00B259F9" w:rsidRDefault="0022480B" w:rsidP="00B318B1">
            <w:pPr>
              <w:jc w:val="center"/>
              <w:rPr>
                <w:rFonts w:ascii="Arial" w:hAnsi="Arial" w:cs="Arial"/>
                <w:color w:val="000000"/>
                <w:sz w:val="20"/>
                <w:szCs w:val="20"/>
              </w:rPr>
            </w:pPr>
            <w:r w:rsidRPr="00B259F9">
              <w:rPr>
                <w:rFonts w:ascii="Arial" w:hAnsi="Arial" w:cs="Arial"/>
                <w:bCs/>
                <w:sz w:val="20"/>
                <w:szCs w:val="20"/>
              </w:rPr>
              <w:t>The growth rate</w:t>
            </w:r>
            <w:r>
              <w:rPr>
                <w:rFonts w:ascii="Arial" w:hAnsi="Arial" w:cs="Arial"/>
                <w:bCs/>
                <w:sz w:val="20"/>
                <w:szCs w:val="20"/>
              </w:rPr>
              <w:t xml:space="preserve"> </w:t>
            </w:r>
            <w:r w:rsidRPr="00B259F9">
              <w:rPr>
                <w:rFonts w:ascii="Arial" w:hAnsi="Arial" w:cs="Arial"/>
                <w:bCs/>
                <w:sz w:val="20"/>
                <w:szCs w:val="20"/>
              </w:rPr>
              <w:t>compared to the same period last year (%)</w:t>
            </w:r>
          </w:p>
        </w:tc>
      </w:tr>
      <w:tr w:rsidR="0022480B" w:rsidRPr="00B259F9" w14:paraId="2BA5A2AF" w14:textId="77777777" w:rsidTr="00B318B1">
        <w:trPr>
          <w:gridAfter w:val="1"/>
          <w:wAfter w:w="78" w:type="dxa"/>
          <w:cantSplit/>
          <w:jc w:val="center"/>
        </w:trPr>
        <w:tc>
          <w:tcPr>
            <w:tcW w:w="2694" w:type="dxa"/>
            <w:tcBorders>
              <w:top w:val="nil"/>
              <w:left w:val="nil"/>
              <w:bottom w:val="nil"/>
              <w:right w:val="nil"/>
            </w:tcBorders>
            <w:shd w:val="clear" w:color="auto" w:fill="auto"/>
            <w:hideMark/>
          </w:tcPr>
          <w:p w14:paraId="5A791560" w14:textId="77777777" w:rsidR="0022480B" w:rsidRPr="00B259F9" w:rsidRDefault="0022480B" w:rsidP="00B318B1">
            <w:pPr>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7235E79A" w14:textId="77777777" w:rsidR="0022480B" w:rsidRPr="00B259F9" w:rsidRDefault="0022480B" w:rsidP="00B318B1">
            <w:pPr>
              <w:jc w:val="center"/>
              <w:rPr>
                <w:rFonts w:ascii="Arial" w:hAnsi="Arial" w:cs="Arial"/>
                <w:color w:val="000000"/>
                <w:sz w:val="20"/>
                <w:szCs w:val="20"/>
              </w:rPr>
            </w:pPr>
          </w:p>
        </w:tc>
        <w:tc>
          <w:tcPr>
            <w:tcW w:w="1418" w:type="dxa"/>
            <w:vMerge/>
            <w:tcBorders>
              <w:left w:val="nil"/>
              <w:right w:val="nil"/>
            </w:tcBorders>
            <w:shd w:val="clear" w:color="auto" w:fill="auto"/>
            <w:vAlign w:val="center"/>
            <w:hideMark/>
          </w:tcPr>
          <w:p w14:paraId="1902F616" w14:textId="77777777" w:rsidR="0022480B" w:rsidRPr="00B259F9" w:rsidRDefault="0022480B" w:rsidP="00B318B1">
            <w:pPr>
              <w:jc w:val="center"/>
              <w:rPr>
                <w:rFonts w:ascii="Arial" w:hAnsi="Arial" w:cs="Arial"/>
                <w:color w:val="000000"/>
                <w:sz w:val="20"/>
                <w:szCs w:val="20"/>
              </w:rPr>
            </w:pPr>
          </w:p>
        </w:tc>
        <w:tc>
          <w:tcPr>
            <w:tcW w:w="2977" w:type="dxa"/>
            <w:gridSpan w:val="3"/>
            <w:vMerge/>
            <w:tcBorders>
              <w:left w:val="nil"/>
              <w:bottom w:val="single" w:sz="8" w:space="0" w:color="auto"/>
              <w:right w:val="nil"/>
            </w:tcBorders>
            <w:shd w:val="clear" w:color="auto" w:fill="auto"/>
            <w:vAlign w:val="center"/>
            <w:hideMark/>
          </w:tcPr>
          <w:p w14:paraId="21A75647" w14:textId="77777777" w:rsidR="0022480B" w:rsidRPr="00B259F9" w:rsidRDefault="0022480B" w:rsidP="00B318B1">
            <w:pPr>
              <w:jc w:val="center"/>
              <w:rPr>
                <w:rFonts w:ascii="Arial" w:hAnsi="Arial" w:cs="Arial"/>
                <w:color w:val="000000"/>
                <w:sz w:val="20"/>
                <w:szCs w:val="20"/>
              </w:rPr>
            </w:pPr>
          </w:p>
        </w:tc>
      </w:tr>
      <w:tr w:rsidR="0022480B" w:rsidRPr="00B259F9" w14:paraId="60118AA1" w14:textId="77777777" w:rsidTr="00B318B1">
        <w:trPr>
          <w:gridAfter w:val="1"/>
          <w:wAfter w:w="78" w:type="dxa"/>
          <w:cantSplit/>
          <w:jc w:val="center"/>
        </w:trPr>
        <w:tc>
          <w:tcPr>
            <w:tcW w:w="2694" w:type="dxa"/>
            <w:tcBorders>
              <w:top w:val="nil"/>
              <w:left w:val="nil"/>
              <w:bottom w:val="nil"/>
              <w:right w:val="nil"/>
            </w:tcBorders>
            <w:shd w:val="clear" w:color="auto" w:fill="auto"/>
            <w:hideMark/>
          </w:tcPr>
          <w:p w14:paraId="0C5ED298" w14:textId="77777777" w:rsidR="0022480B" w:rsidRPr="00B259F9" w:rsidRDefault="0022480B" w:rsidP="00B318B1">
            <w:pPr>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2CC1BB7B" w14:textId="77777777" w:rsidR="0022480B" w:rsidRPr="00B259F9" w:rsidRDefault="0022480B" w:rsidP="00B318B1">
            <w:pPr>
              <w:jc w:val="center"/>
              <w:rPr>
                <w:rFonts w:ascii="Arial" w:hAnsi="Arial" w:cs="Arial"/>
                <w:color w:val="000000"/>
                <w:sz w:val="20"/>
                <w:szCs w:val="20"/>
              </w:rPr>
            </w:pPr>
          </w:p>
        </w:tc>
        <w:tc>
          <w:tcPr>
            <w:tcW w:w="1418" w:type="dxa"/>
            <w:vMerge/>
            <w:tcBorders>
              <w:left w:val="nil"/>
              <w:right w:val="nil"/>
            </w:tcBorders>
            <w:shd w:val="clear" w:color="auto" w:fill="auto"/>
            <w:vAlign w:val="center"/>
            <w:hideMark/>
          </w:tcPr>
          <w:p w14:paraId="1F42223F" w14:textId="77777777" w:rsidR="0022480B" w:rsidRPr="00B259F9" w:rsidRDefault="0022480B" w:rsidP="00B318B1">
            <w:pPr>
              <w:jc w:val="center"/>
              <w:rPr>
                <w:rFonts w:ascii="Arial" w:hAnsi="Arial" w:cs="Arial"/>
                <w:color w:val="000000"/>
                <w:sz w:val="20"/>
                <w:szCs w:val="20"/>
              </w:rPr>
            </w:pPr>
          </w:p>
        </w:tc>
        <w:tc>
          <w:tcPr>
            <w:tcW w:w="1559" w:type="dxa"/>
            <w:gridSpan w:val="2"/>
            <w:vMerge w:val="restart"/>
            <w:tcBorders>
              <w:top w:val="nil"/>
              <w:left w:val="nil"/>
              <w:right w:val="nil"/>
            </w:tcBorders>
            <w:shd w:val="clear" w:color="auto" w:fill="auto"/>
            <w:vAlign w:val="center"/>
            <w:hideMark/>
          </w:tcPr>
          <w:p w14:paraId="47288614" w14:textId="77777777" w:rsidR="0022480B" w:rsidRPr="00B259F9" w:rsidRDefault="0022480B" w:rsidP="00B318B1">
            <w:pPr>
              <w:jc w:val="center"/>
              <w:rPr>
                <w:rFonts w:ascii="Arial" w:hAnsi="Arial" w:cs="Arial"/>
                <w:color w:val="000000"/>
                <w:sz w:val="20"/>
                <w:szCs w:val="20"/>
              </w:rPr>
            </w:pPr>
            <w:r>
              <w:rPr>
                <w:rFonts w:ascii="Arial" w:hAnsi="Arial" w:cs="Arial"/>
                <w:color w:val="000000"/>
                <w:sz w:val="20"/>
                <w:szCs w:val="20"/>
              </w:rPr>
              <w:t>April</w:t>
            </w:r>
          </w:p>
          <w:p w14:paraId="78AC9A22" w14:textId="77777777" w:rsidR="0022480B" w:rsidRPr="00B259F9" w:rsidRDefault="0022480B" w:rsidP="00B318B1">
            <w:pPr>
              <w:jc w:val="center"/>
              <w:rPr>
                <w:rFonts w:ascii="Arial" w:hAnsi="Arial" w:cs="Arial"/>
                <w:color w:val="000000"/>
                <w:sz w:val="20"/>
                <w:szCs w:val="20"/>
              </w:rPr>
            </w:pPr>
            <w:r w:rsidRPr="00B259F9">
              <w:rPr>
                <w:rFonts w:ascii="Arial" w:hAnsi="Arial" w:cs="Arial"/>
                <w:color w:val="000000"/>
                <w:sz w:val="20"/>
                <w:szCs w:val="20"/>
              </w:rPr>
              <w:t>2022</w:t>
            </w:r>
          </w:p>
        </w:tc>
        <w:tc>
          <w:tcPr>
            <w:tcW w:w="1418" w:type="dxa"/>
            <w:vMerge w:val="restart"/>
            <w:tcBorders>
              <w:top w:val="nil"/>
              <w:left w:val="nil"/>
              <w:right w:val="nil"/>
            </w:tcBorders>
            <w:shd w:val="clear" w:color="auto" w:fill="auto"/>
            <w:vAlign w:val="center"/>
            <w:hideMark/>
          </w:tcPr>
          <w:p w14:paraId="10A207A3" w14:textId="77777777" w:rsidR="0022480B" w:rsidRPr="00B259F9" w:rsidRDefault="0022480B" w:rsidP="00B318B1">
            <w:pPr>
              <w:jc w:val="center"/>
              <w:rPr>
                <w:rFonts w:ascii="Arial" w:hAnsi="Arial" w:cs="Arial"/>
                <w:color w:val="000000"/>
                <w:sz w:val="20"/>
                <w:szCs w:val="20"/>
              </w:rPr>
            </w:pPr>
            <w:r>
              <w:rPr>
                <w:rFonts w:ascii="Arial" w:hAnsi="Arial" w:cs="Arial"/>
                <w:color w:val="000000"/>
                <w:sz w:val="20"/>
                <w:szCs w:val="20"/>
              </w:rPr>
              <w:t>4 months</w:t>
            </w:r>
          </w:p>
          <w:p w14:paraId="330BA04D" w14:textId="77777777" w:rsidR="0022480B" w:rsidRPr="00B259F9" w:rsidRDefault="0022480B" w:rsidP="00B318B1">
            <w:pPr>
              <w:jc w:val="center"/>
              <w:rPr>
                <w:rFonts w:ascii="Arial" w:hAnsi="Arial" w:cs="Arial"/>
                <w:color w:val="000000"/>
                <w:sz w:val="20"/>
                <w:szCs w:val="20"/>
              </w:rPr>
            </w:pPr>
            <w:r w:rsidRPr="00B259F9">
              <w:rPr>
                <w:rFonts w:ascii="Arial" w:hAnsi="Arial" w:cs="Arial"/>
                <w:color w:val="000000"/>
                <w:sz w:val="20"/>
                <w:szCs w:val="20"/>
              </w:rPr>
              <w:t>2022</w:t>
            </w:r>
          </w:p>
        </w:tc>
      </w:tr>
      <w:tr w:rsidR="0022480B" w:rsidRPr="00B259F9" w14:paraId="4417F55B" w14:textId="77777777" w:rsidTr="00B318B1">
        <w:trPr>
          <w:gridAfter w:val="1"/>
          <w:wAfter w:w="78" w:type="dxa"/>
          <w:cantSplit/>
          <w:jc w:val="center"/>
        </w:trPr>
        <w:tc>
          <w:tcPr>
            <w:tcW w:w="2694" w:type="dxa"/>
            <w:tcBorders>
              <w:top w:val="nil"/>
              <w:left w:val="nil"/>
              <w:bottom w:val="nil"/>
              <w:right w:val="nil"/>
            </w:tcBorders>
            <w:shd w:val="clear" w:color="auto" w:fill="auto"/>
            <w:hideMark/>
          </w:tcPr>
          <w:p w14:paraId="1C002878" w14:textId="77777777" w:rsidR="0022480B" w:rsidRPr="00B259F9" w:rsidRDefault="0022480B" w:rsidP="00B318B1">
            <w:pPr>
              <w:jc w:val="both"/>
              <w:rPr>
                <w:rFonts w:ascii="Arial" w:hAnsi="Arial" w:cs="Arial"/>
                <w:color w:val="000000"/>
                <w:sz w:val="20"/>
                <w:szCs w:val="20"/>
              </w:rPr>
            </w:pPr>
          </w:p>
        </w:tc>
        <w:tc>
          <w:tcPr>
            <w:tcW w:w="1275" w:type="dxa"/>
            <w:vMerge/>
            <w:tcBorders>
              <w:left w:val="nil"/>
              <w:bottom w:val="single" w:sz="8" w:space="0" w:color="auto"/>
              <w:right w:val="nil"/>
            </w:tcBorders>
            <w:shd w:val="clear" w:color="auto" w:fill="auto"/>
            <w:vAlign w:val="center"/>
          </w:tcPr>
          <w:p w14:paraId="4D1D3F3C" w14:textId="77777777" w:rsidR="0022480B" w:rsidRPr="00B259F9" w:rsidRDefault="0022480B" w:rsidP="00B318B1">
            <w:pPr>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tcPr>
          <w:p w14:paraId="760FD11D" w14:textId="77777777" w:rsidR="0022480B" w:rsidRPr="00B259F9" w:rsidRDefault="0022480B" w:rsidP="00B318B1">
            <w:pPr>
              <w:jc w:val="center"/>
              <w:rPr>
                <w:rFonts w:ascii="Arial" w:hAnsi="Arial" w:cs="Arial"/>
                <w:color w:val="000000"/>
                <w:sz w:val="20"/>
                <w:szCs w:val="20"/>
              </w:rPr>
            </w:pPr>
          </w:p>
        </w:tc>
        <w:tc>
          <w:tcPr>
            <w:tcW w:w="1559" w:type="dxa"/>
            <w:gridSpan w:val="2"/>
            <w:vMerge/>
            <w:tcBorders>
              <w:left w:val="nil"/>
              <w:bottom w:val="single" w:sz="8" w:space="0" w:color="auto"/>
              <w:right w:val="nil"/>
            </w:tcBorders>
            <w:shd w:val="clear" w:color="auto" w:fill="auto"/>
            <w:vAlign w:val="center"/>
            <w:hideMark/>
          </w:tcPr>
          <w:p w14:paraId="57D62A16" w14:textId="77777777" w:rsidR="0022480B" w:rsidRPr="00B259F9" w:rsidRDefault="0022480B" w:rsidP="00B318B1">
            <w:pPr>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hideMark/>
          </w:tcPr>
          <w:p w14:paraId="4E198534" w14:textId="77777777" w:rsidR="0022480B" w:rsidRPr="00B259F9" w:rsidRDefault="0022480B" w:rsidP="00B318B1">
            <w:pPr>
              <w:jc w:val="center"/>
              <w:rPr>
                <w:rFonts w:ascii="Arial" w:hAnsi="Arial" w:cs="Arial"/>
                <w:color w:val="000000"/>
                <w:sz w:val="20"/>
                <w:szCs w:val="20"/>
              </w:rPr>
            </w:pPr>
          </w:p>
        </w:tc>
      </w:tr>
      <w:tr w:rsidR="0022480B" w:rsidRPr="00B259F9" w14:paraId="109136BD" w14:textId="77777777" w:rsidTr="00B318B1">
        <w:trPr>
          <w:cantSplit/>
          <w:jc w:val="center"/>
        </w:trPr>
        <w:tc>
          <w:tcPr>
            <w:tcW w:w="2694" w:type="dxa"/>
            <w:tcBorders>
              <w:top w:val="nil"/>
              <w:left w:val="nil"/>
              <w:bottom w:val="nil"/>
              <w:right w:val="nil"/>
            </w:tcBorders>
            <w:shd w:val="clear" w:color="auto" w:fill="auto"/>
            <w:vAlign w:val="center"/>
            <w:hideMark/>
          </w:tcPr>
          <w:p w14:paraId="662C7940" w14:textId="77777777" w:rsidR="0022480B" w:rsidRPr="00B259F9" w:rsidRDefault="0022480B" w:rsidP="00B318B1">
            <w:pPr>
              <w:spacing w:before="240" w:after="120"/>
              <w:rPr>
                <w:rFonts w:ascii="Arial" w:hAnsi="Arial" w:cs="Arial"/>
                <w:b/>
                <w:bCs/>
                <w:color w:val="000000"/>
                <w:sz w:val="20"/>
                <w:szCs w:val="20"/>
              </w:rPr>
            </w:pPr>
            <w:r w:rsidRPr="00B259F9">
              <w:rPr>
                <w:rFonts w:ascii="Arial" w:hAnsi="Arial" w:cs="Arial"/>
                <w:b/>
                <w:bCs/>
                <w:sz w:val="20"/>
                <w:szCs w:val="20"/>
              </w:rPr>
              <w:t>Total</w:t>
            </w:r>
          </w:p>
        </w:tc>
        <w:tc>
          <w:tcPr>
            <w:tcW w:w="1275" w:type="dxa"/>
            <w:tcBorders>
              <w:top w:val="nil"/>
              <w:left w:val="nil"/>
              <w:bottom w:val="nil"/>
              <w:right w:val="nil"/>
            </w:tcBorders>
            <w:shd w:val="clear" w:color="auto" w:fill="auto"/>
            <w:vAlign w:val="bottom"/>
            <w:hideMark/>
          </w:tcPr>
          <w:p w14:paraId="53347A3E" w14:textId="77777777" w:rsidR="0022480B" w:rsidRPr="00B259F9" w:rsidRDefault="0022480B" w:rsidP="00B318B1">
            <w:pPr>
              <w:spacing w:before="40" w:after="40"/>
              <w:ind w:right="234"/>
              <w:jc w:val="right"/>
              <w:rPr>
                <w:rFonts w:ascii="Arial" w:hAnsi="Arial" w:cs="Arial"/>
                <w:b/>
                <w:sz w:val="20"/>
                <w:szCs w:val="20"/>
              </w:rPr>
            </w:pPr>
            <w:r w:rsidRPr="00D514B7">
              <w:rPr>
                <w:rFonts w:ascii="Arial" w:hAnsi="Arial" w:cs="Arial"/>
                <w:b/>
                <w:sz w:val="20"/>
                <w:szCs w:val="20"/>
              </w:rPr>
              <w:t>455</w:t>
            </w:r>
            <w:r>
              <w:rPr>
                <w:rFonts w:ascii="Arial" w:hAnsi="Arial" w:cs="Arial"/>
                <w:b/>
                <w:sz w:val="20"/>
                <w:szCs w:val="20"/>
              </w:rPr>
              <w:t>.</w:t>
            </w:r>
            <w:r w:rsidRPr="00D514B7">
              <w:rPr>
                <w:rFonts w:ascii="Arial" w:hAnsi="Arial" w:cs="Arial"/>
                <w:b/>
                <w:sz w:val="20"/>
                <w:szCs w:val="20"/>
              </w:rPr>
              <w:t xml:space="preserve">5 </w:t>
            </w:r>
          </w:p>
        </w:tc>
        <w:tc>
          <w:tcPr>
            <w:tcW w:w="1418" w:type="dxa"/>
            <w:tcBorders>
              <w:top w:val="nil"/>
              <w:left w:val="nil"/>
              <w:bottom w:val="nil"/>
              <w:right w:val="nil"/>
            </w:tcBorders>
            <w:shd w:val="clear" w:color="auto" w:fill="auto"/>
            <w:vAlign w:val="bottom"/>
            <w:hideMark/>
          </w:tcPr>
          <w:p w14:paraId="1F428F3E" w14:textId="77777777" w:rsidR="0022480B" w:rsidRPr="00B259F9" w:rsidRDefault="0022480B" w:rsidP="00B318B1">
            <w:pPr>
              <w:spacing w:before="40" w:after="40"/>
              <w:ind w:right="234"/>
              <w:jc w:val="right"/>
              <w:rPr>
                <w:rFonts w:ascii="Arial" w:hAnsi="Arial" w:cs="Arial"/>
                <w:b/>
                <w:sz w:val="20"/>
                <w:szCs w:val="20"/>
              </w:rPr>
            </w:pPr>
            <w:r w:rsidRPr="00D514B7">
              <w:rPr>
                <w:rFonts w:ascii="Arial" w:hAnsi="Arial" w:cs="Arial"/>
                <w:b/>
                <w:sz w:val="20"/>
                <w:szCs w:val="20"/>
              </w:rPr>
              <w:t xml:space="preserve">      1</w:t>
            </w:r>
            <w:r>
              <w:rPr>
                <w:rFonts w:ascii="Arial" w:hAnsi="Arial" w:cs="Arial"/>
                <w:b/>
                <w:sz w:val="20"/>
                <w:szCs w:val="20"/>
              </w:rPr>
              <w:t>,</w:t>
            </w:r>
            <w:r w:rsidRPr="00D514B7">
              <w:rPr>
                <w:rFonts w:ascii="Arial" w:hAnsi="Arial" w:cs="Arial"/>
                <w:b/>
                <w:sz w:val="20"/>
                <w:szCs w:val="20"/>
              </w:rPr>
              <w:t>777</w:t>
            </w:r>
            <w:r>
              <w:rPr>
                <w:rFonts w:ascii="Arial" w:hAnsi="Arial" w:cs="Arial"/>
                <w:b/>
                <w:sz w:val="20"/>
                <w:szCs w:val="20"/>
              </w:rPr>
              <w:t>.</w:t>
            </w:r>
            <w:r w:rsidRPr="00D514B7">
              <w:rPr>
                <w:rFonts w:ascii="Arial" w:hAnsi="Arial" w:cs="Arial"/>
                <w:b/>
                <w:sz w:val="20"/>
                <w:szCs w:val="20"/>
              </w:rPr>
              <w:t xml:space="preserve">4 </w:t>
            </w:r>
          </w:p>
        </w:tc>
        <w:tc>
          <w:tcPr>
            <w:tcW w:w="1147" w:type="dxa"/>
            <w:tcBorders>
              <w:top w:val="nil"/>
              <w:left w:val="nil"/>
              <w:bottom w:val="nil"/>
              <w:right w:val="nil"/>
            </w:tcBorders>
            <w:shd w:val="clear" w:color="auto" w:fill="auto"/>
            <w:vAlign w:val="bottom"/>
            <w:hideMark/>
          </w:tcPr>
          <w:p w14:paraId="577DF485" w14:textId="77777777" w:rsidR="0022480B" w:rsidRPr="00B259F9" w:rsidRDefault="0022480B" w:rsidP="00B318B1">
            <w:pPr>
              <w:spacing w:before="40" w:after="40"/>
              <w:jc w:val="right"/>
              <w:rPr>
                <w:rFonts w:ascii="Arial" w:hAnsi="Arial" w:cs="Arial"/>
                <w:b/>
                <w:sz w:val="20"/>
                <w:szCs w:val="20"/>
              </w:rPr>
            </w:pPr>
            <w:r w:rsidRPr="00D514B7">
              <w:rPr>
                <w:rFonts w:ascii="Arial" w:hAnsi="Arial" w:cs="Arial"/>
                <w:b/>
                <w:sz w:val="20"/>
                <w:szCs w:val="20"/>
              </w:rPr>
              <w:t>12</w:t>
            </w:r>
            <w:r>
              <w:rPr>
                <w:rFonts w:ascii="Arial" w:hAnsi="Arial" w:cs="Arial"/>
                <w:b/>
                <w:sz w:val="20"/>
                <w:szCs w:val="20"/>
              </w:rPr>
              <w:t>.</w:t>
            </w:r>
            <w:r w:rsidRPr="00D514B7">
              <w:rPr>
                <w:rFonts w:ascii="Arial" w:hAnsi="Arial" w:cs="Arial"/>
                <w:b/>
                <w:sz w:val="20"/>
                <w:szCs w:val="20"/>
              </w:rPr>
              <w:t>1</w:t>
            </w:r>
          </w:p>
        </w:tc>
        <w:tc>
          <w:tcPr>
            <w:tcW w:w="1908" w:type="dxa"/>
            <w:gridSpan w:val="3"/>
            <w:tcBorders>
              <w:top w:val="nil"/>
              <w:left w:val="nil"/>
              <w:bottom w:val="nil"/>
              <w:right w:val="nil"/>
            </w:tcBorders>
            <w:shd w:val="clear" w:color="auto" w:fill="auto"/>
            <w:vAlign w:val="bottom"/>
            <w:hideMark/>
          </w:tcPr>
          <w:p w14:paraId="161A7899" w14:textId="77777777" w:rsidR="0022480B" w:rsidRPr="00B259F9" w:rsidRDefault="0022480B" w:rsidP="00B318B1">
            <w:pPr>
              <w:spacing w:before="40" w:after="40"/>
              <w:ind w:right="569"/>
              <w:jc w:val="right"/>
              <w:rPr>
                <w:rFonts w:ascii="Arial" w:hAnsi="Arial" w:cs="Arial"/>
                <w:b/>
                <w:sz w:val="20"/>
                <w:szCs w:val="20"/>
              </w:rPr>
            </w:pPr>
            <w:r w:rsidRPr="00D514B7">
              <w:rPr>
                <w:rFonts w:ascii="Arial" w:hAnsi="Arial" w:cs="Arial"/>
                <w:b/>
                <w:sz w:val="20"/>
                <w:szCs w:val="20"/>
              </w:rPr>
              <w:t>6</w:t>
            </w:r>
            <w:r>
              <w:rPr>
                <w:rFonts w:ascii="Arial" w:hAnsi="Arial" w:cs="Arial"/>
                <w:b/>
                <w:sz w:val="20"/>
                <w:szCs w:val="20"/>
              </w:rPr>
              <w:t>.</w:t>
            </w:r>
            <w:r w:rsidRPr="00D514B7">
              <w:rPr>
                <w:rFonts w:ascii="Arial" w:hAnsi="Arial" w:cs="Arial"/>
                <w:b/>
                <w:sz w:val="20"/>
                <w:szCs w:val="20"/>
              </w:rPr>
              <w:t>5</w:t>
            </w:r>
          </w:p>
        </w:tc>
      </w:tr>
      <w:tr w:rsidR="0022480B" w:rsidRPr="00B259F9" w14:paraId="79A585EB" w14:textId="77777777" w:rsidTr="00B318B1">
        <w:trPr>
          <w:cantSplit/>
          <w:jc w:val="center"/>
        </w:trPr>
        <w:tc>
          <w:tcPr>
            <w:tcW w:w="2694" w:type="dxa"/>
            <w:tcBorders>
              <w:top w:val="nil"/>
              <w:left w:val="nil"/>
              <w:bottom w:val="nil"/>
              <w:right w:val="nil"/>
            </w:tcBorders>
            <w:shd w:val="clear" w:color="auto" w:fill="auto"/>
            <w:vAlign w:val="center"/>
            <w:hideMark/>
          </w:tcPr>
          <w:p w14:paraId="2DEDAA22" w14:textId="77777777" w:rsidR="0022480B" w:rsidRPr="00B259F9" w:rsidRDefault="0022480B" w:rsidP="00B318B1">
            <w:pPr>
              <w:spacing w:before="120" w:after="60"/>
              <w:ind w:firstLine="176"/>
              <w:rPr>
                <w:rFonts w:ascii="Arial" w:hAnsi="Arial" w:cs="Arial"/>
                <w:color w:val="000000"/>
                <w:sz w:val="20"/>
                <w:szCs w:val="20"/>
              </w:rPr>
            </w:pPr>
            <w:r w:rsidRPr="00B259F9">
              <w:rPr>
                <w:rFonts w:ascii="Arial" w:hAnsi="Arial" w:cs="Arial"/>
                <w:bCs/>
                <w:sz w:val="20"/>
                <w:szCs w:val="20"/>
              </w:rPr>
              <w:t>Retail sale</w:t>
            </w:r>
          </w:p>
        </w:tc>
        <w:tc>
          <w:tcPr>
            <w:tcW w:w="1275" w:type="dxa"/>
            <w:tcBorders>
              <w:top w:val="nil"/>
              <w:left w:val="nil"/>
              <w:bottom w:val="nil"/>
              <w:right w:val="nil"/>
            </w:tcBorders>
            <w:shd w:val="clear" w:color="auto" w:fill="auto"/>
            <w:vAlign w:val="bottom"/>
            <w:hideMark/>
          </w:tcPr>
          <w:p w14:paraId="11A49A0B"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363</w:t>
            </w:r>
            <w:r>
              <w:rPr>
                <w:rFonts w:ascii="Arial" w:hAnsi="Arial" w:cs="Arial"/>
                <w:sz w:val="20"/>
                <w:szCs w:val="20"/>
              </w:rPr>
              <w:t>.</w:t>
            </w:r>
            <w:r w:rsidRPr="00D514B7">
              <w:rPr>
                <w:rFonts w:ascii="Arial" w:hAnsi="Arial" w:cs="Arial"/>
                <w:sz w:val="20"/>
                <w:szCs w:val="20"/>
              </w:rPr>
              <w:t xml:space="preserve">6 </w:t>
            </w:r>
          </w:p>
        </w:tc>
        <w:tc>
          <w:tcPr>
            <w:tcW w:w="1418" w:type="dxa"/>
            <w:tcBorders>
              <w:top w:val="nil"/>
              <w:left w:val="nil"/>
              <w:bottom w:val="nil"/>
              <w:right w:val="nil"/>
            </w:tcBorders>
            <w:shd w:val="clear" w:color="auto" w:fill="auto"/>
            <w:vAlign w:val="bottom"/>
            <w:hideMark/>
          </w:tcPr>
          <w:p w14:paraId="72B65A9B" w14:textId="77777777" w:rsidR="0022480B" w:rsidRPr="00B259F9" w:rsidRDefault="0022480B" w:rsidP="00B318B1">
            <w:pPr>
              <w:spacing w:before="40" w:after="40"/>
              <w:ind w:right="234"/>
              <w:jc w:val="right"/>
              <w:rPr>
                <w:rFonts w:ascii="Arial" w:hAnsi="Arial" w:cs="Arial"/>
                <w:sz w:val="20"/>
                <w:szCs w:val="20"/>
              </w:rPr>
            </w:pPr>
            <w:r>
              <w:rPr>
                <w:rFonts w:ascii="Arial" w:hAnsi="Arial" w:cs="Arial"/>
                <w:sz w:val="20"/>
                <w:szCs w:val="20"/>
              </w:rPr>
              <w:t>1,</w:t>
            </w:r>
            <w:r w:rsidRPr="00D514B7">
              <w:rPr>
                <w:rFonts w:ascii="Arial" w:hAnsi="Arial" w:cs="Arial"/>
                <w:sz w:val="20"/>
                <w:szCs w:val="20"/>
              </w:rPr>
              <w:t>429</w:t>
            </w:r>
            <w:r>
              <w:rPr>
                <w:rFonts w:ascii="Arial" w:hAnsi="Arial" w:cs="Arial"/>
                <w:sz w:val="20"/>
                <w:szCs w:val="20"/>
              </w:rPr>
              <w:t>.</w:t>
            </w:r>
            <w:r w:rsidRPr="00D514B7">
              <w:rPr>
                <w:rFonts w:ascii="Arial" w:hAnsi="Arial" w:cs="Arial"/>
                <w:sz w:val="20"/>
                <w:szCs w:val="20"/>
              </w:rPr>
              <w:t xml:space="preserve">3 </w:t>
            </w:r>
          </w:p>
        </w:tc>
        <w:tc>
          <w:tcPr>
            <w:tcW w:w="1147" w:type="dxa"/>
            <w:tcBorders>
              <w:top w:val="nil"/>
              <w:left w:val="nil"/>
              <w:bottom w:val="nil"/>
              <w:right w:val="nil"/>
            </w:tcBorders>
            <w:shd w:val="clear" w:color="auto" w:fill="auto"/>
            <w:vAlign w:val="bottom"/>
            <w:hideMark/>
          </w:tcPr>
          <w:p w14:paraId="58BED881" w14:textId="77777777" w:rsidR="0022480B" w:rsidRPr="00B259F9" w:rsidRDefault="0022480B" w:rsidP="00B318B1">
            <w:pPr>
              <w:spacing w:before="40" w:after="40"/>
              <w:jc w:val="right"/>
              <w:rPr>
                <w:rFonts w:ascii="Arial" w:hAnsi="Arial" w:cs="Arial"/>
                <w:sz w:val="20"/>
                <w:szCs w:val="20"/>
              </w:rPr>
            </w:pPr>
            <w:r w:rsidRPr="00D514B7">
              <w:rPr>
                <w:rFonts w:ascii="Arial" w:hAnsi="Arial" w:cs="Arial"/>
                <w:sz w:val="20"/>
                <w:szCs w:val="20"/>
              </w:rPr>
              <w:t>12</w:t>
            </w:r>
            <w:r>
              <w:rPr>
                <w:rFonts w:ascii="Arial" w:hAnsi="Arial" w:cs="Arial"/>
                <w:sz w:val="20"/>
                <w:szCs w:val="20"/>
              </w:rPr>
              <w:t>.</w:t>
            </w:r>
            <w:r w:rsidRPr="00D514B7">
              <w:rPr>
                <w:rFonts w:ascii="Arial" w:hAnsi="Arial" w:cs="Arial"/>
                <w:sz w:val="20"/>
                <w:szCs w:val="20"/>
              </w:rPr>
              <w:t>4</w:t>
            </w:r>
          </w:p>
        </w:tc>
        <w:tc>
          <w:tcPr>
            <w:tcW w:w="1908" w:type="dxa"/>
            <w:gridSpan w:val="3"/>
            <w:tcBorders>
              <w:top w:val="nil"/>
              <w:left w:val="nil"/>
              <w:bottom w:val="nil"/>
              <w:right w:val="nil"/>
            </w:tcBorders>
            <w:shd w:val="clear" w:color="auto" w:fill="auto"/>
            <w:vAlign w:val="bottom"/>
            <w:hideMark/>
          </w:tcPr>
          <w:p w14:paraId="2C84B1CB" w14:textId="77777777" w:rsidR="0022480B" w:rsidRPr="00B259F9" w:rsidRDefault="0022480B" w:rsidP="00B318B1">
            <w:pPr>
              <w:spacing w:before="40" w:after="40"/>
              <w:ind w:right="569"/>
              <w:jc w:val="right"/>
              <w:rPr>
                <w:rFonts w:ascii="Arial" w:hAnsi="Arial" w:cs="Arial"/>
                <w:sz w:val="20"/>
                <w:szCs w:val="20"/>
              </w:rPr>
            </w:pPr>
            <w:r w:rsidRPr="00D514B7">
              <w:rPr>
                <w:rFonts w:ascii="Arial" w:hAnsi="Arial" w:cs="Arial"/>
                <w:sz w:val="20"/>
                <w:szCs w:val="20"/>
              </w:rPr>
              <w:t>7</w:t>
            </w:r>
            <w:r>
              <w:rPr>
                <w:rFonts w:ascii="Arial" w:hAnsi="Arial" w:cs="Arial"/>
                <w:sz w:val="20"/>
                <w:szCs w:val="20"/>
              </w:rPr>
              <w:t>.</w:t>
            </w:r>
            <w:r w:rsidRPr="00D514B7">
              <w:rPr>
                <w:rFonts w:ascii="Arial" w:hAnsi="Arial" w:cs="Arial"/>
                <w:sz w:val="20"/>
                <w:szCs w:val="20"/>
              </w:rPr>
              <w:t>6</w:t>
            </w:r>
          </w:p>
        </w:tc>
      </w:tr>
      <w:tr w:rsidR="0022480B" w:rsidRPr="00B259F9" w14:paraId="09F4362A" w14:textId="77777777" w:rsidTr="00B318B1">
        <w:trPr>
          <w:cantSplit/>
          <w:jc w:val="center"/>
        </w:trPr>
        <w:tc>
          <w:tcPr>
            <w:tcW w:w="2694" w:type="dxa"/>
            <w:tcBorders>
              <w:top w:val="nil"/>
              <w:left w:val="nil"/>
              <w:bottom w:val="nil"/>
              <w:right w:val="nil"/>
            </w:tcBorders>
            <w:shd w:val="clear" w:color="auto" w:fill="auto"/>
            <w:vAlign w:val="center"/>
            <w:hideMark/>
          </w:tcPr>
          <w:p w14:paraId="5E0F8C05" w14:textId="77777777" w:rsidR="0022480B" w:rsidRPr="00B259F9" w:rsidRDefault="0022480B" w:rsidP="00B318B1">
            <w:pPr>
              <w:spacing w:before="120" w:after="60"/>
              <w:ind w:left="192" w:hanging="16"/>
              <w:rPr>
                <w:rFonts w:ascii="Arial" w:hAnsi="Arial" w:cs="Arial"/>
                <w:color w:val="000000"/>
                <w:sz w:val="20"/>
                <w:szCs w:val="20"/>
              </w:rPr>
            </w:pPr>
            <w:r w:rsidRPr="00B259F9">
              <w:rPr>
                <w:rFonts w:ascii="Arial" w:hAnsi="Arial" w:cs="Arial"/>
                <w:bCs/>
                <w:sz w:val="20"/>
                <w:szCs w:val="20"/>
              </w:rPr>
              <w:t>Accommodation and catering service</w:t>
            </w:r>
          </w:p>
        </w:tc>
        <w:tc>
          <w:tcPr>
            <w:tcW w:w="1275" w:type="dxa"/>
            <w:tcBorders>
              <w:top w:val="nil"/>
              <w:left w:val="nil"/>
              <w:bottom w:val="nil"/>
              <w:right w:val="nil"/>
            </w:tcBorders>
            <w:shd w:val="clear" w:color="auto" w:fill="auto"/>
            <w:vAlign w:val="bottom"/>
            <w:hideMark/>
          </w:tcPr>
          <w:p w14:paraId="157B7B34"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 xml:space="preserve"> 45</w:t>
            </w:r>
            <w:r>
              <w:rPr>
                <w:rFonts w:ascii="Arial" w:hAnsi="Arial" w:cs="Arial"/>
                <w:sz w:val="20"/>
                <w:szCs w:val="20"/>
              </w:rPr>
              <w:t>.</w:t>
            </w:r>
            <w:r w:rsidRPr="00D514B7">
              <w:rPr>
                <w:rFonts w:ascii="Arial" w:hAnsi="Arial" w:cs="Arial"/>
                <w:sz w:val="20"/>
                <w:szCs w:val="20"/>
              </w:rPr>
              <w:t>5</w:t>
            </w:r>
          </w:p>
        </w:tc>
        <w:tc>
          <w:tcPr>
            <w:tcW w:w="1418" w:type="dxa"/>
            <w:tcBorders>
              <w:top w:val="nil"/>
              <w:left w:val="nil"/>
              <w:bottom w:val="nil"/>
              <w:right w:val="nil"/>
            </w:tcBorders>
            <w:shd w:val="clear" w:color="auto" w:fill="auto"/>
            <w:vAlign w:val="bottom"/>
            <w:hideMark/>
          </w:tcPr>
          <w:p w14:paraId="3D323622"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 xml:space="preserve">   17</w:t>
            </w:r>
            <w:r>
              <w:rPr>
                <w:rFonts w:ascii="Arial" w:hAnsi="Arial" w:cs="Arial"/>
                <w:sz w:val="20"/>
                <w:szCs w:val="20"/>
              </w:rPr>
              <w:t>0.9</w:t>
            </w:r>
          </w:p>
        </w:tc>
        <w:tc>
          <w:tcPr>
            <w:tcW w:w="1147" w:type="dxa"/>
            <w:tcBorders>
              <w:top w:val="nil"/>
              <w:left w:val="nil"/>
              <w:bottom w:val="nil"/>
              <w:right w:val="nil"/>
            </w:tcBorders>
            <w:shd w:val="clear" w:color="auto" w:fill="auto"/>
            <w:vAlign w:val="bottom"/>
            <w:hideMark/>
          </w:tcPr>
          <w:p w14:paraId="4A5391B0" w14:textId="77777777" w:rsidR="0022480B" w:rsidRPr="00B259F9" w:rsidRDefault="0022480B" w:rsidP="00B318B1">
            <w:pPr>
              <w:spacing w:before="40" w:after="40"/>
              <w:jc w:val="right"/>
              <w:rPr>
                <w:rFonts w:ascii="Arial" w:hAnsi="Arial" w:cs="Arial"/>
                <w:sz w:val="20"/>
                <w:szCs w:val="20"/>
              </w:rPr>
            </w:pPr>
            <w:r w:rsidRPr="00D514B7">
              <w:rPr>
                <w:rFonts w:ascii="Arial" w:hAnsi="Arial" w:cs="Arial"/>
                <w:sz w:val="20"/>
                <w:szCs w:val="20"/>
              </w:rPr>
              <w:t>14</w:t>
            </w:r>
            <w:r>
              <w:rPr>
                <w:rFonts w:ascii="Arial" w:hAnsi="Arial" w:cs="Arial"/>
                <w:sz w:val="20"/>
                <w:szCs w:val="20"/>
              </w:rPr>
              <w:t>.</w:t>
            </w:r>
            <w:r w:rsidRPr="00D514B7">
              <w:rPr>
                <w:rFonts w:ascii="Arial" w:hAnsi="Arial" w:cs="Arial"/>
                <w:sz w:val="20"/>
                <w:szCs w:val="20"/>
              </w:rPr>
              <w:t>8</w:t>
            </w:r>
          </w:p>
        </w:tc>
        <w:tc>
          <w:tcPr>
            <w:tcW w:w="1908" w:type="dxa"/>
            <w:gridSpan w:val="3"/>
            <w:tcBorders>
              <w:top w:val="nil"/>
              <w:left w:val="nil"/>
              <w:bottom w:val="nil"/>
              <w:right w:val="nil"/>
            </w:tcBorders>
            <w:shd w:val="clear" w:color="auto" w:fill="auto"/>
            <w:vAlign w:val="bottom"/>
            <w:hideMark/>
          </w:tcPr>
          <w:p w14:paraId="0308F6E4" w14:textId="77777777" w:rsidR="0022480B" w:rsidRPr="00B259F9" w:rsidRDefault="0022480B" w:rsidP="00B318B1">
            <w:pPr>
              <w:spacing w:before="40" w:after="40"/>
              <w:ind w:right="569"/>
              <w:jc w:val="right"/>
              <w:rPr>
                <w:rFonts w:ascii="Arial" w:hAnsi="Arial" w:cs="Arial"/>
                <w:sz w:val="20"/>
                <w:szCs w:val="20"/>
              </w:rPr>
            </w:pPr>
            <w:r w:rsidRPr="00D514B7">
              <w:rPr>
                <w:rFonts w:ascii="Arial" w:hAnsi="Arial" w:cs="Arial"/>
                <w:sz w:val="20"/>
                <w:szCs w:val="20"/>
              </w:rPr>
              <w:t>5</w:t>
            </w:r>
            <w:r>
              <w:rPr>
                <w:rFonts w:ascii="Arial" w:hAnsi="Arial" w:cs="Arial"/>
                <w:sz w:val="20"/>
                <w:szCs w:val="20"/>
              </w:rPr>
              <w:t>.</w:t>
            </w:r>
            <w:r w:rsidRPr="00D514B7">
              <w:rPr>
                <w:rFonts w:ascii="Arial" w:hAnsi="Arial" w:cs="Arial"/>
                <w:sz w:val="20"/>
                <w:szCs w:val="20"/>
              </w:rPr>
              <w:t>2</w:t>
            </w:r>
          </w:p>
        </w:tc>
      </w:tr>
      <w:tr w:rsidR="0022480B" w:rsidRPr="00B259F9" w14:paraId="4CF6ECE3" w14:textId="77777777" w:rsidTr="00B318B1">
        <w:trPr>
          <w:cantSplit/>
          <w:jc w:val="center"/>
        </w:trPr>
        <w:tc>
          <w:tcPr>
            <w:tcW w:w="2694" w:type="dxa"/>
            <w:tcBorders>
              <w:top w:val="nil"/>
              <w:left w:val="nil"/>
              <w:bottom w:val="nil"/>
              <w:right w:val="nil"/>
            </w:tcBorders>
            <w:shd w:val="clear" w:color="auto" w:fill="auto"/>
            <w:vAlign w:val="center"/>
            <w:hideMark/>
          </w:tcPr>
          <w:p w14:paraId="78CE989D" w14:textId="77777777" w:rsidR="0022480B" w:rsidRPr="00B259F9" w:rsidRDefault="0022480B" w:rsidP="00B318B1">
            <w:pPr>
              <w:spacing w:before="160" w:after="40"/>
              <w:ind w:firstLine="176"/>
              <w:rPr>
                <w:rFonts w:ascii="Arial" w:hAnsi="Arial" w:cs="Arial"/>
                <w:color w:val="000000"/>
                <w:sz w:val="20"/>
                <w:szCs w:val="20"/>
              </w:rPr>
            </w:pPr>
            <w:r w:rsidRPr="00B259F9">
              <w:rPr>
                <w:rFonts w:ascii="Arial" w:hAnsi="Arial" w:cs="Arial"/>
                <w:bCs/>
                <w:sz w:val="20"/>
                <w:szCs w:val="20"/>
              </w:rPr>
              <w:lastRenderedPageBreak/>
              <w:t>Traveling service</w:t>
            </w:r>
          </w:p>
        </w:tc>
        <w:tc>
          <w:tcPr>
            <w:tcW w:w="1275" w:type="dxa"/>
            <w:tcBorders>
              <w:top w:val="nil"/>
              <w:left w:val="nil"/>
              <w:bottom w:val="nil"/>
              <w:right w:val="nil"/>
            </w:tcBorders>
            <w:shd w:val="clear" w:color="auto" w:fill="auto"/>
            <w:vAlign w:val="bottom"/>
            <w:hideMark/>
          </w:tcPr>
          <w:p w14:paraId="28C1A814"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1</w:t>
            </w:r>
            <w:r>
              <w:rPr>
                <w:rFonts w:ascii="Arial" w:hAnsi="Arial" w:cs="Arial"/>
                <w:sz w:val="20"/>
                <w:szCs w:val="20"/>
              </w:rPr>
              <w:t>.</w:t>
            </w:r>
            <w:r w:rsidRPr="00D514B7">
              <w:rPr>
                <w:rFonts w:ascii="Arial" w:hAnsi="Arial" w:cs="Arial"/>
                <w:sz w:val="20"/>
                <w:szCs w:val="20"/>
              </w:rPr>
              <w:t xml:space="preserve">2 </w:t>
            </w:r>
          </w:p>
        </w:tc>
        <w:tc>
          <w:tcPr>
            <w:tcW w:w="1418" w:type="dxa"/>
            <w:tcBorders>
              <w:top w:val="nil"/>
              <w:left w:val="nil"/>
              <w:bottom w:val="nil"/>
              <w:right w:val="nil"/>
            </w:tcBorders>
            <w:shd w:val="clear" w:color="auto" w:fill="auto"/>
            <w:vAlign w:val="bottom"/>
            <w:hideMark/>
          </w:tcPr>
          <w:p w14:paraId="2859C4EF"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 xml:space="preserve">   4</w:t>
            </w:r>
            <w:r>
              <w:rPr>
                <w:rFonts w:ascii="Arial" w:hAnsi="Arial" w:cs="Arial"/>
                <w:sz w:val="20"/>
                <w:szCs w:val="20"/>
              </w:rPr>
              <w:t>.</w:t>
            </w:r>
            <w:r w:rsidRPr="00D514B7">
              <w:rPr>
                <w:rFonts w:ascii="Arial" w:hAnsi="Arial" w:cs="Arial"/>
                <w:sz w:val="20"/>
                <w:szCs w:val="20"/>
              </w:rPr>
              <w:t xml:space="preserve">3 </w:t>
            </w:r>
          </w:p>
        </w:tc>
        <w:tc>
          <w:tcPr>
            <w:tcW w:w="1147" w:type="dxa"/>
            <w:tcBorders>
              <w:top w:val="nil"/>
              <w:left w:val="nil"/>
              <w:bottom w:val="nil"/>
              <w:right w:val="nil"/>
            </w:tcBorders>
            <w:shd w:val="clear" w:color="auto" w:fill="auto"/>
            <w:vAlign w:val="bottom"/>
            <w:hideMark/>
          </w:tcPr>
          <w:p w14:paraId="16E4CB1C" w14:textId="77777777" w:rsidR="0022480B" w:rsidRPr="00B259F9" w:rsidRDefault="0022480B" w:rsidP="00B318B1">
            <w:pPr>
              <w:spacing w:before="40" w:after="40"/>
              <w:jc w:val="right"/>
              <w:rPr>
                <w:rFonts w:ascii="Arial" w:hAnsi="Arial" w:cs="Arial"/>
                <w:sz w:val="20"/>
                <w:szCs w:val="20"/>
              </w:rPr>
            </w:pPr>
            <w:r w:rsidRPr="00D514B7">
              <w:rPr>
                <w:rFonts w:ascii="Arial" w:hAnsi="Arial" w:cs="Arial"/>
                <w:sz w:val="20"/>
                <w:szCs w:val="20"/>
              </w:rPr>
              <w:t>49</w:t>
            </w:r>
            <w:r>
              <w:rPr>
                <w:rFonts w:ascii="Arial" w:hAnsi="Arial" w:cs="Arial"/>
                <w:sz w:val="20"/>
                <w:szCs w:val="20"/>
              </w:rPr>
              <w:t>.</w:t>
            </w:r>
            <w:r w:rsidRPr="00D514B7">
              <w:rPr>
                <w:rFonts w:ascii="Arial" w:hAnsi="Arial" w:cs="Arial"/>
                <w:sz w:val="20"/>
                <w:szCs w:val="20"/>
              </w:rPr>
              <w:t>4</w:t>
            </w:r>
          </w:p>
        </w:tc>
        <w:tc>
          <w:tcPr>
            <w:tcW w:w="1908" w:type="dxa"/>
            <w:gridSpan w:val="3"/>
            <w:tcBorders>
              <w:top w:val="nil"/>
              <w:left w:val="nil"/>
              <w:bottom w:val="nil"/>
              <w:right w:val="nil"/>
            </w:tcBorders>
            <w:shd w:val="clear" w:color="auto" w:fill="auto"/>
            <w:vAlign w:val="bottom"/>
            <w:hideMark/>
          </w:tcPr>
          <w:p w14:paraId="6250B32F" w14:textId="77777777" w:rsidR="0022480B" w:rsidRPr="00B259F9" w:rsidRDefault="0022480B" w:rsidP="00B318B1">
            <w:pPr>
              <w:spacing w:before="40" w:after="40"/>
              <w:ind w:right="569"/>
              <w:jc w:val="right"/>
              <w:rPr>
                <w:rFonts w:ascii="Arial" w:hAnsi="Arial" w:cs="Arial"/>
                <w:sz w:val="20"/>
                <w:szCs w:val="20"/>
              </w:rPr>
            </w:pPr>
            <w:r w:rsidRPr="00D514B7">
              <w:rPr>
                <w:rFonts w:ascii="Arial" w:hAnsi="Arial" w:cs="Arial"/>
                <w:sz w:val="20"/>
                <w:szCs w:val="20"/>
              </w:rPr>
              <w:t>10</w:t>
            </w:r>
            <w:r>
              <w:rPr>
                <w:rFonts w:ascii="Arial" w:hAnsi="Arial" w:cs="Arial"/>
                <w:sz w:val="20"/>
                <w:szCs w:val="20"/>
              </w:rPr>
              <w:t>.</w:t>
            </w:r>
            <w:r w:rsidRPr="00D514B7">
              <w:rPr>
                <w:rFonts w:ascii="Arial" w:hAnsi="Arial" w:cs="Arial"/>
                <w:sz w:val="20"/>
                <w:szCs w:val="20"/>
              </w:rPr>
              <w:t>5</w:t>
            </w:r>
          </w:p>
        </w:tc>
      </w:tr>
      <w:tr w:rsidR="0022480B" w:rsidRPr="00B259F9" w14:paraId="183DF41C" w14:textId="77777777" w:rsidTr="00B318B1">
        <w:trPr>
          <w:cantSplit/>
          <w:jc w:val="center"/>
        </w:trPr>
        <w:tc>
          <w:tcPr>
            <w:tcW w:w="2694" w:type="dxa"/>
            <w:tcBorders>
              <w:top w:val="nil"/>
              <w:left w:val="nil"/>
              <w:bottom w:val="single" w:sz="8" w:space="0" w:color="auto"/>
              <w:right w:val="nil"/>
            </w:tcBorders>
            <w:shd w:val="clear" w:color="auto" w:fill="auto"/>
            <w:vAlign w:val="center"/>
            <w:hideMark/>
          </w:tcPr>
          <w:p w14:paraId="37EAA000" w14:textId="77777777" w:rsidR="0022480B" w:rsidRPr="00B259F9" w:rsidRDefault="0022480B" w:rsidP="00B318B1">
            <w:pPr>
              <w:spacing w:before="160" w:after="40"/>
              <w:ind w:firstLine="176"/>
              <w:rPr>
                <w:rFonts w:ascii="Arial" w:hAnsi="Arial" w:cs="Arial"/>
                <w:color w:val="000000"/>
                <w:sz w:val="20"/>
                <w:szCs w:val="20"/>
              </w:rPr>
            </w:pPr>
            <w:r w:rsidRPr="00B259F9">
              <w:rPr>
                <w:rFonts w:ascii="Arial" w:hAnsi="Arial" w:cs="Arial"/>
                <w:bCs/>
                <w:sz w:val="20"/>
                <w:szCs w:val="20"/>
              </w:rPr>
              <w:t>Other services</w:t>
            </w:r>
          </w:p>
        </w:tc>
        <w:tc>
          <w:tcPr>
            <w:tcW w:w="1275" w:type="dxa"/>
            <w:tcBorders>
              <w:top w:val="nil"/>
              <w:left w:val="nil"/>
              <w:bottom w:val="single" w:sz="8" w:space="0" w:color="auto"/>
              <w:right w:val="nil"/>
            </w:tcBorders>
            <w:shd w:val="clear" w:color="auto" w:fill="auto"/>
            <w:vAlign w:val="bottom"/>
            <w:hideMark/>
          </w:tcPr>
          <w:p w14:paraId="3F08EA2E"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 xml:space="preserve">       45</w:t>
            </w:r>
            <w:r>
              <w:rPr>
                <w:rFonts w:ascii="Arial" w:hAnsi="Arial" w:cs="Arial"/>
                <w:sz w:val="20"/>
                <w:szCs w:val="20"/>
              </w:rPr>
              <w:t>.</w:t>
            </w:r>
            <w:r w:rsidRPr="00D514B7">
              <w:rPr>
                <w:rFonts w:ascii="Arial" w:hAnsi="Arial" w:cs="Arial"/>
                <w:sz w:val="20"/>
                <w:szCs w:val="20"/>
              </w:rPr>
              <w:t xml:space="preserve">2 </w:t>
            </w:r>
          </w:p>
        </w:tc>
        <w:tc>
          <w:tcPr>
            <w:tcW w:w="1418" w:type="dxa"/>
            <w:tcBorders>
              <w:top w:val="nil"/>
              <w:left w:val="nil"/>
              <w:bottom w:val="single" w:sz="8" w:space="0" w:color="auto"/>
              <w:right w:val="nil"/>
            </w:tcBorders>
            <w:shd w:val="clear" w:color="auto" w:fill="auto"/>
            <w:vAlign w:val="bottom"/>
            <w:hideMark/>
          </w:tcPr>
          <w:p w14:paraId="540CB9CE" w14:textId="77777777" w:rsidR="0022480B" w:rsidRPr="00B259F9" w:rsidRDefault="0022480B" w:rsidP="00B318B1">
            <w:pPr>
              <w:spacing w:before="40" w:after="40"/>
              <w:ind w:right="234"/>
              <w:jc w:val="right"/>
              <w:rPr>
                <w:rFonts w:ascii="Arial" w:hAnsi="Arial" w:cs="Arial"/>
                <w:sz w:val="20"/>
                <w:szCs w:val="20"/>
              </w:rPr>
            </w:pPr>
            <w:r w:rsidRPr="00D514B7">
              <w:rPr>
                <w:rFonts w:ascii="Arial" w:hAnsi="Arial" w:cs="Arial"/>
                <w:sz w:val="20"/>
                <w:szCs w:val="20"/>
              </w:rPr>
              <w:t xml:space="preserve">    172</w:t>
            </w:r>
            <w:r>
              <w:rPr>
                <w:rFonts w:ascii="Arial" w:hAnsi="Arial" w:cs="Arial"/>
                <w:sz w:val="20"/>
                <w:szCs w:val="20"/>
              </w:rPr>
              <w:t>.</w:t>
            </w:r>
            <w:r w:rsidRPr="00D514B7">
              <w:rPr>
                <w:rFonts w:ascii="Arial" w:hAnsi="Arial" w:cs="Arial"/>
                <w:sz w:val="20"/>
                <w:szCs w:val="20"/>
              </w:rPr>
              <w:t xml:space="preserve">9 </w:t>
            </w:r>
          </w:p>
        </w:tc>
        <w:tc>
          <w:tcPr>
            <w:tcW w:w="1147" w:type="dxa"/>
            <w:tcBorders>
              <w:top w:val="nil"/>
              <w:left w:val="nil"/>
              <w:bottom w:val="single" w:sz="8" w:space="0" w:color="auto"/>
              <w:right w:val="nil"/>
            </w:tcBorders>
            <w:shd w:val="clear" w:color="auto" w:fill="auto"/>
            <w:vAlign w:val="bottom"/>
            <w:hideMark/>
          </w:tcPr>
          <w:p w14:paraId="0740FE8A" w14:textId="77777777" w:rsidR="0022480B" w:rsidRPr="00B259F9" w:rsidRDefault="0022480B" w:rsidP="00B318B1">
            <w:pPr>
              <w:spacing w:before="40" w:after="40"/>
              <w:jc w:val="right"/>
              <w:rPr>
                <w:rFonts w:ascii="Arial" w:hAnsi="Arial" w:cs="Arial"/>
                <w:sz w:val="20"/>
                <w:szCs w:val="20"/>
              </w:rPr>
            </w:pPr>
            <w:r w:rsidRPr="00D514B7">
              <w:rPr>
                <w:rFonts w:ascii="Arial" w:hAnsi="Arial" w:cs="Arial"/>
                <w:sz w:val="20"/>
                <w:szCs w:val="20"/>
              </w:rPr>
              <w:t>6</w:t>
            </w:r>
            <w:r>
              <w:rPr>
                <w:rFonts w:ascii="Arial" w:hAnsi="Arial" w:cs="Arial"/>
                <w:sz w:val="20"/>
                <w:szCs w:val="20"/>
              </w:rPr>
              <w:t>.</w:t>
            </w:r>
            <w:r w:rsidRPr="00D514B7">
              <w:rPr>
                <w:rFonts w:ascii="Arial" w:hAnsi="Arial" w:cs="Arial"/>
                <w:sz w:val="20"/>
                <w:szCs w:val="20"/>
              </w:rPr>
              <w:t>7</w:t>
            </w:r>
          </w:p>
        </w:tc>
        <w:tc>
          <w:tcPr>
            <w:tcW w:w="1908" w:type="dxa"/>
            <w:gridSpan w:val="3"/>
            <w:tcBorders>
              <w:top w:val="nil"/>
              <w:left w:val="nil"/>
              <w:bottom w:val="single" w:sz="8" w:space="0" w:color="auto"/>
              <w:right w:val="nil"/>
            </w:tcBorders>
            <w:shd w:val="clear" w:color="auto" w:fill="auto"/>
            <w:vAlign w:val="bottom"/>
            <w:hideMark/>
          </w:tcPr>
          <w:p w14:paraId="63719A6B" w14:textId="77777777" w:rsidR="0022480B" w:rsidRPr="00B259F9" w:rsidRDefault="0022480B" w:rsidP="00B318B1">
            <w:pPr>
              <w:spacing w:before="40" w:after="40"/>
              <w:ind w:right="569"/>
              <w:jc w:val="right"/>
              <w:rPr>
                <w:rFonts w:ascii="Arial" w:hAnsi="Arial" w:cs="Arial"/>
                <w:sz w:val="20"/>
                <w:szCs w:val="20"/>
              </w:rPr>
            </w:pPr>
            <w:r w:rsidRPr="00D514B7">
              <w:rPr>
                <w:rFonts w:ascii="Arial" w:hAnsi="Arial" w:cs="Arial"/>
                <w:sz w:val="20"/>
                <w:szCs w:val="20"/>
              </w:rPr>
              <w:t>-0</w:t>
            </w:r>
            <w:r>
              <w:rPr>
                <w:rFonts w:ascii="Arial" w:hAnsi="Arial" w:cs="Arial"/>
                <w:sz w:val="20"/>
                <w:szCs w:val="20"/>
              </w:rPr>
              <w:t>.</w:t>
            </w:r>
            <w:r w:rsidRPr="00D514B7">
              <w:rPr>
                <w:rFonts w:ascii="Arial" w:hAnsi="Arial" w:cs="Arial"/>
                <w:sz w:val="20"/>
                <w:szCs w:val="20"/>
              </w:rPr>
              <w:t>6</w:t>
            </w:r>
          </w:p>
        </w:tc>
      </w:tr>
    </w:tbl>
    <w:p w14:paraId="6EEC57C7" w14:textId="77777777" w:rsidR="00E72A61" w:rsidRPr="00FA6831" w:rsidRDefault="00E72A61" w:rsidP="00E72A61">
      <w:pPr>
        <w:tabs>
          <w:tab w:val="left" w:pos="2552"/>
          <w:tab w:val="left" w:pos="2835"/>
          <w:tab w:val="left" w:pos="3402"/>
        </w:tabs>
        <w:spacing w:before="40" w:after="40" w:line="247" w:lineRule="auto"/>
        <w:ind w:firstLine="567"/>
        <w:jc w:val="both"/>
        <w:rPr>
          <w:rFonts w:ascii="Times New Roman" w:hAnsi="Times New Roman" w:cs="Times New Roman"/>
          <w:bCs/>
          <w:spacing w:val="2"/>
          <w:sz w:val="8"/>
          <w:szCs w:val="16"/>
        </w:rPr>
      </w:pPr>
    </w:p>
    <w:p w14:paraId="4EF671B8" w14:textId="774ADE8E" w:rsidR="00E71BB2" w:rsidRDefault="00EF029E" w:rsidP="00EF029E">
      <w:pPr>
        <w:spacing w:before="40" w:after="40" w:line="252" w:lineRule="auto"/>
        <w:jc w:val="both"/>
        <w:rPr>
          <w:rFonts w:ascii="Times New Roman" w:hAnsi="Times New Roman" w:cs="Times New Roman"/>
          <w:sz w:val="28"/>
          <w:szCs w:val="28"/>
          <w:lang w:val="vi-VN"/>
        </w:rPr>
      </w:pPr>
      <w:r w:rsidRPr="00EF029E">
        <w:rPr>
          <w:rFonts w:ascii="Times New Roman" w:hAnsi="Times New Roman" w:cs="Times New Roman"/>
          <w:sz w:val="28"/>
          <w:szCs w:val="28"/>
          <w:lang w:val="vi-VN"/>
        </w:rPr>
        <w:t>Although the total retail sales of consumer goods and services in the first 4 months of 2022 were higher, the growth rate was still lower than in the same period of the years before the epidemic happened.</w:t>
      </w:r>
    </w:p>
    <w:p w14:paraId="0E48F090" w14:textId="77777777" w:rsidR="00EF029E" w:rsidRPr="00E71BB2" w:rsidRDefault="00EF029E" w:rsidP="00E72A61">
      <w:pPr>
        <w:spacing w:before="40" w:after="40" w:line="252" w:lineRule="auto"/>
        <w:jc w:val="center"/>
        <w:rPr>
          <w:rFonts w:ascii="Arial" w:hAnsi="Arial" w:cs="Arial"/>
          <w:b/>
          <w:bCs/>
          <w:sz w:val="16"/>
          <w:szCs w:val="24"/>
          <w:lang w:val="it-IT"/>
        </w:rPr>
      </w:pPr>
    </w:p>
    <w:p w14:paraId="1F6AED23" w14:textId="77777777" w:rsidR="00471E33" w:rsidRPr="000C33E7" w:rsidRDefault="00471E33" w:rsidP="00471E33">
      <w:pPr>
        <w:spacing w:before="120" w:after="120"/>
        <w:jc w:val="center"/>
        <w:rPr>
          <w:rFonts w:ascii="Arial" w:hAnsi="Arial" w:cs="Arial"/>
          <w:b/>
          <w:bCs/>
          <w:lang w:val="it-IT"/>
        </w:rPr>
      </w:pPr>
      <w:r w:rsidRPr="006213F0">
        <w:rPr>
          <w:rFonts w:ascii="Arial" w:hAnsi="Arial" w:cs="Arial"/>
          <w:b/>
          <w:sz w:val="24"/>
          <w:szCs w:val="24"/>
        </w:rPr>
        <w:t>Figure</w:t>
      </w:r>
      <w:r w:rsidRPr="000C33E7">
        <w:rPr>
          <w:rFonts w:ascii="Arial" w:hAnsi="Arial" w:cs="Arial"/>
          <w:b/>
          <w:bCs/>
          <w:lang w:val="it-IT"/>
        </w:rPr>
        <w:t xml:space="preserve"> </w:t>
      </w:r>
      <w:r>
        <w:rPr>
          <w:rFonts w:ascii="Arial" w:hAnsi="Arial" w:cs="Arial"/>
          <w:b/>
          <w:bCs/>
          <w:lang w:val="it-IT"/>
        </w:rPr>
        <w:t>11</w:t>
      </w:r>
      <w:r w:rsidRPr="000C33E7">
        <w:rPr>
          <w:rFonts w:ascii="Arial" w:hAnsi="Arial" w:cs="Arial"/>
          <w:b/>
          <w:bCs/>
          <w:lang w:val="it-IT"/>
        </w:rPr>
        <w:t xml:space="preserve">. </w:t>
      </w:r>
      <w:r w:rsidRPr="000C33E7">
        <w:rPr>
          <w:rStyle w:val="y2iqfc"/>
          <w:rFonts w:ascii="Arial" w:eastAsia="Calibri" w:hAnsi="Arial" w:cs="Arial"/>
          <w:b/>
          <w:color w:val="202124"/>
        </w:rPr>
        <w:t xml:space="preserve">Total retail sales of consumer goods and services </w:t>
      </w:r>
      <w:r>
        <w:rPr>
          <w:rStyle w:val="y2iqfc"/>
          <w:rFonts w:ascii="Arial" w:eastAsia="Calibri" w:hAnsi="Arial" w:cs="Arial"/>
          <w:b/>
          <w:color w:val="202124"/>
        </w:rPr>
        <w:br/>
      </w:r>
      <w:r w:rsidRPr="000C33E7">
        <w:rPr>
          <w:rStyle w:val="y2iqfc"/>
          <w:rFonts w:ascii="Arial" w:eastAsia="Calibri" w:hAnsi="Arial" w:cs="Arial"/>
          <w:b/>
          <w:color w:val="202124"/>
        </w:rPr>
        <w:t xml:space="preserve">in the first </w:t>
      </w:r>
      <w:r>
        <w:rPr>
          <w:rStyle w:val="y2iqfc"/>
          <w:rFonts w:ascii="Arial" w:eastAsia="Calibri" w:hAnsi="Arial" w:cs="Arial"/>
          <w:b/>
          <w:color w:val="202124"/>
        </w:rPr>
        <w:t>4 months</w:t>
      </w:r>
      <w:r w:rsidRPr="000C33E7">
        <w:rPr>
          <w:rStyle w:val="y2iqfc"/>
          <w:rFonts w:ascii="Arial" w:eastAsia="Calibri" w:hAnsi="Arial" w:cs="Arial"/>
          <w:b/>
          <w:color w:val="202124"/>
        </w:rPr>
        <w:t xml:space="preserve"> from </w:t>
      </w:r>
      <w:r w:rsidRPr="000C33E7">
        <w:rPr>
          <w:rFonts w:ascii="Arial" w:hAnsi="Arial" w:cs="Arial"/>
          <w:b/>
          <w:bCs/>
          <w:lang w:val="it-IT"/>
        </w:rPr>
        <w:t>2018-2022</w:t>
      </w:r>
    </w:p>
    <w:p w14:paraId="21292516" w14:textId="1A70F822" w:rsidR="00E72A61" w:rsidRDefault="00824AED" w:rsidP="00E72A61">
      <w:pPr>
        <w:spacing w:before="40" w:after="40" w:line="252" w:lineRule="auto"/>
        <w:jc w:val="center"/>
        <w:rPr>
          <w:rFonts w:ascii="Arial" w:hAnsi="Arial" w:cs="Arial"/>
          <w:b/>
          <w:bCs/>
          <w:sz w:val="24"/>
          <w:szCs w:val="24"/>
          <w:lang w:val="it-IT"/>
        </w:rPr>
      </w:pPr>
      <w:r>
        <w:rPr>
          <w:noProof/>
        </w:rPr>
        <w:drawing>
          <wp:inline distT="0" distB="0" distL="0" distR="0" wp14:anchorId="7AEC01DF" wp14:editId="084D86D1">
            <wp:extent cx="5640779" cy="3009900"/>
            <wp:effectExtent l="0" t="0" r="0" b="0"/>
            <wp:docPr id="12" name="Chart 1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807124" w14:textId="6922ACC8" w:rsidR="00E72A61" w:rsidRPr="00211930" w:rsidRDefault="00E72A61" w:rsidP="00E72A61">
      <w:pPr>
        <w:spacing w:before="40" w:after="40" w:line="252" w:lineRule="auto"/>
        <w:jc w:val="center"/>
        <w:rPr>
          <w:rFonts w:ascii="Times New Roman" w:hAnsi="Times New Roman" w:cs="Times New Roman"/>
          <w:b/>
          <w:bCs/>
          <w:sz w:val="28"/>
          <w:szCs w:val="28"/>
          <w:lang w:val="it-IT"/>
        </w:rPr>
      </w:pPr>
    </w:p>
    <w:p w14:paraId="54815C1A" w14:textId="77777777" w:rsidR="00E72A61" w:rsidRPr="00E72A61" w:rsidRDefault="00E72A61" w:rsidP="00E72A61">
      <w:pPr>
        <w:pStyle w:val="ListParagraph"/>
        <w:spacing w:before="40" w:after="40"/>
        <w:ind w:left="0" w:firstLine="567"/>
        <w:jc w:val="both"/>
        <w:rPr>
          <w:rFonts w:ascii="Times New Roman" w:hAnsi="Times New Roman" w:cs="Times New Roman"/>
          <w:bCs/>
          <w:i/>
          <w:sz w:val="18"/>
          <w:szCs w:val="28"/>
        </w:rPr>
      </w:pPr>
    </w:p>
    <w:p w14:paraId="0726454B" w14:textId="5A472CFB" w:rsidR="00AE3D67" w:rsidRPr="00AE3D67" w:rsidRDefault="00AE3D67" w:rsidP="00AE3D67">
      <w:pPr>
        <w:spacing w:before="120" w:after="120"/>
        <w:ind w:firstLine="567"/>
        <w:jc w:val="both"/>
        <w:rPr>
          <w:rFonts w:ascii="Times New Roman" w:hAnsi="Times New Roman" w:cs="Times New Roman"/>
          <w:color w:val="202124"/>
          <w:sz w:val="28"/>
          <w:szCs w:val="28"/>
          <w:lang w:val="en-US"/>
        </w:rPr>
      </w:pPr>
      <w:r w:rsidRPr="00AE3D67">
        <w:rPr>
          <w:rFonts w:ascii="Times New Roman" w:hAnsi="Times New Roman" w:cs="Times New Roman"/>
          <w:i/>
          <w:sz w:val="28"/>
          <w:szCs w:val="28"/>
          <w:lang w:val="en-US"/>
        </w:rPr>
        <w:t>Retail sales of goods</w:t>
      </w:r>
      <w:r w:rsidRPr="00AE3D67">
        <w:rPr>
          <w:rFonts w:ascii="Times New Roman" w:hAnsi="Times New Roman" w:cs="Times New Roman"/>
          <w:sz w:val="28"/>
          <w:szCs w:val="28"/>
          <w:lang w:val="en-US"/>
        </w:rPr>
        <w:t xml:space="preserve"> in the first 4 months of 2022 increased by 7.6% over the same period last year, of which the group of </w:t>
      </w:r>
      <w:r w:rsidRPr="00AE3D67">
        <w:rPr>
          <w:rFonts w:ascii="Times New Roman" w:hAnsi="Times New Roman" w:cs="Times New Roman"/>
          <w:spacing w:val="-2"/>
          <w:sz w:val="28"/>
          <w:szCs w:val="28"/>
          <w:lang w:val="en-US"/>
        </w:rPr>
        <w:t>food and foodstuffs</w:t>
      </w:r>
      <w:r w:rsidRPr="00AE3D67">
        <w:rPr>
          <w:rFonts w:ascii="Times New Roman" w:hAnsi="Times New Roman" w:cs="Times New Roman"/>
          <w:sz w:val="28"/>
          <w:szCs w:val="28"/>
          <w:lang w:val="en-US"/>
        </w:rPr>
        <w:t xml:space="preserve"> increased by 13.2%; cultural and educational products increased by 11.5%; </w:t>
      </w:r>
      <w:r w:rsidRPr="00AE3D67">
        <w:rPr>
          <w:rFonts w:ascii="Times New Roman" w:hAnsi="Times New Roman" w:cs="Times New Roman"/>
          <w:bCs/>
          <w:spacing w:val="-2"/>
          <w:sz w:val="28"/>
          <w:szCs w:val="28"/>
          <w:lang w:val="en-US"/>
        </w:rPr>
        <w:t xml:space="preserve">vehicles </w:t>
      </w:r>
      <w:r w:rsidRPr="00AE3D67">
        <w:rPr>
          <w:rFonts w:ascii="Times New Roman" w:hAnsi="Times New Roman" w:cs="Times New Roman"/>
          <w:sz w:val="28"/>
          <w:szCs w:val="28"/>
          <w:lang w:val="en-US"/>
        </w:rPr>
        <w:t xml:space="preserve">decreased by 0.01%; </w:t>
      </w:r>
      <w:r w:rsidRPr="00AE3D67">
        <w:rPr>
          <w:rFonts w:ascii="Times New Roman" w:hAnsi="Times New Roman" w:cs="Times New Roman"/>
          <w:bCs/>
          <w:spacing w:val="-2"/>
          <w:sz w:val="28"/>
          <w:szCs w:val="28"/>
          <w:lang w:val="en-US"/>
        </w:rPr>
        <w:t>garments</w:t>
      </w:r>
      <w:r w:rsidRPr="00AE3D67">
        <w:rPr>
          <w:rFonts w:ascii="Times New Roman" w:hAnsi="Times New Roman" w:cs="Times New Roman"/>
          <w:sz w:val="28"/>
          <w:szCs w:val="28"/>
          <w:lang w:val="en-US"/>
        </w:rPr>
        <w:t xml:space="preserve"> down 3.5%; household appliances, tools, and equipment decreased by 4.6%. Retail sales of goods in the first 4 months of the year compared with the same period last year </w:t>
      </w:r>
      <w:r w:rsidR="003774AC">
        <w:rPr>
          <w:rFonts w:ascii="Times New Roman" w:hAnsi="Times New Roman" w:cs="Times New Roman"/>
          <w:sz w:val="28"/>
          <w:szCs w:val="28"/>
          <w:lang w:val="en-US"/>
        </w:rPr>
        <w:t>in</w:t>
      </w:r>
      <w:r w:rsidRPr="00AE3D67">
        <w:rPr>
          <w:rFonts w:ascii="Times New Roman" w:hAnsi="Times New Roman" w:cs="Times New Roman"/>
          <w:sz w:val="28"/>
          <w:szCs w:val="28"/>
          <w:lang w:val="en-US"/>
        </w:rPr>
        <w:t xml:space="preserve"> some localities: </w:t>
      </w:r>
      <w:r w:rsidRPr="00AE3D67">
        <w:rPr>
          <w:rFonts w:ascii="Times New Roman" w:hAnsi="Times New Roman" w:cs="Times New Roman"/>
          <w:color w:val="202124"/>
          <w:sz w:val="28"/>
          <w:szCs w:val="28"/>
          <w:lang w:val="en-US"/>
        </w:rPr>
        <w:t xml:space="preserve">Binh Duong increased </w:t>
      </w:r>
      <w:r w:rsidR="003774AC">
        <w:rPr>
          <w:rFonts w:ascii="Times New Roman" w:hAnsi="Times New Roman" w:cs="Times New Roman"/>
          <w:color w:val="202124"/>
          <w:sz w:val="28"/>
          <w:szCs w:val="28"/>
          <w:lang w:val="en-US"/>
        </w:rPr>
        <w:t xml:space="preserve">by </w:t>
      </w:r>
      <w:r w:rsidRPr="00AE3D67">
        <w:rPr>
          <w:rFonts w:ascii="Times New Roman" w:hAnsi="Times New Roman" w:cs="Times New Roman"/>
          <w:color w:val="202124"/>
          <w:sz w:val="28"/>
          <w:szCs w:val="28"/>
          <w:lang w:val="en-US"/>
        </w:rPr>
        <w:t>12.2%; Quang Ninh increased by 11.9%; Can Tho increased by 9.4%; Hai Phong increased by 9.3%; Ba Ria - Vung Tau increased by 8.5%; Dong Nai increased by 7.9%; Hanoi increased by 6.4%; Khanh Hoa increased by 4.5%; Ho Chi Minh City increased by 3.2%, Da Nang increased by 2.8%.</w:t>
      </w:r>
    </w:p>
    <w:p w14:paraId="4B9444A9" w14:textId="77777777" w:rsidR="00504AB5" w:rsidRPr="00504AB5" w:rsidRDefault="00504AB5" w:rsidP="00504AB5">
      <w:pPr>
        <w:spacing w:before="120" w:after="120"/>
        <w:ind w:firstLine="567"/>
        <w:jc w:val="both"/>
        <w:rPr>
          <w:rFonts w:ascii="Times New Roman" w:hAnsi="Times New Roman" w:cs="Times New Roman"/>
          <w:color w:val="202124"/>
          <w:sz w:val="28"/>
          <w:szCs w:val="28"/>
          <w:lang w:val="en-US"/>
        </w:rPr>
      </w:pPr>
      <w:r w:rsidRPr="00504AB5">
        <w:rPr>
          <w:rFonts w:ascii="Times New Roman" w:hAnsi="Times New Roman" w:cs="Times New Roman"/>
          <w:i/>
          <w:sz w:val="28"/>
          <w:szCs w:val="28"/>
          <w:lang w:val="nl-NL"/>
        </w:rPr>
        <w:t xml:space="preserve">Revenue from accommodation and food services </w:t>
      </w:r>
      <w:r w:rsidRPr="00504AB5">
        <w:rPr>
          <w:rFonts w:ascii="Times New Roman" w:hAnsi="Times New Roman" w:cs="Times New Roman"/>
          <w:color w:val="202124"/>
          <w:sz w:val="28"/>
          <w:szCs w:val="28"/>
          <w:lang w:val="en-US"/>
        </w:rPr>
        <w:t xml:space="preserve">in the first 4 months of 2022 increased by 5.2% over the same period last year, of which the revenue of some localities increased/decreased as follows: Phu Yen increased by 22.5%; Khanh Hoa increased by 20.5%; Dong Nai increased by 19.3%; Quang Ninh increased by 14.4%; Can Tho increased by 12.1%; Hai Phong increased by </w:t>
      </w:r>
      <w:r w:rsidRPr="00504AB5">
        <w:rPr>
          <w:rFonts w:ascii="Times New Roman" w:hAnsi="Times New Roman" w:cs="Times New Roman"/>
          <w:color w:val="202124"/>
          <w:sz w:val="28"/>
          <w:szCs w:val="28"/>
          <w:lang w:val="en-US"/>
        </w:rPr>
        <w:lastRenderedPageBreak/>
        <w:t>5.7%; Hanoi increased by 1.7%; Ho Chi Minh City decreased by 9.7%; Long An down 14.6%, Tra Vinh down 15.9%, Da Nang down 18.2%; Tien Giang fell 30.1%.</w:t>
      </w:r>
    </w:p>
    <w:p w14:paraId="17CCA1FC" w14:textId="60E3082C" w:rsidR="00CE4C4C" w:rsidRPr="00E63595" w:rsidRDefault="00CE4C4C" w:rsidP="00CE4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y2iqfc"/>
          <w:rFonts w:ascii="Times New Roman" w:eastAsia="Calibri" w:hAnsi="Times New Roman" w:cs="Times New Roman"/>
          <w:sz w:val="28"/>
          <w:szCs w:val="28"/>
        </w:rPr>
      </w:pPr>
      <w:bookmarkStart w:id="0" w:name="_Hlk89176061"/>
      <w:bookmarkStart w:id="1" w:name="_Hlk54593811"/>
      <w:r w:rsidRPr="00E63595">
        <w:rPr>
          <w:rStyle w:val="y2iqfc"/>
          <w:rFonts w:ascii="Times New Roman" w:eastAsia="Calibri" w:hAnsi="Times New Roman" w:cs="Times New Roman"/>
          <w:i/>
          <w:iCs/>
          <w:color w:val="202124"/>
          <w:sz w:val="28"/>
          <w:szCs w:val="28"/>
        </w:rPr>
        <w:t>Traveling and tourism revenue</w:t>
      </w:r>
      <w:r>
        <w:rPr>
          <w:rStyle w:val="y2iqfc"/>
          <w:rFonts w:ascii="Times New Roman" w:eastAsia="Calibri" w:hAnsi="Times New Roman" w:cs="Times New Roman"/>
          <w:i/>
          <w:iCs/>
          <w:color w:val="202124"/>
          <w:sz w:val="28"/>
          <w:szCs w:val="28"/>
        </w:rPr>
        <w:t xml:space="preserve"> </w:t>
      </w:r>
      <w:r w:rsidRPr="00E63595">
        <w:rPr>
          <w:rStyle w:val="y2iqfc"/>
          <w:rFonts w:ascii="Times New Roman" w:eastAsia="Calibri" w:hAnsi="Times New Roman" w:cs="Times New Roman"/>
          <w:color w:val="202124"/>
          <w:sz w:val="28"/>
          <w:szCs w:val="28"/>
        </w:rPr>
        <w:t xml:space="preserve">in the first 4 months of 2022 increased by 10.5% over the same period last year because Vietnam opened its doors to tourism </w:t>
      </w:r>
      <w:r w:rsidR="003774AC">
        <w:rPr>
          <w:rStyle w:val="y2iqfc"/>
          <w:rFonts w:ascii="Times New Roman" w:eastAsia="Calibri" w:hAnsi="Times New Roman" w:cs="Times New Roman"/>
          <w:color w:val="202124"/>
          <w:sz w:val="28"/>
          <w:szCs w:val="28"/>
        </w:rPr>
        <w:t>on</w:t>
      </w:r>
      <w:r w:rsidRPr="00E63595">
        <w:rPr>
          <w:rStyle w:val="y2iqfc"/>
          <w:rFonts w:ascii="Times New Roman" w:eastAsia="Calibri" w:hAnsi="Times New Roman" w:cs="Times New Roman"/>
          <w:color w:val="202124"/>
          <w:sz w:val="28"/>
          <w:szCs w:val="28"/>
        </w:rPr>
        <w:t xml:space="preserve"> March 15, 2022 and April ha</w:t>
      </w:r>
      <w:r>
        <w:rPr>
          <w:rStyle w:val="y2iqfc"/>
          <w:rFonts w:ascii="Times New Roman" w:eastAsia="Calibri" w:hAnsi="Times New Roman" w:cs="Times New Roman"/>
          <w:color w:val="202124"/>
          <w:sz w:val="28"/>
          <w:szCs w:val="28"/>
        </w:rPr>
        <w:t>d</w:t>
      </w:r>
      <w:r w:rsidRPr="00E63595">
        <w:rPr>
          <w:rStyle w:val="y2iqfc"/>
          <w:rFonts w:ascii="Times New Roman" w:eastAsia="Calibri" w:hAnsi="Times New Roman" w:cs="Times New Roman"/>
          <w:color w:val="202124"/>
          <w:sz w:val="28"/>
          <w:szCs w:val="28"/>
        </w:rPr>
        <w:t xml:space="preserve"> public holidays, so tourism demand increase</w:t>
      </w:r>
      <w:r>
        <w:rPr>
          <w:rStyle w:val="y2iqfc"/>
          <w:rFonts w:ascii="Times New Roman" w:eastAsia="Calibri" w:hAnsi="Times New Roman" w:cs="Times New Roman"/>
          <w:color w:val="202124"/>
          <w:sz w:val="28"/>
          <w:szCs w:val="28"/>
        </w:rPr>
        <w:t>d</w:t>
      </w:r>
      <w:r w:rsidRPr="00E63595">
        <w:rPr>
          <w:rStyle w:val="y2iqfc"/>
          <w:rFonts w:ascii="Times New Roman" w:eastAsia="Calibri" w:hAnsi="Times New Roman" w:cs="Times New Roman"/>
          <w:color w:val="202124"/>
          <w:sz w:val="28"/>
          <w:szCs w:val="28"/>
        </w:rPr>
        <w:t xml:space="preserve"> sharply.</w:t>
      </w:r>
      <w:r>
        <w:rPr>
          <w:rStyle w:val="y2iqfc"/>
          <w:rFonts w:ascii="Times New Roman" w:eastAsia="Calibri" w:hAnsi="Times New Roman" w:cs="Times New Roman"/>
          <w:color w:val="202124"/>
          <w:sz w:val="28"/>
          <w:szCs w:val="28"/>
        </w:rPr>
        <w:t xml:space="preserve"> </w:t>
      </w:r>
      <w:r w:rsidRPr="00E63595">
        <w:rPr>
          <w:rStyle w:val="y2iqfc"/>
          <w:rFonts w:ascii="Times New Roman" w:eastAsia="Calibri" w:hAnsi="Times New Roman" w:cs="Times New Roman"/>
          <w:color w:val="202124"/>
          <w:sz w:val="28"/>
          <w:szCs w:val="28"/>
        </w:rPr>
        <w:t>The revenue of some localities increased/decreased as follows: Khanh Hoa increased by 370%; Quang Nam increased by 71.1%; Can Tho increased by 46.4%; Quang Binh increased by 29.6%; Hanoi increased by 19.8%; Ho Chi Minh City decreased by 9.6%; Da Nang fell 22.5%.</w:t>
      </w:r>
    </w:p>
    <w:p w14:paraId="206F0D6D" w14:textId="7D53AC7D" w:rsidR="00CE4C4C" w:rsidRDefault="00CE4C4C" w:rsidP="00CE4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y2iqfc"/>
          <w:rFonts w:ascii="Times New Roman" w:eastAsia="Calibri" w:hAnsi="Times New Roman" w:cs="Times New Roman"/>
          <w:color w:val="202124"/>
          <w:sz w:val="28"/>
          <w:szCs w:val="28"/>
        </w:rPr>
      </w:pPr>
      <w:r w:rsidRPr="000C33E7">
        <w:rPr>
          <w:rStyle w:val="normalchar"/>
          <w:rFonts w:ascii="Times New Roman" w:eastAsia="Calibri" w:hAnsi="Times New Roman"/>
          <w:i/>
          <w:sz w:val="28"/>
          <w:szCs w:val="28"/>
        </w:rPr>
        <w:t>Revenue from other services</w:t>
      </w:r>
      <w:r>
        <w:rPr>
          <w:rStyle w:val="normalchar"/>
          <w:rFonts w:ascii="Times New Roman" w:eastAsia="Calibri" w:hAnsi="Times New Roman"/>
          <w:i/>
          <w:sz w:val="28"/>
          <w:szCs w:val="28"/>
        </w:rPr>
        <w:t xml:space="preserve"> </w:t>
      </w:r>
      <w:r w:rsidRPr="000C33E7">
        <w:rPr>
          <w:rStyle w:val="y2iqfc"/>
          <w:rFonts w:ascii="Times New Roman" w:eastAsia="Calibri" w:hAnsi="Times New Roman" w:cs="Times New Roman"/>
          <w:color w:val="202124"/>
          <w:sz w:val="28"/>
          <w:szCs w:val="28"/>
        </w:rPr>
        <w:t xml:space="preserve">in the first quarter of 2022 decreased by </w:t>
      </w:r>
      <w:r>
        <w:rPr>
          <w:rStyle w:val="y2iqfc"/>
          <w:rFonts w:ascii="Times New Roman" w:eastAsia="Calibri" w:hAnsi="Times New Roman" w:cs="Times New Roman"/>
          <w:color w:val="202124"/>
          <w:sz w:val="28"/>
          <w:szCs w:val="28"/>
        </w:rPr>
        <w:t>0.6</w:t>
      </w:r>
      <w:r w:rsidRPr="000C33E7">
        <w:rPr>
          <w:rStyle w:val="y2iqfc"/>
          <w:rFonts w:ascii="Times New Roman" w:eastAsia="Calibri" w:hAnsi="Times New Roman" w:cs="Times New Roman"/>
          <w:color w:val="202124"/>
          <w:sz w:val="28"/>
          <w:szCs w:val="28"/>
        </w:rPr>
        <w:t>% compared to the same period last year</w:t>
      </w:r>
      <w:r>
        <w:rPr>
          <w:rStyle w:val="y2iqfc"/>
          <w:rFonts w:ascii="Times New Roman" w:eastAsia="Calibri" w:hAnsi="Times New Roman" w:cs="Times New Roman"/>
          <w:color w:val="202124"/>
          <w:sz w:val="28"/>
          <w:szCs w:val="28"/>
        </w:rPr>
        <w:t>, s</w:t>
      </w:r>
      <w:r w:rsidRPr="000C33E7">
        <w:rPr>
          <w:rStyle w:val="y2iqfc"/>
          <w:rFonts w:ascii="Times New Roman" w:eastAsia="Calibri" w:hAnsi="Times New Roman" w:cs="Times New Roman"/>
          <w:color w:val="202124"/>
          <w:sz w:val="28"/>
          <w:szCs w:val="28"/>
        </w:rPr>
        <w:t>pecifically</w:t>
      </w:r>
      <w:r w:rsidR="003774AC">
        <w:rPr>
          <w:rStyle w:val="y2iqfc"/>
          <w:rFonts w:ascii="Times New Roman" w:eastAsia="Calibri" w:hAnsi="Times New Roman" w:cs="Times New Roman"/>
          <w:color w:val="202124"/>
          <w:sz w:val="28"/>
          <w:szCs w:val="28"/>
        </w:rPr>
        <w:t>,</w:t>
      </w:r>
      <w:r w:rsidRPr="000C33E7">
        <w:rPr>
          <w:rStyle w:val="y2iqfc"/>
          <w:rFonts w:ascii="Times New Roman" w:eastAsia="Calibri" w:hAnsi="Times New Roman" w:cs="Times New Roman"/>
          <w:color w:val="202124"/>
          <w:sz w:val="28"/>
          <w:szCs w:val="28"/>
        </w:rPr>
        <w:t xml:space="preserve"> the increase/decrease in some localities was as follows: </w:t>
      </w:r>
      <w:r w:rsidRPr="00635A11">
        <w:rPr>
          <w:rStyle w:val="y2iqfc"/>
          <w:rFonts w:ascii="Times New Roman" w:eastAsia="Calibri" w:hAnsi="Times New Roman" w:cs="Times New Roman"/>
          <w:color w:val="202124"/>
          <w:sz w:val="28"/>
          <w:szCs w:val="28"/>
        </w:rPr>
        <w:t xml:space="preserve">Ba Ria - Vung Tau increased by 18.6%; Thanh Hoa increased by 17.3%; Quang Ninh increased by 15.9%; Can Tho increased by 13.3%; Quang Binh increased by 10.4%; Da Nang increased by 5.8%; Hai Phong increased by 5.1%; Hanoi increased by 3.7%; Binh Duong down 1.4%; Vinh Phuc down 2.3%; Thua Thien - Hue down 3.2%; Ho Chi Minh </w:t>
      </w:r>
      <w:r>
        <w:rPr>
          <w:rStyle w:val="y2iqfc"/>
          <w:rFonts w:ascii="Times New Roman" w:eastAsia="Calibri" w:hAnsi="Times New Roman" w:cs="Times New Roman"/>
          <w:color w:val="202124"/>
          <w:sz w:val="28"/>
          <w:szCs w:val="28"/>
        </w:rPr>
        <w:t>c</w:t>
      </w:r>
      <w:r w:rsidRPr="00635A11">
        <w:rPr>
          <w:rStyle w:val="y2iqfc"/>
          <w:rFonts w:ascii="Times New Roman" w:eastAsia="Calibri" w:hAnsi="Times New Roman" w:cs="Times New Roman"/>
          <w:color w:val="202124"/>
          <w:sz w:val="28"/>
          <w:szCs w:val="28"/>
        </w:rPr>
        <w:t>ity decreased by 12.8%; Nghe An down 14.9%.</w:t>
      </w:r>
    </w:p>
    <w:p w14:paraId="6B479D85" w14:textId="7FA621FA" w:rsidR="003871F8" w:rsidRPr="003871F8" w:rsidRDefault="003871F8" w:rsidP="003871F8">
      <w:pPr>
        <w:tabs>
          <w:tab w:val="left" w:pos="900"/>
          <w:tab w:val="left" w:pos="9475"/>
        </w:tabs>
        <w:spacing w:before="20" w:after="20" w:line="264" w:lineRule="auto"/>
        <w:ind w:right="119" w:firstLine="567"/>
        <w:jc w:val="both"/>
        <w:rPr>
          <w:rStyle w:val="Strong"/>
          <w:rFonts w:ascii="Times New Roman" w:hAnsi="Times New Roman"/>
          <w:i/>
          <w:iCs/>
          <w:color w:val="000000" w:themeColor="text1"/>
          <w:sz w:val="28"/>
          <w:szCs w:val="28"/>
          <w:lang w:val="de-DE"/>
        </w:rPr>
      </w:pPr>
      <w:r w:rsidRPr="003871F8">
        <w:rPr>
          <w:rStyle w:val="Strong"/>
          <w:rFonts w:ascii="Times New Roman" w:hAnsi="Times New Roman"/>
          <w:i/>
          <w:iCs/>
          <w:color w:val="000000" w:themeColor="text1"/>
          <w:sz w:val="28"/>
          <w:szCs w:val="28"/>
          <w:lang w:val="de-DE"/>
        </w:rPr>
        <w:t xml:space="preserve">b) </w:t>
      </w:r>
      <w:r w:rsidR="009A596C" w:rsidRPr="00BF0DCD">
        <w:rPr>
          <w:rStyle w:val="Strong"/>
          <w:rFonts w:ascii="Times New Roman" w:hAnsi="Times New Roman"/>
          <w:i/>
          <w:iCs/>
          <w:sz w:val="28"/>
          <w:szCs w:val="28"/>
          <w:lang w:val="en-US"/>
        </w:rPr>
        <w:t>Export and import of goods</w:t>
      </w:r>
      <w:r w:rsidR="009A596C" w:rsidRPr="003871F8">
        <w:rPr>
          <w:rStyle w:val="FootnoteReference"/>
          <w:rFonts w:ascii="Times New Roman" w:hAnsi="Times New Roman"/>
          <w:i/>
          <w:iCs/>
          <w:sz w:val="28"/>
          <w:szCs w:val="28"/>
          <w:lang w:val="de-DE"/>
        </w:rPr>
        <w:t xml:space="preserve"> </w:t>
      </w:r>
      <w:r w:rsidRPr="003871F8">
        <w:rPr>
          <w:rStyle w:val="FootnoteReference"/>
          <w:rFonts w:ascii="Times New Roman" w:hAnsi="Times New Roman"/>
          <w:i/>
          <w:iCs/>
          <w:sz w:val="28"/>
          <w:szCs w:val="28"/>
          <w:lang w:val="de-DE"/>
        </w:rPr>
        <w:footnoteReference w:id="10"/>
      </w:r>
    </w:p>
    <w:p w14:paraId="7D5D117B" w14:textId="3C1F3B89" w:rsidR="00AD3499" w:rsidRDefault="00AD3499" w:rsidP="00AD3499">
      <w:pPr>
        <w:tabs>
          <w:tab w:val="left" w:pos="900"/>
          <w:tab w:val="left" w:pos="9475"/>
        </w:tabs>
        <w:spacing w:before="20" w:after="20" w:line="264" w:lineRule="auto"/>
        <w:ind w:right="119" w:firstLine="567"/>
        <w:jc w:val="both"/>
        <w:rPr>
          <w:rFonts w:ascii="Times New Roman Italic" w:hAnsi="Times New Roman Italic" w:cs="Times New Roman"/>
          <w:i/>
          <w:sz w:val="28"/>
          <w:szCs w:val="28"/>
          <w:lang w:val="es-NI"/>
        </w:rPr>
      </w:pPr>
      <w:r w:rsidRPr="00CB66F1">
        <w:rPr>
          <w:rFonts w:ascii="Times New Roman Italic" w:hAnsi="Times New Roman Italic" w:cs="Times New Roman"/>
          <w:i/>
          <w:sz w:val="28"/>
          <w:szCs w:val="28"/>
          <w:lang w:val="de-DE"/>
        </w:rPr>
        <w:t xml:space="preserve">In </w:t>
      </w:r>
      <w:r>
        <w:rPr>
          <w:rFonts w:ascii="Times New Roman Italic" w:hAnsi="Times New Roman Italic" w:cs="Times New Roman"/>
          <w:i/>
          <w:sz w:val="28"/>
          <w:szCs w:val="28"/>
          <w:lang w:val="de-DE"/>
        </w:rPr>
        <w:t>April</w:t>
      </w:r>
      <w:r w:rsidRPr="00CB66F1">
        <w:rPr>
          <w:rFonts w:ascii="Times New Roman Italic" w:hAnsi="Times New Roman Italic" w:cs="Times New Roman"/>
          <w:i/>
          <w:sz w:val="28"/>
          <w:szCs w:val="28"/>
          <w:lang w:val="de-DE"/>
        </w:rPr>
        <w:t xml:space="preserve"> 2022,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 xml:space="preserve">port turnover </w:t>
      </w:r>
      <w:r w:rsidR="0099381B" w:rsidRPr="0099381B">
        <w:rPr>
          <w:rFonts w:ascii="Times New Roman Italic" w:hAnsi="Times New Roman Italic" w:cs="Times New Roman"/>
          <w:i/>
          <w:sz w:val="28"/>
          <w:szCs w:val="28"/>
          <w:lang w:val="de-DE"/>
        </w:rPr>
        <w:t>were estimated</w:t>
      </w:r>
      <w:r w:rsidRPr="00CB66F1">
        <w:rPr>
          <w:rFonts w:ascii="Times New Roman Italic" w:hAnsi="Times New Roman Italic" w:cs="Times New Roman"/>
          <w:i/>
          <w:sz w:val="28"/>
          <w:szCs w:val="28"/>
          <w:lang w:val="de-DE"/>
        </w:rPr>
        <w:t xml:space="preserve"> at 6</w:t>
      </w:r>
      <w:r>
        <w:rPr>
          <w:rFonts w:ascii="Times New Roman Italic" w:hAnsi="Times New Roman Italic" w:cs="Times New Roman"/>
          <w:i/>
          <w:sz w:val="28"/>
          <w:szCs w:val="28"/>
          <w:lang w:val="de-DE"/>
        </w:rPr>
        <w:t>5</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45</w:t>
      </w:r>
      <w:r w:rsidRPr="00CB66F1">
        <w:rPr>
          <w:rFonts w:ascii="Times New Roman Italic" w:hAnsi="Times New Roman Italic" w:cs="Times New Roman"/>
          <w:i/>
          <w:sz w:val="28"/>
          <w:szCs w:val="28"/>
          <w:lang w:val="de-DE"/>
        </w:rPr>
        <w:t xml:space="preserve"> billion USD, </w:t>
      </w:r>
      <w:r>
        <w:rPr>
          <w:rFonts w:ascii="Times New Roman Italic" w:hAnsi="Times New Roman Italic" w:cs="Times New Roman"/>
          <w:i/>
          <w:sz w:val="28"/>
          <w:szCs w:val="28"/>
          <w:lang w:val="de-DE"/>
        </w:rPr>
        <w:t>down</w:t>
      </w:r>
      <w:r w:rsidRPr="00CB66F1">
        <w:rPr>
          <w:rFonts w:ascii="Times New Roman Italic" w:hAnsi="Times New Roman Italic" w:cs="Times New Roman"/>
          <w:i/>
          <w:sz w:val="28"/>
          <w:szCs w:val="28"/>
          <w:lang w:val="de-DE"/>
        </w:rPr>
        <w:t xml:space="preserve"> </w:t>
      </w:r>
      <w:r>
        <w:rPr>
          <w:rFonts w:ascii="Times New Roman Italic" w:hAnsi="Times New Roman Italic" w:cs="Times New Roman"/>
          <w:i/>
          <w:sz w:val="28"/>
          <w:szCs w:val="28"/>
          <w:lang w:val="de-DE"/>
        </w:rPr>
        <w:t>2</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9</w:t>
      </w:r>
      <w:r w:rsidRPr="00CB66F1">
        <w:rPr>
          <w:rFonts w:ascii="Times New Roman Italic" w:hAnsi="Times New Roman Italic" w:cs="Times New Roman"/>
          <w:i/>
          <w:sz w:val="28"/>
          <w:szCs w:val="28"/>
          <w:lang w:val="de-DE"/>
        </w:rPr>
        <w:t xml:space="preserve">% over the previous month and up </w:t>
      </w:r>
      <w:r>
        <w:rPr>
          <w:rFonts w:ascii="Times New Roman Italic" w:hAnsi="Times New Roman Italic" w:cs="Times New Roman"/>
          <w:i/>
          <w:sz w:val="28"/>
          <w:szCs w:val="28"/>
          <w:lang w:val="de-DE"/>
        </w:rPr>
        <w:t>20</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1</w:t>
      </w:r>
      <w:r w:rsidRPr="00CB66F1">
        <w:rPr>
          <w:rFonts w:ascii="Times New Roman Italic" w:hAnsi="Times New Roman Italic" w:cs="Times New Roman"/>
          <w:i/>
          <w:sz w:val="28"/>
          <w:szCs w:val="28"/>
          <w:lang w:val="de-DE"/>
        </w:rPr>
        <w:t xml:space="preserve"> % compared to the same period last year. Generally</w:t>
      </w:r>
      <w:r>
        <w:rPr>
          <w:rFonts w:ascii="Times New Roman Italic" w:hAnsi="Times New Roman Italic" w:cs="Times New Roman"/>
          <w:i/>
          <w:sz w:val="28"/>
          <w:szCs w:val="28"/>
          <w:lang w:val="de-DE"/>
        </w:rPr>
        <w:t>,</w:t>
      </w:r>
      <w:r w:rsidRPr="00CB66F1">
        <w:rPr>
          <w:rFonts w:ascii="Times New Roman Italic" w:hAnsi="Times New Roman Italic" w:cs="Times New Roman"/>
          <w:i/>
          <w:sz w:val="28"/>
          <w:szCs w:val="28"/>
          <w:lang w:val="de-DE"/>
        </w:rPr>
        <w:t xml:space="preserve"> in </w:t>
      </w:r>
      <w:r>
        <w:rPr>
          <w:rFonts w:ascii="Times New Roman Italic" w:hAnsi="Times New Roman Italic" w:cs="Times New Roman"/>
          <w:i/>
          <w:sz w:val="28"/>
          <w:szCs w:val="28"/>
          <w:lang w:val="de-DE"/>
        </w:rPr>
        <w:t>4 months</w:t>
      </w:r>
      <w:r w:rsidRPr="00CB66F1">
        <w:rPr>
          <w:rFonts w:ascii="Times New Roman Italic" w:hAnsi="Times New Roman Italic" w:cs="Times New Roman"/>
          <w:i/>
          <w:sz w:val="28"/>
          <w:szCs w:val="28"/>
          <w:lang w:val="de-DE"/>
        </w:rPr>
        <w:t xml:space="preserve"> of 2022,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 xml:space="preserve">port turnover of goods reached </w:t>
      </w:r>
      <w:r>
        <w:rPr>
          <w:rFonts w:ascii="Times New Roman Italic" w:hAnsi="Times New Roman Italic" w:cs="Times New Roman"/>
          <w:i/>
          <w:sz w:val="28"/>
          <w:szCs w:val="28"/>
          <w:lang w:val="de-DE"/>
        </w:rPr>
        <w:t>242</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19</w:t>
      </w:r>
      <w:r w:rsidRPr="00CB66F1">
        <w:rPr>
          <w:rFonts w:ascii="Times New Roman Italic" w:hAnsi="Times New Roman Italic" w:cs="Times New Roman"/>
          <w:i/>
          <w:sz w:val="28"/>
          <w:szCs w:val="28"/>
          <w:lang w:val="de-DE"/>
        </w:rPr>
        <w:t xml:space="preserve"> billion USD, up 1</w:t>
      </w:r>
      <w:r>
        <w:rPr>
          <w:rFonts w:ascii="Times New Roman Italic" w:hAnsi="Times New Roman Italic" w:cs="Times New Roman"/>
          <w:i/>
          <w:sz w:val="28"/>
          <w:szCs w:val="28"/>
          <w:lang w:val="de-DE"/>
        </w:rPr>
        <w:t>6</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1</w:t>
      </w:r>
      <w:r w:rsidRPr="00CB66F1">
        <w:rPr>
          <w:rFonts w:ascii="Times New Roman Italic" w:hAnsi="Times New Roman Italic" w:cs="Times New Roman"/>
          <w:i/>
          <w:sz w:val="28"/>
          <w:szCs w:val="28"/>
          <w:lang w:val="de-DE"/>
        </w:rPr>
        <w:t>% over the same period last year, of which exports increased by 1</w:t>
      </w:r>
      <w:r>
        <w:rPr>
          <w:rFonts w:ascii="Times New Roman Italic" w:hAnsi="Times New Roman Italic" w:cs="Times New Roman"/>
          <w:i/>
          <w:sz w:val="28"/>
          <w:szCs w:val="28"/>
          <w:lang w:val="de-DE"/>
        </w:rPr>
        <w:t>6</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4</w:t>
      </w:r>
      <w:r w:rsidRPr="00CB66F1">
        <w:rPr>
          <w:rFonts w:ascii="Times New Roman Italic" w:hAnsi="Times New Roman Italic" w:cs="Times New Roman"/>
          <w:i/>
          <w:sz w:val="28"/>
          <w:szCs w:val="28"/>
          <w:lang w:val="de-DE"/>
        </w:rPr>
        <w:t>%; imports increased by 15.</w:t>
      </w:r>
      <w:r>
        <w:rPr>
          <w:rFonts w:ascii="Times New Roman Italic" w:hAnsi="Times New Roman Italic" w:cs="Times New Roman"/>
          <w:i/>
          <w:sz w:val="28"/>
          <w:szCs w:val="28"/>
          <w:lang w:val="de-DE"/>
        </w:rPr>
        <w:t>7</w:t>
      </w:r>
      <w:r w:rsidRPr="00CB66F1">
        <w:rPr>
          <w:rFonts w:ascii="Times New Roman Italic" w:hAnsi="Times New Roman Italic" w:cs="Times New Roman"/>
          <w:i/>
          <w:sz w:val="28"/>
          <w:szCs w:val="28"/>
          <w:lang w:val="de-DE"/>
        </w:rPr>
        <w:t>%</w:t>
      </w:r>
      <w:r w:rsidRPr="00405AE1">
        <w:rPr>
          <w:rStyle w:val="FootnoteReference"/>
          <w:rFonts w:ascii="Times New Roman Italic" w:hAnsi="Times New Roman Italic"/>
          <w:i/>
          <w:sz w:val="28"/>
          <w:szCs w:val="28"/>
          <w:lang w:val="es-NI"/>
        </w:rPr>
        <w:footnoteReference w:id="11"/>
      </w:r>
      <w:r w:rsidRPr="00405AE1">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 xml:space="preserve"> </w:t>
      </w:r>
      <w:r w:rsidRPr="00303C4E">
        <w:rPr>
          <w:rFonts w:ascii="Times New Roman Italic" w:hAnsi="Times New Roman Italic" w:cs="Times New Roman"/>
          <w:i/>
          <w:sz w:val="28"/>
          <w:szCs w:val="28"/>
          <w:lang w:val="es-NI"/>
        </w:rPr>
        <w:t>The trade balance of goods in the first four months of the year was estimated to have a trade surplus of 2.53 billion USD.</w:t>
      </w:r>
    </w:p>
    <w:p w14:paraId="06A4B2DE" w14:textId="77777777" w:rsidR="009D4196" w:rsidRPr="00405AE1" w:rsidRDefault="009D4196" w:rsidP="00AD3499">
      <w:pPr>
        <w:tabs>
          <w:tab w:val="left" w:pos="900"/>
          <w:tab w:val="left" w:pos="9475"/>
        </w:tabs>
        <w:spacing w:before="20" w:after="20" w:line="264" w:lineRule="auto"/>
        <w:ind w:right="119" w:firstLine="567"/>
        <w:jc w:val="both"/>
        <w:rPr>
          <w:rFonts w:ascii="Times New Roman Italic" w:hAnsi="Times New Roman Italic" w:cs="Times New Roman"/>
          <w:i/>
          <w:sz w:val="28"/>
          <w:szCs w:val="28"/>
          <w:lang w:val="es-NI"/>
        </w:rPr>
      </w:pPr>
    </w:p>
    <w:p w14:paraId="59F67EFD" w14:textId="619F2231" w:rsidR="00F66E63" w:rsidRDefault="00F66E63" w:rsidP="00F66E63">
      <w:pPr>
        <w:tabs>
          <w:tab w:val="left" w:pos="900"/>
          <w:tab w:val="left" w:pos="9475"/>
        </w:tabs>
        <w:spacing w:before="40" w:after="40" w:line="288" w:lineRule="auto"/>
        <w:jc w:val="center"/>
        <w:rPr>
          <w:rFonts w:ascii="Arial" w:hAnsi="Arial" w:cs="Arial"/>
          <w:b/>
          <w:bCs/>
          <w:sz w:val="24"/>
          <w:szCs w:val="24"/>
          <w:lang w:val="es-NI"/>
        </w:rPr>
      </w:pPr>
      <w:r w:rsidRPr="00CB66F1">
        <w:rPr>
          <w:rFonts w:ascii="Arial" w:hAnsi="Arial" w:cs="Arial"/>
          <w:b/>
          <w:bCs/>
          <w:sz w:val="24"/>
          <w:szCs w:val="24"/>
          <w:lang w:val="es-NI"/>
        </w:rPr>
        <w:t>Figure 1</w:t>
      </w:r>
      <w:r>
        <w:rPr>
          <w:rFonts w:ascii="Arial" w:hAnsi="Arial" w:cs="Arial"/>
          <w:b/>
          <w:bCs/>
          <w:sz w:val="24"/>
          <w:szCs w:val="24"/>
          <w:lang w:val="es-NI"/>
        </w:rPr>
        <w:t>2</w:t>
      </w:r>
      <w:r w:rsidRPr="00CB66F1">
        <w:rPr>
          <w:rFonts w:ascii="Arial" w:hAnsi="Arial" w:cs="Arial"/>
          <w:b/>
          <w:bCs/>
          <w:sz w:val="24"/>
          <w:szCs w:val="24"/>
          <w:lang w:val="es-NI"/>
        </w:rPr>
        <w:t xml:space="preserve">. Import and export of goods in </w:t>
      </w:r>
      <w:r>
        <w:rPr>
          <w:rFonts w:ascii="Arial" w:hAnsi="Arial" w:cs="Arial"/>
          <w:b/>
          <w:bCs/>
          <w:sz w:val="24"/>
          <w:szCs w:val="24"/>
          <w:lang w:val="es-NI"/>
        </w:rPr>
        <w:t xml:space="preserve">4 months </w:t>
      </w:r>
      <w:r w:rsidRPr="00CB66F1">
        <w:rPr>
          <w:rFonts w:ascii="Arial" w:hAnsi="Arial" w:cs="Arial"/>
          <w:b/>
          <w:bCs/>
          <w:sz w:val="24"/>
          <w:szCs w:val="24"/>
          <w:lang w:val="es-NI"/>
        </w:rPr>
        <w:t>of 2022</w:t>
      </w:r>
    </w:p>
    <w:p w14:paraId="0D04AD13" w14:textId="09DF7E2E" w:rsidR="003871F8" w:rsidRPr="005579B3" w:rsidRDefault="00F66E63" w:rsidP="003871F8">
      <w:pPr>
        <w:tabs>
          <w:tab w:val="left" w:pos="900"/>
          <w:tab w:val="left" w:pos="9475"/>
        </w:tabs>
        <w:spacing w:before="40" w:after="40" w:line="288" w:lineRule="auto"/>
        <w:ind w:right="119"/>
        <w:jc w:val="center"/>
        <w:rPr>
          <w:iCs/>
          <w:spacing w:val="2"/>
          <w:lang w:val="es-NI"/>
        </w:rPr>
      </w:pPr>
      <w:r>
        <w:rPr>
          <w:noProof/>
        </w:rPr>
        <w:lastRenderedPageBreak/>
        <w:drawing>
          <wp:inline distT="0" distB="0" distL="0" distR="0" wp14:anchorId="5DF85D36" wp14:editId="1C1CCACB">
            <wp:extent cx="5639186" cy="183832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642451" cy="1839389"/>
                    </a:xfrm>
                    <a:prstGeom prst="rect">
                      <a:avLst/>
                    </a:prstGeom>
                  </pic:spPr>
                </pic:pic>
              </a:graphicData>
            </a:graphic>
          </wp:inline>
        </w:drawing>
      </w:r>
    </w:p>
    <w:p w14:paraId="07705E30" w14:textId="77777777" w:rsidR="003871F8" w:rsidRPr="008816F9" w:rsidRDefault="003871F8" w:rsidP="003871F8">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7CDA1852" w14:textId="77777777" w:rsidR="003871F8" w:rsidRPr="003871F8" w:rsidRDefault="003871F8" w:rsidP="003871F8">
      <w:pPr>
        <w:spacing w:before="40" w:after="40" w:line="288" w:lineRule="auto"/>
        <w:ind w:firstLine="567"/>
        <w:rPr>
          <w:rStyle w:val="Strong"/>
          <w:rFonts w:ascii="Times New Roman" w:hAnsi="Times New Roman"/>
          <w:i/>
          <w:iCs/>
          <w:color w:val="000000" w:themeColor="text1"/>
          <w:sz w:val="24"/>
          <w:szCs w:val="28"/>
          <w:lang w:val="de-DE"/>
        </w:rPr>
      </w:pPr>
    </w:p>
    <w:p w14:paraId="74BC3AC0" w14:textId="77777777" w:rsidR="009D4196" w:rsidRPr="00D64BE4" w:rsidRDefault="009D4196" w:rsidP="009D4196">
      <w:pPr>
        <w:tabs>
          <w:tab w:val="left" w:pos="900"/>
        </w:tabs>
        <w:spacing w:after="40" w:line="288" w:lineRule="auto"/>
        <w:ind w:firstLine="561"/>
        <w:jc w:val="both"/>
        <w:rPr>
          <w:rFonts w:ascii="Times New Roman" w:hAnsi="Times New Roman" w:cs="Times New Roman"/>
          <w:b/>
          <w:bCs/>
          <w:i/>
          <w:iCs/>
          <w:sz w:val="28"/>
          <w:szCs w:val="28"/>
          <w:lang w:val="en-US"/>
        </w:rPr>
      </w:pPr>
      <w:r w:rsidRPr="00D64BE4">
        <w:rPr>
          <w:rFonts w:ascii="Times New Roman" w:hAnsi="Times New Roman" w:cs="Times New Roman"/>
          <w:b/>
          <w:bCs/>
          <w:i/>
          <w:iCs/>
          <w:sz w:val="28"/>
          <w:szCs w:val="28"/>
          <w:lang w:val="en-US"/>
        </w:rPr>
        <w:t>Export of goods</w:t>
      </w:r>
    </w:p>
    <w:p w14:paraId="77C5BACC" w14:textId="77777777" w:rsidR="00DB642D" w:rsidRDefault="00DB642D" w:rsidP="00DB642D">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sz w:val="28"/>
          <w:szCs w:val="28"/>
          <w:lang w:val="de-DE"/>
        </w:rPr>
        <w:t xml:space="preserve">The export turnover of goods in </w:t>
      </w:r>
      <w:r>
        <w:rPr>
          <w:rFonts w:ascii="Times New Roman" w:hAnsi="Times New Roman" w:cs="Times New Roman"/>
          <w:bCs/>
          <w:sz w:val="28"/>
          <w:szCs w:val="28"/>
          <w:lang w:val="de-DE"/>
        </w:rPr>
        <w:t>March</w:t>
      </w:r>
      <w:r w:rsidRPr="002E3A04">
        <w:rPr>
          <w:rFonts w:ascii="Times New Roman" w:hAnsi="Times New Roman" w:cs="Times New Roman"/>
          <w:bCs/>
          <w:sz w:val="28"/>
          <w:szCs w:val="28"/>
          <w:lang w:val="de-DE"/>
        </w:rPr>
        <w:t xml:space="preserve"> 2022 reached </w:t>
      </w:r>
      <w:r>
        <w:rPr>
          <w:rFonts w:ascii="Times New Roman" w:hAnsi="Times New Roman" w:cs="Times New Roman"/>
          <w:bCs/>
          <w:sz w:val="28"/>
          <w:szCs w:val="28"/>
          <w:lang w:val="de-DE"/>
        </w:rPr>
        <w:t>34</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71</w:t>
      </w:r>
      <w:r w:rsidRPr="002E3A04">
        <w:rPr>
          <w:rFonts w:ascii="Times New Roman" w:hAnsi="Times New Roman" w:cs="Times New Roman"/>
          <w:bCs/>
          <w:sz w:val="28"/>
          <w:szCs w:val="28"/>
          <w:lang w:val="de-DE"/>
        </w:rPr>
        <w:t xml:space="preserve"> billion</w:t>
      </w:r>
      <w:r>
        <w:rPr>
          <w:rFonts w:ascii="Times New Roman" w:hAnsi="Times New Roman" w:cs="Times New Roman"/>
          <w:bCs/>
          <w:sz w:val="28"/>
          <w:szCs w:val="28"/>
          <w:lang w:val="de-DE"/>
        </w:rPr>
        <w:t xml:space="preserve"> </w:t>
      </w:r>
      <w:r w:rsidRPr="00303C4E">
        <w:rPr>
          <w:rFonts w:ascii="Times New Roman" w:hAnsi="Times New Roman" w:cs="Times New Roman"/>
          <w:bCs/>
          <w:sz w:val="28"/>
          <w:szCs w:val="28"/>
          <w:lang w:val="de-DE"/>
        </w:rPr>
        <w:t>USD</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651</w:t>
      </w:r>
      <w:r w:rsidRPr="002E3A04">
        <w:rPr>
          <w:rFonts w:ascii="Times New Roman" w:hAnsi="Times New Roman" w:cs="Times New Roman"/>
          <w:bCs/>
          <w:sz w:val="28"/>
          <w:szCs w:val="28"/>
          <w:lang w:val="de-DE"/>
        </w:rPr>
        <w:t xml:space="preserve"> million </w:t>
      </w:r>
      <w:r w:rsidRPr="00303C4E">
        <w:rPr>
          <w:rFonts w:ascii="Times New Roman" w:hAnsi="Times New Roman" w:cs="Times New Roman"/>
          <w:bCs/>
          <w:sz w:val="28"/>
          <w:szCs w:val="28"/>
          <w:lang w:val="de-DE"/>
        </w:rPr>
        <w:t xml:space="preserve">USD </w:t>
      </w:r>
      <w:r w:rsidRPr="002E3A04">
        <w:rPr>
          <w:rFonts w:ascii="Times New Roman" w:hAnsi="Times New Roman" w:cs="Times New Roman"/>
          <w:bCs/>
          <w:sz w:val="28"/>
          <w:szCs w:val="28"/>
          <w:lang w:val="de-DE"/>
        </w:rPr>
        <w:t xml:space="preserve">higher than the estimated </w:t>
      </w:r>
      <w:r w:rsidRPr="002E3A04">
        <w:rPr>
          <w:rFonts w:ascii="Times New Roman" w:hAnsi="Times New Roman" w:cs="Times New Roman"/>
          <w:bCs/>
          <w:sz w:val="28"/>
          <w:szCs w:val="28"/>
          <w:lang w:val="en-US"/>
        </w:rPr>
        <w:t>figure</w:t>
      </w:r>
      <w:r w:rsidRPr="002E3A04">
        <w:rPr>
          <w:rFonts w:ascii="Times New Roman" w:hAnsi="Times New Roman" w:cs="Times New Roman"/>
          <w:bCs/>
          <w:sz w:val="28"/>
          <w:szCs w:val="28"/>
          <w:lang w:val="de-DE"/>
        </w:rPr>
        <w:t>.</w:t>
      </w:r>
    </w:p>
    <w:p w14:paraId="74898AC2" w14:textId="77777777" w:rsidR="00A353BE" w:rsidRPr="00BC5895" w:rsidRDefault="00A353BE" w:rsidP="00A353BE">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i/>
          <w:iCs/>
          <w:sz w:val="28"/>
          <w:szCs w:val="28"/>
          <w:lang w:val="en-US"/>
        </w:rPr>
        <w:t>Export turnover</w:t>
      </w:r>
      <w:r>
        <w:rPr>
          <w:rFonts w:ascii="Times New Roman" w:hAnsi="Times New Roman" w:cs="Times New Roman"/>
          <w:bCs/>
          <w:i/>
          <w:iCs/>
          <w:sz w:val="28"/>
          <w:szCs w:val="28"/>
          <w:lang w:val="en-US"/>
        </w:rPr>
        <w:t xml:space="preserve"> of goods</w:t>
      </w:r>
      <w:r w:rsidRPr="002E3A04">
        <w:rPr>
          <w:rFonts w:ascii="Times New Roman" w:hAnsi="Times New Roman" w:cs="Times New Roman"/>
          <w:bCs/>
          <w:i/>
          <w:iCs/>
          <w:sz w:val="28"/>
          <w:szCs w:val="28"/>
          <w:lang w:val="en-US"/>
        </w:rPr>
        <w:t xml:space="preserve"> in </w:t>
      </w:r>
      <w:r>
        <w:rPr>
          <w:rFonts w:ascii="Times New Roman" w:hAnsi="Times New Roman" w:cs="Times New Roman"/>
          <w:bCs/>
          <w:i/>
          <w:iCs/>
          <w:sz w:val="28"/>
          <w:szCs w:val="28"/>
          <w:lang w:val="de-DE"/>
        </w:rPr>
        <w:t>April</w:t>
      </w:r>
      <w:r w:rsidRPr="002E3A04">
        <w:rPr>
          <w:rFonts w:ascii="Times New Roman" w:hAnsi="Times New Roman" w:cs="Times New Roman"/>
          <w:bCs/>
          <w:i/>
          <w:iCs/>
          <w:sz w:val="28"/>
          <w:szCs w:val="28"/>
          <w:lang w:val="de-DE"/>
        </w:rPr>
        <w:t xml:space="preserve"> 2022</w:t>
      </w:r>
      <w:r w:rsidRPr="002E3A04">
        <w:rPr>
          <w:rFonts w:ascii="Times New Roman" w:hAnsi="Times New Roman" w:cs="Times New Roman"/>
          <w:bCs/>
          <w:sz w:val="28"/>
          <w:szCs w:val="28"/>
          <w:lang w:val="de-DE"/>
        </w:rPr>
        <w:t xml:space="preserve"> was estimated at 3</w:t>
      </w:r>
      <w:r>
        <w:rPr>
          <w:rFonts w:ascii="Times New Roman" w:hAnsi="Times New Roman" w:cs="Times New Roman"/>
          <w:bCs/>
          <w:sz w:val="28"/>
          <w:szCs w:val="28"/>
          <w:lang w:val="de-DE"/>
        </w:rPr>
        <w:t>3</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2</w:t>
      </w:r>
      <w:r w:rsidRPr="002E3A04">
        <w:rPr>
          <w:rFonts w:ascii="Times New Roman" w:hAnsi="Times New Roman" w:cs="Times New Roman"/>
          <w:bCs/>
          <w:sz w:val="28"/>
          <w:szCs w:val="28"/>
          <w:lang w:val="de-DE"/>
        </w:rPr>
        <w:t xml:space="preserve">6 billion USD,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4.</w:t>
      </w:r>
      <w:r>
        <w:rPr>
          <w:rFonts w:ascii="Times New Roman" w:hAnsi="Times New Roman" w:cs="Times New Roman"/>
          <w:bCs/>
          <w:sz w:val="28"/>
          <w:szCs w:val="28"/>
          <w:lang w:val="de-DE"/>
        </w:rPr>
        <w:t>2</w:t>
      </w:r>
      <w:r w:rsidRPr="002E3A04">
        <w:rPr>
          <w:rFonts w:ascii="Times New Roman" w:hAnsi="Times New Roman" w:cs="Times New Roman"/>
          <w:bCs/>
          <w:sz w:val="28"/>
          <w:szCs w:val="28"/>
          <w:lang w:val="de-DE"/>
        </w:rPr>
        <w:t>% over the previous month. The domestic economic sector reached 8.</w:t>
      </w:r>
      <w:r>
        <w:rPr>
          <w:rFonts w:ascii="Times New Roman" w:hAnsi="Times New Roman" w:cs="Times New Roman"/>
          <w:bCs/>
          <w:sz w:val="28"/>
          <w:szCs w:val="28"/>
          <w:lang w:val="de-DE"/>
        </w:rPr>
        <w:t>49</w:t>
      </w:r>
      <w:r w:rsidRPr="002E3A04">
        <w:rPr>
          <w:rFonts w:ascii="Times New Roman" w:hAnsi="Times New Roman" w:cs="Times New Roman"/>
          <w:bCs/>
          <w:sz w:val="28"/>
          <w:szCs w:val="28"/>
          <w:lang w:val="de-DE"/>
        </w:rPr>
        <w:t xml:space="preserve"> billion</w:t>
      </w:r>
      <w:r>
        <w:rPr>
          <w:rFonts w:ascii="Times New Roman" w:hAnsi="Times New Roman" w:cs="Times New Roman"/>
          <w:bCs/>
          <w:sz w:val="28"/>
          <w:szCs w:val="28"/>
          <w:lang w:val="de-DE"/>
        </w:rPr>
        <w:t xml:space="preserve"> </w:t>
      </w:r>
      <w:r w:rsidRPr="002E3A04">
        <w:rPr>
          <w:rFonts w:ascii="Times New Roman" w:hAnsi="Times New Roman" w:cs="Times New Roman"/>
          <w:bCs/>
          <w:sz w:val="28"/>
          <w:szCs w:val="28"/>
          <w:lang w:val="de-DE"/>
        </w:rPr>
        <w:t xml:space="preserve">USD,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2</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6</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 xml:space="preserve">the </w:t>
      </w:r>
      <w:r w:rsidRPr="002E3A04">
        <w:rPr>
          <w:rFonts w:ascii="Times New Roman" w:hAnsi="Times New Roman" w:cs="Times New Roman"/>
          <w:bCs/>
          <w:sz w:val="28"/>
          <w:szCs w:val="28"/>
          <w:lang w:val="de-DE"/>
        </w:rPr>
        <w:t>FDI sector (including crude oil) reached 2</w:t>
      </w:r>
      <w:r>
        <w:rPr>
          <w:rFonts w:ascii="Times New Roman" w:hAnsi="Times New Roman" w:cs="Times New Roman"/>
          <w:bCs/>
          <w:sz w:val="28"/>
          <w:szCs w:val="28"/>
          <w:lang w:val="de-DE"/>
        </w:rPr>
        <w:t>4</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77</w:t>
      </w:r>
      <w:r w:rsidRPr="002E3A04">
        <w:rPr>
          <w:rFonts w:ascii="Times New Roman" w:hAnsi="Times New Roman" w:cs="Times New Roman"/>
          <w:bCs/>
          <w:sz w:val="28"/>
          <w:szCs w:val="28"/>
          <w:lang w:val="de-DE"/>
        </w:rPr>
        <w:t xml:space="preserve"> billion USD,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4.</w:t>
      </w:r>
      <w:r>
        <w:rPr>
          <w:rFonts w:ascii="Times New Roman" w:hAnsi="Times New Roman" w:cs="Times New Roman"/>
          <w:bCs/>
          <w:sz w:val="28"/>
          <w:szCs w:val="28"/>
          <w:lang w:val="de-DE"/>
        </w:rPr>
        <w:t>7</w:t>
      </w:r>
      <w:r w:rsidRPr="002E3A04">
        <w:rPr>
          <w:rFonts w:ascii="Times New Roman" w:hAnsi="Times New Roman" w:cs="Times New Roman"/>
          <w:bCs/>
          <w:sz w:val="28"/>
          <w:szCs w:val="28"/>
          <w:lang w:val="de-DE"/>
        </w:rPr>
        <w:t xml:space="preserve">%. Compared to the same period last year, the export turnover of goods in </w:t>
      </w:r>
      <w:r>
        <w:rPr>
          <w:rFonts w:ascii="Times New Roman" w:hAnsi="Times New Roman" w:cs="Times New Roman"/>
          <w:bCs/>
          <w:sz w:val="28"/>
          <w:szCs w:val="28"/>
          <w:lang w:val="de-DE"/>
        </w:rPr>
        <w:t>April</w:t>
      </w:r>
      <w:r w:rsidRPr="002E3A04">
        <w:rPr>
          <w:rFonts w:ascii="Times New Roman" w:hAnsi="Times New Roman" w:cs="Times New Roman"/>
          <w:bCs/>
          <w:sz w:val="28"/>
          <w:szCs w:val="28"/>
          <w:lang w:val="de-DE"/>
        </w:rPr>
        <w:t xml:space="preserve"> increased by </w:t>
      </w:r>
      <w:r>
        <w:rPr>
          <w:rFonts w:ascii="Times New Roman" w:hAnsi="Times New Roman" w:cs="Times New Roman"/>
          <w:bCs/>
          <w:sz w:val="28"/>
          <w:szCs w:val="28"/>
          <w:lang w:val="de-DE"/>
        </w:rPr>
        <w:t>25</w:t>
      </w:r>
      <w:r w:rsidRPr="002E3A04">
        <w:rPr>
          <w:rFonts w:ascii="Times New Roman" w:hAnsi="Times New Roman" w:cs="Times New Roman"/>
          <w:bCs/>
          <w:sz w:val="28"/>
          <w:szCs w:val="28"/>
          <w:lang w:val="de-DE"/>
        </w:rPr>
        <w:t xml:space="preserve">%, of which the domestic economic sector increased by </w:t>
      </w:r>
      <w:r>
        <w:rPr>
          <w:rFonts w:ascii="Times New Roman" w:hAnsi="Times New Roman" w:cs="Times New Roman"/>
          <w:bCs/>
          <w:sz w:val="28"/>
          <w:szCs w:val="28"/>
          <w:lang w:val="de-DE"/>
        </w:rPr>
        <w:t>20</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5</w:t>
      </w:r>
      <w:r w:rsidRPr="002E3A04">
        <w:rPr>
          <w:rFonts w:ascii="Times New Roman" w:hAnsi="Times New Roman" w:cs="Times New Roman"/>
          <w:bCs/>
          <w:sz w:val="28"/>
          <w:szCs w:val="28"/>
          <w:lang w:val="de-DE"/>
        </w:rPr>
        <w:t xml:space="preserve">%, the </w:t>
      </w:r>
      <w:r>
        <w:rPr>
          <w:rFonts w:ascii="Times New Roman" w:hAnsi="Times New Roman" w:cs="Times New Roman"/>
          <w:bCs/>
          <w:sz w:val="28"/>
          <w:szCs w:val="28"/>
          <w:lang w:val="de-DE"/>
        </w:rPr>
        <w:t>FDI</w:t>
      </w:r>
      <w:r w:rsidRPr="002E3A04">
        <w:rPr>
          <w:rFonts w:ascii="Times New Roman" w:hAnsi="Times New Roman" w:cs="Times New Roman"/>
          <w:bCs/>
          <w:sz w:val="28"/>
          <w:szCs w:val="28"/>
          <w:lang w:val="de-DE"/>
        </w:rPr>
        <w:t xml:space="preserve"> sector (including crude oil) increased</w:t>
      </w:r>
      <w:r>
        <w:rPr>
          <w:rFonts w:ascii="Times New Roman" w:hAnsi="Times New Roman" w:cs="Times New Roman"/>
          <w:bCs/>
          <w:sz w:val="28"/>
          <w:szCs w:val="28"/>
          <w:lang w:val="de-DE"/>
        </w:rPr>
        <w:t xml:space="preserve"> by</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26.6</w:t>
      </w:r>
      <w:r w:rsidRPr="002E3A04">
        <w:rPr>
          <w:rFonts w:ascii="Times New Roman" w:hAnsi="Times New Roman" w:cs="Times New Roman"/>
          <w:bCs/>
          <w:sz w:val="28"/>
          <w:szCs w:val="28"/>
          <w:lang w:val="de-DE"/>
        </w:rPr>
        <w:t>%.</w:t>
      </w:r>
      <w:r w:rsidRPr="00BC5895">
        <w:rPr>
          <w:rFonts w:ascii="Times New Roman" w:hAnsi="Times New Roman" w:cs="Times New Roman"/>
          <w:bCs/>
          <w:sz w:val="28"/>
          <w:szCs w:val="28"/>
          <w:lang w:val="de-DE"/>
        </w:rPr>
        <w:t xml:space="preserve"> </w:t>
      </w:r>
    </w:p>
    <w:p w14:paraId="47D20C8F" w14:textId="77777777" w:rsidR="00D4505C" w:rsidRPr="00BC5895" w:rsidRDefault="00D4505C" w:rsidP="00D4505C">
      <w:pPr>
        <w:tabs>
          <w:tab w:val="num" w:pos="0"/>
          <w:tab w:val="left" w:pos="9475"/>
        </w:tabs>
        <w:spacing w:before="40" w:after="40" w:line="288" w:lineRule="auto"/>
        <w:ind w:right="6" w:firstLine="567"/>
        <w:jc w:val="both"/>
        <w:rPr>
          <w:rFonts w:ascii="Times New Roman" w:hAnsi="Times New Roman" w:cs="Times New Roman"/>
          <w:iCs/>
          <w:spacing w:val="-4"/>
          <w:sz w:val="28"/>
          <w:szCs w:val="28"/>
          <w:lang w:val="de-DE"/>
        </w:rPr>
      </w:pPr>
      <w:r w:rsidRPr="002E3A04">
        <w:rPr>
          <w:rFonts w:ascii="Times New Roman" w:hAnsi="Times New Roman" w:cs="Times New Roman"/>
          <w:i/>
          <w:iCs/>
          <w:spacing w:val="-4"/>
          <w:sz w:val="28"/>
          <w:szCs w:val="28"/>
          <w:lang w:val="en-US"/>
        </w:rPr>
        <w:t>Generally in</w:t>
      </w:r>
      <w:r w:rsidRPr="002E3A04">
        <w:rPr>
          <w:rFonts w:ascii="Times New Roman" w:hAnsi="Times New Roman" w:cs="Times New Roman"/>
          <w:i/>
          <w:iCs/>
          <w:spacing w:val="-4"/>
          <w:sz w:val="28"/>
          <w:szCs w:val="28"/>
          <w:lang w:val="de-DE"/>
        </w:rPr>
        <w:t xml:space="preserve"> </w:t>
      </w:r>
      <w:r>
        <w:rPr>
          <w:rFonts w:ascii="Times New Roman" w:hAnsi="Times New Roman" w:cs="Times New Roman"/>
          <w:i/>
          <w:iCs/>
          <w:spacing w:val="-4"/>
          <w:sz w:val="28"/>
          <w:szCs w:val="28"/>
          <w:lang w:val="de-DE"/>
        </w:rPr>
        <w:t xml:space="preserve">4 months </w:t>
      </w:r>
      <w:r w:rsidRPr="002E3A04">
        <w:rPr>
          <w:rFonts w:ascii="Times New Roman" w:hAnsi="Times New Roman" w:cs="Times New Roman"/>
          <w:i/>
          <w:iCs/>
          <w:spacing w:val="-4"/>
          <w:sz w:val="28"/>
          <w:szCs w:val="28"/>
          <w:lang w:val="de-DE"/>
        </w:rPr>
        <w:t>of 2022</w:t>
      </w:r>
      <w:r w:rsidRPr="002E3A04">
        <w:rPr>
          <w:rFonts w:ascii="Times New Roman" w:hAnsi="Times New Roman" w:cs="Times New Roman"/>
          <w:iCs/>
          <w:spacing w:val="-4"/>
          <w:sz w:val="28"/>
          <w:szCs w:val="28"/>
          <w:lang w:val="de-DE"/>
        </w:rPr>
        <w:t xml:space="preserve">, export turnover of goods was estimated at </w:t>
      </w:r>
      <w:r>
        <w:rPr>
          <w:rFonts w:ascii="Times New Roman" w:hAnsi="Times New Roman" w:cs="Times New Roman"/>
          <w:iCs/>
          <w:spacing w:val="-4"/>
          <w:sz w:val="28"/>
          <w:szCs w:val="28"/>
          <w:lang w:val="de-DE"/>
        </w:rPr>
        <w:t>122.36</w:t>
      </w:r>
      <w:r w:rsidRPr="002E3A04">
        <w:rPr>
          <w:rFonts w:ascii="Times New Roman" w:hAnsi="Times New Roman" w:cs="Times New Roman"/>
          <w:iCs/>
          <w:spacing w:val="-4"/>
          <w:sz w:val="28"/>
          <w:szCs w:val="28"/>
          <w:lang w:val="de-DE"/>
        </w:rPr>
        <w:t xml:space="preserve"> billion USD, up 1</w:t>
      </w:r>
      <w:r>
        <w:rPr>
          <w:rFonts w:ascii="Times New Roman" w:hAnsi="Times New Roman" w:cs="Times New Roman"/>
          <w:iCs/>
          <w:spacing w:val="-4"/>
          <w:sz w:val="28"/>
          <w:szCs w:val="28"/>
          <w:lang w:val="de-DE"/>
        </w:rPr>
        <w:t>6.4</w:t>
      </w:r>
      <w:r w:rsidRPr="002E3A04">
        <w:rPr>
          <w:rFonts w:ascii="Times New Roman" w:hAnsi="Times New Roman" w:cs="Times New Roman"/>
          <w:iCs/>
          <w:spacing w:val="-4"/>
          <w:sz w:val="28"/>
          <w:szCs w:val="28"/>
          <w:lang w:val="de-DE"/>
        </w:rPr>
        <w:t xml:space="preserve">% over the same period last year. In which, the domestic economic sector reached </w:t>
      </w:r>
      <w:r>
        <w:rPr>
          <w:rFonts w:ascii="Times New Roman" w:hAnsi="Times New Roman" w:cs="Times New Roman"/>
          <w:iCs/>
          <w:spacing w:val="-4"/>
          <w:sz w:val="28"/>
          <w:szCs w:val="28"/>
          <w:lang w:val="de-DE"/>
        </w:rPr>
        <w:t>31.7</w:t>
      </w:r>
      <w:r w:rsidRPr="002E3A04">
        <w:rPr>
          <w:rFonts w:ascii="Times New Roman" w:hAnsi="Times New Roman" w:cs="Times New Roman"/>
          <w:iCs/>
          <w:spacing w:val="-4"/>
          <w:sz w:val="28"/>
          <w:szCs w:val="28"/>
          <w:lang w:val="de-DE"/>
        </w:rPr>
        <w:t>7 billion USD, up 2</w:t>
      </w:r>
      <w:r>
        <w:rPr>
          <w:rFonts w:ascii="Times New Roman" w:hAnsi="Times New Roman" w:cs="Times New Roman"/>
          <w:iCs/>
          <w:spacing w:val="-4"/>
          <w:sz w:val="28"/>
          <w:szCs w:val="28"/>
          <w:lang w:val="de-DE"/>
        </w:rPr>
        <w:t>1.6</w:t>
      </w:r>
      <w:r w:rsidRPr="002E3A04">
        <w:rPr>
          <w:rFonts w:ascii="Times New Roman" w:hAnsi="Times New Roman" w:cs="Times New Roman"/>
          <w:iCs/>
          <w:spacing w:val="-4"/>
          <w:sz w:val="28"/>
          <w:szCs w:val="28"/>
          <w:lang w:val="de-DE"/>
        </w:rPr>
        <w:t xml:space="preserve">%, accounting for 26% of total export turnover; FDI sector (including crude oil) reached </w:t>
      </w:r>
      <w:r>
        <w:rPr>
          <w:rFonts w:ascii="Times New Roman" w:hAnsi="Times New Roman" w:cs="Times New Roman"/>
          <w:iCs/>
          <w:spacing w:val="-4"/>
          <w:sz w:val="28"/>
          <w:szCs w:val="28"/>
          <w:lang w:val="de-DE"/>
        </w:rPr>
        <w:t>90.59</w:t>
      </w:r>
      <w:r w:rsidRPr="002E3A04">
        <w:rPr>
          <w:rFonts w:ascii="Times New Roman" w:hAnsi="Times New Roman" w:cs="Times New Roman"/>
          <w:iCs/>
          <w:spacing w:val="-4"/>
          <w:sz w:val="28"/>
          <w:szCs w:val="28"/>
          <w:lang w:val="de-DE"/>
        </w:rPr>
        <w:t xml:space="preserve"> billion USD, up 1</w:t>
      </w:r>
      <w:r>
        <w:rPr>
          <w:rFonts w:ascii="Times New Roman" w:hAnsi="Times New Roman" w:cs="Times New Roman"/>
          <w:iCs/>
          <w:spacing w:val="-4"/>
          <w:sz w:val="28"/>
          <w:szCs w:val="28"/>
          <w:lang w:val="de-DE"/>
        </w:rPr>
        <w:t>4.7</w:t>
      </w:r>
      <w:r w:rsidRPr="002E3A04">
        <w:rPr>
          <w:rFonts w:ascii="Times New Roman" w:hAnsi="Times New Roman" w:cs="Times New Roman"/>
          <w:iCs/>
          <w:spacing w:val="-4"/>
          <w:sz w:val="28"/>
          <w:szCs w:val="28"/>
          <w:lang w:val="de-DE"/>
        </w:rPr>
        <w:t>%, accounting for 7</w:t>
      </w:r>
      <w:r>
        <w:rPr>
          <w:rFonts w:ascii="Times New Roman" w:hAnsi="Times New Roman" w:cs="Times New Roman"/>
          <w:iCs/>
          <w:spacing w:val="-4"/>
          <w:sz w:val="28"/>
          <w:szCs w:val="28"/>
          <w:lang w:val="de-DE"/>
        </w:rPr>
        <w:t>4</w:t>
      </w:r>
      <w:r w:rsidRPr="002E3A04">
        <w:rPr>
          <w:rFonts w:ascii="Times New Roman" w:hAnsi="Times New Roman" w:cs="Times New Roman"/>
          <w:iCs/>
          <w:spacing w:val="-4"/>
          <w:sz w:val="28"/>
          <w:szCs w:val="28"/>
          <w:lang w:val="de-DE"/>
        </w:rPr>
        <w:t>%.</w:t>
      </w:r>
      <w:r w:rsidRPr="00BC5895">
        <w:rPr>
          <w:rFonts w:ascii="Times New Roman" w:hAnsi="Times New Roman" w:cs="Times New Roman"/>
          <w:iCs/>
          <w:spacing w:val="-4"/>
          <w:sz w:val="28"/>
          <w:szCs w:val="28"/>
          <w:lang w:val="de-DE"/>
        </w:rPr>
        <w:t xml:space="preserve"> </w:t>
      </w:r>
    </w:p>
    <w:p w14:paraId="42FC6B16" w14:textId="77777777" w:rsidR="005073A0" w:rsidRPr="00FF3382" w:rsidRDefault="005073A0" w:rsidP="005073A0">
      <w:pPr>
        <w:tabs>
          <w:tab w:val="num" w:pos="0"/>
        </w:tabs>
        <w:spacing w:before="40" w:after="40" w:line="288" w:lineRule="auto"/>
        <w:ind w:right="6" w:firstLine="567"/>
        <w:jc w:val="both"/>
        <w:rPr>
          <w:rFonts w:ascii="Times New Roman" w:hAnsi="Times New Roman" w:cs="Times New Roman"/>
          <w:b/>
          <w:bCs/>
          <w:spacing w:val="-4"/>
          <w:sz w:val="28"/>
          <w:szCs w:val="28"/>
          <w:lang w:val="es-NI"/>
        </w:rPr>
      </w:pPr>
      <w:r w:rsidRPr="002730D8">
        <w:rPr>
          <w:rFonts w:ascii="Times New Roman" w:hAnsi="Times New Roman" w:cs="Times New Roman"/>
          <w:spacing w:val="-4"/>
          <w:sz w:val="28"/>
          <w:szCs w:val="28"/>
          <w:lang w:val="de-DE"/>
        </w:rPr>
        <w:t xml:space="preserve">In </w:t>
      </w:r>
      <w:r>
        <w:rPr>
          <w:rFonts w:ascii="Times New Roman" w:hAnsi="Times New Roman" w:cs="Times New Roman"/>
          <w:spacing w:val="-4"/>
          <w:sz w:val="28"/>
          <w:szCs w:val="28"/>
          <w:lang w:val="de-DE"/>
        </w:rPr>
        <w:t xml:space="preserve">4 months </w:t>
      </w:r>
      <w:r w:rsidRPr="002730D8">
        <w:rPr>
          <w:rFonts w:ascii="Times New Roman" w:hAnsi="Times New Roman" w:cs="Times New Roman"/>
          <w:spacing w:val="-4"/>
          <w:sz w:val="28"/>
          <w:szCs w:val="28"/>
          <w:lang w:val="de-DE"/>
        </w:rPr>
        <w:t xml:space="preserve">of 2022, there </w:t>
      </w:r>
      <w:r>
        <w:rPr>
          <w:rFonts w:ascii="Times New Roman" w:hAnsi="Times New Roman" w:cs="Times New Roman"/>
          <w:spacing w:val="-4"/>
          <w:sz w:val="28"/>
          <w:szCs w:val="28"/>
          <w:lang w:val="de-DE"/>
        </w:rPr>
        <w:t>we</w:t>
      </w:r>
      <w:r w:rsidRPr="002730D8">
        <w:rPr>
          <w:rFonts w:ascii="Times New Roman" w:hAnsi="Times New Roman" w:cs="Times New Roman"/>
          <w:spacing w:val="-4"/>
          <w:sz w:val="28"/>
          <w:szCs w:val="28"/>
          <w:lang w:val="de-DE"/>
        </w:rPr>
        <w:t xml:space="preserve">re </w:t>
      </w:r>
      <w:r>
        <w:rPr>
          <w:rFonts w:ascii="Times New Roman" w:hAnsi="Times New Roman" w:cs="Times New Roman"/>
          <w:spacing w:val="-4"/>
          <w:sz w:val="28"/>
          <w:szCs w:val="28"/>
          <w:lang w:val="de-DE"/>
        </w:rPr>
        <w:t>22</w:t>
      </w:r>
      <w:r w:rsidRPr="002730D8">
        <w:rPr>
          <w:rFonts w:ascii="Times New Roman" w:hAnsi="Times New Roman" w:cs="Times New Roman"/>
          <w:spacing w:val="-4"/>
          <w:sz w:val="28"/>
          <w:szCs w:val="28"/>
          <w:lang w:val="de-DE"/>
        </w:rPr>
        <w:t xml:space="preserve"> items with export turnover of over 1 billion USD, accounting for 8</w:t>
      </w:r>
      <w:r>
        <w:rPr>
          <w:rFonts w:ascii="Times New Roman" w:hAnsi="Times New Roman" w:cs="Times New Roman"/>
          <w:spacing w:val="-4"/>
          <w:sz w:val="28"/>
          <w:szCs w:val="28"/>
          <w:lang w:val="de-DE"/>
        </w:rPr>
        <w:t>6.9</w:t>
      </w:r>
      <w:r w:rsidRPr="002730D8">
        <w:rPr>
          <w:rFonts w:ascii="Times New Roman" w:hAnsi="Times New Roman" w:cs="Times New Roman"/>
          <w:spacing w:val="-4"/>
          <w:sz w:val="28"/>
          <w:szCs w:val="28"/>
          <w:lang w:val="de-DE"/>
        </w:rPr>
        <w:t>% of total export turnover (there</w:t>
      </w:r>
      <w:r>
        <w:rPr>
          <w:rFonts w:ascii="Times New Roman" w:hAnsi="Times New Roman" w:cs="Times New Roman"/>
          <w:spacing w:val="-4"/>
          <w:sz w:val="28"/>
          <w:szCs w:val="28"/>
          <w:lang w:val="de-DE"/>
        </w:rPr>
        <w:t xml:space="preserve"> we</w:t>
      </w:r>
      <w:r w:rsidRPr="002730D8">
        <w:rPr>
          <w:rFonts w:ascii="Times New Roman" w:hAnsi="Times New Roman" w:cs="Times New Roman"/>
          <w:spacing w:val="-4"/>
          <w:sz w:val="28"/>
          <w:szCs w:val="28"/>
          <w:lang w:val="de-DE"/>
        </w:rPr>
        <w:t xml:space="preserve">re 5 export products with over 5 billion USD, accounting for </w:t>
      </w:r>
      <w:r>
        <w:rPr>
          <w:rFonts w:ascii="Times New Roman" w:hAnsi="Times New Roman" w:cs="Times New Roman"/>
          <w:spacing w:val="-4"/>
          <w:sz w:val="28"/>
          <w:szCs w:val="28"/>
          <w:lang w:val="de-DE"/>
        </w:rPr>
        <w:t>63.1</w:t>
      </w:r>
      <w:r w:rsidRPr="002730D8">
        <w:rPr>
          <w:rFonts w:ascii="Times New Roman" w:hAnsi="Times New Roman" w:cs="Times New Roman"/>
          <w:spacing w:val="-4"/>
          <w:sz w:val="28"/>
          <w:szCs w:val="28"/>
          <w:lang w:val="de-DE"/>
        </w:rPr>
        <w:t>%).</w:t>
      </w:r>
      <w:r w:rsidRPr="00FF3382">
        <w:rPr>
          <w:rFonts w:ascii="Times New Roman" w:hAnsi="Times New Roman" w:cs="Times New Roman"/>
          <w:spacing w:val="-4"/>
          <w:sz w:val="28"/>
          <w:szCs w:val="28"/>
          <w:lang w:val="de-DE"/>
        </w:rPr>
        <w:t xml:space="preserve"> </w:t>
      </w:r>
    </w:p>
    <w:p w14:paraId="02ECFBB2" w14:textId="18D99A2D" w:rsidR="005073A0" w:rsidRDefault="005073A0" w:rsidP="005073A0">
      <w:pPr>
        <w:tabs>
          <w:tab w:val="num" w:pos="0"/>
          <w:tab w:val="left" w:pos="9475"/>
        </w:tabs>
        <w:spacing w:before="120" w:after="120" w:line="278" w:lineRule="auto"/>
        <w:ind w:right="119"/>
        <w:jc w:val="center"/>
        <w:rPr>
          <w:rFonts w:ascii="Arial" w:hAnsi="Arial" w:cs="Arial"/>
          <w:b/>
          <w:bCs/>
          <w:sz w:val="24"/>
          <w:szCs w:val="24"/>
          <w:lang w:val="es-NI"/>
        </w:rPr>
      </w:pPr>
      <w:r w:rsidRPr="00C57F67">
        <w:rPr>
          <w:rFonts w:ascii="Arial" w:hAnsi="Arial" w:cs="Arial"/>
          <w:b/>
          <w:spacing w:val="-2"/>
          <w:sz w:val="24"/>
          <w:szCs w:val="20"/>
          <w:lang w:val="pl-PL"/>
        </w:rPr>
        <w:t xml:space="preserve">Table </w:t>
      </w:r>
      <w:r>
        <w:rPr>
          <w:rFonts w:ascii="Arial" w:hAnsi="Arial" w:cs="Arial"/>
          <w:b/>
          <w:spacing w:val="-2"/>
          <w:sz w:val="24"/>
          <w:szCs w:val="20"/>
          <w:lang w:val="pl-PL"/>
        </w:rPr>
        <w:t>4</w:t>
      </w:r>
      <w:r w:rsidRPr="00C57F67">
        <w:rPr>
          <w:rFonts w:ascii="Arial" w:hAnsi="Arial" w:cs="Arial"/>
          <w:b/>
          <w:spacing w:val="-2"/>
          <w:sz w:val="24"/>
          <w:szCs w:val="20"/>
          <w:lang w:val="pl-PL"/>
        </w:rPr>
        <w:t xml:space="preserve">. Value of some export products in </w:t>
      </w:r>
      <w:r>
        <w:rPr>
          <w:rFonts w:ascii="Arial" w:hAnsi="Arial" w:cs="Arial"/>
          <w:b/>
          <w:spacing w:val="-2"/>
          <w:sz w:val="24"/>
          <w:szCs w:val="20"/>
          <w:lang w:val="pl-PL"/>
        </w:rPr>
        <w:t xml:space="preserve">4 months </w:t>
      </w:r>
      <w:r w:rsidRPr="00C57F67">
        <w:rPr>
          <w:rFonts w:ascii="Arial" w:hAnsi="Arial" w:cs="Arial"/>
          <w:b/>
          <w:spacing w:val="-2"/>
          <w:sz w:val="24"/>
          <w:szCs w:val="20"/>
          <w:lang w:val="pl-PL"/>
        </w:rPr>
        <w:t>of 2022</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84"/>
        <w:gridCol w:w="2977"/>
      </w:tblGrid>
      <w:tr w:rsidR="00666E59" w:rsidRPr="00402091" w14:paraId="1ADF765B" w14:textId="77777777" w:rsidTr="00666E59">
        <w:trPr>
          <w:jc w:val="center"/>
        </w:trPr>
        <w:tc>
          <w:tcPr>
            <w:tcW w:w="4253" w:type="dxa"/>
          </w:tcPr>
          <w:p w14:paraId="79481136" w14:textId="77777777" w:rsidR="00666E59" w:rsidRPr="00402091" w:rsidRDefault="00666E59" w:rsidP="000F4C80">
            <w:pPr>
              <w:tabs>
                <w:tab w:val="num" w:pos="0"/>
                <w:tab w:val="left" w:pos="9475"/>
              </w:tabs>
              <w:spacing w:before="40" w:after="40" w:line="278" w:lineRule="auto"/>
              <w:ind w:right="119"/>
              <w:jc w:val="right"/>
              <w:rPr>
                <w:rFonts w:ascii="Arial" w:hAnsi="Arial" w:cs="Arial"/>
                <w:b/>
                <w:bCs/>
                <w:i/>
                <w:iCs/>
                <w:sz w:val="20"/>
                <w:szCs w:val="20"/>
              </w:rPr>
            </w:pPr>
          </w:p>
        </w:tc>
        <w:tc>
          <w:tcPr>
            <w:tcW w:w="1984" w:type="dxa"/>
            <w:tcBorders>
              <w:top w:val="single" w:sz="4" w:space="0" w:color="auto"/>
              <w:bottom w:val="single" w:sz="4" w:space="0" w:color="auto"/>
            </w:tcBorders>
          </w:tcPr>
          <w:p w14:paraId="5CC93828" w14:textId="77777777" w:rsidR="00666E59" w:rsidRDefault="00666E59" w:rsidP="000F4C80">
            <w:pPr>
              <w:spacing w:before="40" w:after="40"/>
              <w:jc w:val="center"/>
              <w:rPr>
                <w:rFonts w:ascii="Arial" w:hAnsi="Arial" w:cs="Arial"/>
                <w:color w:val="000000"/>
                <w:sz w:val="20"/>
                <w:szCs w:val="20"/>
              </w:rPr>
            </w:pPr>
            <w:r w:rsidRPr="00C57F67">
              <w:rPr>
                <w:rFonts w:ascii="Arial" w:hAnsi="Arial" w:cs="Arial"/>
                <w:color w:val="000000"/>
                <w:sz w:val="20"/>
                <w:szCs w:val="20"/>
                <w:lang w:val="en-US"/>
              </w:rPr>
              <w:t>Estimate</w:t>
            </w:r>
          </w:p>
          <w:p w14:paraId="2E7C33F8" w14:textId="77777777" w:rsidR="00666E59" w:rsidRDefault="00666E59" w:rsidP="000F4C80">
            <w:pPr>
              <w:spacing w:before="40" w:after="40"/>
              <w:jc w:val="center"/>
              <w:rPr>
                <w:rFonts w:ascii="Arial" w:hAnsi="Arial" w:cs="Arial"/>
                <w:color w:val="000000"/>
                <w:sz w:val="20"/>
                <w:szCs w:val="20"/>
              </w:rPr>
            </w:pPr>
            <w:r>
              <w:rPr>
                <w:rFonts w:ascii="Arial" w:hAnsi="Arial" w:cs="Arial"/>
                <w:color w:val="000000"/>
                <w:sz w:val="20"/>
                <w:szCs w:val="20"/>
              </w:rPr>
              <w:t>4 months</w:t>
            </w:r>
            <w:r w:rsidRPr="00402091">
              <w:rPr>
                <w:rFonts w:ascii="Arial" w:hAnsi="Arial" w:cs="Arial"/>
                <w:color w:val="000000"/>
                <w:sz w:val="20"/>
                <w:szCs w:val="20"/>
              </w:rPr>
              <w:t xml:space="preserve"> </w:t>
            </w:r>
            <w:r>
              <w:rPr>
                <w:rFonts w:ascii="Arial" w:hAnsi="Arial" w:cs="Arial"/>
                <w:color w:val="000000"/>
                <w:sz w:val="20"/>
                <w:szCs w:val="20"/>
              </w:rPr>
              <w:t xml:space="preserve">of </w:t>
            </w:r>
            <w:r w:rsidRPr="00402091">
              <w:rPr>
                <w:rFonts w:ascii="Arial" w:hAnsi="Arial" w:cs="Arial"/>
                <w:color w:val="000000"/>
                <w:sz w:val="20"/>
                <w:szCs w:val="20"/>
              </w:rPr>
              <w:t>2022</w:t>
            </w:r>
          </w:p>
          <w:p w14:paraId="6DE277F9" w14:textId="77777777" w:rsidR="00666E59" w:rsidRPr="00D93FAF" w:rsidRDefault="00666E59" w:rsidP="000F4C80">
            <w:pPr>
              <w:spacing w:before="40" w:after="40"/>
              <w:jc w:val="center"/>
              <w:rPr>
                <w:rFonts w:ascii="Arial" w:hAnsi="Arial" w:cs="Arial"/>
                <w:b/>
                <w:bCs/>
                <w:i/>
                <w:iCs/>
                <w:sz w:val="20"/>
                <w:szCs w:val="20"/>
              </w:rPr>
            </w:pPr>
            <w:r w:rsidRPr="002041F0">
              <w:rPr>
                <w:rFonts w:ascii="Arial" w:hAnsi="Arial" w:cs="Arial"/>
                <w:i/>
                <w:iCs/>
                <w:color w:val="000000"/>
                <w:sz w:val="20"/>
                <w:szCs w:val="20"/>
                <w:lang w:val="en-US"/>
              </w:rPr>
              <w:t>(Mill. USD)</w:t>
            </w:r>
          </w:p>
        </w:tc>
        <w:tc>
          <w:tcPr>
            <w:tcW w:w="2977" w:type="dxa"/>
            <w:tcBorders>
              <w:top w:val="single" w:sz="4" w:space="0" w:color="auto"/>
              <w:bottom w:val="single" w:sz="4" w:space="0" w:color="auto"/>
            </w:tcBorders>
            <w:vAlign w:val="center"/>
          </w:tcPr>
          <w:p w14:paraId="24218538" w14:textId="77777777" w:rsidR="00666E59" w:rsidRDefault="00666E59" w:rsidP="000F4C80">
            <w:pPr>
              <w:spacing w:before="40" w:after="40"/>
              <w:jc w:val="center"/>
              <w:rPr>
                <w:rFonts w:ascii="Arial" w:hAnsi="Arial" w:cs="Arial"/>
                <w:sz w:val="20"/>
                <w:szCs w:val="20"/>
              </w:rPr>
            </w:pPr>
            <w:r w:rsidRPr="007F6A49">
              <w:rPr>
                <w:rFonts w:ascii="Arial" w:hAnsi="Arial" w:cs="Arial"/>
                <w:sz w:val="20"/>
                <w:szCs w:val="20"/>
              </w:rPr>
              <w:t>Growth rate of</w:t>
            </w:r>
          </w:p>
          <w:p w14:paraId="35006F44" w14:textId="77777777" w:rsidR="00666E59" w:rsidRDefault="00666E59" w:rsidP="000F4C80">
            <w:pPr>
              <w:spacing w:before="40" w:after="40"/>
              <w:jc w:val="center"/>
              <w:rPr>
                <w:rFonts w:ascii="Arial" w:hAnsi="Arial" w:cs="Arial"/>
                <w:sz w:val="20"/>
                <w:szCs w:val="20"/>
                <w:lang w:val="en-US"/>
              </w:rPr>
            </w:pPr>
            <w:r>
              <w:rPr>
                <w:rFonts w:ascii="Arial" w:hAnsi="Arial" w:cs="Arial"/>
                <w:sz w:val="20"/>
                <w:szCs w:val="20"/>
              </w:rPr>
              <w:t xml:space="preserve">4 months of </w:t>
            </w:r>
            <w:r w:rsidRPr="002041F0">
              <w:rPr>
                <w:rFonts w:ascii="Arial" w:hAnsi="Arial" w:cs="Arial"/>
                <w:sz w:val="20"/>
                <w:szCs w:val="20"/>
              </w:rPr>
              <w:t xml:space="preserve"> 2022 </w:t>
            </w:r>
            <w:r w:rsidRPr="002041F0">
              <w:rPr>
                <w:rFonts w:ascii="Arial" w:hAnsi="Arial" w:cs="Arial"/>
                <w:sz w:val="20"/>
                <w:szCs w:val="20"/>
                <w:lang w:val="en-US"/>
              </w:rPr>
              <w:t>compare to</w:t>
            </w:r>
          </w:p>
          <w:p w14:paraId="6CB946D6" w14:textId="77777777" w:rsidR="00666E59" w:rsidRPr="002041F0" w:rsidRDefault="00666E59" w:rsidP="000F4C80">
            <w:pPr>
              <w:spacing w:before="40" w:after="40"/>
              <w:jc w:val="center"/>
              <w:rPr>
                <w:rFonts w:ascii="Arial" w:hAnsi="Arial" w:cs="Arial"/>
                <w:sz w:val="20"/>
                <w:szCs w:val="20"/>
              </w:rPr>
            </w:pPr>
            <w:r w:rsidRPr="002041F0">
              <w:rPr>
                <w:rFonts w:ascii="Arial" w:hAnsi="Arial" w:cs="Arial"/>
                <w:sz w:val="20"/>
                <w:szCs w:val="20"/>
                <w:lang w:val="en-US"/>
              </w:rPr>
              <w:t>the same period last year (%)</w:t>
            </w:r>
          </w:p>
        </w:tc>
      </w:tr>
      <w:tr w:rsidR="00666E59" w:rsidRPr="00402091" w14:paraId="5766C250" w14:textId="77777777" w:rsidTr="00666E59">
        <w:trPr>
          <w:jc w:val="center"/>
        </w:trPr>
        <w:tc>
          <w:tcPr>
            <w:tcW w:w="4253" w:type="dxa"/>
            <w:vAlign w:val="bottom"/>
          </w:tcPr>
          <w:p w14:paraId="09CC4938" w14:textId="77777777" w:rsidR="00666E59" w:rsidRPr="00402091" w:rsidRDefault="00666E59" w:rsidP="000F4C80">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84" w:type="dxa"/>
            <w:tcBorders>
              <w:top w:val="single" w:sz="4" w:space="0" w:color="auto"/>
            </w:tcBorders>
          </w:tcPr>
          <w:p w14:paraId="7D2199BE" w14:textId="77777777" w:rsidR="00666E59" w:rsidRPr="00402091" w:rsidRDefault="00666E59" w:rsidP="000F4C80">
            <w:pPr>
              <w:tabs>
                <w:tab w:val="num" w:pos="0"/>
                <w:tab w:val="left" w:pos="9475"/>
              </w:tabs>
              <w:spacing w:before="40" w:after="40" w:line="278" w:lineRule="auto"/>
              <w:ind w:right="119"/>
              <w:jc w:val="right"/>
              <w:rPr>
                <w:rFonts w:ascii="Arial" w:hAnsi="Arial" w:cs="Arial"/>
                <w:b/>
                <w:bCs/>
                <w:i/>
                <w:iCs/>
                <w:sz w:val="20"/>
                <w:szCs w:val="20"/>
              </w:rPr>
            </w:pPr>
          </w:p>
        </w:tc>
        <w:tc>
          <w:tcPr>
            <w:tcW w:w="2977" w:type="dxa"/>
            <w:tcBorders>
              <w:top w:val="single" w:sz="4" w:space="0" w:color="auto"/>
            </w:tcBorders>
          </w:tcPr>
          <w:p w14:paraId="0D141B44" w14:textId="77777777" w:rsidR="00666E59" w:rsidRPr="00402091" w:rsidRDefault="00666E59" w:rsidP="000F4C80">
            <w:pPr>
              <w:tabs>
                <w:tab w:val="num" w:pos="0"/>
                <w:tab w:val="left" w:pos="9475"/>
              </w:tabs>
              <w:spacing w:before="40" w:after="40" w:line="278" w:lineRule="auto"/>
              <w:ind w:right="119"/>
              <w:jc w:val="right"/>
              <w:rPr>
                <w:rFonts w:ascii="Arial" w:hAnsi="Arial" w:cs="Arial"/>
                <w:b/>
                <w:bCs/>
                <w:i/>
                <w:iCs/>
                <w:sz w:val="20"/>
                <w:szCs w:val="20"/>
              </w:rPr>
            </w:pPr>
          </w:p>
        </w:tc>
      </w:tr>
      <w:tr w:rsidR="00666E59" w:rsidRPr="00402091" w14:paraId="54EE09CA" w14:textId="77777777" w:rsidTr="00666E59">
        <w:trPr>
          <w:jc w:val="center"/>
        </w:trPr>
        <w:tc>
          <w:tcPr>
            <w:tcW w:w="4253" w:type="dxa"/>
            <w:vAlign w:val="bottom"/>
          </w:tcPr>
          <w:p w14:paraId="1C396343" w14:textId="77777777" w:rsidR="00666E59" w:rsidRPr="00402091" w:rsidRDefault="00666E59" w:rsidP="000F4C80">
            <w:pPr>
              <w:spacing w:before="40" w:after="60"/>
              <w:ind w:firstLine="171"/>
              <w:rPr>
                <w:rFonts w:ascii="Arial" w:hAnsi="Arial" w:cs="Arial"/>
                <w:sz w:val="20"/>
                <w:szCs w:val="20"/>
              </w:rPr>
            </w:pPr>
            <w:r w:rsidRPr="007F6A49">
              <w:rPr>
                <w:rFonts w:ascii="Arial" w:hAnsi="Arial" w:cs="Arial"/>
                <w:sz w:val="20"/>
                <w:szCs w:val="20"/>
              </w:rPr>
              <w:t>Phones all of kinds and their parts</w:t>
            </w:r>
          </w:p>
        </w:tc>
        <w:tc>
          <w:tcPr>
            <w:tcW w:w="1984" w:type="dxa"/>
            <w:vAlign w:val="bottom"/>
          </w:tcPr>
          <w:p w14:paraId="60A1BFE7" w14:textId="77777777" w:rsidR="00666E59" w:rsidRPr="00402091" w:rsidRDefault="00666E59" w:rsidP="000F4C80">
            <w:pPr>
              <w:spacing w:before="40" w:after="60"/>
              <w:ind w:right="317"/>
              <w:jc w:val="right"/>
              <w:rPr>
                <w:rFonts w:ascii="Arial" w:hAnsi="Arial" w:cs="Arial"/>
                <w:sz w:val="20"/>
                <w:szCs w:val="20"/>
              </w:rPr>
            </w:pPr>
            <w:r w:rsidRPr="0009737D">
              <w:rPr>
                <w:rFonts w:ascii="Arial" w:hAnsi="Arial" w:cs="Arial"/>
                <w:sz w:val="20"/>
                <w:szCs w:val="20"/>
              </w:rPr>
              <w:t>21</w:t>
            </w:r>
            <w:r>
              <w:rPr>
                <w:rFonts w:ascii="Arial" w:hAnsi="Arial" w:cs="Arial"/>
                <w:sz w:val="20"/>
                <w:szCs w:val="20"/>
              </w:rPr>
              <w:t>,</w:t>
            </w:r>
            <w:r w:rsidRPr="0009737D">
              <w:rPr>
                <w:rFonts w:ascii="Arial" w:hAnsi="Arial" w:cs="Arial"/>
                <w:sz w:val="20"/>
                <w:szCs w:val="20"/>
              </w:rPr>
              <w:t>075</w:t>
            </w:r>
          </w:p>
        </w:tc>
        <w:tc>
          <w:tcPr>
            <w:tcW w:w="2977" w:type="dxa"/>
            <w:vAlign w:val="bottom"/>
          </w:tcPr>
          <w:p w14:paraId="384BF475" w14:textId="77777777" w:rsidR="00666E59" w:rsidRPr="00402091" w:rsidRDefault="00666E59" w:rsidP="000F4C80">
            <w:pPr>
              <w:spacing w:before="40" w:after="60"/>
              <w:ind w:right="885"/>
              <w:jc w:val="right"/>
              <w:rPr>
                <w:rFonts w:ascii="Arial" w:hAnsi="Arial" w:cs="Arial"/>
                <w:sz w:val="20"/>
                <w:szCs w:val="20"/>
              </w:rPr>
            </w:pPr>
            <w:r w:rsidRPr="0009737D">
              <w:rPr>
                <w:rFonts w:ascii="Arial" w:hAnsi="Arial" w:cs="Arial"/>
                <w:sz w:val="20"/>
                <w:szCs w:val="20"/>
              </w:rPr>
              <w:t>15</w:t>
            </w:r>
            <w:r>
              <w:rPr>
                <w:rFonts w:ascii="Arial" w:hAnsi="Arial" w:cs="Arial"/>
                <w:sz w:val="20"/>
                <w:szCs w:val="20"/>
              </w:rPr>
              <w:t>.</w:t>
            </w:r>
            <w:r w:rsidRPr="0009737D">
              <w:rPr>
                <w:rFonts w:ascii="Arial" w:hAnsi="Arial" w:cs="Arial"/>
                <w:sz w:val="20"/>
                <w:szCs w:val="20"/>
              </w:rPr>
              <w:t>9</w:t>
            </w:r>
          </w:p>
        </w:tc>
      </w:tr>
      <w:tr w:rsidR="00666E59" w:rsidRPr="00402091" w14:paraId="231B9784" w14:textId="77777777" w:rsidTr="00666E59">
        <w:trPr>
          <w:jc w:val="center"/>
        </w:trPr>
        <w:tc>
          <w:tcPr>
            <w:tcW w:w="4253" w:type="dxa"/>
            <w:vAlign w:val="bottom"/>
          </w:tcPr>
          <w:p w14:paraId="4AFA69B1" w14:textId="77777777" w:rsidR="00666E59" w:rsidRPr="00402091" w:rsidRDefault="00666E59" w:rsidP="000F4C80">
            <w:pPr>
              <w:spacing w:before="40" w:after="60"/>
              <w:ind w:firstLine="171"/>
              <w:rPr>
                <w:rFonts w:ascii="Arial" w:hAnsi="Arial" w:cs="Arial"/>
                <w:sz w:val="20"/>
                <w:szCs w:val="20"/>
              </w:rPr>
            </w:pPr>
            <w:r w:rsidRPr="007F6A49">
              <w:rPr>
                <w:rFonts w:ascii="Arial" w:hAnsi="Arial" w:cs="Arial"/>
                <w:sz w:val="20"/>
                <w:szCs w:val="20"/>
              </w:rPr>
              <w:t>Electronic goods, computers and their parts</w:t>
            </w:r>
          </w:p>
        </w:tc>
        <w:tc>
          <w:tcPr>
            <w:tcW w:w="1984" w:type="dxa"/>
            <w:vAlign w:val="bottom"/>
          </w:tcPr>
          <w:p w14:paraId="03B586F1" w14:textId="77777777" w:rsidR="00666E59" w:rsidRPr="00402091" w:rsidRDefault="00666E59" w:rsidP="000F4C80">
            <w:pPr>
              <w:spacing w:before="40" w:after="60"/>
              <w:ind w:right="317"/>
              <w:jc w:val="right"/>
              <w:rPr>
                <w:rFonts w:ascii="Arial" w:hAnsi="Arial" w:cs="Arial"/>
                <w:sz w:val="20"/>
                <w:szCs w:val="20"/>
              </w:rPr>
            </w:pPr>
            <w:r w:rsidRPr="0009737D">
              <w:rPr>
                <w:rFonts w:ascii="Arial" w:hAnsi="Arial" w:cs="Arial"/>
                <w:sz w:val="20"/>
                <w:szCs w:val="20"/>
              </w:rPr>
              <w:t>18</w:t>
            </w:r>
            <w:r>
              <w:rPr>
                <w:rFonts w:ascii="Arial" w:hAnsi="Arial" w:cs="Arial"/>
                <w:sz w:val="20"/>
                <w:szCs w:val="20"/>
              </w:rPr>
              <w:t>,</w:t>
            </w:r>
            <w:r w:rsidRPr="0009737D">
              <w:rPr>
                <w:rFonts w:ascii="Arial" w:hAnsi="Arial" w:cs="Arial"/>
                <w:sz w:val="20"/>
                <w:szCs w:val="20"/>
              </w:rPr>
              <w:t>040</w:t>
            </w:r>
          </w:p>
        </w:tc>
        <w:tc>
          <w:tcPr>
            <w:tcW w:w="2977" w:type="dxa"/>
            <w:vAlign w:val="bottom"/>
          </w:tcPr>
          <w:p w14:paraId="660684A5" w14:textId="77777777" w:rsidR="00666E59" w:rsidRPr="00402091" w:rsidRDefault="00666E59" w:rsidP="000F4C80">
            <w:pPr>
              <w:spacing w:before="40" w:after="60"/>
              <w:ind w:right="885"/>
              <w:jc w:val="right"/>
              <w:rPr>
                <w:rFonts w:ascii="Arial" w:hAnsi="Arial" w:cs="Arial"/>
                <w:sz w:val="20"/>
                <w:szCs w:val="20"/>
              </w:rPr>
            </w:pPr>
            <w:r w:rsidRPr="0009737D">
              <w:rPr>
                <w:rFonts w:ascii="Arial" w:hAnsi="Arial" w:cs="Arial"/>
                <w:sz w:val="20"/>
                <w:szCs w:val="20"/>
              </w:rPr>
              <w:t>13</w:t>
            </w:r>
            <w:r>
              <w:rPr>
                <w:rFonts w:ascii="Arial" w:hAnsi="Arial" w:cs="Arial"/>
                <w:sz w:val="20"/>
                <w:szCs w:val="20"/>
              </w:rPr>
              <w:t>.</w:t>
            </w:r>
            <w:r w:rsidRPr="0009737D">
              <w:rPr>
                <w:rFonts w:ascii="Arial" w:hAnsi="Arial" w:cs="Arial"/>
                <w:sz w:val="20"/>
                <w:szCs w:val="20"/>
              </w:rPr>
              <w:t>8</w:t>
            </w:r>
          </w:p>
        </w:tc>
      </w:tr>
      <w:tr w:rsidR="00666E59" w:rsidRPr="00402091" w14:paraId="6A632C56" w14:textId="77777777" w:rsidTr="00666E59">
        <w:trPr>
          <w:jc w:val="center"/>
        </w:trPr>
        <w:tc>
          <w:tcPr>
            <w:tcW w:w="4253" w:type="dxa"/>
            <w:vAlign w:val="bottom"/>
          </w:tcPr>
          <w:p w14:paraId="74907A2B" w14:textId="77777777" w:rsidR="00666E59" w:rsidRPr="00402091" w:rsidRDefault="00666E59" w:rsidP="000F4C80">
            <w:pPr>
              <w:spacing w:before="40" w:after="60"/>
              <w:ind w:firstLine="171"/>
              <w:rPr>
                <w:rFonts w:ascii="Arial" w:hAnsi="Arial" w:cs="Arial"/>
                <w:sz w:val="20"/>
                <w:szCs w:val="20"/>
              </w:rPr>
            </w:pPr>
            <w:r w:rsidRPr="00E80A96">
              <w:rPr>
                <w:rFonts w:ascii="Arial" w:hAnsi="Arial" w:cs="Arial"/>
                <w:sz w:val="20"/>
                <w:szCs w:val="20"/>
              </w:rPr>
              <w:t>Machinery, instrument, accessory</w:t>
            </w:r>
          </w:p>
        </w:tc>
        <w:tc>
          <w:tcPr>
            <w:tcW w:w="1984" w:type="dxa"/>
            <w:vAlign w:val="bottom"/>
          </w:tcPr>
          <w:p w14:paraId="65ABADF1" w14:textId="77777777" w:rsidR="00666E59" w:rsidRPr="00402091" w:rsidRDefault="00666E59" w:rsidP="000F4C80">
            <w:pPr>
              <w:spacing w:before="40" w:after="60"/>
              <w:ind w:right="320" w:firstLine="171"/>
              <w:jc w:val="right"/>
              <w:rPr>
                <w:rFonts w:ascii="Arial" w:hAnsi="Arial" w:cs="Arial"/>
                <w:sz w:val="20"/>
                <w:szCs w:val="20"/>
              </w:rPr>
            </w:pPr>
            <w:r w:rsidRPr="0009737D">
              <w:rPr>
                <w:rFonts w:ascii="Arial" w:hAnsi="Arial" w:cs="Arial"/>
                <w:sz w:val="20"/>
                <w:szCs w:val="20"/>
              </w:rPr>
              <w:t>13</w:t>
            </w:r>
            <w:r>
              <w:rPr>
                <w:rFonts w:ascii="Arial" w:hAnsi="Arial" w:cs="Arial"/>
                <w:sz w:val="20"/>
                <w:szCs w:val="20"/>
              </w:rPr>
              <w:t>,</w:t>
            </w:r>
            <w:r w:rsidRPr="0009737D">
              <w:rPr>
                <w:rFonts w:ascii="Arial" w:hAnsi="Arial" w:cs="Arial"/>
                <w:sz w:val="20"/>
                <w:szCs w:val="20"/>
              </w:rPr>
              <w:t>452</w:t>
            </w:r>
          </w:p>
        </w:tc>
        <w:tc>
          <w:tcPr>
            <w:tcW w:w="2977" w:type="dxa"/>
            <w:vAlign w:val="bottom"/>
          </w:tcPr>
          <w:p w14:paraId="063CED2B" w14:textId="77777777" w:rsidR="00666E59" w:rsidRPr="00402091" w:rsidRDefault="00666E59" w:rsidP="000F4C80">
            <w:pPr>
              <w:spacing w:before="40" w:after="60"/>
              <w:ind w:right="885"/>
              <w:jc w:val="right"/>
              <w:rPr>
                <w:rFonts w:ascii="Arial" w:hAnsi="Arial" w:cs="Arial"/>
                <w:sz w:val="20"/>
                <w:szCs w:val="20"/>
              </w:rPr>
            </w:pPr>
            <w:r w:rsidRPr="0009737D">
              <w:rPr>
                <w:rFonts w:ascii="Arial" w:hAnsi="Arial" w:cs="Arial"/>
                <w:sz w:val="20"/>
                <w:szCs w:val="20"/>
              </w:rPr>
              <w:t>10</w:t>
            </w:r>
            <w:r>
              <w:rPr>
                <w:rFonts w:ascii="Arial" w:hAnsi="Arial" w:cs="Arial"/>
                <w:sz w:val="20"/>
                <w:szCs w:val="20"/>
              </w:rPr>
              <w:t>.</w:t>
            </w:r>
            <w:r w:rsidRPr="0009737D">
              <w:rPr>
                <w:rFonts w:ascii="Arial" w:hAnsi="Arial" w:cs="Arial"/>
                <w:sz w:val="20"/>
                <w:szCs w:val="20"/>
              </w:rPr>
              <w:t>2</w:t>
            </w:r>
          </w:p>
        </w:tc>
      </w:tr>
      <w:tr w:rsidR="00666E59" w:rsidRPr="00402091" w14:paraId="6E0EADA7" w14:textId="77777777" w:rsidTr="00666E59">
        <w:trPr>
          <w:jc w:val="center"/>
        </w:trPr>
        <w:tc>
          <w:tcPr>
            <w:tcW w:w="4253" w:type="dxa"/>
            <w:vAlign w:val="bottom"/>
          </w:tcPr>
          <w:p w14:paraId="79A8D567" w14:textId="77777777" w:rsidR="00666E59" w:rsidRPr="00402091" w:rsidRDefault="00666E59" w:rsidP="000F4C80">
            <w:pPr>
              <w:spacing w:before="40" w:after="60"/>
              <w:ind w:firstLine="171"/>
              <w:rPr>
                <w:rFonts w:ascii="Arial" w:hAnsi="Arial" w:cs="Arial"/>
                <w:sz w:val="20"/>
                <w:szCs w:val="20"/>
              </w:rPr>
            </w:pPr>
            <w:r w:rsidRPr="007F6A49">
              <w:rPr>
                <w:rFonts w:ascii="Arial" w:hAnsi="Arial" w:cs="Arial"/>
                <w:sz w:val="20"/>
                <w:szCs w:val="20"/>
              </w:rPr>
              <w:t>Textiles and garments</w:t>
            </w:r>
          </w:p>
        </w:tc>
        <w:tc>
          <w:tcPr>
            <w:tcW w:w="1984" w:type="dxa"/>
            <w:vAlign w:val="bottom"/>
          </w:tcPr>
          <w:p w14:paraId="5D0FBB6A" w14:textId="77777777" w:rsidR="00666E59" w:rsidRPr="00402091" w:rsidRDefault="00666E59" w:rsidP="000F4C80">
            <w:pPr>
              <w:spacing w:before="40" w:after="60"/>
              <w:ind w:right="317"/>
              <w:jc w:val="right"/>
              <w:rPr>
                <w:rFonts w:ascii="Arial" w:hAnsi="Arial" w:cs="Arial"/>
                <w:sz w:val="20"/>
                <w:szCs w:val="20"/>
              </w:rPr>
            </w:pPr>
            <w:r w:rsidRPr="0009737D">
              <w:rPr>
                <w:rFonts w:ascii="Arial" w:hAnsi="Arial" w:cs="Arial"/>
                <w:sz w:val="20"/>
                <w:szCs w:val="20"/>
              </w:rPr>
              <w:t>11</w:t>
            </w:r>
            <w:r>
              <w:rPr>
                <w:rFonts w:ascii="Arial" w:hAnsi="Arial" w:cs="Arial"/>
                <w:sz w:val="20"/>
                <w:szCs w:val="20"/>
              </w:rPr>
              <w:t>,</w:t>
            </w:r>
            <w:r w:rsidRPr="0009737D">
              <w:rPr>
                <w:rFonts w:ascii="Arial" w:hAnsi="Arial" w:cs="Arial"/>
                <w:sz w:val="20"/>
                <w:szCs w:val="20"/>
              </w:rPr>
              <w:t>778</w:t>
            </w:r>
          </w:p>
        </w:tc>
        <w:tc>
          <w:tcPr>
            <w:tcW w:w="2977" w:type="dxa"/>
            <w:vAlign w:val="bottom"/>
          </w:tcPr>
          <w:p w14:paraId="3F95BA08" w14:textId="77777777" w:rsidR="00666E59" w:rsidRPr="00402091" w:rsidRDefault="00666E59" w:rsidP="000F4C80">
            <w:pPr>
              <w:spacing w:before="40" w:after="60"/>
              <w:ind w:right="885"/>
              <w:jc w:val="right"/>
              <w:rPr>
                <w:rFonts w:ascii="Arial" w:hAnsi="Arial" w:cs="Arial"/>
                <w:sz w:val="20"/>
                <w:szCs w:val="20"/>
              </w:rPr>
            </w:pPr>
            <w:r w:rsidRPr="0009737D">
              <w:rPr>
                <w:rFonts w:ascii="Arial" w:hAnsi="Arial" w:cs="Arial"/>
                <w:sz w:val="20"/>
                <w:szCs w:val="20"/>
              </w:rPr>
              <w:t>21</w:t>
            </w:r>
            <w:r>
              <w:rPr>
                <w:rFonts w:ascii="Arial" w:hAnsi="Arial" w:cs="Arial"/>
                <w:sz w:val="20"/>
                <w:szCs w:val="20"/>
              </w:rPr>
              <w:t>.</w:t>
            </w:r>
            <w:r w:rsidRPr="0009737D">
              <w:rPr>
                <w:rFonts w:ascii="Arial" w:hAnsi="Arial" w:cs="Arial"/>
                <w:sz w:val="20"/>
                <w:szCs w:val="20"/>
              </w:rPr>
              <w:t>6</w:t>
            </w:r>
          </w:p>
        </w:tc>
      </w:tr>
      <w:tr w:rsidR="00666E59" w:rsidRPr="00402091" w14:paraId="10D095F5" w14:textId="77777777" w:rsidTr="00666E59">
        <w:trPr>
          <w:jc w:val="center"/>
        </w:trPr>
        <w:tc>
          <w:tcPr>
            <w:tcW w:w="4253" w:type="dxa"/>
            <w:vAlign w:val="bottom"/>
          </w:tcPr>
          <w:p w14:paraId="4428DD53" w14:textId="77777777" w:rsidR="00666E59" w:rsidRPr="00402091" w:rsidRDefault="00666E59" w:rsidP="000F4C80">
            <w:pPr>
              <w:spacing w:before="40" w:after="60"/>
              <w:ind w:firstLine="171"/>
              <w:rPr>
                <w:rFonts w:ascii="Arial" w:hAnsi="Arial" w:cs="Arial"/>
                <w:sz w:val="20"/>
                <w:szCs w:val="20"/>
              </w:rPr>
            </w:pPr>
            <w:r w:rsidRPr="002041F0">
              <w:rPr>
                <w:rFonts w:ascii="Arial" w:hAnsi="Arial" w:cs="Arial"/>
                <w:sz w:val="20"/>
                <w:szCs w:val="20"/>
              </w:rPr>
              <w:t>Footwear</w:t>
            </w:r>
          </w:p>
        </w:tc>
        <w:tc>
          <w:tcPr>
            <w:tcW w:w="1984" w:type="dxa"/>
            <w:vAlign w:val="bottom"/>
          </w:tcPr>
          <w:p w14:paraId="6EBF8427" w14:textId="77777777" w:rsidR="00666E59" w:rsidRPr="00402091" w:rsidRDefault="00666E59" w:rsidP="000F4C80">
            <w:pPr>
              <w:spacing w:before="40" w:after="60"/>
              <w:ind w:right="317"/>
              <w:jc w:val="right"/>
              <w:rPr>
                <w:rFonts w:ascii="Arial" w:hAnsi="Arial" w:cs="Arial"/>
                <w:sz w:val="20"/>
                <w:szCs w:val="20"/>
              </w:rPr>
            </w:pPr>
            <w:r w:rsidRPr="0009737D">
              <w:rPr>
                <w:rFonts w:ascii="Arial" w:hAnsi="Arial" w:cs="Arial"/>
                <w:sz w:val="20"/>
                <w:szCs w:val="20"/>
              </w:rPr>
              <w:t>7</w:t>
            </w:r>
            <w:r>
              <w:rPr>
                <w:rFonts w:ascii="Arial" w:hAnsi="Arial" w:cs="Arial"/>
                <w:sz w:val="20"/>
                <w:szCs w:val="20"/>
              </w:rPr>
              <w:t>,</w:t>
            </w:r>
            <w:r w:rsidRPr="0009737D">
              <w:rPr>
                <w:rFonts w:ascii="Arial" w:hAnsi="Arial" w:cs="Arial"/>
                <w:sz w:val="20"/>
                <w:szCs w:val="20"/>
              </w:rPr>
              <w:t>344</w:t>
            </w:r>
          </w:p>
        </w:tc>
        <w:tc>
          <w:tcPr>
            <w:tcW w:w="2977" w:type="dxa"/>
            <w:vAlign w:val="bottom"/>
          </w:tcPr>
          <w:p w14:paraId="443DC58D" w14:textId="77777777" w:rsidR="00666E59" w:rsidRPr="00402091" w:rsidRDefault="00666E59" w:rsidP="000F4C80">
            <w:pPr>
              <w:spacing w:before="40" w:after="60"/>
              <w:ind w:right="885"/>
              <w:jc w:val="right"/>
              <w:rPr>
                <w:rFonts w:ascii="Arial" w:hAnsi="Arial" w:cs="Arial"/>
                <w:sz w:val="20"/>
                <w:szCs w:val="20"/>
              </w:rPr>
            </w:pPr>
            <w:r w:rsidRPr="0009737D">
              <w:rPr>
                <w:rFonts w:ascii="Arial" w:hAnsi="Arial" w:cs="Arial"/>
                <w:sz w:val="20"/>
                <w:szCs w:val="20"/>
              </w:rPr>
              <w:t>12</w:t>
            </w:r>
            <w:r>
              <w:rPr>
                <w:rFonts w:ascii="Arial" w:hAnsi="Arial" w:cs="Arial"/>
                <w:sz w:val="20"/>
                <w:szCs w:val="20"/>
              </w:rPr>
              <w:t>.</w:t>
            </w:r>
            <w:r w:rsidRPr="0009737D">
              <w:rPr>
                <w:rFonts w:ascii="Arial" w:hAnsi="Arial" w:cs="Arial"/>
                <w:sz w:val="20"/>
                <w:szCs w:val="20"/>
              </w:rPr>
              <w:t>6</w:t>
            </w:r>
          </w:p>
        </w:tc>
      </w:tr>
      <w:tr w:rsidR="00666E59" w:rsidRPr="00402091" w14:paraId="37E02478" w14:textId="77777777" w:rsidTr="00666E59">
        <w:trPr>
          <w:jc w:val="center"/>
        </w:trPr>
        <w:tc>
          <w:tcPr>
            <w:tcW w:w="4253" w:type="dxa"/>
            <w:vAlign w:val="bottom"/>
          </w:tcPr>
          <w:p w14:paraId="2D15826A" w14:textId="77777777" w:rsidR="00666E59" w:rsidRPr="002041F0" w:rsidRDefault="00666E59" w:rsidP="000F4C80">
            <w:pPr>
              <w:spacing w:before="40" w:after="60"/>
              <w:ind w:firstLine="171"/>
              <w:rPr>
                <w:rFonts w:ascii="Arial" w:hAnsi="Arial" w:cs="Arial"/>
                <w:sz w:val="20"/>
                <w:szCs w:val="20"/>
              </w:rPr>
            </w:pPr>
            <w:r w:rsidRPr="00A62E65">
              <w:rPr>
                <w:rFonts w:ascii="Arial" w:hAnsi="Arial" w:cs="Arial"/>
                <w:sz w:val="20"/>
                <w:szCs w:val="20"/>
              </w:rPr>
              <w:t>Wood and products</w:t>
            </w:r>
          </w:p>
        </w:tc>
        <w:tc>
          <w:tcPr>
            <w:tcW w:w="1984" w:type="dxa"/>
            <w:vAlign w:val="bottom"/>
          </w:tcPr>
          <w:p w14:paraId="2D38EF01" w14:textId="77777777" w:rsidR="00666E59" w:rsidRPr="00402091" w:rsidRDefault="00666E59" w:rsidP="000F4C80">
            <w:pPr>
              <w:spacing w:before="40" w:after="60"/>
              <w:ind w:right="317"/>
              <w:jc w:val="right"/>
              <w:rPr>
                <w:rFonts w:ascii="Arial" w:hAnsi="Arial" w:cs="Arial"/>
                <w:sz w:val="20"/>
                <w:szCs w:val="20"/>
              </w:rPr>
            </w:pPr>
            <w:r w:rsidRPr="0009737D">
              <w:rPr>
                <w:rFonts w:ascii="Arial" w:hAnsi="Arial" w:cs="Arial"/>
                <w:sz w:val="20"/>
                <w:szCs w:val="20"/>
              </w:rPr>
              <w:t>5</w:t>
            </w:r>
            <w:r>
              <w:rPr>
                <w:rFonts w:ascii="Arial" w:hAnsi="Arial" w:cs="Arial"/>
                <w:sz w:val="20"/>
                <w:szCs w:val="20"/>
              </w:rPr>
              <w:t>,</w:t>
            </w:r>
            <w:r w:rsidRPr="0009737D">
              <w:rPr>
                <w:rFonts w:ascii="Arial" w:hAnsi="Arial" w:cs="Arial"/>
                <w:sz w:val="20"/>
                <w:szCs w:val="20"/>
              </w:rPr>
              <w:t>479</w:t>
            </w:r>
          </w:p>
        </w:tc>
        <w:tc>
          <w:tcPr>
            <w:tcW w:w="2977" w:type="dxa"/>
            <w:vAlign w:val="bottom"/>
          </w:tcPr>
          <w:p w14:paraId="7C35D2AD" w14:textId="77777777" w:rsidR="00666E59" w:rsidRDefault="00666E59" w:rsidP="000F4C80">
            <w:pPr>
              <w:spacing w:before="40" w:after="60"/>
              <w:ind w:right="885"/>
              <w:jc w:val="right"/>
              <w:rPr>
                <w:rFonts w:ascii="Arial" w:hAnsi="Arial" w:cs="Arial"/>
                <w:sz w:val="20"/>
                <w:szCs w:val="20"/>
              </w:rPr>
            </w:pPr>
            <w:r w:rsidRPr="0009737D">
              <w:rPr>
                <w:rFonts w:ascii="Arial" w:hAnsi="Arial" w:cs="Arial"/>
                <w:sz w:val="20"/>
                <w:szCs w:val="20"/>
              </w:rPr>
              <w:t>4</w:t>
            </w:r>
            <w:r>
              <w:rPr>
                <w:rFonts w:ascii="Arial" w:hAnsi="Arial" w:cs="Arial"/>
                <w:sz w:val="20"/>
                <w:szCs w:val="20"/>
              </w:rPr>
              <w:t>.</w:t>
            </w:r>
            <w:r w:rsidRPr="0009737D">
              <w:rPr>
                <w:rFonts w:ascii="Arial" w:hAnsi="Arial" w:cs="Arial"/>
                <w:sz w:val="20"/>
                <w:szCs w:val="20"/>
              </w:rPr>
              <w:t>5</w:t>
            </w:r>
          </w:p>
        </w:tc>
      </w:tr>
    </w:tbl>
    <w:p w14:paraId="62E47D8F" w14:textId="77777777" w:rsidR="003871F8" w:rsidRPr="001A2C17" w:rsidRDefault="003871F8" w:rsidP="003871F8">
      <w:pPr>
        <w:tabs>
          <w:tab w:val="num" w:pos="0"/>
          <w:tab w:val="left" w:pos="9475"/>
        </w:tabs>
        <w:spacing w:before="40" w:after="40" w:line="278" w:lineRule="auto"/>
        <w:ind w:right="119" w:firstLine="567"/>
        <w:jc w:val="right"/>
        <w:rPr>
          <w:rFonts w:ascii="Arial" w:hAnsi="Arial" w:cs="Arial"/>
          <w:b/>
          <w:bCs/>
          <w:i/>
          <w:iCs/>
          <w:sz w:val="2"/>
          <w:szCs w:val="20"/>
          <w:lang w:val="es-NI"/>
        </w:rPr>
      </w:pPr>
    </w:p>
    <w:p w14:paraId="72B1BEF2" w14:textId="77777777" w:rsidR="003871F8" w:rsidRDefault="003871F8" w:rsidP="003871F8">
      <w:pPr>
        <w:rPr>
          <w:rFonts w:eastAsia="Batang"/>
          <w:bCs/>
          <w:i/>
          <w:spacing w:val="-6"/>
          <w:sz w:val="2"/>
        </w:rPr>
      </w:pPr>
    </w:p>
    <w:p w14:paraId="27F74E9D" w14:textId="77777777" w:rsidR="003871F8" w:rsidRPr="00FF3382" w:rsidRDefault="003871F8" w:rsidP="003871F8">
      <w:pPr>
        <w:rPr>
          <w:rFonts w:eastAsia="Batang"/>
          <w:bCs/>
          <w:i/>
          <w:spacing w:val="-6"/>
          <w:sz w:val="2"/>
        </w:rPr>
      </w:pPr>
    </w:p>
    <w:p w14:paraId="0A206487" w14:textId="04045EEA" w:rsidR="005352F7" w:rsidRPr="004C6448" w:rsidRDefault="00301E9C" w:rsidP="005352F7">
      <w:pPr>
        <w:spacing w:before="40" w:after="40" w:line="257" w:lineRule="auto"/>
        <w:jc w:val="both"/>
        <w:rPr>
          <w:rFonts w:ascii="Times New Roman" w:eastAsia="Batang" w:hAnsi="Times New Roman" w:cs="Times New Roman"/>
          <w:bCs/>
          <w:iCs/>
          <w:spacing w:val="-10"/>
          <w:sz w:val="28"/>
          <w:szCs w:val="28"/>
        </w:rPr>
      </w:pPr>
      <w:r>
        <w:rPr>
          <w:rFonts w:ascii="Times New Roman" w:eastAsia="Batang" w:hAnsi="Times New Roman" w:cs="Times New Roman"/>
          <w:bCs/>
          <w:i/>
          <w:noProof/>
          <w:spacing w:val="-6"/>
          <w:sz w:val="28"/>
          <w:szCs w:val="28"/>
          <w:lang w:eastAsia="en-GB"/>
        </w:rPr>
        <w:lastRenderedPageBreak/>
        <w:pict w14:anchorId="4045EF6F">
          <v:shapetype id="_x0000_t202" coordsize="21600,21600" o:spt="202" path="m,l,21600r21600,l21600,xe">
            <v:stroke joinstyle="miter"/>
            <v:path gradientshapeok="t" o:connecttype="rect"/>
          </v:shapetype>
          <v:shape id="Text Box 2" o:spid="_x0000_s1030" type="#_x0000_t202" style="position:absolute;left:0;text-align:left;margin-left:1.95pt;margin-top:1.65pt;width:285.6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" stroked="f">
            <v:textbox style="mso-next-textbox:#Text Box 2" inset="1mm,1mm,1mm,1mm">
              <w:txbxContent>
                <w:p w14:paraId="2E79FE5E" w14:textId="77777777" w:rsidR="009F18B1" w:rsidRPr="00675426" w:rsidRDefault="009F18B1" w:rsidP="009F18B1">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3</w:t>
                  </w:r>
                  <w:r w:rsidRPr="00675426">
                    <w:rPr>
                      <w:rFonts w:ascii="Arial" w:hAnsi="Arial" w:cs="Arial"/>
                      <w:b/>
                      <w:bCs/>
                    </w:rPr>
                    <w:t>. Structure of export groups</w:t>
                  </w:r>
                </w:p>
                <w:p w14:paraId="19202069" w14:textId="77777777" w:rsidR="009F18B1" w:rsidRDefault="009F18B1" w:rsidP="009F18B1">
                  <w:pPr>
                    <w:spacing w:after="0" w:line="240" w:lineRule="auto"/>
                    <w:jc w:val="center"/>
                    <w:rPr>
                      <w:rFonts w:ascii="Arial" w:hAnsi="Arial" w:cs="Arial"/>
                      <w:b/>
                      <w:bCs/>
                      <w:sz w:val="24"/>
                      <w:szCs w:val="24"/>
                    </w:rPr>
                  </w:pPr>
                  <w:r>
                    <w:rPr>
                      <w:rFonts w:ascii="Arial" w:hAnsi="Arial" w:cs="Arial"/>
                      <w:b/>
                      <w:bCs/>
                    </w:rPr>
                    <w:t>in 4 months</w:t>
                  </w:r>
                  <w:r w:rsidRPr="00675426">
                    <w:rPr>
                      <w:rFonts w:ascii="Arial" w:hAnsi="Arial" w:cs="Arial"/>
                      <w:b/>
                      <w:bCs/>
                    </w:rPr>
                    <w:t xml:space="preserve"> of 2022 by commodity group</w:t>
                  </w:r>
                </w:p>
                <w:p w14:paraId="4ACCAEA6" w14:textId="77777777" w:rsidR="003871F8" w:rsidRDefault="003871F8" w:rsidP="003871F8">
                  <w:pPr>
                    <w:spacing w:after="0" w:line="240" w:lineRule="auto"/>
                    <w:jc w:val="center"/>
                    <w:rPr>
                      <w:rFonts w:ascii="Arial" w:hAnsi="Arial" w:cs="Arial"/>
                      <w:b/>
                      <w:bCs/>
                      <w:sz w:val="24"/>
                      <w:szCs w:val="24"/>
                    </w:rPr>
                  </w:pPr>
                </w:p>
                <w:p w14:paraId="2954FFE1" w14:textId="63208921" w:rsidR="003871F8" w:rsidRPr="00271B83" w:rsidRDefault="009F18B1" w:rsidP="003871F8">
                  <w:pPr>
                    <w:ind w:left="-142"/>
                    <w:jc w:val="center"/>
                    <w:rPr>
                      <w:rFonts w:ascii="Arial" w:hAnsi="Arial" w:cs="Arial"/>
                      <w:sz w:val="24"/>
                      <w:szCs w:val="24"/>
                    </w:rPr>
                  </w:pPr>
                  <w:r w:rsidRPr="005D2983">
                    <w:rPr>
                      <w:noProof/>
                    </w:rPr>
                    <w:drawing>
                      <wp:inline distT="0" distB="0" distL="0" distR="0" wp14:anchorId="72399BC4" wp14:editId="271993CF">
                        <wp:extent cx="3395345" cy="17183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18310"/>
                                </a:xfrm>
                                <a:prstGeom prst="rect">
                                  <a:avLst/>
                                </a:prstGeom>
                                <a:noFill/>
                                <a:ln>
                                  <a:noFill/>
                                </a:ln>
                              </pic:spPr>
                            </pic:pic>
                          </a:graphicData>
                        </a:graphic>
                      </wp:inline>
                    </w:drawing>
                  </w:r>
                </w:p>
              </w:txbxContent>
            </v:textbox>
            <w10:wrap type="square"/>
          </v:shape>
        </w:pict>
      </w:r>
      <w:r w:rsidR="003871F8" w:rsidRPr="00F66505">
        <w:rPr>
          <w:rFonts w:eastAsia="Batang"/>
          <w:bCs/>
          <w:i/>
          <w:noProof/>
          <w:spacing w:val="-6"/>
        </w:rPr>
        <w:t xml:space="preserve"> </w:t>
      </w:r>
      <w:r w:rsidR="004C6448">
        <w:rPr>
          <w:rFonts w:ascii="Times New Roman" w:eastAsia="Batang" w:hAnsi="Times New Roman" w:cs="Times New Roman"/>
          <w:bCs/>
          <w:i/>
          <w:noProof/>
          <w:spacing w:val="-10"/>
          <w:sz w:val="28"/>
          <w:szCs w:val="28"/>
        </w:rPr>
        <w:t>Re</w:t>
      </w:r>
      <w:r w:rsidR="005352F7" w:rsidRPr="004C6448">
        <w:rPr>
          <w:rFonts w:ascii="Times New Roman" w:eastAsia="Batang" w:hAnsi="Times New Roman" w:cs="Times New Roman"/>
          <w:bCs/>
          <w:i/>
          <w:noProof/>
          <w:spacing w:val="-10"/>
          <w:sz w:val="28"/>
          <w:szCs w:val="28"/>
        </w:rPr>
        <w:t xml:space="preserve">garding the structure of export products in 4 months of 2022, </w:t>
      </w:r>
      <w:r w:rsidR="005352F7" w:rsidRPr="004C6448">
        <w:rPr>
          <w:rFonts w:ascii="Times New Roman" w:eastAsia="Batang" w:hAnsi="Times New Roman" w:cs="Times New Roman"/>
          <w:bCs/>
          <w:iCs/>
          <w:noProof/>
          <w:spacing w:val="-10"/>
          <w:sz w:val="28"/>
          <w:szCs w:val="28"/>
        </w:rPr>
        <w:t>fuel and mineral products accounted for 1.3%, up 0.4 percentage points over the same period last year; processed industrial products accounted for 89%, down 0.5 percentage points; agricultural and forestry products accounted for 6.8%, down 0.5 percentage point; aquatic products accounted for 2.9%, up 0.6 percentage points.</w:t>
      </w:r>
    </w:p>
    <w:p w14:paraId="558FAAE2" w14:textId="17BD4CA3" w:rsidR="003871F8" w:rsidRPr="00F66505" w:rsidRDefault="003871F8" w:rsidP="003871F8">
      <w:pPr>
        <w:spacing w:before="40" w:after="40" w:line="257" w:lineRule="auto"/>
        <w:jc w:val="both"/>
        <w:rPr>
          <w:rFonts w:ascii="Times New Roman" w:eastAsia="Batang" w:hAnsi="Times New Roman" w:cs="Times New Roman"/>
          <w:bCs/>
          <w:spacing w:val="-10"/>
          <w:sz w:val="28"/>
          <w:szCs w:val="28"/>
        </w:rPr>
      </w:pPr>
    </w:p>
    <w:p w14:paraId="039B95BE" w14:textId="77777777" w:rsidR="003871F8" w:rsidRPr="004D61F2" w:rsidRDefault="003871F8" w:rsidP="003871F8">
      <w:pPr>
        <w:tabs>
          <w:tab w:val="left" w:pos="900"/>
          <w:tab w:val="left" w:pos="9475"/>
        </w:tabs>
        <w:spacing w:before="40" w:after="40" w:line="288" w:lineRule="auto"/>
        <w:ind w:right="6" w:firstLine="567"/>
        <w:jc w:val="both"/>
        <w:rPr>
          <w:rStyle w:val="Strong"/>
          <w:rFonts w:ascii="Times New Roman" w:hAnsi="Times New Roman"/>
          <w:i/>
          <w:iCs/>
          <w:sz w:val="2"/>
          <w:szCs w:val="28"/>
          <w:lang w:val="de-DE"/>
        </w:rPr>
      </w:pPr>
    </w:p>
    <w:p w14:paraId="3AB37508" w14:textId="77777777" w:rsidR="00817AB1" w:rsidRDefault="00817AB1" w:rsidP="00817AB1">
      <w:pPr>
        <w:tabs>
          <w:tab w:val="num" w:pos="0"/>
          <w:tab w:val="left" w:pos="9475"/>
        </w:tabs>
        <w:spacing w:before="40" w:after="40" w:line="283" w:lineRule="auto"/>
        <w:ind w:right="6" w:firstLine="567"/>
        <w:jc w:val="both"/>
        <w:rPr>
          <w:rStyle w:val="Strong"/>
          <w:rFonts w:ascii="Times New Roman" w:hAnsi="Times New Roman"/>
          <w:i/>
          <w:iCs/>
          <w:sz w:val="28"/>
          <w:szCs w:val="28"/>
          <w:lang w:val="de-DE"/>
        </w:rPr>
      </w:pPr>
      <w:r w:rsidRPr="00BF2FFF">
        <w:rPr>
          <w:rStyle w:val="Strong"/>
          <w:rFonts w:ascii="Times New Roman" w:hAnsi="Times New Roman"/>
          <w:i/>
          <w:iCs/>
          <w:sz w:val="28"/>
          <w:szCs w:val="28"/>
          <w:lang w:val="de-DE"/>
        </w:rPr>
        <w:t>Import of goods</w:t>
      </w:r>
    </w:p>
    <w:p w14:paraId="23867865" w14:textId="77777777" w:rsidR="0031696D" w:rsidRDefault="0031696D" w:rsidP="003C4AC5">
      <w:pPr>
        <w:tabs>
          <w:tab w:val="num" w:pos="0"/>
          <w:tab w:val="left" w:pos="9475"/>
        </w:tabs>
        <w:spacing w:before="40" w:after="40" w:line="283" w:lineRule="auto"/>
        <w:ind w:right="6" w:firstLine="567"/>
        <w:jc w:val="both"/>
        <w:rPr>
          <w:rFonts w:ascii="Times New Roman" w:hAnsi="Times New Roman" w:cs="Times New Roman"/>
          <w:bCs/>
          <w:sz w:val="28"/>
          <w:szCs w:val="28"/>
          <w:lang w:val="de-DE"/>
        </w:rPr>
      </w:pPr>
      <w:r w:rsidRPr="0031696D">
        <w:rPr>
          <w:rFonts w:ascii="Times New Roman" w:hAnsi="Times New Roman" w:cs="Times New Roman"/>
          <w:bCs/>
          <w:sz w:val="28"/>
          <w:szCs w:val="28"/>
          <w:lang w:val="de-DE"/>
        </w:rPr>
        <w:t>Import turnover of goods in March 2022 reached 32.66 billion USD, 9 million USD lower than the estimated figure.</w:t>
      </w:r>
    </w:p>
    <w:p w14:paraId="38B75182" w14:textId="11848246" w:rsidR="003C4AC5" w:rsidRPr="007B3832" w:rsidRDefault="003C4AC5" w:rsidP="003C4AC5">
      <w:pPr>
        <w:tabs>
          <w:tab w:val="num" w:pos="0"/>
          <w:tab w:val="left" w:pos="9475"/>
        </w:tabs>
        <w:spacing w:before="40" w:after="40" w:line="283" w:lineRule="auto"/>
        <w:ind w:right="6" w:firstLine="567"/>
        <w:jc w:val="both"/>
        <w:rPr>
          <w:rFonts w:ascii="Times New Roman" w:hAnsi="Times New Roman" w:cs="Times New Roman"/>
          <w:spacing w:val="-4"/>
          <w:sz w:val="28"/>
          <w:szCs w:val="28"/>
          <w:lang w:val="de-DE"/>
        </w:rPr>
      </w:pPr>
      <w:r w:rsidRPr="00BF2FFF">
        <w:rPr>
          <w:rFonts w:ascii="Times New Roman" w:hAnsi="Times New Roman" w:cs="Times New Roman"/>
          <w:bCs/>
          <w:i/>
          <w:iCs/>
          <w:spacing w:val="-4"/>
          <w:sz w:val="28"/>
          <w:szCs w:val="28"/>
          <w:lang w:val="de-DE"/>
        </w:rPr>
        <w:t xml:space="preserve">Import turnover of goods in </w:t>
      </w:r>
      <w:r>
        <w:rPr>
          <w:rFonts w:ascii="Times New Roman" w:hAnsi="Times New Roman" w:cs="Times New Roman"/>
          <w:bCs/>
          <w:i/>
          <w:iCs/>
          <w:spacing w:val="-4"/>
          <w:sz w:val="28"/>
          <w:szCs w:val="28"/>
          <w:lang w:val="de-DE"/>
        </w:rPr>
        <w:t>April</w:t>
      </w:r>
      <w:r w:rsidRPr="00BF2FFF">
        <w:rPr>
          <w:rFonts w:ascii="Times New Roman" w:hAnsi="Times New Roman" w:cs="Times New Roman"/>
          <w:bCs/>
          <w:i/>
          <w:iCs/>
          <w:spacing w:val="-4"/>
          <w:sz w:val="28"/>
          <w:szCs w:val="28"/>
          <w:lang w:val="de-DE"/>
        </w:rPr>
        <w:t xml:space="preserve"> 2022</w:t>
      </w:r>
      <w:r w:rsidRPr="00BF2FFF">
        <w:rPr>
          <w:rFonts w:ascii="Times New Roman" w:hAnsi="Times New Roman" w:cs="Times New Roman"/>
          <w:bCs/>
          <w:spacing w:val="-4"/>
          <w:sz w:val="28"/>
          <w:szCs w:val="28"/>
          <w:lang w:val="de-DE"/>
        </w:rPr>
        <w:t xml:space="preserve"> was estimated at 32.</w:t>
      </w:r>
      <w:r>
        <w:rPr>
          <w:rFonts w:ascii="Times New Roman" w:hAnsi="Times New Roman" w:cs="Times New Roman"/>
          <w:bCs/>
          <w:spacing w:val="-4"/>
          <w:sz w:val="28"/>
          <w:szCs w:val="28"/>
          <w:lang w:val="de-DE"/>
        </w:rPr>
        <w:t>19</w:t>
      </w:r>
      <w:r w:rsidRPr="00BF2FFF">
        <w:rPr>
          <w:rFonts w:ascii="Times New Roman" w:hAnsi="Times New Roman" w:cs="Times New Roman"/>
          <w:bCs/>
          <w:spacing w:val="-4"/>
          <w:sz w:val="28"/>
          <w:szCs w:val="28"/>
          <w:lang w:val="de-DE"/>
        </w:rPr>
        <w:t xml:space="preserve"> billion USD, </w:t>
      </w:r>
      <w:r>
        <w:rPr>
          <w:rFonts w:ascii="Times New Roman" w:hAnsi="Times New Roman" w:cs="Times New Roman"/>
          <w:bCs/>
          <w:spacing w:val="-4"/>
          <w:sz w:val="28"/>
          <w:szCs w:val="28"/>
          <w:lang w:val="de-DE"/>
        </w:rPr>
        <w:t>down</w:t>
      </w:r>
      <w:r w:rsidRPr="00BF2FFF">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1</w:t>
      </w:r>
      <w:r w:rsidRPr="00BF2FFF">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5</w:t>
      </w:r>
      <w:r w:rsidRPr="00BF2FFF">
        <w:rPr>
          <w:rFonts w:ascii="Times New Roman" w:hAnsi="Times New Roman" w:cs="Times New Roman"/>
          <w:bCs/>
          <w:spacing w:val="-4"/>
          <w:sz w:val="28"/>
          <w:szCs w:val="28"/>
          <w:lang w:val="de-DE"/>
        </w:rPr>
        <w:t>% over the previous month. In which, the domestic economic sector reached 11.0</w:t>
      </w:r>
      <w:r>
        <w:rPr>
          <w:rFonts w:ascii="Times New Roman" w:hAnsi="Times New Roman" w:cs="Times New Roman"/>
          <w:bCs/>
          <w:spacing w:val="-4"/>
          <w:sz w:val="28"/>
          <w:szCs w:val="28"/>
          <w:lang w:val="de-DE"/>
        </w:rPr>
        <w:t>2</w:t>
      </w:r>
      <w:r w:rsidRPr="00BF2FFF">
        <w:rPr>
          <w:rFonts w:ascii="Times New Roman" w:hAnsi="Times New Roman" w:cs="Times New Roman"/>
          <w:bCs/>
          <w:spacing w:val="-4"/>
          <w:sz w:val="28"/>
          <w:szCs w:val="28"/>
          <w:lang w:val="de-DE"/>
        </w:rPr>
        <w:t xml:space="preserve"> billion USD, </w:t>
      </w:r>
      <w:r>
        <w:rPr>
          <w:rFonts w:ascii="Times New Roman" w:hAnsi="Times New Roman" w:cs="Times New Roman"/>
          <w:bCs/>
          <w:spacing w:val="-4"/>
          <w:sz w:val="28"/>
          <w:szCs w:val="28"/>
          <w:lang w:val="de-DE"/>
        </w:rPr>
        <w:t>down</w:t>
      </w:r>
      <w:r w:rsidRPr="00BF2FFF">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5</w:t>
      </w:r>
      <w:r w:rsidRPr="00BF2FFF">
        <w:rPr>
          <w:rFonts w:ascii="Times New Roman" w:hAnsi="Times New Roman" w:cs="Times New Roman"/>
          <w:bCs/>
          <w:spacing w:val="-4"/>
          <w:sz w:val="28"/>
          <w:szCs w:val="28"/>
          <w:lang w:val="de-DE"/>
        </w:rPr>
        <w:t xml:space="preserve">.3%;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reached 21.</w:t>
      </w:r>
      <w:r>
        <w:rPr>
          <w:rFonts w:ascii="Times New Roman" w:hAnsi="Times New Roman" w:cs="Times New Roman"/>
          <w:bCs/>
          <w:spacing w:val="-4"/>
          <w:sz w:val="28"/>
          <w:szCs w:val="28"/>
          <w:lang w:val="de-DE"/>
        </w:rPr>
        <w:t>17</w:t>
      </w:r>
      <w:r w:rsidRPr="00BF2FFF">
        <w:rPr>
          <w:rFonts w:ascii="Times New Roman" w:hAnsi="Times New Roman" w:cs="Times New Roman"/>
          <w:bCs/>
          <w:spacing w:val="-4"/>
          <w:sz w:val="28"/>
          <w:szCs w:val="28"/>
          <w:lang w:val="de-DE"/>
        </w:rPr>
        <w:t xml:space="preserve"> billion USD, up </w:t>
      </w:r>
      <w:r>
        <w:rPr>
          <w:rFonts w:ascii="Times New Roman" w:hAnsi="Times New Roman" w:cs="Times New Roman"/>
          <w:bCs/>
          <w:spacing w:val="-4"/>
          <w:sz w:val="28"/>
          <w:szCs w:val="28"/>
          <w:lang w:val="de-DE"/>
        </w:rPr>
        <w:t>0</w:t>
      </w:r>
      <w:r w:rsidRPr="00BF2FFF">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6</w:t>
      </w:r>
      <w:r w:rsidRPr="00BF2FFF">
        <w:rPr>
          <w:rFonts w:ascii="Times New Roman" w:hAnsi="Times New Roman" w:cs="Times New Roman"/>
          <w:bCs/>
          <w:spacing w:val="-4"/>
          <w:sz w:val="28"/>
          <w:szCs w:val="28"/>
          <w:lang w:val="de-DE"/>
        </w:rPr>
        <w:t xml:space="preserve">%. Compared with the same period last year, the import turnover of goods in </w:t>
      </w:r>
      <w:r>
        <w:rPr>
          <w:rFonts w:ascii="Times New Roman" w:hAnsi="Times New Roman" w:cs="Times New Roman"/>
          <w:bCs/>
          <w:spacing w:val="-4"/>
          <w:sz w:val="28"/>
          <w:szCs w:val="28"/>
          <w:lang w:val="de-DE"/>
        </w:rPr>
        <w:t>April</w:t>
      </w:r>
      <w:r w:rsidRPr="00BF2FFF">
        <w:rPr>
          <w:rFonts w:ascii="Times New Roman" w:hAnsi="Times New Roman" w:cs="Times New Roman"/>
          <w:bCs/>
          <w:spacing w:val="-4"/>
          <w:sz w:val="28"/>
          <w:szCs w:val="28"/>
          <w:lang w:val="de-DE"/>
        </w:rPr>
        <w:t xml:space="preserve"> increased by 1</w:t>
      </w:r>
      <w:r>
        <w:rPr>
          <w:rFonts w:ascii="Times New Roman" w:hAnsi="Times New Roman" w:cs="Times New Roman"/>
          <w:bCs/>
          <w:spacing w:val="-4"/>
          <w:sz w:val="28"/>
          <w:szCs w:val="28"/>
          <w:lang w:val="de-DE"/>
        </w:rPr>
        <w:t>5.5</w:t>
      </w:r>
      <w:r w:rsidRPr="00BF2FFF">
        <w:rPr>
          <w:rFonts w:ascii="Times New Roman" w:hAnsi="Times New Roman" w:cs="Times New Roman"/>
          <w:bCs/>
          <w:spacing w:val="-4"/>
          <w:sz w:val="28"/>
          <w:szCs w:val="28"/>
          <w:lang w:val="de-DE"/>
        </w:rPr>
        <w:t xml:space="preserve">%, of which the domestic economic sector increased by </w:t>
      </w:r>
      <w:r>
        <w:rPr>
          <w:rFonts w:ascii="Times New Roman" w:hAnsi="Times New Roman" w:cs="Times New Roman"/>
          <w:bCs/>
          <w:spacing w:val="-4"/>
          <w:sz w:val="28"/>
          <w:szCs w:val="28"/>
          <w:lang w:val="de-DE"/>
        </w:rPr>
        <w:t>10.4</w:t>
      </w:r>
      <w:r w:rsidRPr="00BF2FFF">
        <w:rPr>
          <w:rFonts w:ascii="Times New Roman" w:hAnsi="Times New Roman" w:cs="Times New Roman"/>
          <w:bCs/>
          <w:spacing w:val="-4"/>
          <w:sz w:val="28"/>
          <w:szCs w:val="28"/>
          <w:lang w:val="de-DE"/>
        </w:rPr>
        <w:t xml:space="preserve">%;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increased by 18.</w:t>
      </w:r>
      <w:r>
        <w:rPr>
          <w:rFonts w:ascii="Times New Roman" w:hAnsi="Times New Roman" w:cs="Times New Roman"/>
          <w:bCs/>
          <w:spacing w:val="-4"/>
          <w:sz w:val="28"/>
          <w:szCs w:val="28"/>
          <w:lang w:val="de-DE"/>
        </w:rPr>
        <w:t>3</w:t>
      </w:r>
      <w:r w:rsidRPr="00BF2FFF">
        <w:rPr>
          <w:rFonts w:ascii="Times New Roman" w:hAnsi="Times New Roman" w:cs="Times New Roman"/>
          <w:bCs/>
          <w:spacing w:val="-4"/>
          <w:sz w:val="28"/>
          <w:szCs w:val="28"/>
          <w:lang w:val="de-DE"/>
        </w:rPr>
        <w:t>%.</w:t>
      </w:r>
      <w:r w:rsidRPr="007B3832">
        <w:rPr>
          <w:rFonts w:ascii="Times New Roman" w:hAnsi="Times New Roman" w:cs="Times New Roman"/>
          <w:spacing w:val="-4"/>
          <w:sz w:val="28"/>
          <w:szCs w:val="28"/>
          <w:lang w:val="de-DE"/>
        </w:rPr>
        <w:t xml:space="preserve"> </w:t>
      </w:r>
    </w:p>
    <w:p w14:paraId="42E0EA07" w14:textId="5F2CC2D6" w:rsidR="00DA1B3C" w:rsidRPr="007B3832" w:rsidRDefault="00DA1B3C" w:rsidP="00DA1B3C">
      <w:pPr>
        <w:tabs>
          <w:tab w:val="num" w:pos="0"/>
          <w:tab w:val="left" w:pos="9475"/>
        </w:tabs>
        <w:spacing w:before="40" w:after="40" w:line="283" w:lineRule="auto"/>
        <w:ind w:right="6" w:firstLine="567"/>
        <w:jc w:val="both"/>
        <w:rPr>
          <w:rFonts w:ascii="Times New Roman" w:hAnsi="Times New Roman" w:cs="Times New Roman"/>
          <w:bCs/>
          <w:spacing w:val="-4"/>
          <w:sz w:val="28"/>
          <w:szCs w:val="28"/>
          <w:lang w:val="de-DE"/>
        </w:rPr>
      </w:pPr>
      <w:r w:rsidRPr="00BF2FFF">
        <w:rPr>
          <w:rFonts w:ascii="Times New Roman" w:hAnsi="Times New Roman" w:cs="Times New Roman"/>
          <w:i/>
          <w:iCs/>
          <w:spacing w:val="-4"/>
          <w:sz w:val="28"/>
          <w:szCs w:val="28"/>
          <w:lang w:val="en-US"/>
        </w:rPr>
        <w:t>Generally</w:t>
      </w:r>
      <w:r w:rsidR="0031696D">
        <w:rPr>
          <w:rFonts w:ascii="Times New Roman" w:hAnsi="Times New Roman" w:cs="Times New Roman"/>
          <w:i/>
          <w:iCs/>
          <w:spacing w:val="-4"/>
          <w:sz w:val="28"/>
          <w:szCs w:val="28"/>
          <w:lang w:val="en-US"/>
        </w:rPr>
        <w:t>,</w:t>
      </w:r>
      <w:r w:rsidRPr="00BF2FFF">
        <w:rPr>
          <w:rFonts w:ascii="Times New Roman" w:hAnsi="Times New Roman" w:cs="Times New Roman"/>
          <w:i/>
          <w:iCs/>
          <w:spacing w:val="-4"/>
          <w:sz w:val="28"/>
          <w:szCs w:val="28"/>
          <w:lang w:val="en-US"/>
        </w:rPr>
        <w:t xml:space="preserve"> in</w:t>
      </w:r>
      <w:r w:rsidRPr="00BF2FFF">
        <w:rPr>
          <w:rFonts w:ascii="Times New Roman" w:hAnsi="Times New Roman" w:cs="Times New Roman"/>
          <w:i/>
          <w:iCs/>
          <w:spacing w:val="-4"/>
          <w:sz w:val="28"/>
          <w:szCs w:val="28"/>
          <w:lang w:val="de-DE"/>
        </w:rPr>
        <w:t xml:space="preserve"> </w:t>
      </w:r>
      <w:r>
        <w:rPr>
          <w:rFonts w:ascii="Times New Roman" w:hAnsi="Times New Roman" w:cs="Times New Roman"/>
          <w:i/>
          <w:iCs/>
          <w:spacing w:val="-4"/>
          <w:sz w:val="28"/>
          <w:szCs w:val="28"/>
          <w:lang w:val="de-DE"/>
        </w:rPr>
        <w:t xml:space="preserve">4 months </w:t>
      </w:r>
      <w:r w:rsidRPr="00BF2FFF">
        <w:rPr>
          <w:rFonts w:ascii="Times New Roman" w:hAnsi="Times New Roman" w:cs="Times New Roman"/>
          <w:i/>
          <w:iCs/>
          <w:spacing w:val="-4"/>
          <w:sz w:val="28"/>
          <w:szCs w:val="28"/>
          <w:lang w:val="de-DE"/>
        </w:rPr>
        <w:t>of 2022</w:t>
      </w:r>
      <w:r w:rsidRPr="00BF2FFF">
        <w:rPr>
          <w:rFonts w:ascii="Times New Roman" w:hAnsi="Times New Roman" w:cs="Times New Roman"/>
          <w:spacing w:val="-4"/>
          <w:sz w:val="28"/>
          <w:szCs w:val="28"/>
          <w:lang w:val="de-DE"/>
        </w:rPr>
        <w:t xml:space="preserve">, the import turnover of goods was estimated at </w:t>
      </w:r>
      <w:r>
        <w:rPr>
          <w:rFonts w:ascii="Times New Roman" w:hAnsi="Times New Roman" w:cs="Times New Roman"/>
          <w:spacing w:val="-4"/>
          <w:sz w:val="28"/>
          <w:szCs w:val="28"/>
          <w:lang w:val="de-DE"/>
        </w:rPr>
        <w:t>119.83</w:t>
      </w:r>
      <w:r w:rsidRPr="00BF2FFF">
        <w:rPr>
          <w:rFonts w:ascii="Times New Roman" w:hAnsi="Times New Roman" w:cs="Times New Roman"/>
          <w:spacing w:val="-4"/>
          <w:sz w:val="28"/>
          <w:szCs w:val="28"/>
          <w:lang w:val="de-DE"/>
        </w:rPr>
        <w:t xml:space="preserve"> billion USD, up 15.</w:t>
      </w:r>
      <w:r>
        <w:rPr>
          <w:rFonts w:ascii="Times New Roman" w:hAnsi="Times New Roman" w:cs="Times New Roman"/>
          <w:spacing w:val="-4"/>
          <w:sz w:val="28"/>
          <w:szCs w:val="28"/>
          <w:lang w:val="de-DE"/>
        </w:rPr>
        <w:t>7</w:t>
      </w:r>
      <w:r w:rsidRPr="00BF2FFF">
        <w:rPr>
          <w:rFonts w:ascii="Times New Roman" w:hAnsi="Times New Roman" w:cs="Times New Roman"/>
          <w:spacing w:val="-4"/>
          <w:sz w:val="28"/>
          <w:szCs w:val="28"/>
          <w:lang w:val="de-DE"/>
        </w:rPr>
        <w:t xml:space="preserve">% over the same period last year, of which the domestic economic sector reached </w:t>
      </w:r>
      <w:r>
        <w:rPr>
          <w:rFonts w:ascii="Times New Roman" w:hAnsi="Times New Roman" w:cs="Times New Roman"/>
          <w:spacing w:val="-4"/>
          <w:sz w:val="28"/>
          <w:szCs w:val="28"/>
          <w:lang w:val="de-DE"/>
        </w:rPr>
        <w:t>40.97</w:t>
      </w:r>
      <w:r w:rsidRPr="00BF2FFF">
        <w:rPr>
          <w:rFonts w:ascii="Times New Roman" w:hAnsi="Times New Roman" w:cs="Times New Roman"/>
          <w:spacing w:val="-4"/>
          <w:sz w:val="28"/>
          <w:szCs w:val="28"/>
          <w:lang w:val="de-DE"/>
        </w:rPr>
        <w:t xml:space="preserve"> billion USD, up 1</w:t>
      </w:r>
      <w:r>
        <w:rPr>
          <w:rFonts w:ascii="Times New Roman" w:hAnsi="Times New Roman" w:cs="Times New Roman"/>
          <w:spacing w:val="-4"/>
          <w:sz w:val="28"/>
          <w:szCs w:val="28"/>
          <w:lang w:val="de-DE"/>
        </w:rPr>
        <w:t>4.</w:t>
      </w:r>
      <w:r w:rsidRPr="00BF2FFF">
        <w:rPr>
          <w:rFonts w:ascii="Times New Roman" w:hAnsi="Times New Roman" w:cs="Times New Roman"/>
          <w:spacing w:val="-4"/>
          <w:sz w:val="28"/>
          <w:szCs w:val="28"/>
          <w:lang w:val="de-DE"/>
        </w:rPr>
        <w:t xml:space="preserve">3%; </w:t>
      </w:r>
      <w:r w:rsidR="0031696D">
        <w:rPr>
          <w:rFonts w:ascii="Times New Roman" w:hAnsi="Times New Roman" w:cs="Times New Roman"/>
          <w:spacing w:val="-4"/>
          <w:sz w:val="28"/>
          <w:szCs w:val="28"/>
          <w:lang w:val="de-DE"/>
        </w:rPr>
        <w:t xml:space="preserve">the </w:t>
      </w:r>
      <w:r w:rsidRPr="00BF2FFF">
        <w:rPr>
          <w:rFonts w:ascii="Times New Roman" w:hAnsi="Times New Roman" w:cs="Times New Roman"/>
          <w:spacing w:val="-4"/>
          <w:sz w:val="28"/>
          <w:szCs w:val="28"/>
          <w:lang w:val="de-DE"/>
        </w:rPr>
        <w:t xml:space="preserve">FDI sector reached </w:t>
      </w:r>
      <w:r>
        <w:rPr>
          <w:rFonts w:ascii="Times New Roman" w:hAnsi="Times New Roman" w:cs="Times New Roman"/>
          <w:spacing w:val="-4"/>
          <w:sz w:val="28"/>
          <w:szCs w:val="28"/>
          <w:lang w:val="de-DE"/>
        </w:rPr>
        <w:t>78.86</w:t>
      </w:r>
      <w:r w:rsidRPr="00BF2FFF">
        <w:rPr>
          <w:rFonts w:ascii="Times New Roman" w:hAnsi="Times New Roman" w:cs="Times New Roman"/>
          <w:spacing w:val="-4"/>
          <w:sz w:val="28"/>
          <w:szCs w:val="28"/>
          <w:lang w:val="de-DE"/>
        </w:rPr>
        <w:t xml:space="preserve"> billion USD, up 1</w:t>
      </w:r>
      <w:r>
        <w:rPr>
          <w:rFonts w:ascii="Times New Roman" w:hAnsi="Times New Roman" w:cs="Times New Roman"/>
          <w:spacing w:val="-4"/>
          <w:sz w:val="28"/>
          <w:szCs w:val="28"/>
          <w:lang w:val="de-DE"/>
        </w:rPr>
        <w:t>6.4</w:t>
      </w:r>
      <w:r w:rsidRPr="00BF2FFF">
        <w:rPr>
          <w:rFonts w:ascii="Times New Roman" w:hAnsi="Times New Roman" w:cs="Times New Roman"/>
          <w:spacing w:val="-4"/>
          <w:sz w:val="28"/>
          <w:szCs w:val="28"/>
          <w:lang w:val="de-DE"/>
        </w:rPr>
        <w:t>%.</w:t>
      </w:r>
      <w:r w:rsidRPr="007B3832">
        <w:rPr>
          <w:rFonts w:ascii="Times New Roman" w:hAnsi="Times New Roman" w:cs="Times New Roman"/>
          <w:bCs/>
          <w:spacing w:val="-4"/>
          <w:sz w:val="28"/>
          <w:szCs w:val="28"/>
          <w:lang w:val="de-DE"/>
        </w:rPr>
        <w:t xml:space="preserve"> </w:t>
      </w:r>
    </w:p>
    <w:p w14:paraId="00FC4EDA" w14:textId="00C3EFA8" w:rsidR="00DA1B3C" w:rsidRPr="00BF2FFF" w:rsidRDefault="00DA1B3C" w:rsidP="00DA1B3C">
      <w:pPr>
        <w:tabs>
          <w:tab w:val="left" w:pos="9475"/>
        </w:tabs>
        <w:spacing w:before="40" w:after="40" w:line="283" w:lineRule="auto"/>
        <w:ind w:right="6" w:firstLine="567"/>
        <w:jc w:val="both"/>
        <w:rPr>
          <w:rFonts w:ascii="Times New Roman" w:hAnsi="Times New Roman" w:cs="Times New Roman"/>
          <w:sz w:val="28"/>
          <w:szCs w:val="28"/>
          <w:lang w:val="en-US"/>
        </w:rPr>
      </w:pPr>
      <w:r w:rsidRPr="00BF2FFF">
        <w:rPr>
          <w:rFonts w:ascii="Times New Roman" w:hAnsi="Times New Roman" w:cs="Times New Roman"/>
          <w:sz w:val="28"/>
          <w:szCs w:val="28"/>
          <w:lang w:val="en"/>
        </w:rPr>
        <w:t xml:space="preserve">In </w:t>
      </w:r>
      <w:r w:rsidR="0031696D">
        <w:rPr>
          <w:rFonts w:ascii="Times New Roman" w:hAnsi="Times New Roman" w:cs="Times New Roman"/>
          <w:sz w:val="28"/>
          <w:szCs w:val="28"/>
          <w:lang w:val="en"/>
        </w:rPr>
        <w:t xml:space="preserve">the first </w:t>
      </w:r>
      <w:r>
        <w:rPr>
          <w:rFonts w:ascii="Times New Roman" w:hAnsi="Times New Roman" w:cs="Times New Roman"/>
          <w:sz w:val="28"/>
          <w:szCs w:val="28"/>
          <w:lang w:val="en"/>
        </w:rPr>
        <w:t xml:space="preserve">4 months </w:t>
      </w:r>
      <w:r w:rsidRPr="00BF2FFF">
        <w:rPr>
          <w:rFonts w:ascii="Times New Roman" w:hAnsi="Times New Roman" w:cs="Times New Roman"/>
          <w:sz w:val="28"/>
          <w:szCs w:val="28"/>
          <w:lang w:val="en"/>
        </w:rPr>
        <w:t xml:space="preserve">of 2022, there </w:t>
      </w:r>
      <w:r w:rsidR="00805DC7">
        <w:rPr>
          <w:rFonts w:ascii="Times New Roman" w:hAnsi="Times New Roman" w:cs="Times New Roman"/>
          <w:sz w:val="28"/>
          <w:szCs w:val="28"/>
          <w:lang w:val="en"/>
        </w:rPr>
        <w:t>we</w:t>
      </w:r>
      <w:r w:rsidRPr="00BF2FFF">
        <w:rPr>
          <w:rFonts w:ascii="Times New Roman" w:hAnsi="Times New Roman" w:cs="Times New Roman"/>
          <w:sz w:val="28"/>
          <w:szCs w:val="28"/>
          <w:lang w:val="en"/>
        </w:rPr>
        <w:t xml:space="preserve">re </w:t>
      </w:r>
      <w:r>
        <w:rPr>
          <w:rFonts w:ascii="Times New Roman" w:hAnsi="Times New Roman" w:cs="Times New Roman"/>
          <w:sz w:val="28"/>
          <w:szCs w:val="28"/>
          <w:lang w:val="en"/>
        </w:rPr>
        <w:t>22</w:t>
      </w:r>
      <w:r w:rsidRPr="00BF2FFF">
        <w:rPr>
          <w:rFonts w:ascii="Times New Roman" w:hAnsi="Times New Roman" w:cs="Times New Roman"/>
          <w:sz w:val="28"/>
          <w:szCs w:val="28"/>
          <w:lang w:val="en"/>
        </w:rPr>
        <w:t xml:space="preserve"> imported products with a value of over 1 billion USD, accounting for </w:t>
      </w:r>
      <w:r>
        <w:rPr>
          <w:rFonts w:ascii="Times New Roman" w:hAnsi="Times New Roman" w:cs="Times New Roman"/>
          <w:sz w:val="28"/>
          <w:szCs w:val="28"/>
          <w:lang w:val="en"/>
        </w:rPr>
        <w:t>81.5</w:t>
      </w:r>
      <w:r w:rsidRPr="00BF2FFF">
        <w:rPr>
          <w:rFonts w:ascii="Times New Roman" w:hAnsi="Times New Roman" w:cs="Times New Roman"/>
          <w:sz w:val="28"/>
          <w:szCs w:val="28"/>
          <w:lang w:val="en"/>
        </w:rPr>
        <w:t>% of the total import turnover.</w:t>
      </w:r>
      <w:r w:rsidRPr="00BF2FFF">
        <w:rPr>
          <w:rFonts w:ascii="Times New Roman" w:hAnsi="Times New Roman" w:cs="Times New Roman"/>
          <w:sz w:val="28"/>
          <w:szCs w:val="28"/>
          <w:lang w:val="en-US"/>
        </w:rPr>
        <w:t xml:space="preserve"> </w:t>
      </w:r>
    </w:p>
    <w:p w14:paraId="3981F8EE" w14:textId="7061D295" w:rsidR="00C83F88" w:rsidRDefault="00C83F88" w:rsidP="00C83F88">
      <w:pPr>
        <w:tabs>
          <w:tab w:val="left" w:pos="9475"/>
        </w:tabs>
        <w:spacing w:before="240" w:after="240" w:line="288" w:lineRule="auto"/>
        <w:ind w:right="6"/>
        <w:jc w:val="center"/>
        <w:rPr>
          <w:rFonts w:ascii="Arial" w:hAnsi="Arial" w:cs="Arial"/>
          <w:b/>
          <w:spacing w:val="-2"/>
          <w:sz w:val="24"/>
          <w:szCs w:val="20"/>
          <w:lang w:val="pl-PL"/>
        </w:rPr>
      </w:pPr>
      <w:r w:rsidRPr="00BF2FFF">
        <w:rPr>
          <w:rFonts w:ascii="Arial" w:hAnsi="Arial" w:cs="Arial"/>
          <w:b/>
          <w:spacing w:val="-2"/>
          <w:sz w:val="24"/>
          <w:szCs w:val="20"/>
          <w:lang w:val="pl-PL"/>
        </w:rPr>
        <w:t xml:space="preserve">Table </w:t>
      </w:r>
      <w:r>
        <w:rPr>
          <w:rFonts w:ascii="Arial" w:hAnsi="Arial" w:cs="Arial"/>
          <w:b/>
          <w:spacing w:val="-2"/>
          <w:sz w:val="24"/>
          <w:szCs w:val="20"/>
          <w:lang w:val="pl-PL"/>
        </w:rPr>
        <w:t>5</w:t>
      </w:r>
      <w:r w:rsidRPr="00BF2FFF">
        <w:rPr>
          <w:rFonts w:ascii="Arial" w:hAnsi="Arial" w:cs="Arial"/>
          <w:b/>
          <w:spacing w:val="-2"/>
          <w:sz w:val="24"/>
          <w:szCs w:val="20"/>
          <w:lang w:val="pl-PL"/>
        </w:rPr>
        <w:t xml:space="preserve">. Value of some imported goods in </w:t>
      </w:r>
      <w:r>
        <w:rPr>
          <w:rFonts w:ascii="Arial" w:hAnsi="Arial" w:cs="Arial"/>
          <w:b/>
          <w:spacing w:val="-2"/>
          <w:sz w:val="24"/>
          <w:szCs w:val="20"/>
          <w:lang w:val="pl-PL"/>
        </w:rPr>
        <w:t xml:space="preserve">4 months </w:t>
      </w:r>
      <w:r w:rsidRPr="00BF2FFF">
        <w:rPr>
          <w:rFonts w:ascii="Arial" w:hAnsi="Arial" w:cs="Arial"/>
          <w:b/>
          <w:spacing w:val="-2"/>
          <w:sz w:val="24"/>
          <w:szCs w:val="20"/>
          <w:lang w:val="pl-PL"/>
        </w:rPr>
        <w:t>of 2022</w:t>
      </w:r>
    </w:p>
    <w:tbl>
      <w:tblPr>
        <w:tblW w:w="9499" w:type="dxa"/>
        <w:jc w:val="center"/>
        <w:tblLook w:val="04A0" w:firstRow="1" w:lastRow="0" w:firstColumn="1" w:lastColumn="0" w:noHBand="0" w:noVBand="1"/>
      </w:tblPr>
      <w:tblGrid>
        <w:gridCol w:w="280"/>
        <w:gridCol w:w="4256"/>
        <w:gridCol w:w="1985"/>
        <w:gridCol w:w="2978"/>
      </w:tblGrid>
      <w:tr w:rsidR="00B2662E" w:rsidRPr="007F6A49" w14:paraId="3BC97764" w14:textId="77777777" w:rsidTr="00B2662E">
        <w:trPr>
          <w:trHeight w:val="360"/>
          <w:jc w:val="center"/>
        </w:trPr>
        <w:tc>
          <w:tcPr>
            <w:tcW w:w="280" w:type="dxa"/>
            <w:tcBorders>
              <w:top w:val="single" w:sz="4" w:space="0" w:color="auto"/>
              <w:left w:val="nil"/>
              <w:bottom w:val="nil"/>
              <w:right w:val="nil"/>
            </w:tcBorders>
            <w:shd w:val="clear" w:color="auto" w:fill="auto"/>
            <w:noWrap/>
            <w:vAlign w:val="bottom"/>
            <w:hideMark/>
          </w:tcPr>
          <w:p w14:paraId="69F798D4" w14:textId="77777777" w:rsidR="00B2662E" w:rsidRPr="007F6A49" w:rsidRDefault="00B2662E" w:rsidP="000F4C80">
            <w:pPr>
              <w:spacing w:before="40" w:after="40"/>
              <w:rPr>
                <w:rFonts w:ascii="Arial" w:hAnsi="Arial" w:cs="Arial"/>
                <w:sz w:val="20"/>
                <w:szCs w:val="20"/>
              </w:rPr>
            </w:pPr>
            <w:r w:rsidRPr="007F6A49">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bottom"/>
            <w:hideMark/>
          </w:tcPr>
          <w:p w14:paraId="5AAEF4F9" w14:textId="77777777" w:rsidR="00B2662E" w:rsidRPr="007F6A49" w:rsidRDefault="00B2662E" w:rsidP="000F4C80">
            <w:pPr>
              <w:spacing w:before="40" w:after="40"/>
              <w:jc w:val="center"/>
              <w:rPr>
                <w:rFonts w:ascii="Arial" w:hAnsi="Arial" w:cs="Arial"/>
                <w:sz w:val="20"/>
                <w:szCs w:val="20"/>
              </w:rPr>
            </w:pPr>
            <w:r w:rsidRPr="007F6A49">
              <w:rPr>
                <w:rFonts w:ascii="Arial" w:hAnsi="Arial" w:cs="Arial"/>
                <w:sz w:val="20"/>
                <w:szCs w:val="20"/>
              </w:rPr>
              <w:t> </w:t>
            </w:r>
          </w:p>
        </w:tc>
        <w:tc>
          <w:tcPr>
            <w:tcW w:w="1985" w:type="dxa"/>
            <w:tcBorders>
              <w:top w:val="single" w:sz="4" w:space="0" w:color="auto"/>
              <w:left w:val="nil"/>
            </w:tcBorders>
            <w:shd w:val="clear" w:color="auto" w:fill="auto"/>
            <w:vAlign w:val="center"/>
            <w:hideMark/>
          </w:tcPr>
          <w:p w14:paraId="04F8ED3F" w14:textId="77777777" w:rsidR="00B2662E" w:rsidRPr="007F6A49" w:rsidRDefault="00B2662E" w:rsidP="000F4C80">
            <w:pPr>
              <w:spacing w:before="40" w:after="40"/>
              <w:jc w:val="center"/>
              <w:rPr>
                <w:rFonts w:ascii="Arial" w:hAnsi="Arial" w:cs="Arial"/>
                <w:sz w:val="20"/>
                <w:szCs w:val="20"/>
              </w:rPr>
            </w:pPr>
            <w:r w:rsidRPr="007F6A49">
              <w:rPr>
                <w:rFonts w:ascii="Arial" w:hAnsi="Arial" w:cs="Arial"/>
                <w:sz w:val="20"/>
                <w:szCs w:val="20"/>
              </w:rPr>
              <w:t>Estimate</w:t>
            </w:r>
          </w:p>
        </w:tc>
        <w:tc>
          <w:tcPr>
            <w:tcW w:w="2978" w:type="dxa"/>
            <w:tcBorders>
              <w:top w:val="single" w:sz="4" w:space="0" w:color="auto"/>
            </w:tcBorders>
            <w:shd w:val="clear" w:color="auto" w:fill="auto"/>
            <w:vAlign w:val="center"/>
            <w:hideMark/>
          </w:tcPr>
          <w:p w14:paraId="5CB235DE" w14:textId="77777777" w:rsidR="00B2662E" w:rsidRPr="007F6A49" w:rsidRDefault="00B2662E" w:rsidP="000F4C80">
            <w:pPr>
              <w:spacing w:before="40" w:after="40"/>
              <w:jc w:val="center"/>
              <w:rPr>
                <w:rFonts w:ascii="Arial" w:hAnsi="Arial" w:cs="Arial"/>
                <w:sz w:val="20"/>
                <w:szCs w:val="20"/>
              </w:rPr>
            </w:pPr>
            <w:r w:rsidRPr="007F6A49">
              <w:rPr>
                <w:rFonts w:ascii="Arial" w:hAnsi="Arial" w:cs="Arial"/>
                <w:sz w:val="20"/>
                <w:szCs w:val="20"/>
              </w:rPr>
              <w:t xml:space="preserve">Growth rate of </w:t>
            </w:r>
          </w:p>
        </w:tc>
      </w:tr>
      <w:tr w:rsidR="00B2662E" w:rsidRPr="007F6A49" w14:paraId="36E51C77" w14:textId="77777777" w:rsidTr="00B2662E">
        <w:trPr>
          <w:trHeight w:val="360"/>
          <w:jc w:val="center"/>
        </w:trPr>
        <w:tc>
          <w:tcPr>
            <w:tcW w:w="280" w:type="dxa"/>
            <w:tcBorders>
              <w:top w:val="nil"/>
              <w:left w:val="nil"/>
              <w:bottom w:val="nil"/>
              <w:right w:val="nil"/>
            </w:tcBorders>
            <w:shd w:val="clear" w:color="auto" w:fill="auto"/>
            <w:noWrap/>
            <w:vAlign w:val="bottom"/>
            <w:hideMark/>
          </w:tcPr>
          <w:p w14:paraId="3AF606D4" w14:textId="77777777" w:rsidR="00B2662E" w:rsidRPr="007F6A49" w:rsidRDefault="00B2662E" w:rsidP="000F4C80">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0B70C225" w14:textId="77777777" w:rsidR="00B2662E" w:rsidRPr="007F6A49" w:rsidRDefault="00B2662E" w:rsidP="000F4C80">
            <w:pPr>
              <w:spacing w:before="40" w:after="40"/>
              <w:rPr>
                <w:rFonts w:ascii="Arial" w:hAnsi="Arial" w:cs="Arial"/>
                <w:sz w:val="20"/>
                <w:szCs w:val="20"/>
              </w:rPr>
            </w:pPr>
          </w:p>
        </w:tc>
        <w:tc>
          <w:tcPr>
            <w:tcW w:w="1985" w:type="dxa"/>
            <w:tcBorders>
              <w:top w:val="nil"/>
              <w:left w:val="nil"/>
            </w:tcBorders>
            <w:shd w:val="clear" w:color="auto" w:fill="auto"/>
            <w:vAlign w:val="center"/>
            <w:hideMark/>
          </w:tcPr>
          <w:p w14:paraId="7FD4B1B8" w14:textId="77777777" w:rsidR="00B2662E" w:rsidRPr="007F6A49" w:rsidRDefault="00B2662E" w:rsidP="000F4C80">
            <w:pPr>
              <w:spacing w:before="40" w:after="40"/>
              <w:jc w:val="center"/>
              <w:rPr>
                <w:rFonts w:ascii="Arial" w:hAnsi="Arial" w:cs="Arial"/>
                <w:sz w:val="20"/>
                <w:szCs w:val="20"/>
              </w:rPr>
            </w:pPr>
            <w:r>
              <w:rPr>
                <w:rFonts w:ascii="Arial" w:hAnsi="Arial" w:cs="Arial"/>
                <w:sz w:val="20"/>
                <w:szCs w:val="20"/>
              </w:rPr>
              <w:t>4 months</w:t>
            </w:r>
            <w:r w:rsidRPr="008332C0">
              <w:rPr>
                <w:rFonts w:ascii="Arial" w:hAnsi="Arial" w:cs="Arial"/>
                <w:sz w:val="20"/>
                <w:szCs w:val="20"/>
              </w:rPr>
              <w:t xml:space="preserve"> </w:t>
            </w:r>
            <w:r>
              <w:rPr>
                <w:rFonts w:ascii="Arial" w:hAnsi="Arial" w:cs="Arial"/>
                <w:sz w:val="20"/>
                <w:szCs w:val="20"/>
              </w:rPr>
              <w:t>of 2022</w:t>
            </w:r>
          </w:p>
        </w:tc>
        <w:tc>
          <w:tcPr>
            <w:tcW w:w="2978" w:type="dxa"/>
            <w:tcBorders>
              <w:top w:val="nil"/>
            </w:tcBorders>
            <w:shd w:val="clear" w:color="auto" w:fill="auto"/>
            <w:vAlign w:val="center"/>
            <w:hideMark/>
          </w:tcPr>
          <w:p w14:paraId="1DB2ED76" w14:textId="77777777" w:rsidR="00B2662E" w:rsidRPr="007F6A49" w:rsidRDefault="00B2662E" w:rsidP="000F4C80">
            <w:pPr>
              <w:spacing w:before="40" w:after="40"/>
              <w:jc w:val="center"/>
              <w:rPr>
                <w:rFonts w:ascii="Arial" w:hAnsi="Arial" w:cs="Arial"/>
                <w:sz w:val="20"/>
                <w:szCs w:val="20"/>
              </w:rPr>
            </w:pPr>
            <w:r>
              <w:rPr>
                <w:rFonts w:ascii="Arial" w:hAnsi="Arial" w:cs="Arial"/>
                <w:sz w:val="20"/>
                <w:szCs w:val="20"/>
              </w:rPr>
              <w:t>4 months of</w:t>
            </w:r>
            <w:r w:rsidRPr="007F6A49">
              <w:rPr>
                <w:rFonts w:ascii="Arial" w:hAnsi="Arial" w:cs="Arial"/>
                <w:sz w:val="20"/>
                <w:szCs w:val="20"/>
              </w:rPr>
              <w:t xml:space="preserve"> 2022 compare to</w:t>
            </w:r>
          </w:p>
          <w:p w14:paraId="744C8707" w14:textId="77777777" w:rsidR="00B2662E" w:rsidRPr="007F6A49" w:rsidRDefault="00B2662E" w:rsidP="000F4C80">
            <w:pPr>
              <w:spacing w:before="40" w:after="40"/>
              <w:jc w:val="center"/>
              <w:rPr>
                <w:rFonts w:ascii="Arial" w:hAnsi="Arial" w:cs="Arial"/>
                <w:sz w:val="20"/>
                <w:szCs w:val="20"/>
              </w:rPr>
            </w:pPr>
          </w:p>
        </w:tc>
      </w:tr>
      <w:tr w:rsidR="00B2662E" w:rsidRPr="007F6A49" w14:paraId="6E215AAC" w14:textId="77777777" w:rsidTr="00B2662E">
        <w:trPr>
          <w:trHeight w:val="360"/>
          <w:jc w:val="center"/>
        </w:trPr>
        <w:tc>
          <w:tcPr>
            <w:tcW w:w="280" w:type="dxa"/>
            <w:tcBorders>
              <w:top w:val="nil"/>
              <w:left w:val="nil"/>
              <w:bottom w:val="nil"/>
              <w:right w:val="nil"/>
            </w:tcBorders>
            <w:shd w:val="clear" w:color="auto" w:fill="auto"/>
            <w:noWrap/>
            <w:vAlign w:val="bottom"/>
            <w:hideMark/>
          </w:tcPr>
          <w:p w14:paraId="0E81E410" w14:textId="77777777" w:rsidR="00B2662E" w:rsidRPr="007F6A49" w:rsidRDefault="00B2662E" w:rsidP="000F4C80">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281703B2" w14:textId="77777777" w:rsidR="00B2662E" w:rsidRPr="007F6A49" w:rsidRDefault="00B2662E" w:rsidP="000F4C80">
            <w:pPr>
              <w:spacing w:before="40" w:after="40"/>
              <w:rPr>
                <w:rFonts w:ascii="Arial" w:hAnsi="Arial" w:cs="Arial"/>
                <w:sz w:val="20"/>
                <w:szCs w:val="20"/>
              </w:rPr>
            </w:pPr>
          </w:p>
        </w:tc>
        <w:tc>
          <w:tcPr>
            <w:tcW w:w="1985" w:type="dxa"/>
            <w:tcBorders>
              <w:top w:val="nil"/>
              <w:left w:val="nil"/>
              <w:bottom w:val="single" w:sz="4" w:space="0" w:color="auto"/>
            </w:tcBorders>
            <w:shd w:val="clear" w:color="auto" w:fill="auto"/>
            <w:vAlign w:val="center"/>
            <w:hideMark/>
          </w:tcPr>
          <w:p w14:paraId="15F57AE4" w14:textId="77777777" w:rsidR="00B2662E" w:rsidRPr="007F6A49" w:rsidRDefault="00B2662E" w:rsidP="000F4C80">
            <w:pPr>
              <w:spacing w:before="40" w:after="40"/>
              <w:jc w:val="center"/>
              <w:rPr>
                <w:rFonts w:ascii="Arial" w:hAnsi="Arial" w:cs="Arial"/>
                <w:sz w:val="20"/>
                <w:szCs w:val="20"/>
              </w:rPr>
            </w:pPr>
            <w:r w:rsidRPr="007F6A49">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05782B4A" w14:textId="77777777" w:rsidR="00B2662E" w:rsidRPr="007F6A49" w:rsidRDefault="00B2662E" w:rsidP="000F4C80">
            <w:pPr>
              <w:spacing w:before="40" w:after="40"/>
              <w:jc w:val="center"/>
              <w:rPr>
                <w:rFonts w:ascii="Arial" w:hAnsi="Arial" w:cs="Arial"/>
                <w:sz w:val="20"/>
                <w:szCs w:val="20"/>
              </w:rPr>
            </w:pPr>
            <w:r w:rsidRPr="007F6A49">
              <w:rPr>
                <w:rFonts w:ascii="Arial" w:hAnsi="Arial" w:cs="Arial"/>
                <w:sz w:val="20"/>
                <w:szCs w:val="20"/>
              </w:rPr>
              <w:t>the same period last year (%)</w:t>
            </w:r>
          </w:p>
        </w:tc>
      </w:tr>
      <w:tr w:rsidR="00B2662E" w:rsidRPr="007F6A49" w14:paraId="6C8535A9" w14:textId="77777777" w:rsidTr="00B2662E">
        <w:trPr>
          <w:trHeight w:val="360"/>
          <w:jc w:val="center"/>
        </w:trPr>
        <w:tc>
          <w:tcPr>
            <w:tcW w:w="280" w:type="dxa"/>
            <w:tcBorders>
              <w:top w:val="nil"/>
              <w:left w:val="nil"/>
              <w:bottom w:val="nil"/>
              <w:right w:val="nil"/>
            </w:tcBorders>
            <w:shd w:val="clear" w:color="auto" w:fill="auto"/>
            <w:noWrap/>
            <w:vAlign w:val="bottom"/>
            <w:hideMark/>
          </w:tcPr>
          <w:p w14:paraId="10A05972" w14:textId="77777777" w:rsidR="00B2662E" w:rsidRPr="007F6A49" w:rsidRDefault="00B2662E" w:rsidP="000F4C80">
            <w:pPr>
              <w:spacing w:before="40" w:after="40"/>
              <w:jc w:val="center"/>
              <w:rPr>
                <w:rFonts w:ascii="Arial" w:hAnsi="Arial" w:cs="Arial"/>
                <w:sz w:val="20"/>
                <w:szCs w:val="20"/>
              </w:rPr>
            </w:pPr>
          </w:p>
        </w:tc>
        <w:tc>
          <w:tcPr>
            <w:tcW w:w="4256" w:type="dxa"/>
            <w:tcBorders>
              <w:top w:val="nil"/>
              <w:left w:val="nil"/>
              <w:bottom w:val="nil"/>
              <w:right w:val="nil"/>
            </w:tcBorders>
            <w:shd w:val="clear" w:color="auto" w:fill="auto"/>
            <w:vAlign w:val="bottom"/>
            <w:hideMark/>
          </w:tcPr>
          <w:p w14:paraId="72941FAF" w14:textId="77777777" w:rsidR="00B2662E" w:rsidRPr="007F6A49" w:rsidRDefault="00B2662E" w:rsidP="000F4C80">
            <w:pPr>
              <w:spacing w:before="40" w:after="40"/>
              <w:rPr>
                <w:rFonts w:ascii="Arial" w:hAnsi="Arial" w:cs="Arial"/>
                <w:sz w:val="20"/>
                <w:szCs w:val="20"/>
              </w:rPr>
            </w:pPr>
          </w:p>
        </w:tc>
        <w:tc>
          <w:tcPr>
            <w:tcW w:w="1985" w:type="dxa"/>
            <w:tcBorders>
              <w:top w:val="single" w:sz="4" w:space="0" w:color="auto"/>
              <w:left w:val="nil"/>
              <w:bottom w:val="nil"/>
              <w:right w:val="nil"/>
            </w:tcBorders>
            <w:shd w:val="clear" w:color="auto" w:fill="auto"/>
            <w:noWrap/>
            <w:vAlign w:val="bottom"/>
            <w:hideMark/>
          </w:tcPr>
          <w:p w14:paraId="37908266" w14:textId="77777777" w:rsidR="00B2662E" w:rsidRPr="007F6A49" w:rsidRDefault="00B2662E" w:rsidP="000F4C80">
            <w:pPr>
              <w:spacing w:before="40" w:after="40"/>
              <w:rPr>
                <w:rFonts w:ascii="Arial" w:hAnsi="Arial" w:cs="Arial"/>
                <w:sz w:val="20"/>
                <w:szCs w:val="20"/>
              </w:rPr>
            </w:pPr>
          </w:p>
        </w:tc>
        <w:tc>
          <w:tcPr>
            <w:tcW w:w="2978" w:type="dxa"/>
            <w:tcBorders>
              <w:top w:val="single" w:sz="4" w:space="0" w:color="auto"/>
              <w:left w:val="nil"/>
              <w:bottom w:val="nil"/>
              <w:right w:val="nil"/>
            </w:tcBorders>
            <w:shd w:val="clear" w:color="auto" w:fill="auto"/>
            <w:noWrap/>
            <w:vAlign w:val="bottom"/>
            <w:hideMark/>
          </w:tcPr>
          <w:p w14:paraId="3DE7466A" w14:textId="77777777" w:rsidR="00B2662E" w:rsidRPr="007F6A49" w:rsidRDefault="00B2662E" w:rsidP="000F4C80">
            <w:pPr>
              <w:spacing w:before="40" w:after="40"/>
              <w:rPr>
                <w:rFonts w:ascii="Arial" w:hAnsi="Arial" w:cs="Arial"/>
                <w:sz w:val="20"/>
                <w:szCs w:val="20"/>
              </w:rPr>
            </w:pPr>
          </w:p>
        </w:tc>
      </w:tr>
      <w:tr w:rsidR="00B2662E" w:rsidRPr="007F6A49" w14:paraId="73DB22F7" w14:textId="77777777" w:rsidTr="00B2662E">
        <w:trPr>
          <w:trHeight w:val="360"/>
          <w:jc w:val="center"/>
        </w:trPr>
        <w:tc>
          <w:tcPr>
            <w:tcW w:w="4536" w:type="dxa"/>
            <w:gridSpan w:val="2"/>
            <w:tcBorders>
              <w:top w:val="nil"/>
              <w:left w:val="nil"/>
              <w:bottom w:val="nil"/>
              <w:right w:val="nil"/>
            </w:tcBorders>
            <w:shd w:val="clear" w:color="auto" w:fill="auto"/>
            <w:noWrap/>
            <w:vAlign w:val="bottom"/>
            <w:hideMark/>
          </w:tcPr>
          <w:p w14:paraId="4D68767A" w14:textId="77777777" w:rsidR="00B2662E" w:rsidRPr="007F6A49" w:rsidRDefault="00B2662E" w:rsidP="000F4C80">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85" w:type="dxa"/>
            <w:tcBorders>
              <w:top w:val="nil"/>
              <w:left w:val="nil"/>
              <w:bottom w:val="nil"/>
              <w:right w:val="nil"/>
            </w:tcBorders>
            <w:shd w:val="clear" w:color="auto" w:fill="auto"/>
            <w:noWrap/>
            <w:vAlign w:val="bottom"/>
            <w:hideMark/>
          </w:tcPr>
          <w:p w14:paraId="3B95F752" w14:textId="77777777" w:rsidR="00B2662E" w:rsidRPr="007F6A49" w:rsidRDefault="00B2662E" w:rsidP="000F4C80">
            <w:pPr>
              <w:spacing w:before="40" w:after="40"/>
              <w:rPr>
                <w:rFonts w:ascii="Arial" w:hAnsi="Arial" w:cs="Arial"/>
                <w:sz w:val="20"/>
                <w:szCs w:val="20"/>
              </w:rPr>
            </w:pPr>
          </w:p>
        </w:tc>
        <w:tc>
          <w:tcPr>
            <w:tcW w:w="2978" w:type="dxa"/>
            <w:tcBorders>
              <w:top w:val="nil"/>
              <w:left w:val="nil"/>
              <w:bottom w:val="nil"/>
              <w:right w:val="nil"/>
            </w:tcBorders>
            <w:shd w:val="clear" w:color="auto" w:fill="auto"/>
            <w:noWrap/>
            <w:vAlign w:val="bottom"/>
            <w:hideMark/>
          </w:tcPr>
          <w:p w14:paraId="033DC5D5" w14:textId="77777777" w:rsidR="00B2662E" w:rsidRPr="007F6A49" w:rsidRDefault="00B2662E" w:rsidP="000F4C80">
            <w:pPr>
              <w:spacing w:before="40" w:after="40"/>
              <w:rPr>
                <w:rFonts w:ascii="Arial" w:hAnsi="Arial" w:cs="Arial"/>
                <w:sz w:val="20"/>
                <w:szCs w:val="20"/>
              </w:rPr>
            </w:pPr>
          </w:p>
        </w:tc>
      </w:tr>
      <w:tr w:rsidR="00B2662E" w:rsidRPr="007F6A49" w14:paraId="0B61A14C" w14:textId="77777777" w:rsidTr="00B2662E">
        <w:trPr>
          <w:trHeight w:val="360"/>
          <w:jc w:val="center"/>
        </w:trPr>
        <w:tc>
          <w:tcPr>
            <w:tcW w:w="280" w:type="dxa"/>
            <w:tcBorders>
              <w:top w:val="nil"/>
              <w:left w:val="nil"/>
              <w:bottom w:val="nil"/>
              <w:right w:val="nil"/>
            </w:tcBorders>
            <w:shd w:val="clear" w:color="auto" w:fill="auto"/>
            <w:noWrap/>
            <w:vAlign w:val="bottom"/>
            <w:hideMark/>
          </w:tcPr>
          <w:p w14:paraId="38D94C7A" w14:textId="77777777" w:rsidR="00B2662E" w:rsidRPr="007F6A49" w:rsidRDefault="00B2662E" w:rsidP="000F4C80">
            <w:pPr>
              <w:spacing w:before="40" w:after="40"/>
              <w:jc w:val="right"/>
              <w:rPr>
                <w:rFonts w:ascii="Arial" w:hAnsi="Arial" w:cs="Arial"/>
                <w:sz w:val="20"/>
                <w:szCs w:val="20"/>
              </w:rPr>
            </w:pPr>
          </w:p>
        </w:tc>
        <w:tc>
          <w:tcPr>
            <w:tcW w:w="4256" w:type="dxa"/>
            <w:tcBorders>
              <w:top w:val="nil"/>
              <w:left w:val="nil"/>
              <w:right w:val="nil"/>
            </w:tcBorders>
            <w:shd w:val="clear" w:color="auto" w:fill="auto"/>
            <w:noWrap/>
            <w:vAlign w:val="bottom"/>
            <w:hideMark/>
          </w:tcPr>
          <w:p w14:paraId="0357C0B6" w14:textId="77777777" w:rsidR="00B2662E" w:rsidRPr="007F6A49" w:rsidRDefault="00B2662E" w:rsidP="000F4C80">
            <w:pPr>
              <w:spacing w:before="40" w:after="40"/>
              <w:rPr>
                <w:rFonts w:ascii="Arial" w:hAnsi="Arial" w:cs="Arial"/>
                <w:sz w:val="20"/>
                <w:szCs w:val="20"/>
              </w:rPr>
            </w:pPr>
            <w:r w:rsidRPr="007F6A49">
              <w:rPr>
                <w:rFonts w:ascii="Arial" w:hAnsi="Arial" w:cs="Arial"/>
                <w:sz w:val="20"/>
                <w:szCs w:val="20"/>
              </w:rPr>
              <w:t>Electronic goods, computers and their parts</w:t>
            </w:r>
          </w:p>
        </w:tc>
        <w:tc>
          <w:tcPr>
            <w:tcW w:w="1985" w:type="dxa"/>
            <w:tcBorders>
              <w:top w:val="nil"/>
              <w:left w:val="nil"/>
              <w:right w:val="nil"/>
            </w:tcBorders>
            <w:shd w:val="clear" w:color="auto" w:fill="auto"/>
            <w:noWrap/>
            <w:hideMark/>
          </w:tcPr>
          <w:p w14:paraId="5888B82B" w14:textId="77777777" w:rsidR="00B2662E" w:rsidRPr="007F6A49" w:rsidRDefault="00B2662E" w:rsidP="000F4C80">
            <w:pPr>
              <w:spacing w:before="40" w:after="40"/>
              <w:ind w:right="458"/>
              <w:jc w:val="right"/>
              <w:rPr>
                <w:rFonts w:ascii="Arial" w:hAnsi="Arial" w:cs="Arial"/>
                <w:sz w:val="20"/>
                <w:szCs w:val="20"/>
              </w:rPr>
            </w:pPr>
            <w:r>
              <w:rPr>
                <w:rFonts w:ascii="Arial" w:hAnsi="Arial" w:cs="Arial"/>
                <w:sz w:val="20"/>
                <w:szCs w:val="20"/>
              </w:rPr>
              <w:t>28,928</w:t>
            </w:r>
          </w:p>
        </w:tc>
        <w:tc>
          <w:tcPr>
            <w:tcW w:w="2978" w:type="dxa"/>
            <w:tcBorders>
              <w:top w:val="nil"/>
              <w:left w:val="nil"/>
              <w:right w:val="nil"/>
            </w:tcBorders>
            <w:shd w:val="clear" w:color="auto" w:fill="auto"/>
            <w:noWrap/>
            <w:hideMark/>
          </w:tcPr>
          <w:p w14:paraId="100E305A" w14:textId="77777777" w:rsidR="00B2662E" w:rsidRPr="007F6A49" w:rsidRDefault="00B2662E" w:rsidP="000F4C80">
            <w:pPr>
              <w:spacing w:before="40" w:after="40"/>
              <w:ind w:right="887"/>
              <w:jc w:val="right"/>
              <w:rPr>
                <w:rFonts w:ascii="Arial" w:hAnsi="Arial" w:cs="Arial"/>
                <w:sz w:val="20"/>
                <w:szCs w:val="20"/>
              </w:rPr>
            </w:pPr>
            <w:r>
              <w:rPr>
                <w:rFonts w:ascii="Arial" w:hAnsi="Arial" w:cs="Arial"/>
                <w:sz w:val="20"/>
                <w:szCs w:val="20"/>
              </w:rPr>
              <w:t>30.0</w:t>
            </w:r>
          </w:p>
        </w:tc>
      </w:tr>
      <w:tr w:rsidR="00B2662E" w:rsidRPr="00E80A96" w14:paraId="60437955" w14:textId="77777777" w:rsidTr="00B2662E">
        <w:trPr>
          <w:trHeight w:val="360"/>
          <w:jc w:val="center"/>
        </w:trPr>
        <w:tc>
          <w:tcPr>
            <w:tcW w:w="280" w:type="dxa"/>
            <w:tcBorders>
              <w:top w:val="nil"/>
              <w:left w:val="nil"/>
              <w:bottom w:val="nil"/>
              <w:right w:val="nil"/>
            </w:tcBorders>
            <w:shd w:val="clear" w:color="auto" w:fill="auto"/>
            <w:noWrap/>
            <w:vAlign w:val="bottom"/>
            <w:hideMark/>
          </w:tcPr>
          <w:p w14:paraId="3B75A7B8" w14:textId="77777777" w:rsidR="00B2662E" w:rsidRPr="00E80A96" w:rsidRDefault="00B2662E" w:rsidP="000F4C80">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2BAFFFC8" w14:textId="77777777" w:rsidR="00B2662E" w:rsidRPr="00E80A96" w:rsidRDefault="00B2662E" w:rsidP="000F4C80">
            <w:pPr>
              <w:spacing w:before="40" w:after="40"/>
              <w:rPr>
                <w:rFonts w:ascii="Arial" w:hAnsi="Arial" w:cs="Arial"/>
                <w:sz w:val="20"/>
                <w:szCs w:val="20"/>
              </w:rPr>
            </w:pPr>
            <w:r w:rsidRPr="00E80A96">
              <w:rPr>
                <w:rFonts w:ascii="Arial" w:hAnsi="Arial" w:cs="Arial"/>
                <w:sz w:val="20"/>
                <w:szCs w:val="20"/>
              </w:rPr>
              <w:t>Machinery, instrument, accessory</w:t>
            </w:r>
          </w:p>
        </w:tc>
        <w:tc>
          <w:tcPr>
            <w:tcW w:w="1985" w:type="dxa"/>
            <w:tcBorders>
              <w:top w:val="nil"/>
              <w:left w:val="nil"/>
              <w:bottom w:val="nil"/>
              <w:right w:val="nil"/>
            </w:tcBorders>
            <w:shd w:val="clear" w:color="auto" w:fill="auto"/>
            <w:noWrap/>
            <w:hideMark/>
          </w:tcPr>
          <w:p w14:paraId="19F46F81" w14:textId="77777777" w:rsidR="00B2662E" w:rsidRPr="00E80A96" w:rsidRDefault="00B2662E" w:rsidP="000F4C80">
            <w:pPr>
              <w:spacing w:before="40" w:after="40"/>
              <w:ind w:right="458" w:firstLine="28"/>
              <w:jc w:val="right"/>
              <w:rPr>
                <w:rFonts w:ascii="Arial" w:hAnsi="Arial" w:cs="Arial"/>
                <w:sz w:val="20"/>
                <w:szCs w:val="20"/>
              </w:rPr>
            </w:pPr>
            <w:r>
              <w:rPr>
                <w:rFonts w:ascii="Arial" w:hAnsi="Arial" w:cs="Arial"/>
                <w:sz w:val="20"/>
                <w:szCs w:val="20"/>
              </w:rPr>
              <w:t>13,929</w:t>
            </w:r>
          </w:p>
        </w:tc>
        <w:tc>
          <w:tcPr>
            <w:tcW w:w="2978" w:type="dxa"/>
            <w:tcBorders>
              <w:top w:val="nil"/>
              <w:left w:val="nil"/>
              <w:bottom w:val="nil"/>
              <w:right w:val="nil"/>
            </w:tcBorders>
            <w:shd w:val="clear" w:color="auto" w:fill="auto"/>
            <w:noWrap/>
            <w:hideMark/>
          </w:tcPr>
          <w:p w14:paraId="51666527" w14:textId="77777777" w:rsidR="00B2662E" w:rsidRPr="00E80A96" w:rsidRDefault="00B2662E" w:rsidP="000F4C80">
            <w:pPr>
              <w:spacing w:before="40" w:after="40"/>
              <w:ind w:right="891"/>
              <w:jc w:val="right"/>
              <w:rPr>
                <w:rFonts w:ascii="Arial" w:hAnsi="Arial" w:cs="Arial"/>
                <w:sz w:val="20"/>
                <w:szCs w:val="20"/>
              </w:rPr>
            </w:pPr>
            <w:r>
              <w:rPr>
                <w:rFonts w:ascii="Arial" w:hAnsi="Arial" w:cs="Arial"/>
                <w:sz w:val="20"/>
                <w:szCs w:val="20"/>
              </w:rPr>
              <w:t>-5.7</w:t>
            </w:r>
          </w:p>
        </w:tc>
      </w:tr>
      <w:tr w:rsidR="00B2662E" w:rsidRPr="00E80A96" w14:paraId="0CDFB7B8" w14:textId="77777777" w:rsidTr="00B2662E">
        <w:trPr>
          <w:trHeight w:val="360"/>
          <w:jc w:val="center"/>
        </w:trPr>
        <w:tc>
          <w:tcPr>
            <w:tcW w:w="280" w:type="dxa"/>
            <w:tcBorders>
              <w:top w:val="nil"/>
              <w:left w:val="nil"/>
              <w:right w:val="nil"/>
            </w:tcBorders>
            <w:shd w:val="clear" w:color="auto" w:fill="auto"/>
            <w:noWrap/>
            <w:vAlign w:val="bottom"/>
          </w:tcPr>
          <w:p w14:paraId="1792AEDD" w14:textId="77777777" w:rsidR="00B2662E" w:rsidRPr="00E80A96" w:rsidRDefault="00B2662E" w:rsidP="000F4C80">
            <w:pPr>
              <w:spacing w:before="40" w:after="40"/>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bottom"/>
          </w:tcPr>
          <w:p w14:paraId="714B06DC" w14:textId="77777777" w:rsidR="00B2662E" w:rsidRPr="00E80A96" w:rsidRDefault="00B2662E" w:rsidP="000F4C80">
            <w:pPr>
              <w:spacing w:before="40" w:after="40"/>
              <w:rPr>
                <w:rFonts w:ascii="Arial" w:hAnsi="Arial" w:cs="Arial"/>
                <w:sz w:val="20"/>
                <w:szCs w:val="20"/>
              </w:rPr>
            </w:pPr>
            <w:r w:rsidRPr="008332C0">
              <w:rPr>
                <w:rFonts w:ascii="Arial" w:hAnsi="Arial" w:cs="Arial"/>
                <w:sz w:val="20"/>
                <w:szCs w:val="20"/>
              </w:rPr>
              <w:t>Phones all of kinds and their parts</w:t>
            </w:r>
          </w:p>
        </w:tc>
        <w:tc>
          <w:tcPr>
            <w:tcW w:w="1985" w:type="dxa"/>
            <w:tcBorders>
              <w:top w:val="nil"/>
              <w:left w:val="nil"/>
              <w:bottom w:val="single" w:sz="4" w:space="0" w:color="auto"/>
              <w:right w:val="nil"/>
            </w:tcBorders>
            <w:shd w:val="clear" w:color="auto" w:fill="auto"/>
            <w:noWrap/>
          </w:tcPr>
          <w:p w14:paraId="66531710" w14:textId="77777777" w:rsidR="00B2662E" w:rsidRDefault="00B2662E" w:rsidP="000F4C80">
            <w:pPr>
              <w:spacing w:before="40" w:after="40"/>
              <w:ind w:right="458" w:firstLine="28"/>
              <w:jc w:val="right"/>
              <w:rPr>
                <w:rFonts w:ascii="Arial" w:hAnsi="Arial" w:cs="Arial"/>
                <w:sz w:val="20"/>
                <w:szCs w:val="20"/>
              </w:rPr>
            </w:pPr>
            <w:r>
              <w:rPr>
                <w:rFonts w:ascii="Arial" w:hAnsi="Arial" w:cs="Arial"/>
                <w:sz w:val="20"/>
                <w:szCs w:val="20"/>
              </w:rPr>
              <w:t>7,437</w:t>
            </w:r>
          </w:p>
        </w:tc>
        <w:tc>
          <w:tcPr>
            <w:tcW w:w="2978" w:type="dxa"/>
            <w:tcBorders>
              <w:top w:val="nil"/>
              <w:left w:val="nil"/>
              <w:bottom w:val="single" w:sz="4" w:space="0" w:color="auto"/>
              <w:right w:val="nil"/>
            </w:tcBorders>
            <w:shd w:val="clear" w:color="auto" w:fill="auto"/>
            <w:noWrap/>
          </w:tcPr>
          <w:p w14:paraId="1CA8A572" w14:textId="77777777" w:rsidR="00B2662E" w:rsidRDefault="00B2662E" w:rsidP="000F4C80">
            <w:pPr>
              <w:spacing w:before="40" w:after="40"/>
              <w:ind w:right="891"/>
              <w:jc w:val="right"/>
              <w:rPr>
                <w:rFonts w:ascii="Arial" w:hAnsi="Arial" w:cs="Arial"/>
                <w:sz w:val="20"/>
                <w:szCs w:val="20"/>
              </w:rPr>
            </w:pPr>
            <w:r>
              <w:rPr>
                <w:rFonts w:ascii="Arial" w:hAnsi="Arial" w:cs="Arial"/>
                <w:sz w:val="20"/>
                <w:szCs w:val="20"/>
              </w:rPr>
              <w:t>20.8</w:t>
            </w:r>
          </w:p>
        </w:tc>
      </w:tr>
    </w:tbl>
    <w:p w14:paraId="5AD0C700" w14:textId="77777777" w:rsidR="003871F8" w:rsidRDefault="003871F8" w:rsidP="003871F8">
      <w:pPr>
        <w:tabs>
          <w:tab w:val="num" w:pos="0"/>
          <w:tab w:val="left" w:pos="9475"/>
        </w:tabs>
        <w:spacing w:before="40"/>
        <w:ind w:right="187" w:firstLine="567"/>
        <w:jc w:val="right"/>
        <w:rPr>
          <w:rFonts w:ascii="Arial" w:hAnsi="Arial" w:cs="Arial"/>
          <w:b/>
          <w:bCs/>
          <w:i/>
          <w:iCs/>
          <w:sz w:val="2"/>
          <w:szCs w:val="20"/>
          <w:lang w:val="en-US"/>
        </w:rPr>
      </w:pPr>
    </w:p>
    <w:p w14:paraId="166F3D6B" w14:textId="77777777" w:rsidR="003871F8" w:rsidRDefault="003871F8" w:rsidP="003871F8">
      <w:pPr>
        <w:tabs>
          <w:tab w:val="num" w:pos="0"/>
          <w:tab w:val="left" w:pos="9475"/>
        </w:tabs>
        <w:spacing w:before="40"/>
        <w:ind w:right="187" w:firstLine="567"/>
        <w:jc w:val="right"/>
        <w:rPr>
          <w:rFonts w:ascii="Arial" w:hAnsi="Arial" w:cs="Arial"/>
          <w:b/>
          <w:bCs/>
          <w:i/>
          <w:iCs/>
          <w:sz w:val="2"/>
          <w:szCs w:val="20"/>
          <w:lang w:val="en-US"/>
        </w:rPr>
      </w:pPr>
    </w:p>
    <w:p w14:paraId="4493F35C" w14:textId="7950A2D5" w:rsidR="003871F8" w:rsidRPr="003871F8" w:rsidRDefault="00301E9C" w:rsidP="003871F8">
      <w:pPr>
        <w:tabs>
          <w:tab w:val="left" w:pos="9475"/>
        </w:tabs>
        <w:spacing w:before="40" w:after="40" w:line="264" w:lineRule="auto"/>
        <w:ind w:right="6"/>
        <w:jc w:val="both"/>
        <w:rPr>
          <w:rStyle w:val="Strong"/>
          <w:rFonts w:ascii="Times New Roman" w:eastAsia="Batang" w:hAnsi="Times New Roman"/>
          <w:spacing w:val="-2"/>
          <w:sz w:val="28"/>
          <w:szCs w:val="28"/>
        </w:rPr>
      </w:pPr>
      <w:r>
        <w:rPr>
          <w:rFonts w:ascii="Times New Roman" w:eastAsia="Batang" w:hAnsi="Times New Roman" w:cs="Times New Roman"/>
          <w:i/>
          <w:iCs/>
          <w:noProof/>
          <w:spacing w:val="-4"/>
          <w:sz w:val="28"/>
          <w:szCs w:val="28"/>
          <w:lang w:eastAsia="en-GB"/>
        </w:rPr>
        <w:pict w14:anchorId="55FF583B">
          <v:shape id="_x0000_s1027" type="#_x0000_t202" style="position:absolute;left:0;text-align:left;margin-left:6.45pt;margin-top:.8pt;width:280.5pt;height: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" stroked="f">
            <v:textbox style="mso-next-textbox:#_x0000_s1027">
              <w:txbxContent>
                <w:p w14:paraId="76772CBC" w14:textId="77777777" w:rsidR="00D34D0E" w:rsidRPr="008332C0" w:rsidRDefault="00D34D0E" w:rsidP="00D34D0E">
                  <w:pPr>
                    <w:spacing w:before="40" w:after="40" w:line="288" w:lineRule="auto"/>
                    <w:ind w:left="-284"/>
                    <w:jc w:val="center"/>
                    <w:rPr>
                      <w:rFonts w:ascii="Arial" w:hAnsi="Arial" w:cs="Arial"/>
                      <w:b/>
                      <w:bCs/>
                    </w:rPr>
                  </w:pPr>
                  <w:r w:rsidRPr="008332C0">
                    <w:rPr>
                      <w:rFonts w:ascii="Arial" w:hAnsi="Arial" w:cs="Arial"/>
                      <w:b/>
                      <w:bCs/>
                    </w:rPr>
                    <w:t>Figure 1</w:t>
                  </w:r>
                  <w:r>
                    <w:rPr>
                      <w:rFonts w:ascii="Arial" w:hAnsi="Arial" w:cs="Arial"/>
                      <w:b/>
                      <w:bCs/>
                    </w:rPr>
                    <w:t>4</w:t>
                  </w:r>
                  <w:r w:rsidRPr="008332C0">
                    <w:rPr>
                      <w:rFonts w:ascii="Arial" w:hAnsi="Arial" w:cs="Arial"/>
                      <w:b/>
                      <w:bCs/>
                    </w:rPr>
                    <w:t>. Structure of import groups</w:t>
                  </w:r>
                </w:p>
                <w:p w14:paraId="54FC2AE5" w14:textId="77777777" w:rsidR="00D34D0E" w:rsidRPr="008332C0" w:rsidRDefault="00D34D0E" w:rsidP="00D34D0E">
                  <w:pPr>
                    <w:spacing w:before="40" w:after="40" w:line="288" w:lineRule="auto"/>
                    <w:ind w:left="-284"/>
                    <w:jc w:val="center"/>
                    <w:rPr>
                      <w:rFonts w:ascii="Arial" w:hAnsi="Arial" w:cs="Arial"/>
                      <w:b/>
                      <w:bCs/>
                    </w:rPr>
                  </w:pPr>
                  <w:r w:rsidRPr="008332C0">
                    <w:rPr>
                      <w:rFonts w:ascii="Arial" w:hAnsi="Arial" w:cs="Arial"/>
                      <w:b/>
                      <w:bCs/>
                    </w:rPr>
                    <w:t xml:space="preserve">in </w:t>
                  </w:r>
                  <w:r>
                    <w:rPr>
                      <w:rFonts w:ascii="Arial" w:hAnsi="Arial" w:cs="Arial"/>
                      <w:b/>
                      <w:bCs/>
                    </w:rPr>
                    <w:t>4 months</w:t>
                  </w:r>
                  <w:r w:rsidRPr="008332C0">
                    <w:rPr>
                      <w:rFonts w:ascii="Arial" w:hAnsi="Arial" w:cs="Arial"/>
                      <w:b/>
                      <w:bCs/>
                    </w:rPr>
                    <w:t xml:space="preserve"> of 2022 by commodity group</w:t>
                  </w:r>
                </w:p>
                <w:p w14:paraId="0A5BEB66" w14:textId="50291D38" w:rsidR="003871F8" w:rsidRPr="00B118BC" w:rsidRDefault="00D34D0E" w:rsidP="003871F8">
                  <w:pPr>
                    <w:ind w:left="-142"/>
                    <w:jc w:val="center"/>
                    <w:rPr>
                      <w:rFonts w:ascii="Arial" w:hAnsi="Arial" w:cs="Arial"/>
                      <w:sz w:val="24"/>
                      <w:szCs w:val="24"/>
                    </w:rPr>
                  </w:pPr>
                  <w:r w:rsidRPr="00A86708">
                    <w:rPr>
                      <w:noProof/>
                    </w:rPr>
                    <w:drawing>
                      <wp:inline distT="0" distB="0" distL="0" distR="0" wp14:anchorId="5452DB90" wp14:editId="09BE0493">
                        <wp:extent cx="3124200" cy="2054860"/>
                        <wp:effectExtent l="0" t="0" r="0"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054860"/>
                                </a:xfrm>
                                <a:prstGeom prst="rect">
                                  <a:avLst/>
                                </a:prstGeom>
                                <a:noFill/>
                                <a:ln>
                                  <a:noFill/>
                                </a:ln>
                              </pic:spPr>
                            </pic:pic>
                          </a:graphicData>
                        </a:graphic>
                      </wp:inline>
                    </w:drawing>
                  </w:r>
                </w:p>
              </w:txbxContent>
            </v:textbox>
            <w10:wrap type="square"/>
          </v:shape>
        </w:pict>
      </w:r>
      <w:r w:rsidR="003871F8" w:rsidRPr="00F66505">
        <w:rPr>
          <w:rFonts w:eastAsia="Batang"/>
          <w:i/>
          <w:iCs/>
        </w:rPr>
        <w:t xml:space="preserve"> </w:t>
      </w:r>
      <w:r w:rsidR="00C7713B" w:rsidRPr="008332C0">
        <w:rPr>
          <w:rFonts w:ascii="Times New Roman" w:eastAsia="Batang" w:hAnsi="Times New Roman" w:cs="Times New Roman"/>
          <w:bCs/>
          <w:i/>
          <w:iCs/>
          <w:sz w:val="28"/>
          <w:szCs w:val="28"/>
          <w:lang w:val="en-US"/>
        </w:rPr>
        <w:t xml:space="preserve">Regarding the structure of imported goods in </w:t>
      </w:r>
      <w:r w:rsidR="00C7713B">
        <w:rPr>
          <w:rFonts w:ascii="Times New Roman" w:eastAsia="Batang" w:hAnsi="Times New Roman" w:cs="Times New Roman"/>
          <w:bCs/>
          <w:i/>
          <w:iCs/>
          <w:sz w:val="28"/>
          <w:szCs w:val="28"/>
          <w:lang w:val="en-US"/>
        </w:rPr>
        <w:t xml:space="preserve">4 months </w:t>
      </w:r>
      <w:r w:rsidR="00C7713B" w:rsidRPr="008332C0">
        <w:rPr>
          <w:rFonts w:ascii="Times New Roman" w:eastAsia="Batang" w:hAnsi="Times New Roman" w:cs="Times New Roman"/>
          <w:bCs/>
          <w:i/>
          <w:iCs/>
          <w:sz w:val="28"/>
          <w:szCs w:val="28"/>
          <w:lang w:val="en-US"/>
        </w:rPr>
        <w:t xml:space="preserve">of 2022, </w:t>
      </w:r>
      <w:r w:rsidR="00C7713B" w:rsidRPr="008332C0">
        <w:rPr>
          <w:rFonts w:ascii="Times New Roman" w:eastAsia="Batang" w:hAnsi="Times New Roman" w:cs="Times New Roman"/>
          <w:bCs/>
          <w:sz w:val="28"/>
          <w:szCs w:val="28"/>
          <w:lang w:val="en-US"/>
        </w:rPr>
        <w:t>the group of production materials accounted for 93.</w:t>
      </w:r>
      <w:r w:rsidR="00C7713B">
        <w:rPr>
          <w:rFonts w:ascii="Times New Roman" w:eastAsia="Batang" w:hAnsi="Times New Roman" w:cs="Times New Roman"/>
          <w:bCs/>
          <w:sz w:val="28"/>
          <w:szCs w:val="28"/>
          <w:lang w:val="en-US"/>
        </w:rPr>
        <w:t>9</w:t>
      </w:r>
      <w:r w:rsidR="00C7713B" w:rsidRPr="008332C0">
        <w:rPr>
          <w:rFonts w:ascii="Times New Roman" w:eastAsia="Batang" w:hAnsi="Times New Roman" w:cs="Times New Roman"/>
          <w:bCs/>
          <w:sz w:val="28"/>
          <w:szCs w:val="28"/>
          <w:lang w:val="en-US"/>
        </w:rPr>
        <w:t>%, up 0.</w:t>
      </w:r>
      <w:r w:rsidR="00C7713B">
        <w:rPr>
          <w:rFonts w:ascii="Times New Roman" w:eastAsia="Batang" w:hAnsi="Times New Roman" w:cs="Times New Roman"/>
          <w:bCs/>
          <w:sz w:val="28"/>
          <w:szCs w:val="28"/>
          <w:lang w:val="en-US"/>
        </w:rPr>
        <w:t>04</w:t>
      </w:r>
      <w:r w:rsidR="00C7713B" w:rsidRPr="008332C0">
        <w:rPr>
          <w:rFonts w:ascii="Times New Roman" w:eastAsia="Batang" w:hAnsi="Times New Roman" w:cs="Times New Roman"/>
          <w:bCs/>
          <w:sz w:val="28"/>
          <w:szCs w:val="28"/>
          <w:lang w:val="en-US"/>
        </w:rPr>
        <w:t xml:space="preserve"> percentage point</w:t>
      </w:r>
      <w:r w:rsidR="00805DC7">
        <w:rPr>
          <w:rFonts w:ascii="Times New Roman" w:eastAsia="Batang" w:hAnsi="Times New Roman" w:cs="Times New Roman"/>
          <w:bCs/>
          <w:sz w:val="28"/>
          <w:szCs w:val="28"/>
          <w:lang w:val="en-US"/>
        </w:rPr>
        <w:t>s</w:t>
      </w:r>
      <w:r w:rsidR="00C7713B" w:rsidRPr="008332C0">
        <w:rPr>
          <w:rFonts w:ascii="Times New Roman" w:eastAsia="Batang" w:hAnsi="Times New Roman" w:cs="Times New Roman"/>
          <w:bCs/>
          <w:sz w:val="28"/>
          <w:szCs w:val="28"/>
          <w:lang w:val="en-US"/>
        </w:rPr>
        <w:t xml:space="preserve"> over the same period last year, in which the group of machinery, equipment, tools spare parts accounted for 4</w:t>
      </w:r>
      <w:r w:rsidR="00C7713B">
        <w:rPr>
          <w:rFonts w:ascii="Times New Roman" w:eastAsia="Batang" w:hAnsi="Times New Roman" w:cs="Times New Roman"/>
          <w:bCs/>
          <w:sz w:val="28"/>
          <w:szCs w:val="28"/>
          <w:lang w:val="en-US"/>
        </w:rPr>
        <w:t>5</w:t>
      </w:r>
      <w:r w:rsidR="00C7713B" w:rsidRPr="008332C0">
        <w:rPr>
          <w:rFonts w:ascii="Times New Roman" w:eastAsia="Batang" w:hAnsi="Times New Roman" w:cs="Times New Roman"/>
          <w:bCs/>
          <w:sz w:val="28"/>
          <w:szCs w:val="28"/>
          <w:lang w:val="en-US"/>
        </w:rPr>
        <w:t xml:space="preserve">.2%, down </w:t>
      </w:r>
      <w:r w:rsidR="00C7713B">
        <w:rPr>
          <w:rFonts w:ascii="Times New Roman" w:eastAsia="Batang" w:hAnsi="Times New Roman" w:cs="Times New Roman"/>
          <w:bCs/>
          <w:sz w:val="28"/>
          <w:szCs w:val="28"/>
          <w:lang w:val="en-US"/>
        </w:rPr>
        <w:t>0</w:t>
      </w:r>
      <w:r w:rsidR="00C7713B" w:rsidRPr="008332C0">
        <w:rPr>
          <w:rFonts w:ascii="Times New Roman" w:eastAsia="Batang" w:hAnsi="Times New Roman" w:cs="Times New Roman"/>
          <w:bCs/>
          <w:sz w:val="28"/>
          <w:szCs w:val="28"/>
          <w:lang w:val="en-US"/>
        </w:rPr>
        <w:t>.</w:t>
      </w:r>
      <w:r w:rsidR="00C7713B">
        <w:rPr>
          <w:rFonts w:ascii="Times New Roman" w:eastAsia="Batang" w:hAnsi="Times New Roman" w:cs="Times New Roman"/>
          <w:bCs/>
          <w:sz w:val="28"/>
          <w:szCs w:val="28"/>
          <w:lang w:val="en-US"/>
        </w:rPr>
        <w:t>46</w:t>
      </w:r>
      <w:r w:rsidR="00C7713B" w:rsidRPr="008332C0">
        <w:rPr>
          <w:rFonts w:ascii="Times New Roman" w:eastAsia="Batang" w:hAnsi="Times New Roman" w:cs="Times New Roman"/>
          <w:bCs/>
          <w:sz w:val="28"/>
          <w:szCs w:val="28"/>
          <w:lang w:val="en-US"/>
        </w:rPr>
        <w:t xml:space="preserve"> percentage points; raw materials, fuel and materials accounted for 4</w:t>
      </w:r>
      <w:r w:rsidR="00C7713B">
        <w:rPr>
          <w:rFonts w:ascii="Times New Roman" w:eastAsia="Batang" w:hAnsi="Times New Roman" w:cs="Times New Roman"/>
          <w:bCs/>
          <w:sz w:val="28"/>
          <w:szCs w:val="28"/>
          <w:lang w:val="en-US"/>
        </w:rPr>
        <w:t>8</w:t>
      </w:r>
      <w:r w:rsidR="00C7713B" w:rsidRPr="008332C0">
        <w:rPr>
          <w:rFonts w:ascii="Times New Roman" w:eastAsia="Batang" w:hAnsi="Times New Roman" w:cs="Times New Roman"/>
          <w:bCs/>
          <w:sz w:val="28"/>
          <w:szCs w:val="28"/>
          <w:lang w:val="en-US"/>
        </w:rPr>
        <w:t>.</w:t>
      </w:r>
      <w:r w:rsidR="00C7713B">
        <w:rPr>
          <w:rFonts w:ascii="Times New Roman" w:eastAsia="Batang" w:hAnsi="Times New Roman" w:cs="Times New Roman"/>
          <w:bCs/>
          <w:sz w:val="28"/>
          <w:szCs w:val="28"/>
          <w:lang w:val="en-US"/>
        </w:rPr>
        <w:t>8</w:t>
      </w:r>
      <w:r w:rsidR="00C7713B" w:rsidRPr="008332C0">
        <w:rPr>
          <w:rFonts w:ascii="Times New Roman" w:eastAsia="Batang" w:hAnsi="Times New Roman" w:cs="Times New Roman"/>
          <w:bCs/>
          <w:sz w:val="28"/>
          <w:szCs w:val="28"/>
          <w:lang w:val="en-US"/>
        </w:rPr>
        <w:t>%, up 0.</w:t>
      </w:r>
      <w:r w:rsidR="00C7713B">
        <w:rPr>
          <w:rFonts w:ascii="Times New Roman" w:eastAsia="Batang" w:hAnsi="Times New Roman" w:cs="Times New Roman"/>
          <w:bCs/>
          <w:sz w:val="28"/>
          <w:szCs w:val="28"/>
          <w:lang w:val="en-US"/>
        </w:rPr>
        <w:t>5</w:t>
      </w:r>
      <w:r w:rsidR="00C7713B" w:rsidRPr="008332C0">
        <w:rPr>
          <w:rFonts w:ascii="Times New Roman" w:eastAsia="Batang" w:hAnsi="Times New Roman" w:cs="Times New Roman"/>
          <w:bCs/>
          <w:sz w:val="28"/>
          <w:szCs w:val="28"/>
          <w:lang w:val="en-US"/>
        </w:rPr>
        <w:t xml:space="preserve"> percentage points. The group of consumer products accounted for 6.</w:t>
      </w:r>
      <w:r w:rsidR="00C7713B">
        <w:rPr>
          <w:rFonts w:ascii="Times New Roman" w:eastAsia="Batang" w:hAnsi="Times New Roman" w:cs="Times New Roman"/>
          <w:bCs/>
          <w:sz w:val="28"/>
          <w:szCs w:val="28"/>
          <w:lang w:val="en-US"/>
        </w:rPr>
        <w:t>1</w:t>
      </w:r>
      <w:r w:rsidR="00C7713B" w:rsidRPr="008332C0">
        <w:rPr>
          <w:rFonts w:ascii="Times New Roman" w:eastAsia="Batang" w:hAnsi="Times New Roman" w:cs="Times New Roman"/>
          <w:bCs/>
          <w:sz w:val="28"/>
          <w:szCs w:val="28"/>
          <w:lang w:val="en-US"/>
        </w:rPr>
        <w:t>%, down 0.</w:t>
      </w:r>
      <w:r w:rsidR="00C7713B">
        <w:rPr>
          <w:rFonts w:ascii="Times New Roman" w:eastAsia="Batang" w:hAnsi="Times New Roman" w:cs="Times New Roman"/>
          <w:bCs/>
          <w:sz w:val="28"/>
          <w:szCs w:val="28"/>
          <w:lang w:val="en-US"/>
        </w:rPr>
        <w:t>04</w:t>
      </w:r>
      <w:r w:rsidR="00C7713B" w:rsidRPr="008332C0">
        <w:rPr>
          <w:rFonts w:ascii="Times New Roman" w:eastAsia="Batang" w:hAnsi="Times New Roman" w:cs="Times New Roman"/>
          <w:bCs/>
          <w:sz w:val="28"/>
          <w:szCs w:val="28"/>
          <w:lang w:val="en-US"/>
        </w:rPr>
        <w:t xml:space="preserve"> percentage point</w:t>
      </w:r>
      <w:r w:rsidR="00805DC7">
        <w:rPr>
          <w:rFonts w:ascii="Times New Roman" w:eastAsia="Batang" w:hAnsi="Times New Roman" w:cs="Times New Roman"/>
          <w:bCs/>
          <w:sz w:val="28"/>
          <w:szCs w:val="28"/>
          <w:lang w:val="en-US"/>
        </w:rPr>
        <w:t>s</w:t>
      </w:r>
      <w:r w:rsidR="00C7713B" w:rsidRPr="008332C0">
        <w:rPr>
          <w:rFonts w:ascii="Times New Roman" w:eastAsia="Batang" w:hAnsi="Times New Roman" w:cs="Times New Roman"/>
          <w:bCs/>
          <w:sz w:val="28"/>
          <w:szCs w:val="28"/>
          <w:lang w:val="en-US"/>
        </w:rPr>
        <w:t>.</w:t>
      </w:r>
    </w:p>
    <w:p w14:paraId="235F398F" w14:textId="566581F2" w:rsidR="00301DA8" w:rsidRPr="00BC5895" w:rsidRDefault="00301DA8" w:rsidP="00301DA8">
      <w:pPr>
        <w:tabs>
          <w:tab w:val="num" w:pos="0"/>
          <w:tab w:val="left" w:pos="9475"/>
        </w:tabs>
        <w:spacing w:before="40" w:after="40" w:line="288" w:lineRule="auto"/>
        <w:ind w:right="6" w:firstLine="567"/>
        <w:jc w:val="both"/>
        <w:rPr>
          <w:rFonts w:ascii="Times New Roman" w:hAnsi="Times New Roman" w:cs="Times New Roman"/>
          <w:bCs/>
          <w:i/>
          <w:sz w:val="28"/>
          <w:szCs w:val="28"/>
          <w:lang w:val="en-US"/>
        </w:rPr>
      </w:pPr>
      <w:r w:rsidRPr="008332C0">
        <w:rPr>
          <w:rFonts w:ascii="Times New Roman" w:hAnsi="Times New Roman" w:cs="Times New Roman"/>
          <w:bCs/>
          <w:i/>
          <w:sz w:val="28"/>
          <w:szCs w:val="28"/>
        </w:rPr>
        <w:t xml:space="preserve">Regarding the export and import market of goods in </w:t>
      </w:r>
      <w:r>
        <w:rPr>
          <w:rFonts w:ascii="Times New Roman" w:hAnsi="Times New Roman" w:cs="Times New Roman"/>
          <w:bCs/>
          <w:i/>
          <w:sz w:val="28"/>
          <w:szCs w:val="28"/>
        </w:rPr>
        <w:t xml:space="preserve">4 months </w:t>
      </w:r>
      <w:r w:rsidRPr="008332C0">
        <w:rPr>
          <w:rFonts w:ascii="Times New Roman" w:hAnsi="Times New Roman" w:cs="Times New Roman"/>
          <w:bCs/>
          <w:i/>
          <w:sz w:val="28"/>
          <w:szCs w:val="28"/>
        </w:rPr>
        <w:t xml:space="preserve">of 2022, </w:t>
      </w:r>
      <w:r w:rsidRPr="008332C0">
        <w:rPr>
          <w:rFonts w:ascii="Times New Roman" w:hAnsi="Times New Roman" w:cs="Times New Roman"/>
          <w:bCs/>
          <w:iCs/>
          <w:sz w:val="28"/>
          <w:szCs w:val="28"/>
        </w:rPr>
        <w:t xml:space="preserve">the United States </w:t>
      </w:r>
      <w:r>
        <w:rPr>
          <w:rFonts w:ascii="Times New Roman" w:hAnsi="Times New Roman" w:cs="Times New Roman"/>
          <w:bCs/>
          <w:iCs/>
          <w:sz w:val="28"/>
          <w:szCs w:val="28"/>
        </w:rPr>
        <w:t>wa</w:t>
      </w:r>
      <w:r w:rsidRPr="008332C0">
        <w:rPr>
          <w:rFonts w:ascii="Times New Roman" w:hAnsi="Times New Roman" w:cs="Times New Roman"/>
          <w:bCs/>
          <w:iCs/>
          <w:sz w:val="28"/>
          <w:szCs w:val="28"/>
        </w:rPr>
        <w:t xml:space="preserve">s the largest export market </w:t>
      </w:r>
      <w:r w:rsidR="00805DC7">
        <w:rPr>
          <w:rFonts w:ascii="Times New Roman" w:hAnsi="Times New Roman" w:cs="Times New Roman"/>
          <w:bCs/>
          <w:iCs/>
          <w:sz w:val="28"/>
          <w:szCs w:val="28"/>
        </w:rPr>
        <w:t>for</w:t>
      </w:r>
      <w:r w:rsidRPr="008332C0">
        <w:rPr>
          <w:rFonts w:ascii="Times New Roman" w:hAnsi="Times New Roman" w:cs="Times New Roman"/>
          <w:bCs/>
          <w:iCs/>
          <w:sz w:val="28"/>
          <w:szCs w:val="28"/>
        </w:rPr>
        <w:t xml:space="preserve">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 with an estimated turnover of </w:t>
      </w:r>
      <w:r>
        <w:rPr>
          <w:rFonts w:ascii="Times New Roman" w:hAnsi="Times New Roman" w:cs="Times New Roman"/>
          <w:bCs/>
          <w:iCs/>
          <w:sz w:val="28"/>
          <w:szCs w:val="28"/>
        </w:rPr>
        <w:t>35.7</w:t>
      </w:r>
      <w:r w:rsidRPr="008332C0">
        <w:rPr>
          <w:rFonts w:ascii="Times New Roman" w:hAnsi="Times New Roman" w:cs="Times New Roman"/>
          <w:bCs/>
          <w:iCs/>
          <w:sz w:val="28"/>
          <w:szCs w:val="28"/>
        </w:rPr>
        <w:t xml:space="preserve"> billion USD. China </w:t>
      </w:r>
      <w:r>
        <w:rPr>
          <w:rFonts w:ascii="Times New Roman" w:hAnsi="Times New Roman" w:cs="Times New Roman"/>
          <w:bCs/>
          <w:iCs/>
          <w:sz w:val="28"/>
          <w:szCs w:val="28"/>
        </w:rPr>
        <w:t>wa</w:t>
      </w:r>
      <w:r w:rsidRPr="008332C0">
        <w:rPr>
          <w:rFonts w:ascii="Times New Roman" w:hAnsi="Times New Roman" w:cs="Times New Roman"/>
          <w:bCs/>
          <w:iCs/>
          <w:sz w:val="28"/>
          <w:szCs w:val="28"/>
        </w:rPr>
        <w:t>s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am's largest import market with an estimated turnover of </w:t>
      </w:r>
      <w:r>
        <w:rPr>
          <w:rFonts w:ascii="Times New Roman" w:hAnsi="Times New Roman" w:cs="Times New Roman"/>
          <w:bCs/>
          <w:iCs/>
          <w:sz w:val="28"/>
          <w:szCs w:val="28"/>
        </w:rPr>
        <w:t>37.1</w:t>
      </w:r>
      <w:r w:rsidRPr="008332C0">
        <w:rPr>
          <w:rFonts w:ascii="Times New Roman" w:hAnsi="Times New Roman" w:cs="Times New Roman"/>
          <w:bCs/>
          <w:iCs/>
          <w:sz w:val="28"/>
          <w:szCs w:val="28"/>
        </w:rPr>
        <w:t xml:space="preserve"> billion USD. In </w:t>
      </w:r>
      <w:r>
        <w:rPr>
          <w:rFonts w:ascii="Times New Roman" w:hAnsi="Times New Roman" w:cs="Times New Roman"/>
          <w:bCs/>
          <w:iCs/>
          <w:sz w:val="28"/>
          <w:szCs w:val="28"/>
        </w:rPr>
        <w:t xml:space="preserve">4 months </w:t>
      </w:r>
      <w:r w:rsidRPr="008332C0">
        <w:rPr>
          <w:rFonts w:ascii="Times New Roman" w:hAnsi="Times New Roman" w:cs="Times New Roman"/>
          <w:bCs/>
          <w:iCs/>
          <w:sz w:val="28"/>
          <w:szCs w:val="28"/>
        </w:rPr>
        <w:t xml:space="preserve">of 2022, the trade surplus to the EU was estimated at </w:t>
      </w:r>
      <w:r>
        <w:rPr>
          <w:rFonts w:ascii="Times New Roman" w:hAnsi="Times New Roman" w:cs="Times New Roman"/>
          <w:bCs/>
          <w:iCs/>
          <w:sz w:val="28"/>
          <w:szCs w:val="28"/>
        </w:rPr>
        <w:t>10.4</w:t>
      </w:r>
      <w:r w:rsidRPr="008332C0">
        <w:rPr>
          <w:rFonts w:ascii="Times New Roman" w:hAnsi="Times New Roman" w:cs="Times New Roman"/>
          <w:bCs/>
          <w:iCs/>
          <w:sz w:val="28"/>
          <w:szCs w:val="28"/>
        </w:rPr>
        <w:t xml:space="preserve"> billion USD, up </w:t>
      </w:r>
      <w:r>
        <w:rPr>
          <w:rFonts w:ascii="Times New Roman" w:hAnsi="Times New Roman" w:cs="Times New Roman"/>
          <w:bCs/>
          <w:iCs/>
          <w:sz w:val="28"/>
          <w:szCs w:val="28"/>
        </w:rPr>
        <w:t>36.1</w:t>
      </w:r>
      <w:r w:rsidRPr="008332C0">
        <w:rPr>
          <w:rFonts w:ascii="Times New Roman" w:hAnsi="Times New Roman" w:cs="Times New Roman"/>
          <w:bCs/>
          <w:iCs/>
          <w:sz w:val="28"/>
          <w:szCs w:val="28"/>
        </w:rPr>
        <w:t xml:space="preserve">% over the same period last year; trade deficit from China </w:t>
      </w:r>
      <w:r>
        <w:rPr>
          <w:rFonts w:ascii="Times New Roman" w:hAnsi="Times New Roman" w:cs="Times New Roman"/>
          <w:bCs/>
          <w:iCs/>
          <w:sz w:val="28"/>
          <w:szCs w:val="28"/>
        </w:rPr>
        <w:t>wa</w:t>
      </w:r>
      <w:r w:rsidRPr="008332C0">
        <w:rPr>
          <w:rFonts w:ascii="Times New Roman" w:hAnsi="Times New Roman" w:cs="Times New Roman"/>
          <w:bCs/>
          <w:iCs/>
          <w:sz w:val="28"/>
          <w:szCs w:val="28"/>
        </w:rPr>
        <w:t>s 1</w:t>
      </w:r>
      <w:r>
        <w:rPr>
          <w:rFonts w:ascii="Times New Roman" w:hAnsi="Times New Roman" w:cs="Times New Roman"/>
          <w:bCs/>
          <w:iCs/>
          <w:sz w:val="28"/>
          <w:szCs w:val="28"/>
        </w:rPr>
        <w:t>8</w:t>
      </w:r>
      <w:r w:rsidRPr="008332C0">
        <w:rPr>
          <w:rFonts w:ascii="Times New Roman" w:hAnsi="Times New Roman" w:cs="Times New Roman"/>
          <w:bCs/>
          <w:iCs/>
          <w:sz w:val="28"/>
          <w:szCs w:val="28"/>
        </w:rPr>
        <w:t xml:space="preserve"> billion USD, up 2%; </w:t>
      </w:r>
      <w:r w:rsidR="00805DC7">
        <w:rPr>
          <w:rFonts w:ascii="Times New Roman" w:hAnsi="Times New Roman" w:cs="Times New Roman"/>
          <w:bCs/>
          <w:iCs/>
          <w:sz w:val="28"/>
          <w:szCs w:val="28"/>
        </w:rPr>
        <w:t xml:space="preserve">the </w:t>
      </w:r>
      <w:r w:rsidRPr="008332C0">
        <w:rPr>
          <w:rFonts w:ascii="Times New Roman" w:hAnsi="Times New Roman" w:cs="Times New Roman"/>
          <w:bCs/>
          <w:iCs/>
          <w:sz w:val="28"/>
          <w:szCs w:val="28"/>
        </w:rPr>
        <w:t>trade deficit from Korea was 1</w:t>
      </w:r>
      <w:r>
        <w:rPr>
          <w:rFonts w:ascii="Times New Roman" w:hAnsi="Times New Roman" w:cs="Times New Roman"/>
          <w:bCs/>
          <w:iCs/>
          <w:sz w:val="28"/>
          <w:szCs w:val="28"/>
        </w:rPr>
        <w:t>5</w:t>
      </w:r>
      <w:r w:rsidRPr="008332C0">
        <w:rPr>
          <w:rFonts w:ascii="Times New Roman" w:hAnsi="Times New Roman" w:cs="Times New Roman"/>
          <w:bCs/>
          <w:iCs/>
          <w:sz w:val="28"/>
          <w:szCs w:val="28"/>
        </w:rPr>
        <w:t>.</w:t>
      </w:r>
      <w:r>
        <w:rPr>
          <w:rFonts w:ascii="Times New Roman" w:hAnsi="Times New Roman" w:cs="Times New Roman"/>
          <w:bCs/>
          <w:iCs/>
          <w:sz w:val="28"/>
          <w:szCs w:val="28"/>
        </w:rPr>
        <w:t>2</w:t>
      </w:r>
      <w:r w:rsidRPr="008332C0">
        <w:rPr>
          <w:rFonts w:ascii="Times New Roman" w:hAnsi="Times New Roman" w:cs="Times New Roman"/>
          <w:bCs/>
          <w:iCs/>
          <w:sz w:val="28"/>
          <w:szCs w:val="28"/>
        </w:rPr>
        <w:t xml:space="preserve"> billion USD, up </w:t>
      </w:r>
      <w:r>
        <w:rPr>
          <w:rFonts w:ascii="Times New Roman" w:hAnsi="Times New Roman" w:cs="Times New Roman"/>
          <w:bCs/>
          <w:iCs/>
          <w:sz w:val="28"/>
          <w:szCs w:val="28"/>
        </w:rPr>
        <w:t>58.3</w:t>
      </w:r>
      <w:r w:rsidRPr="008332C0">
        <w:rPr>
          <w:rFonts w:ascii="Times New Roman" w:hAnsi="Times New Roman" w:cs="Times New Roman"/>
          <w:bCs/>
          <w:iCs/>
          <w:sz w:val="28"/>
          <w:szCs w:val="28"/>
        </w:rPr>
        <w:t xml:space="preserve">%; </w:t>
      </w:r>
      <w:r w:rsidR="00805DC7">
        <w:rPr>
          <w:rFonts w:ascii="Times New Roman" w:hAnsi="Times New Roman" w:cs="Times New Roman"/>
          <w:bCs/>
          <w:iCs/>
          <w:sz w:val="28"/>
          <w:szCs w:val="28"/>
        </w:rPr>
        <w:t xml:space="preserve">the </w:t>
      </w:r>
      <w:r w:rsidRPr="008332C0">
        <w:rPr>
          <w:rFonts w:ascii="Times New Roman" w:hAnsi="Times New Roman" w:cs="Times New Roman"/>
          <w:bCs/>
          <w:iCs/>
          <w:sz w:val="28"/>
          <w:szCs w:val="28"/>
        </w:rPr>
        <w:t xml:space="preserve">trade deficit from ASEAN </w:t>
      </w:r>
      <w:r>
        <w:rPr>
          <w:rFonts w:ascii="Times New Roman" w:hAnsi="Times New Roman" w:cs="Times New Roman"/>
          <w:bCs/>
          <w:iCs/>
          <w:sz w:val="28"/>
          <w:szCs w:val="28"/>
        </w:rPr>
        <w:t>wa</w:t>
      </w:r>
      <w:r w:rsidRPr="008332C0">
        <w:rPr>
          <w:rFonts w:ascii="Times New Roman" w:hAnsi="Times New Roman" w:cs="Times New Roman"/>
          <w:bCs/>
          <w:iCs/>
          <w:sz w:val="28"/>
          <w:szCs w:val="28"/>
        </w:rPr>
        <w:t xml:space="preserve">s </w:t>
      </w:r>
      <w:r>
        <w:rPr>
          <w:rFonts w:ascii="Times New Roman" w:hAnsi="Times New Roman" w:cs="Times New Roman"/>
          <w:bCs/>
          <w:iCs/>
          <w:sz w:val="28"/>
          <w:szCs w:val="28"/>
        </w:rPr>
        <w:t>5.8</w:t>
      </w:r>
      <w:r w:rsidRPr="008332C0">
        <w:rPr>
          <w:rFonts w:ascii="Times New Roman" w:hAnsi="Times New Roman" w:cs="Times New Roman"/>
          <w:bCs/>
          <w:iCs/>
          <w:sz w:val="28"/>
          <w:szCs w:val="28"/>
        </w:rPr>
        <w:t xml:space="preserve"> billion USD, </w:t>
      </w:r>
      <w:r>
        <w:rPr>
          <w:rFonts w:ascii="Times New Roman" w:hAnsi="Times New Roman" w:cs="Times New Roman"/>
          <w:bCs/>
          <w:iCs/>
          <w:sz w:val="28"/>
          <w:szCs w:val="28"/>
        </w:rPr>
        <w:t>up</w:t>
      </w:r>
      <w:r w:rsidRPr="008332C0">
        <w:rPr>
          <w:rFonts w:ascii="Times New Roman" w:hAnsi="Times New Roman" w:cs="Times New Roman"/>
          <w:bCs/>
          <w:iCs/>
          <w:sz w:val="28"/>
          <w:szCs w:val="28"/>
        </w:rPr>
        <w:t xml:space="preserve"> </w:t>
      </w:r>
      <w:r>
        <w:rPr>
          <w:rFonts w:ascii="Times New Roman" w:hAnsi="Times New Roman" w:cs="Times New Roman"/>
          <w:bCs/>
          <w:iCs/>
          <w:sz w:val="28"/>
          <w:szCs w:val="28"/>
        </w:rPr>
        <w:t>15</w:t>
      </w:r>
      <w:r w:rsidRPr="008332C0">
        <w:rPr>
          <w:rFonts w:ascii="Times New Roman" w:hAnsi="Times New Roman" w:cs="Times New Roman"/>
          <w:bCs/>
          <w:iCs/>
          <w:sz w:val="28"/>
          <w:szCs w:val="28"/>
        </w:rPr>
        <w:t>.</w:t>
      </w:r>
      <w:r>
        <w:rPr>
          <w:rFonts w:ascii="Times New Roman" w:hAnsi="Times New Roman" w:cs="Times New Roman"/>
          <w:bCs/>
          <w:iCs/>
          <w:sz w:val="28"/>
          <w:szCs w:val="28"/>
        </w:rPr>
        <w:t>4</w:t>
      </w:r>
      <w:r w:rsidRPr="008332C0">
        <w:rPr>
          <w:rFonts w:ascii="Times New Roman" w:hAnsi="Times New Roman" w:cs="Times New Roman"/>
          <w:bCs/>
          <w:iCs/>
          <w:sz w:val="28"/>
          <w:szCs w:val="28"/>
        </w:rPr>
        <w:t xml:space="preserve">%; trade deficit from Japan was </w:t>
      </w:r>
      <w:r>
        <w:rPr>
          <w:rFonts w:ascii="Times New Roman" w:hAnsi="Times New Roman" w:cs="Times New Roman"/>
          <w:bCs/>
          <w:iCs/>
          <w:sz w:val="28"/>
          <w:szCs w:val="28"/>
        </w:rPr>
        <w:t>790</w:t>
      </w:r>
      <w:r w:rsidRPr="008332C0">
        <w:rPr>
          <w:rFonts w:ascii="Times New Roman" w:hAnsi="Times New Roman" w:cs="Times New Roman"/>
          <w:bCs/>
          <w:iCs/>
          <w:sz w:val="28"/>
          <w:szCs w:val="28"/>
        </w:rPr>
        <w:t xml:space="preserve"> million USD, up </w:t>
      </w:r>
      <w:r>
        <w:rPr>
          <w:rFonts w:ascii="Times New Roman" w:hAnsi="Times New Roman" w:cs="Times New Roman"/>
          <w:bCs/>
          <w:iCs/>
          <w:sz w:val="28"/>
          <w:szCs w:val="28"/>
        </w:rPr>
        <w:t>57</w:t>
      </w:r>
      <w:r w:rsidRPr="008332C0">
        <w:rPr>
          <w:rFonts w:ascii="Times New Roman" w:hAnsi="Times New Roman" w:cs="Times New Roman"/>
          <w:bCs/>
          <w:iCs/>
          <w:sz w:val="28"/>
          <w:szCs w:val="28"/>
        </w:rPr>
        <w:t>.</w:t>
      </w:r>
      <w:r>
        <w:rPr>
          <w:rFonts w:ascii="Times New Roman" w:hAnsi="Times New Roman" w:cs="Times New Roman"/>
          <w:bCs/>
          <w:iCs/>
          <w:sz w:val="28"/>
          <w:szCs w:val="28"/>
        </w:rPr>
        <w:t>7</w:t>
      </w:r>
      <w:r w:rsidRPr="008332C0">
        <w:rPr>
          <w:rFonts w:ascii="Times New Roman" w:hAnsi="Times New Roman" w:cs="Times New Roman"/>
          <w:bCs/>
          <w:iCs/>
          <w:sz w:val="28"/>
          <w:szCs w:val="28"/>
        </w:rPr>
        <w:t>%.</w:t>
      </w:r>
    </w:p>
    <w:p w14:paraId="2576AD5D" w14:textId="6154AC98" w:rsidR="003871F8" w:rsidRDefault="00955913" w:rsidP="003871F8">
      <w:pPr>
        <w:tabs>
          <w:tab w:val="num" w:pos="0"/>
          <w:tab w:val="left" w:pos="9475"/>
        </w:tabs>
        <w:spacing w:after="0" w:line="240" w:lineRule="auto"/>
        <w:ind w:right="6"/>
        <w:jc w:val="center"/>
        <w:rPr>
          <w:rFonts w:ascii="Arial" w:hAnsi="Arial" w:cs="Arial"/>
          <w:b/>
          <w:iCs/>
          <w:sz w:val="24"/>
        </w:rPr>
      </w:pPr>
      <w:r w:rsidRPr="00955913">
        <w:rPr>
          <w:rFonts w:ascii="Arial" w:hAnsi="Arial" w:cs="Arial"/>
          <w:b/>
          <w:iCs/>
          <w:sz w:val="24"/>
        </w:rPr>
        <w:t>Figure 15. Major commodity import and export markets in 4 months of 2022</w:t>
      </w:r>
    </w:p>
    <w:tbl>
      <w:tblPr>
        <w:tblStyle w:val="TableGrid"/>
        <w:tblW w:w="94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5"/>
        <w:gridCol w:w="614"/>
        <w:gridCol w:w="2252"/>
        <w:gridCol w:w="2819"/>
        <w:gridCol w:w="1437"/>
        <w:gridCol w:w="534"/>
      </w:tblGrid>
      <w:tr w:rsidR="003871F8" w14:paraId="5FCBC553" w14:textId="77777777" w:rsidTr="00870C67">
        <w:trPr>
          <w:trHeight w:val="3234"/>
          <w:jc w:val="center"/>
        </w:trPr>
        <w:tc>
          <w:tcPr>
            <w:tcW w:w="4642" w:type="dxa"/>
            <w:gridSpan w:val="3"/>
          </w:tcPr>
          <w:p w14:paraId="54E583E7" w14:textId="122A4CC9" w:rsidR="003871F8" w:rsidRDefault="00955913" w:rsidP="00946312">
            <w:pPr>
              <w:tabs>
                <w:tab w:val="num" w:pos="0"/>
                <w:tab w:val="left" w:pos="9475"/>
              </w:tabs>
              <w:spacing w:before="40" w:after="40" w:line="269" w:lineRule="auto"/>
              <w:ind w:right="-118"/>
              <w:jc w:val="both"/>
              <w:rPr>
                <w:iCs/>
              </w:rPr>
            </w:pPr>
            <w:r>
              <w:rPr>
                <w:noProof/>
              </w:rPr>
              <w:drawing>
                <wp:inline distT="0" distB="0" distL="0" distR="0" wp14:anchorId="7BD06D71" wp14:editId="6A182671">
                  <wp:extent cx="2880360" cy="2080260"/>
                  <wp:effectExtent l="0" t="0" r="0" b="0"/>
                  <wp:docPr id="16" name="Chart 16">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789" w:type="dxa"/>
            <w:gridSpan w:val="3"/>
            <w:shd w:val="clear" w:color="auto" w:fill="auto"/>
          </w:tcPr>
          <w:p w14:paraId="04021AD3" w14:textId="7BD4E899" w:rsidR="003871F8" w:rsidRDefault="00955913" w:rsidP="00946312">
            <w:pPr>
              <w:tabs>
                <w:tab w:val="num" w:pos="0"/>
                <w:tab w:val="left" w:pos="9475"/>
              </w:tabs>
              <w:spacing w:before="40" w:after="40" w:line="269" w:lineRule="auto"/>
              <w:ind w:right="6" w:hanging="107"/>
              <w:jc w:val="both"/>
              <w:rPr>
                <w:iCs/>
              </w:rPr>
            </w:pPr>
            <w:r>
              <w:rPr>
                <w:noProof/>
              </w:rPr>
              <w:drawing>
                <wp:inline distT="0" distB="0" distL="0" distR="0" wp14:anchorId="31EC29DF" wp14:editId="4C26539B">
                  <wp:extent cx="2979420" cy="2080260"/>
                  <wp:effectExtent l="0" t="0" r="0" b="0"/>
                  <wp:docPr id="21" name="Chart 2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3871F8" w14:paraId="788501F0" w14:textId="77777777" w:rsidTr="00870C67">
        <w:trPr>
          <w:gridAfter w:val="1"/>
          <w:wAfter w:w="534" w:type="dxa"/>
          <w:trHeight w:val="129"/>
          <w:jc w:val="center"/>
        </w:trPr>
        <w:tc>
          <w:tcPr>
            <w:tcW w:w="1776" w:type="dxa"/>
          </w:tcPr>
          <w:p w14:paraId="275DF598" w14:textId="77777777" w:rsidR="003871F8" w:rsidRDefault="003871F8" w:rsidP="00946312">
            <w:pPr>
              <w:spacing w:before="40" w:after="40" w:line="288" w:lineRule="auto"/>
              <w:jc w:val="both"/>
              <w:rPr>
                <w:b/>
                <w:bCs/>
                <w:i/>
                <w:iCs/>
              </w:rPr>
            </w:pPr>
          </w:p>
        </w:tc>
        <w:tc>
          <w:tcPr>
            <w:tcW w:w="614" w:type="dxa"/>
            <w:shd w:val="clear" w:color="auto" w:fill="auto"/>
          </w:tcPr>
          <w:p w14:paraId="5AA38609" w14:textId="77777777" w:rsidR="003871F8" w:rsidRPr="00495002" w:rsidRDefault="003871F8" w:rsidP="00946312">
            <w:pPr>
              <w:spacing w:before="40" w:after="40" w:line="288" w:lineRule="auto"/>
              <w:jc w:val="both"/>
              <w:rPr>
                <w:b/>
                <w:bCs/>
                <w:i/>
                <w:iCs/>
                <w:color w:val="FF0000"/>
              </w:rPr>
            </w:pPr>
          </w:p>
        </w:tc>
        <w:tc>
          <w:tcPr>
            <w:tcW w:w="2251" w:type="dxa"/>
          </w:tcPr>
          <w:p w14:paraId="4E59DB7D" w14:textId="0034B22E" w:rsidR="003871F8" w:rsidRDefault="00301E9C" w:rsidP="00946312">
            <w:pPr>
              <w:spacing w:before="40" w:after="40" w:line="288" w:lineRule="auto"/>
              <w:jc w:val="both"/>
              <w:rPr>
                <w:b/>
                <w:bCs/>
                <w:i/>
                <w:iCs/>
              </w:rPr>
            </w:pPr>
            <w:r>
              <w:rPr>
                <w:rFonts w:ascii="Arial" w:hAnsi="Arial" w:cs="Arial"/>
                <w:iCs/>
                <w:noProof/>
                <w:sz w:val="16"/>
                <w:szCs w:val="16"/>
                <w:lang w:eastAsia="en-GB"/>
              </w:rPr>
              <w:pict w14:anchorId="29BCB692">
                <v:rect id="Rectangle 28" o:spid="_x0000_s1029" style="position:absolute;left:0;text-align:left;margin-left:7.75pt;margin-top:2.85pt;width:9.9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" fillcolor="#c00000" stroked="f" strokeweight="2pt">
                  <v:path arrowok="t"/>
                </v:rect>
              </w:pict>
            </w:r>
            <w:r w:rsidR="003871F8">
              <w:rPr>
                <w:rFonts w:ascii="Arial" w:hAnsi="Arial" w:cs="Arial"/>
                <w:iCs/>
                <w:sz w:val="16"/>
                <w:szCs w:val="16"/>
              </w:rPr>
              <w:t xml:space="preserve">           </w:t>
            </w:r>
            <w:r w:rsidR="00ED079A">
              <w:rPr>
                <w:rFonts w:ascii="Arial" w:hAnsi="Arial" w:cs="Arial"/>
                <w:iCs/>
                <w:sz w:val="16"/>
                <w:szCs w:val="16"/>
              </w:rPr>
              <w:t>Export of goods</w:t>
            </w:r>
          </w:p>
        </w:tc>
        <w:tc>
          <w:tcPr>
            <w:tcW w:w="2819" w:type="dxa"/>
          </w:tcPr>
          <w:p w14:paraId="68462A8B" w14:textId="212959A0" w:rsidR="003871F8" w:rsidRDefault="00301E9C" w:rsidP="00946312">
            <w:pPr>
              <w:spacing w:before="40" w:after="40" w:line="288" w:lineRule="auto"/>
              <w:jc w:val="both"/>
              <w:rPr>
                <w:b/>
                <w:bCs/>
                <w:i/>
                <w:iCs/>
              </w:rPr>
            </w:pPr>
            <w:r>
              <w:rPr>
                <w:b/>
                <w:bCs/>
                <w:i/>
                <w:iCs/>
                <w:noProof/>
                <w:lang w:eastAsia="en-GB"/>
              </w:rPr>
              <w:pict w14:anchorId="47B4B609">
                <v:rect id="Rectangle 29" o:spid="_x0000_s1028" style="position:absolute;left:0;text-align:left;margin-left:1.9pt;margin-top:2.85pt;width:9.9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901DSLsC&#10;AADzBQAADgAAAAAAAAAAAAAAAAAuAgAAZHJzL2Uyb0RvYy54bWxQSwECLQAUAAYACAAAACEAy7KS&#10;jtwAAAAFAQAADwAAAAAAAAAAAAAAAAAVBQAAZHJzL2Rvd25yZXYueG1sUEsFBgAAAAAEAAQA8wAA&#10;AB4GAAAAAA==&#10;" fillcolor="yellow" strokecolor="#484329 [814]" strokeweight=".5pt">
                  <v:path arrowok="t"/>
                </v:rect>
              </w:pict>
            </w:r>
            <w:r w:rsidR="003871F8">
              <w:rPr>
                <w:rFonts w:ascii="Arial" w:hAnsi="Arial" w:cs="Arial"/>
                <w:iCs/>
                <w:sz w:val="16"/>
                <w:szCs w:val="16"/>
              </w:rPr>
              <w:t xml:space="preserve">          </w:t>
            </w:r>
            <w:r w:rsidR="00ED079A">
              <w:rPr>
                <w:rFonts w:ascii="Arial" w:hAnsi="Arial" w:cs="Arial"/>
                <w:iCs/>
                <w:sz w:val="16"/>
                <w:szCs w:val="16"/>
              </w:rPr>
              <w:t>Import of goods</w:t>
            </w:r>
          </w:p>
        </w:tc>
        <w:tc>
          <w:tcPr>
            <w:tcW w:w="1437" w:type="dxa"/>
          </w:tcPr>
          <w:p w14:paraId="66DAF20E" w14:textId="77777777" w:rsidR="003871F8" w:rsidRDefault="003871F8" w:rsidP="00946312">
            <w:pPr>
              <w:spacing w:before="40" w:after="40" w:line="288" w:lineRule="auto"/>
              <w:jc w:val="both"/>
              <w:rPr>
                <w:b/>
                <w:bCs/>
                <w:i/>
                <w:iCs/>
              </w:rPr>
            </w:pPr>
          </w:p>
        </w:tc>
      </w:tr>
    </w:tbl>
    <w:bookmarkEnd w:id="0"/>
    <w:bookmarkEnd w:id="1"/>
    <w:p w14:paraId="7FC8848C" w14:textId="60EB8965" w:rsidR="00CF4192" w:rsidRDefault="00CF4192" w:rsidP="00CF4192">
      <w:pPr>
        <w:spacing w:before="40" w:after="40" w:line="288" w:lineRule="auto"/>
        <w:ind w:firstLine="567"/>
        <w:jc w:val="both"/>
        <w:rPr>
          <w:rFonts w:ascii="Times New Roman" w:hAnsi="Times New Roman" w:cs="Times New Roman"/>
          <w:iCs/>
          <w:sz w:val="28"/>
          <w:szCs w:val="28"/>
        </w:rPr>
      </w:pPr>
      <w:r w:rsidRPr="00E32D8C">
        <w:rPr>
          <w:rFonts w:ascii="Times New Roman" w:hAnsi="Times New Roman" w:cs="Times New Roman"/>
          <w:i/>
          <w:sz w:val="28"/>
          <w:szCs w:val="28"/>
          <w:lang w:val="en-US"/>
        </w:rPr>
        <w:lastRenderedPageBreak/>
        <w:t>The trade balance of goods</w:t>
      </w:r>
      <w:r w:rsidRPr="00E32D8C">
        <w:rPr>
          <w:rFonts w:ascii="Times New Roman" w:hAnsi="Times New Roman" w:cs="Times New Roman"/>
          <w:iCs/>
          <w:sz w:val="28"/>
          <w:szCs w:val="28"/>
          <w:lang w:val="en-US"/>
        </w:rPr>
        <w:t xml:space="preserve"> in </w:t>
      </w:r>
      <w:r>
        <w:rPr>
          <w:rFonts w:ascii="Times New Roman" w:hAnsi="Times New Roman" w:cs="Times New Roman"/>
          <w:iCs/>
          <w:sz w:val="28"/>
          <w:szCs w:val="28"/>
        </w:rPr>
        <w:t>March</w:t>
      </w:r>
      <w:r w:rsidRPr="00E32D8C">
        <w:rPr>
          <w:rFonts w:ascii="Times New Roman" w:hAnsi="Times New Roman" w:cs="Times New Roman"/>
          <w:iCs/>
          <w:sz w:val="28"/>
          <w:szCs w:val="28"/>
        </w:rPr>
        <w:t xml:space="preserve"> had a trade </w:t>
      </w:r>
      <w:r>
        <w:rPr>
          <w:rFonts w:ascii="Times New Roman" w:hAnsi="Times New Roman" w:cs="Times New Roman"/>
          <w:iCs/>
          <w:sz w:val="28"/>
          <w:szCs w:val="28"/>
        </w:rPr>
        <w:t>surplus</w:t>
      </w:r>
      <w:r w:rsidRPr="00E32D8C">
        <w:rPr>
          <w:rFonts w:ascii="Times New Roman" w:hAnsi="Times New Roman" w:cs="Times New Roman"/>
          <w:iCs/>
          <w:sz w:val="28"/>
          <w:szCs w:val="28"/>
        </w:rPr>
        <w:t xml:space="preserve"> of </w:t>
      </w:r>
      <w:r>
        <w:rPr>
          <w:rFonts w:ascii="Times New Roman" w:hAnsi="Times New Roman" w:cs="Times New Roman"/>
          <w:iCs/>
          <w:sz w:val="28"/>
          <w:szCs w:val="28"/>
        </w:rPr>
        <w:t>2</w:t>
      </w:r>
      <w:r w:rsidRPr="00E32D8C">
        <w:rPr>
          <w:rFonts w:ascii="Times New Roman" w:hAnsi="Times New Roman" w:cs="Times New Roman"/>
          <w:iCs/>
          <w:sz w:val="28"/>
          <w:szCs w:val="28"/>
        </w:rPr>
        <w:t>.</w:t>
      </w:r>
      <w:r>
        <w:rPr>
          <w:rFonts w:ascii="Times New Roman" w:hAnsi="Times New Roman" w:cs="Times New Roman"/>
          <w:iCs/>
          <w:sz w:val="28"/>
          <w:szCs w:val="28"/>
        </w:rPr>
        <w:t>05</w:t>
      </w:r>
      <w:r w:rsidRPr="00E32D8C">
        <w:rPr>
          <w:rFonts w:ascii="Times New Roman" w:hAnsi="Times New Roman" w:cs="Times New Roman"/>
          <w:iCs/>
          <w:sz w:val="28"/>
          <w:szCs w:val="28"/>
        </w:rPr>
        <w:t xml:space="preserve"> billion USD</w:t>
      </w:r>
      <w:r w:rsidRPr="00100E64">
        <w:rPr>
          <w:rFonts w:ascii="Times New Roman" w:hAnsi="Times New Roman" w:cs="Times New Roman"/>
          <w:iCs/>
          <w:sz w:val="28"/>
          <w:szCs w:val="28"/>
          <w:vertAlign w:val="superscript"/>
        </w:rPr>
        <w:footnoteReference w:id="12"/>
      </w:r>
      <w:r w:rsidRPr="00E32D8C">
        <w:rPr>
          <w:rFonts w:ascii="Times New Roman" w:hAnsi="Times New Roman" w:cs="Times New Roman"/>
          <w:iCs/>
          <w:sz w:val="28"/>
          <w:szCs w:val="28"/>
        </w:rPr>
        <w:t xml:space="preserve">; </w:t>
      </w:r>
      <w:r>
        <w:rPr>
          <w:rFonts w:ascii="Times New Roman" w:hAnsi="Times New Roman" w:cs="Times New Roman"/>
          <w:iCs/>
          <w:sz w:val="28"/>
          <w:szCs w:val="28"/>
        </w:rPr>
        <w:t>the first quarter</w:t>
      </w:r>
      <w:r w:rsidRPr="00E32D8C">
        <w:rPr>
          <w:rFonts w:ascii="Times New Roman" w:hAnsi="Times New Roman" w:cs="Times New Roman"/>
          <w:iCs/>
          <w:sz w:val="28"/>
          <w:szCs w:val="28"/>
        </w:rPr>
        <w:t xml:space="preserve"> had a trade </w:t>
      </w:r>
      <w:r>
        <w:rPr>
          <w:rFonts w:ascii="Times New Roman" w:hAnsi="Times New Roman" w:cs="Times New Roman"/>
          <w:iCs/>
          <w:sz w:val="28"/>
          <w:szCs w:val="28"/>
        </w:rPr>
        <w:t>surplus</w:t>
      </w:r>
      <w:r w:rsidRPr="00E32D8C">
        <w:rPr>
          <w:rFonts w:ascii="Times New Roman" w:hAnsi="Times New Roman" w:cs="Times New Roman"/>
          <w:iCs/>
          <w:sz w:val="28"/>
          <w:szCs w:val="28"/>
        </w:rPr>
        <w:t xml:space="preserve"> of </w:t>
      </w:r>
      <w:r>
        <w:rPr>
          <w:rFonts w:ascii="Times New Roman" w:hAnsi="Times New Roman" w:cs="Times New Roman"/>
          <w:iCs/>
          <w:sz w:val="28"/>
          <w:szCs w:val="28"/>
        </w:rPr>
        <w:t>1.46</w:t>
      </w:r>
      <w:r w:rsidRPr="00E32D8C">
        <w:rPr>
          <w:rFonts w:ascii="Times New Roman" w:hAnsi="Times New Roman" w:cs="Times New Roman"/>
          <w:iCs/>
          <w:sz w:val="28"/>
          <w:szCs w:val="28"/>
        </w:rPr>
        <w:t xml:space="preserve"> </w:t>
      </w:r>
      <w:r>
        <w:rPr>
          <w:rFonts w:ascii="Times New Roman" w:hAnsi="Times New Roman" w:cs="Times New Roman"/>
          <w:iCs/>
          <w:sz w:val="28"/>
          <w:szCs w:val="28"/>
        </w:rPr>
        <w:t>b</w:t>
      </w:r>
      <w:r w:rsidRPr="00E32D8C">
        <w:rPr>
          <w:rFonts w:ascii="Times New Roman" w:hAnsi="Times New Roman" w:cs="Times New Roman"/>
          <w:iCs/>
          <w:sz w:val="28"/>
          <w:szCs w:val="28"/>
        </w:rPr>
        <w:t xml:space="preserve">illion USD; </w:t>
      </w:r>
      <w:r>
        <w:rPr>
          <w:rFonts w:ascii="Times New Roman" w:hAnsi="Times New Roman" w:cs="Times New Roman"/>
          <w:iCs/>
          <w:sz w:val="28"/>
          <w:szCs w:val="28"/>
        </w:rPr>
        <w:t>April</w:t>
      </w:r>
      <w:r w:rsidRPr="00E32D8C">
        <w:rPr>
          <w:rFonts w:ascii="Times New Roman" w:hAnsi="Times New Roman" w:cs="Times New Roman"/>
          <w:iCs/>
          <w:sz w:val="28"/>
          <w:szCs w:val="28"/>
        </w:rPr>
        <w:t xml:space="preserve"> was estimated to have a trade surplus of 1.</w:t>
      </w:r>
      <w:r>
        <w:rPr>
          <w:rFonts w:ascii="Times New Roman" w:hAnsi="Times New Roman" w:cs="Times New Roman"/>
          <w:iCs/>
          <w:sz w:val="28"/>
          <w:szCs w:val="28"/>
        </w:rPr>
        <w:t>07</w:t>
      </w:r>
      <w:r w:rsidRPr="00E32D8C">
        <w:rPr>
          <w:rFonts w:ascii="Times New Roman" w:hAnsi="Times New Roman" w:cs="Times New Roman"/>
          <w:iCs/>
          <w:sz w:val="28"/>
          <w:szCs w:val="28"/>
        </w:rPr>
        <w:t xml:space="preserve"> billion USD. </w:t>
      </w:r>
      <w:r>
        <w:rPr>
          <w:rFonts w:ascii="Times New Roman" w:hAnsi="Times New Roman" w:cs="Times New Roman"/>
          <w:iCs/>
          <w:sz w:val="28"/>
          <w:szCs w:val="28"/>
        </w:rPr>
        <w:t>G</w:t>
      </w:r>
      <w:r w:rsidRPr="00E32D8C">
        <w:rPr>
          <w:rFonts w:ascii="Times New Roman" w:hAnsi="Times New Roman" w:cs="Times New Roman"/>
          <w:iCs/>
          <w:sz w:val="28"/>
          <w:szCs w:val="28"/>
        </w:rPr>
        <w:t>eneral</w:t>
      </w:r>
      <w:r>
        <w:rPr>
          <w:rFonts w:ascii="Times New Roman" w:hAnsi="Times New Roman" w:cs="Times New Roman"/>
          <w:iCs/>
          <w:sz w:val="28"/>
          <w:szCs w:val="28"/>
        </w:rPr>
        <w:t>ly,</w:t>
      </w:r>
      <w:r w:rsidRPr="00E32D8C">
        <w:rPr>
          <w:rFonts w:ascii="Times New Roman" w:hAnsi="Times New Roman" w:cs="Times New Roman"/>
          <w:iCs/>
          <w:sz w:val="28"/>
          <w:szCs w:val="28"/>
        </w:rPr>
        <w:t xml:space="preserve"> in</w:t>
      </w:r>
      <w:r w:rsidR="00805DC7">
        <w:rPr>
          <w:rFonts w:ascii="Times New Roman" w:hAnsi="Times New Roman" w:cs="Times New Roman"/>
          <w:iCs/>
          <w:sz w:val="28"/>
          <w:szCs w:val="28"/>
        </w:rPr>
        <w:t xml:space="preserve"> the first </w:t>
      </w:r>
      <w:r>
        <w:rPr>
          <w:rFonts w:ascii="Times New Roman" w:hAnsi="Times New Roman" w:cs="Times New Roman"/>
          <w:iCs/>
          <w:sz w:val="28"/>
          <w:szCs w:val="28"/>
        </w:rPr>
        <w:t xml:space="preserve">4 months </w:t>
      </w:r>
      <w:r w:rsidRPr="00E32D8C">
        <w:rPr>
          <w:rFonts w:ascii="Times New Roman" w:hAnsi="Times New Roman" w:cs="Times New Roman"/>
          <w:iCs/>
          <w:sz w:val="28"/>
          <w:szCs w:val="28"/>
        </w:rPr>
        <w:t xml:space="preserve">of 2022, the trade balance of goods </w:t>
      </w:r>
      <w:r>
        <w:rPr>
          <w:rFonts w:ascii="Times New Roman" w:hAnsi="Times New Roman" w:cs="Times New Roman"/>
          <w:iCs/>
          <w:sz w:val="28"/>
          <w:szCs w:val="28"/>
        </w:rPr>
        <w:t>wa</w:t>
      </w:r>
      <w:r w:rsidRPr="00E32D8C">
        <w:rPr>
          <w:rFonts w:ascii="Times New Roman" w:hAnsi="Times New Roman" w:cs="Times New Roman"/>
          <w:iCs/>
          <w:sz w:val="28"/>
          <w:szCs w:val="28"/>
        </w:rPr>
        <w:t xml:space="preserve">s estimated to have a trade surplus of </w:t>
      </w:r>
      <w:r>
        <w:rPr>
          <w:rFonts w:ascii="Times New Roman" w:hAnsi="Times New Roman" w:cs="Times New Roman"/>
          <w:iCs/>
          <w:sz w:val="28"/>
          <w:szCs w:val="28"/>
        </w:rPr>
        <w:t>2.53</w:t>
      </w:r>
      <w:r w:rsidRPr="00E32D8C">
        <w:rPr>
          <w:rFonts w:ascii="Times New Roman" w:hAnsi="Times New Roman" w:cs="Times New Roman"/>
          <w:iCs/>
          <w:sz w:val="28"/>
          <w:szCs w:val="28"/>
        </w:rPr>
        <w:t xml:space="preserve"> </w:t>
      </w:r>
      <w:r>
        <w:rPr>
          <w:rFonts w:ascii="Times New Roman" w:hAnsi="Times New Roman" w:cs="Times New Roman"/>
          <w:iCs/>
          <w:sz w:val="28"/>
          <w:szCs w:val="28"/>
        </w:rPr>
        <w:t>b</w:t>
      </w:r>
      <w:r w:rsidRPr="00E32D8C">
        <w:rPr>
          <w:rFonts w:ascii="Times New Roman" w:hAnsi="Times New Roman" w:cs="Times New Roman"/>
          <w:iCs/>
          <w:sz w:val="28"/>
          <w:szCs w:val="28"/>
        </w:rPr>
        <w:t>illion USD</w:t>
      </w:r>
      <w:r w:rsidRPr="00100E64">
        <w:rPr>
          <w:rFonts w:ascii="Times New Roman" w:hAnsi="Times New Roman" w:cs="Times New Roman"/>
          <w:iCs/>
          <w:sz w:val="28"/>
          <w:szCs w:val="28"/>
          <w:vertAlign w:val="superscript"/>
        </w:rPr>
        <w:footnoteReference w:id="13"/>
      </w:r>
      <w:r w:rsidRPr="00E32D8C">
        <w:rPr>
          <w:rFonts w:ascii="Times New Roman" w:hAnsi="Times New Roman" w:cs="Times New Roman"/>
          <w:iCs/>
          <w:sz w:val="28"/>
          <w:szCs w:val="28"/>
        </w:rPr>
        <w:t xml:space="preserve"> (in the same period last year, </w:t>
      </w:r>
      <w:r>
        <w:rPr>
          <w:rFonts w:ascii="Times New Roman" w:hAnsi="Times New Roman" w:cs="Times New Roman"/>
          <w:iCs/>
          <w:sz w:val="28"/>
          <w:szCs w:val="28"/>
        </w:rPr>
        <w:t>the</w:t>
      </w:r>
      <w:r w:rsidRPr="00E32D8C">
        <w:rPr>
          <w:rFonts w:ascii="Times New Roman" w:hAnsi="Times New Roman" w:cs="Times New Roman"/>
          <w:iCs/>
          <w:sz w:val="28"/>
          <w:szCs w:val="28"/>
        </w:rPr>
        <w:t xml:space="preserve"> trade surplus of </w:t>
      </w:r>
      <w:r>
        <w:rPr>
          <w:rFonts w:ascii="Times New Roman" w:hAnsi="Times New Roman" w:cs="Times New Roman"/>
          <w:iCs/>
          <w:sz w:val="28"/>
          <w:szCs w:val="28"/>
        </w:rPr>
        <w:t>1.5</w:t>
      </w:r>
      <w:r w:rsidRPr="00E32D8C">
        <w:rPr>
          <w:rFonts w:ascii="Times New Roman" w:hAnsi="Times New Roman" w:cs="Times New Roman"/>
          <w:iCs/>
          <w:sz w:val="28"/>
          <w:szCs w:val="28"/>
        </w:rPr>
        <w:t xml:space="preserve"> billion USD). In which, the domestic economic sector has a trade deficit of </w:t>
      </w:r>
      <w:r>
        <w:rPr>
          <w:rFonts w:ascii="Times New Roman" w:hAnsi="Times New Roman" w:cs="Times New Roman"/>
          <w:iCs/>
          <w:sz w:val="28"/>
          <w:szCs w:val="28"/>
        </w:rPr>
        <w:t>9.2</w:t>
      </w:r>
      <w:r w:rsidRPr="00E32D8C">
        <w:rPr>
          <w:rFonts w:ascii="Times New Roman" w:hAnsi="Times New Roman" w:cs="Times New Roman"/>
          <w:iCs/>
          <w:sz w:val="28"/>
          <w:szCs w:val="28"/>
        </w:rPr>
        <w:t xml:space="preserve"> billion USD; the FDI sector (including crude oil) had a trade surplus of </w:t>
      </w:r>
      <w:r>
        <w:rPr>
          <w:rFonts w:ascii="Times New Roman" w:hAnsi="Times New Roman" w:cs="Times New Roman"/>
          <w:iCs/>
          <w:sz w:val="28"/>
          <w:szCs w:val="28"/>
        </w:rPr>
        <w:t>11.73</w:t>
      </w:r>
      <w:r w:rsidRPr="00E32D8C">
        <w:rPr>
          <w:rFonts w:ascii="Times New Roman" w:hAnsi="Times New Roman" w:cs="Times New Roman"/>
          <w:iCs/>
          <w:sz w:val="28"/>
          <w:szCs w:val="28"/>
        </w:rPr>
        <w:t xml:space="preserve"> billion USD.</w:t>
      </w:r>
    </w:p>
    <w:p w14:paraId="5FB8E43B" w14:textId="77777777" w:rsidR="00872B2A" w:rsidRDefault="00F2357B" w:rsidP="00872B2A">
      <w:pPr>
        <w:spacing w:before="40" w:after="40" w:line="312" w:lineRule="auto"/>
        <w:ind w:firstLine="567"/>
        <w:jc w:val="both"/>
        <w:rPr>
          <w:rFonts w:ascii="Times New Roman" w:hAnsi="Times New Roman" w:cs="Times New Roman"/>
          <w:i/>
          <w:spacing w:val="-4"/>
          <w:sz w:val="28"/>
          <w:szCs w:val="28"/>
        </w:rPr>
      </w:pPr>
      <w:r w:rsidRPr="001E40A3">
        <w:rPr>
          <w:rFonts w:ascii="Times New Roman" w:hAnsi="Times New Roman" w:cs="Times New Roman"/>
          <w:b/>
          <w:bCs/>
          <w:i/>
          <w:iCs/>
          <w:sz w:val="28"/>
          <w:szCs w:val="28"/>
        </w:rPr>
        <w:t xml:space="preserve">c) </w:t>
      </w:r>
      <w:r w:rsidR="00872B2A" w:rsidRPr="00C41760">
        <w:rPr>
          <w:rFonts w:ascii="Times New Roman" w:hAnsi="Times New Roman" w:cs="Times New Roman"/>
          <w:b/>
          <w:i/>
          <w:sz w:val="28"/>
          <w:szCs w:val="28"/>
        </w:rPr>
        <w:t>Consumer price index, gold price index and US dollar price index</w:t>
      </w:r>
      <w:r w:rsidR="00872B2A">
        <w:rPr>
          <w:rFonts w:ascii="Times New Roman" w:hAnsi="Times New Roman" w:cs="Times New Roman"/>
          <w:i/>
          <w:spacing w:val="-4"/>
          <w:sz w:val="28"/>
          <w:szCs w:val="28"/>
        </w:rPr>
        <w:t xml:space="preserve"> </w:t>
      </w:r>
    </w:p>
    <w:p w14:paraId="4A326B93" w14:textId="77777777" w:rsidR="00475254" w:rsidRDefault="00475254" w:rsidP="00475254">
      <w:pPr>
        <w:pStyle w:val="NormalWeb"/>
        <w:spacing w:before="40" w:beforeAutospacing="0" w:after="40" w:afterAutospacing="0" w:line="300" w:lineRule="auto"/>
        <w:ind w:firstLine="567"/>
        <w:jc w:val="both"/>
        <w:rPr>
          <w:rFonts w:ascii="Times New Roman" w:hAnsi="Times New Roman" w:cs="Times New Roman"/>
          <w:i/>
          <w:spacing w:val="-4"/>
          <w:sz w:val="28"/>
          <w:szCs w:val="28"/>
        </w:rPr>
      </w:pPr>
      <w:r w:rsidRPr="00C41760">
        <w:rPr>
          <w:rFonts w:ascii="Times New Roman" w:hAnsi="Times New Roman" w:cs="Times New Roman"/>
          <w:i/>
          <w:spacing w:val="-4"/>
          <w:sz w:val="28"/>
          <w:szCs w:val="28"/>
        </w:rPr>
        <w:t>The consumer price index (CPI) in April increased slightly by 0.18% from the previous month; an increase of 2.09% compared to December 2021 and an increase of 2.64% over the same period last year. The price of housing maintenance materials increases with the price of input materials for production; educational services increased again in some localities after the period of tuition fee exemption and reduction; Prices of out-of-home meals and tourism services increased according to consumer demand were the main reasons for CPI increase in April.</w:t>
      </w:r>
    </w:p>
    <w:p w14:paraId="2F3D6AF1" w14:textId="77777777" w:rsidR="00475254" w:rsidRPr="0001114B" w:rsidRDefault="00475254" w:rsidP="00475254">
      <w:pPr>
        <w:pStyle w:val="NormalWeb"/>
        <w:spacing w:before="40" w:beforeAutospacing="0" w:after="40" w:afterAutospacing="0" w:line="300" w:lineRule="auto"/>
        <w:ind w:firstLine="567"/>
        <w:jc w:val="both"/>
        <w:rPr>
          <w:rFonts w:ascii="Times New Roman" w:hAnsi="Times New Roman" w:cs="Times New Roman"/>
          <w:i/>
          <w:sz w:val="28"/>
          <w:szCs w:val="28"/>
        </w:rPr>
      </w:pPr>
      <w:r w:rsidRPr="00C41760">
        <w:rPr>
          <w:rFonts w:ascii="Times New Roman" w:hAnsi="Times New Roman" w:cs="Times New Roman"/>
          <w:i/>
          <w:sz w:val="28"/>
          <w:szCs w:val="28"/>
        </w:rPr>
        <w:t>On average, in the first 4 months of 2022, CPI increased by 2.1% over the same period last year, higher than the increase of 0.89% in the first 4 months of 2021, but lower than the increase of the first 4 months of 2017-2020</w:t>
      </w:r>
      <w:r w:rsidRPr="0001114B">
        <w:rPr>
          <w:rStyle w:val="FootnoteReference"/>
          <w:rFonts w:ascii="Times New Roman" w:hAnsi="Times New Roman"/>
          <w:i/>
          <w:sz w:val="28"/>
          <w:szCs w:val="28"/>
        </w:rPr>
        <w:footnoteReference w:id="14"/>
      </w:r>
      <w:r w:rsidRPr="00C41760">
        <w:rPr>
          <w:rFonts w:ascii="Times New Roman" w:hAnsi="Times New Roman" w:cs="Times New Roman"/>
          <w:i/>
          <w:sz w:val="28"/>
          <w:szCs w:val="28"/>
        </w:rPr>
        <w:t>; core inflation increased by 0.97%.</w:t>
      </w:r>
    </w:p>
    <w:p w14:paraId="02361364" w14:textId="720FC3C7" w:rsidR="00976F57" w:rsidRPr="002E3813" w:rsidRDefault="00976F57" w:rsidP="00976F57">
      <w:pPr>
        <w:pStyle w:val="NormalWeb"/>
        <w:spacing w:before="40" w:beforeAutospacing="0" w:after="40" w:afterAutospacing="0" w:line="300" w:lineRule="auto"/>
        <w:ind w:firstLine="567"/>
        <w:jc w:val="center"/>
        <w:rPr>
          <w:rFonts w:ascii="Arial" w:hAnsi="Arial" w:cs="Arial"/>
          <w:b/>
          <w:bCs/>
          <w:iCs/>
        </w:rPr>
      </w:pPr>
      <w:r w:rsidRPr="002E3813">
        <w:rPr>
          <w:rFonts w:ascii="Arial" w:hAnsi="Arial" w:cs="Arial"/>
          <w:b/>
          <w:bCs/>
          <w:iCs/>
        </w:rPr>
        <w:t>Figure 16. CPI growth rate in April and 4 months</w:t>
      </w:r>
    </w:p>
    <w:p w14:paraId="0978F7B2" w14:textId="6F929228" w:rsidR="00F2357B" w:rsidRPr="002E3813" w:rsidRDefault="00976F57" w:rsidP="00976F57">
      <w:pPr>
        <w:pStyle w:val="NormalWeb"/>
        <w:spacing w:before="40" w:beforeAutospacing="0" w:after="40" w:afterAutospacing="0" w:line="300" w:lineRule="auto"/>
        <w:ind w:firstLine="567"/>
        <w:jc w:val="center"/>
        <w:rPr>
          <w:rFonts w:ascii="Arial" w:hAnsi="Arial" w:cs="Arial"/>
          <w:b/>
          <w:bCs/>
          <w:iCs/>
        </w:rPr>
      </w:pPr>
      <w:r w:rsidRPr="002E3813">
        <w:rPr>
          <w:rFonts w:ascii="Arial" w:hAnsi="Arial" w:cs="Arial"/>
          <w:b/>
          <w:bCs/>
          <w:iCs/>
        </w:rPr>
        <w:t>of the period of 2018-2022 (%)</w:t>
      </w:r>
    </w:p>
    <w:p w14:paraId="64FDF687" w14:textId="7DE77C78" w:rsidR="00976F57" w:rsidRPr="0001114B" w:rsidRDefault="00976F57" w:rsidP="00976F57">
      <w:pPr>
        <w:pStyle w:val="NormalWeb"/>
        <w:spacing w:before="40" w:after="40" w:line="281" w:lineRule="auto"/>
        <w:jc w:val="center"/>
        <w:rPr>
          <w:rFonts w:ascii="Times New Roman" w:hAnsi="Times New Roman" w:cs="Times New Roman"/>
          <w:i/>
          <w:sz w:val="28"/>
          <w:szCs w:val="28"/>
        </w:rPr>
      </w:pPr>
      <w:r>
        <w:rPr>
          <w:noProof/>
        </w:rPr>
        <w:drawing>
          <wp:inline distT="0" distB="0" distL="0" distR="0" wp14:anchorId="349F0939" wp14:editId="56C819BC">
            <wp:extent cx="5021580" cy="2392680"/>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8BF74D" w14:textId="77777777" w:rsidR="00805DC7" w:rsidRPr="00805DC7" w:rsidRDefault="00805DC7" w:rsidP="00C51027">
      <w:pPr>
        <w:pStyle w:val="FootnoteText"/>
        <w:numPr>
          <w:ilvl w:val="0"/>
          <w:numId w:val="27"/>
        </w:numPr>
        <w:spacing w:before="40" w:after="40" w:line="254" w:lineRule="auto"/>
        <w:ind w:left="0" w:firstLine="567"/>
        <w:jc w:val="both"/>
        <w:rPr>
          <w:rStyle w:val="normalchar"/>
          <w:rFonts w:ascii="Times New Roman" w:hAnsi="Times New Roman"/>
          <w:spacing w:val="-4"/>
          <w:sz w:val="28"/>
          <w:szCs w:val="28"/>
          <w:lang w:val="es-NI"/>
        </w:rPr>
      </w:pPr>
      <w:r w:rsidRPr="00805DC7">
        <w:rPr>
          <w:rStyle w:val="normalchar"/>
          <w:rFonts w:ascii="Times New Roman" w:hAnsi="Times New Roman"/>
          <w:sz w:val="28"/>
          <w:szCs w:val="28"/>
          <w:lang w:val="nl-NL"/>
        </w:rPr>
        <w:lastRenderedPageBreak/>
        <w:t>In the increase of 0.18% of CPI in April 2022 compared to the previous month, there were 8 groups of goods and services with an increase in the price index and 3 groups of goods with a decrease in the price index.</w:t>
      </w:r>
    </w:p>
    <w:p w14:paraId="0F86E359" w14:textId="090366D0" w:rsidR="00AC7272" w:rsidRDefault="008D4E49" w:rsidP="00C51027">
      <w:pPr>
        <w:pStyle w:val="FootnoteText"/>
        <w:numPr>
          <w:ilvl w:val="0"/>
          <w:numId w:val="27"/>
        </w:numPr>
        <w:spacing w:before="40" w:after="40" w:line="254" w:lineRule="auto"/>
        <w:ind w:left="0" w:firstLine="567"/>
        <w:jc w:val="both"/>
        <w:rPr>
          <w:rFonts w:ascii="Times New Roman" w:hAnsi="Times New Roman" w:cs="Times New Roman"/>
          <w:spacing w:val="-4"/>
          <w:sz w:val="28"/>
          <w:szCs w:val="28"/>
          <w:lang w:val="es-NI"/>
        </w:rPr>
      </w:pPr>
      <w:r w:rsidRPr="00AC7272">
        <w:rPr>
          <w:rFonts w:ascii="Times New Roman" w:hAnsi="Times New Roman" w:cs="Times New Roman"/>
          <w:spacing w:val="-4"/>
          <w:sz w:val="28"/>
          <w:szCs w:val="28"/>
          <w:lang w:val="es-NI"/>
        </w:rPr>
        <w:t>Eight groups of goods and services with an increase in price index include:</w:t>
      </w:r>
    </w:p>
    <w:p w14:paraId="4CA9C9C3" w14:textId="71CC479C" w:rsidR="005A515D" w:rsidRPr="00F2357B" w:rsidRDefault="005A515D" w:rsidP="005A515D">
      <w:pPr>
        <w:pStyle w:val="FootnoteText"/>
        <w:spacing w:before="40" w:after="40" w:line="254" w:lineRule="auto"/>
        <w:ind w:firstLine="567"/>
        <w:jc w:val="both"/>
        <w:rPr>
          <w:rFonts w:ascii="Times New Roman" w:hAnsi="Times New Roman" w:cs="Times New Roman"/>
          <w:spacing w:val="-4"/>
          <w:sz w:val="28"/>
          <w:szCs w:val="28"/>
          <w:lang w:val="es-NI"/>
        </w:rPr>
      </w:pPr>
      <w:r w:rsidRPr="00D515D8">
        <w:rPr>
          <w:rFonts w:ascii="Times New Roman" w:hAnsi="Times New Roman" w:cs="Times New Roman"/>
          <w:i/>
          <w:spacing w:val="-4"/>
          <w:sz w:val="28"/>
          <w:szCs w:val="28"/>
          <w:lang w:val="es-NI"/>
        </w:rPr>
        <w:t>- The group of culture, entertainment and tourism</w:t>
      </w:r>
      <w:r w:rsidRPr="00D515D8">
        <w:rPr>
          <w:rFonts w:ascii="Times New Roman" w:hAnsi="Times New Roman" w:cs="Times New Roman"/>
          <w:spacing w:val="-4"/>
          <w:sz w:val="28"/>
          <w:szCs w:val="28"/>
          <w:lang w:val="es-NI"/>
        </w:rPr>
        <w:t xml:space="preserve"> had the highest increase with 1.16% due to the price of tour packages </w:t>
      </w:r>
      <w:r w:rsidR="006F1038" w:rsidRPr="006F1038">
        <w:rPr>
          <w:rFonts w:ascii="Times New Roman" w:hAnsi="Times New Roman" w:cs="Times New Roman"/>
          <w:spacing w:val="-4"/>
          <w:sz w:val="28"/>
          <w:szCs w:val="28"/>
          <w:lang w:val="es-NI"/>
        </w:rPr>
        <w:t>increased</w:t>
      </w:r>
      <w:r w:rsidR="006F1038">
        <w:rPr>
          <w:rFonts w:ascii="Times New Roman" w:hAnsi="Times New Roman" w:cs="Times New Roman"/>
          <w:spacing w:val="-4"/>
          <w:sz w:val="28"/>
          <w:szCs w:val="28"/>
          <w:lang w:val="es-NI"/>
        </w:rPr>
        <w:t xml:space="preserve"> by </w:t>
      </w:r>
      <w:r w:rsidRPr="00D515D8">
        <w:rPr>
          <w:rFonts w:ascii="Times New Roman" w:hAnsi="Times New Roman" w:cs="Times New Roman"/>
          <w:spacing w:val="-4"/>
          <w:sz w:val="28"/>
          <w:szCs w:val="28"/>
          <w:lang w:val="es-NI"/>
        </w:rPr>
        <w:t xml:space="preserve">5.22% compared to the previous month </w:t>
      </w:r>
      <w:r>
        <w:rPr>
          <w:rFonts w:ascii="Times New Roman" w:hAnsi="Times New Roman" w:cs="Times New Roman"/>
          <w:spacing w:val="-4"/>
          <w:sz w:val="28"/>
          <w:szCs w:val="28"/>
          <w:lang w:val="es-NI"/>
        </w:rPr>
        <w:t xml:space="preserve">because of </w:t>
      </w:r>
      <w:r w:rsidRPr="00D515D8">
        <w:rPr>
          <w:rFonts w:ascii="Times New Roman" w:hAnsi="Times New Roman" w:cs="Times New Roman"/>
          <w:spacing w:val="-4"/>
          <w:sz w:val="28"/>
          <w:szCs w:val="28"/>
          <w:lang w:val="es-NI"/>
        </w:rPr>
        <w:t>the increase in tourism demand.</w:t>
      </w:r>
    </w:p>
    <w:p w14:paraId="25A4AB8B" w14:textId="14A13A3E" w:rsidR="00F2357B" w:rsidRPr="008D7017" w:rsidRDefault="000B10B4" w:rsidP="00996470">
      <w:pPr>
        <w:pStyle w:val="FootnoteText"/>
        <w:spacing w:before="40" w:after="40" w:line="254" w:lineRule="auto"/>
        <w:ind w:firstLine="567"/>
        <w:jc w:val="both"/>
        <w:rPr>
          <w:rFonts w:ascii="Times New Roman" w:hAnsi="Times New Roman" w:cs="Times New Roman"/>
          <w:spacing w:val="-2"/>
          <w:sz w:val="28"/>
          <w:szCs w:val="28"/>
          <w:lang w:val="es-NI"/>
        </w:rPr>
      </w:pPr>
      <w:r w:rsidRPr="00D515D8">
        <w:rPr>
          <w:rFonts w:ascii="Times New Roman" w:hAnsi="Times New Roman" w:cs="Times New Roman"/>
          <w:i/>
          <w:spacing w:val="-2"/>
          <w:sz w:val="28"/>
          <w:szCs w:val="28"/>
          <w:lang w:val="es-NI"/>
        </w:rPr>
        <w:t>- The education group</w:t>
      </w:r>
      <w:r w:rsidRPr="00D515D8">
        <w:rPr>
          <w:rFonts w:ascii="Times New Roman" w:hAnsi="Times New Roman" w:cs="Times New Roman"/>
          <w:spacing w:val="-2"/>
          <w:sz w:val="28"/>
          <w:szCs w:val="28"/>
          <w:lang w:val="es-NI"/>
        </w:rPr>
        <w:t xml:space="preserve"> increased by 0.96% (making the general CPI increase by 0.06 percentage points), of which educational services increased by 1.07% because some localities increased tuition fees again for the 2021-2022 school ye</w:t>
      </w:r>
      <w:r>
        <w:rPr>
          <w:rFonts w:ascii="Times New Roman" w:hAnsi="Times New Roman" w:cs="Times New Roman"/>
          <w:spacing w:val="-2"/>
          <w:sz w:val="28"/>
          <w:szCs w:val="28"/>
          <w:lang w:val="es-NI"/>
        </w:rPr>
        <w:t>ar after the deadline</w:t>
      </w:r>
      <w:r w:rsidRPr="00D515D8">
        <w:rPr>
          <w:rFonts w:ascii="Times New Roman" w:hAnsi="Times New Roman" w:cs="Times New Roman"/>
          <w:spacing w:val="-2"/>
          <w:sz w:val="28"/>
          <w:szCs w:val="28"/>
          <w:lang w:val="es-NI"/>
        </w:rPr>
        <w:t xml:space="preserve"> exemption or reduction due t</w:t>
      </w:r>
      <w:r>
        <w:rPr>
          <w:rFonts w:ascii="Times New Roman" w:hAnsi="Times New Roman" w:cs="Times New Roman"/>
          <w:spacing w:val="-2"/>
          <w:sz w:val="28"/>
          <w:szCs w:val="28"/>
          <w:lang w:val="es-NI"/>
        </w:rPr>
        <w:t>o the impact of the Covid-19 pan</w:t>
      </w:r>
      <w:r w:rsidRPr="00D515D8">
        <w:rPr>
          <w:rFonts w:ascii="Times New Roman" w:hAnsi="Times New Roman" w:cs="Times New Roman"/>
          <w:spacing w:val="-2"/>
          <w:sz w:val="28"/>
          <w:szCs w:val="28"/>
          <w:lang w:val="es-NI"/>
        </w:rPr>
        <w:t>demic</w:t>
      </w:r>
      <w:r w:rsidRPr="008D7017">
        <w:rPr>
          <w:rStyle w:val="FootnoteReference"/>
          <w:rFonts w:ascii="Times New Roman" w:hAnsi="Times New Roman"/>
          <w:spacing w:val="-2"/>
          <w:sz w:val="28"/>
          <w:szCs w:val="28"/>
          <w:lang w:val="es-NI"/>
        </w:rPr>
        <w:t xml:space="preserve"> </w:t>
      </w:r>
      <w:r w:rsidR="00F2357B" w:rsidRPr="008D7017">
        <w:rPr>
          <w:rStyle w:val="FootnoteReference"/>
          <w:rFonts w:ascii="Times New Roman" w:hAnsi="Times New Roman"/>
          <w:spacing w:val="-2"/>
          <w:sz w:val="28"/>
          <w:szCs w:val="28"/>
          <w:lang w:val="es-NI"/>
        </w:rPr>
        <w:footnoteReference w:id="15"/>
      </w:r>
      <w:r w:rsidR="00F2357B" w:rsidRPr="008D7017">
        <w:rPr>
          <w:rFonts w:ascii="Times New Roman" w:hAnsi="Times New Roman" w:cs="Times New Roman"/>
          <w:spacing w:val="-2"/>
          <w:sz w:val="28"/>
          <w:szCs w:val="28"/>
          <w:lang w:val="es-NI"/>
        </w:rPr>
        <w:t>.</w:t>
      </w:r>
    </w:p>
    <w:p w14:paraId="5776444E" w14:textId="77777777" w:rsidR="0073737A" w:rsidRPr="0001114B" w:rsidRDefault="0073737A" w:rsidP="0073737A">
      <w:pPr>
        <w:pStyle w:val="FootnoteText"/>
        <w:spacing w:before="40" w:after="40" w:line="254" w:lineRule="auto"/>
        <w:ind w:firstLine="567"/>
        <w:jc w:val="both"/>
        <w:rPr>
          <w:rFonts w:ascii="Times New Roman" w:hAnsi="Times New Roman" w:cs="Times New Roman"/>
          <w:sz w:val="28"/>
          <w:szCs w:val="28"/>
          <w:lang w:val="es-NI"/>
        </w:rPr>
      </w:pPr>
      <w:r w:rsidRPr="00E2177F">
        <w:rPr>
          <w:rFonts w:ascii="Times New Roman" w:hAnsi="Times New Roman" w:cs="Times New Roman"/>
          <w:i/>
          <w:sz w:val="28"/>
          <w:szCs w:val="28"/>
          <w:lang w:val="es-NI"/>
        </w:rPr>
        <w:t xml:space="preserve">- Housing and </w:t>
      </w:r>
      <w:r w:rsidRPr="00E2177F">
        <w:rPr>
          <w:rFonts w:ascii="Times New Roman" w:hAnsi="Times New Roman" w:cs="Times New Roman"/>
          <w:i/>
          <w:sz w:val="28"/>
          <w:szCs w:val="28"/>
          <w:lang w:val="en-US"/>
        </w:rPr>
        <w:t>construction</w:t>
      </w:r>
      <w:r w:rsidRPr="00E2177F">
        <w:rPr>
          <w:rFonts w:ascii="Times New Roman" w:hAnsi="Times New Roman" w:cs="Times New Roman"/>
          <w:i/>
          <w:sz w:val="28"/>
          <w:szCs w:val="28"/>
          <w:lang w:val="es-NI"/>
        </w:rPr>
        <w:t xml:space="preserve"> materials group</w:t>
      </w:r>
      <w:r w:rsidRPr="00E2177F">
        <w:rPr>
          <w:rFonts w:ascii="Times New Roman" w:hAnsi="Times New Roman" w:cs="Times New Roman"/>
          <w:sz w:val="28"/>
          <w:szCs w:val="28"/>
          <w:lang w:val="es-NI"/>
        </w:rPr>
        <w:t xml:space="preserve"> increased by 0.58% due to the price of housing maintenance materials increasing by 2.02%</w:t>
      </w:r>
      <w:r w:rsidRPr="0001114B">
        <w:rPr>
          <w:rStyle w:val="FootnoteReference"/>
          <w:rFonts w:ascii="Times New Roman" w:hAnsi="Times New Roman"/>
          <w:sz w:val="28"/>
          <w:szCs w:val="28"/>
          <w:lang w:val="es-NI"/>
        </w:rPr>
        <w:footnoteReference w:id="16"/>
      </w:r>
      <w:r w:rsidRPr="00E2177F">
        <w:rPr>
          <w:rFonts w:ascii="Times New Roman" w:hAnsi="Times New Roman" w:cs="Times New Roman"/>
          <w:sz w:val="28"/>
          <w:szCs w:val="28"/>
          <w:lang w:val="es-NI"/>
        </w:rPr>
        <w:t>; April's rent increased by 0.47%; gas price increased by 2.63%</w:t>
      </w:r>
      <w:r w:rsidRPr="0001114B">
        <w:rPr>
          <w:rStyle w:val="FootnoteReference"/>
          <w:rFonts w:ascii="Times New Roman" w:hAnsi="Times New Roman"/>
          <w:sz w:val="28"/>
          <w:szCs w:val="28"/>
          <w:lang w:val="es-NI"/>
        </w:rPr>
        <w:footnoteReference w:id="17"/>
      </w:r>
      <w:r w:rsidRPr="00E2177F">
        <w:rPr>
          <w:rFonts w:ascii="Times New Roman" w:hAnsi="Times New Roman" w:cs="Times New Roman"/>
          <w:sz w:val="28"/>
          <w:szCs w:val="28"/>
          <w:lang w:val="es-NI"/>
        </w:rPr>
        <w:t>; kerosene price increased by 7.25%</w:t>
      </w:r>
      <w:r w:rsidRPr="0001114B">
        <w:rPr>
          <w:rStyle w:val="FootnoteReference"/>
          <w:rFonts w:ascii="Times New Roman" w:hAnsi="Times New Roman"/>
          <w:sz w:val="28"/>
          <w:szCs w:val="28"/>
          <w:lang w:val="es-NI"/>
        </w:rPr>
        <w:footnoteReference w:id="18"/>
      </w:r>
      <w:r w:rsidRPr="00E2177F">
        <w:rPr>
          <w:rFonts w:ascii="Times New Roman" w:hAnsi="Times New Roman" w:cs="Times New Roman"/>
          <w:sz w:val="28"/>
          <w:szCs w:val="28"/>
          <w:lang w:val="es-NI"/>
        </w:rPr>
        <w:t>. In the opposite direction, the price of electricity in April decreased by 0.41%</w:t>
      </w:r>
      <w:r w:rsidRPr="0001114B">
        <w:rPr>
          <w:rStyle w:val="FootnoteReference"/>
          <w:rFonts w:ascii="Times New Roman" w:hAnsi="Times New Roman"/>
          <w:sz w:val="28"/>
          <w:szCs w:val="28"/>
          <w:lang w:val="es-NI"/>
        </w:rPr>
        <w:footnoteReference w:id="19"/>
      </w:r>
      <w:r w:rsidRPr="00E2177F">
        <w:rPr>
          <w:rFonts w:ascii="Times New Roman" w:hAnsi="Times New Roman" w:cs="Times New Roman"/>
          <w:sz w:val="28"/>
          <w:szCs w:val="28"/>
          <w:lang w:val="es-NI"/>
        </w:rPr>
        <w:t>; the price of domestic water decreased by 2.11%.</w:t>
      </w:r>
    </w:p>
    <w:p w14:paraId="3091E01C" w14:textId="62EA6E9E" w:rsidR="0073737A" w:rsidRPr="0001114B" w:rsidRDefault="0073737A" w:rsidP="0073737A">
      <w:pPr>
        <w:pStyle w:val="FootnoteText"/>
        <w:spacing w:before="40" w:after="40" w:line="254"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The group of appliances and household appliances</w:t>
      </w:r>
      <w:r w:rsidRPr="00AB31C4">
        <w:rPr>
          <w:rFonts w:ascii="Times New Roman" w:hAnsi="Times New Roman" w:cs="Times New Roman"/>
          <w:sz w:val="28"/>
          <w:szCs w:val="28"/>
          <w:lang w:val="es-NI"/>
        </w:rPr>
        <w:t xml:space="preserve"> increased by 0.32%, mainly due to the high consumption demand in the summer: The price of air conditioners increased by 0.34% compared to the previous month; </w:t>
      </w:r>
      <w:r w:rsidR="006F1038" w:rsidRPr="006F1038">
        <w:rPr>
          <w:rFonts w:ascii="Times New Roman" w:hAnsi="Times New Roman" w:cs="Times New Roman"/>
          <w:sz w:val="28"/>
          <w:szCs w:val="28"/>
          <w:lang w:val="es-NI"/>
        </w:rPr>
        <w:t>the price of electric fans increased by 0.2%</w:t>
      </w:r>
      <w:r w:rsidR="006F1038">
        <w:rPr>
          <w:rFonts w:ascii="Times New Roman" w:hAnsi="Times New Roman" w:cs="Times New Roman"/>
          <w:sz w:val="28"/>
          <w:szCs w:val="28"/>
          <w:lang w:val="es-NI"/>
        </w:rPr>
        <w:t>;</w:t>
      </w:r>
      <w:r w:rsidRPr="00AB31C4">
        <w:rPr>
          <w:rFonts w:ascii="Times New Roman" w:hAnsi="Times New Roman" w:cs="Times New Roman"/>
          <w:sz w:val="28"/>
          <w:szCs w:val="28"/>
          <w:lang w:val="es-NI"/>
        </w:rPr>
        <w:t xml:space="preserve"> the price of refrigerators increased by 0.1%... In the opposite direction, water heaters decreased by 0.1% compared to the previous month and blankets, curtains and pillows decreased by 0.15%.</w:t>
      </w:r>
    </w:p>
    <w:p w14:paraId="3AAE816D" w14:textId="4426D35D" w:rsidR="006D3B2C" w:rsidRPr="0001114B" w:rsidRDefault="006D3B2C" w:rsidP="006D3B2C">
      <w:pPr>
        <w:pStyle w:val="FootnoteText"/>
        <w:spacing w:before="40" w:after="40" w:line="254"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Beverage and cigarettes group</w:t>
      </w:r>
      <w:r w:rsidRPr="00AB31C4">
        <w:rPr>
          <w:rFonts w:ascii="Times New Roman" w:hAnsi="Times New Roman" w:cs="Times New Roman"/>
          <w:sz w:val="28"/>
          <w:szCs w:val="28"/>
          <w:lang w:val="es-NI"/>
        </w:rPr>
        <w:t xml:space="preserve"> increased by 0.22% due to hot weather, so demand for beverage consumption increased: </w:t>
      </w:r>
      <w:r w:rsidR="00252C3B">
        <w:rPr>
          <w:rFonts w:ascii="Times New Roman" w:hAnsi="Times New Roman" w:cs="Times New Roman"/>
          <w:sz w:val="28"/>
          <w:szCs w:val="28"/>
          <w:lang w:val="es-NI"/>
        </w:rPr>
        <w:t xml:space="preserve">The </w:t>
      </w:r>
      <w:r w:rsidRPr="00AB31C4">
        <w:rPr>
          <w:rFonts w:ascii="Times New Roman" w:hAnsi="Times New Roman" w:cs="Times New Roman"/>
          <w:sz w:val="28"/>
          <w:szCs w:val="28"/>
          <w:lang w:val="es-NI"/>
        </w:rPr>
        <w:t>Price of mineral water increased by 0.16%; carbonated soft drinks by 0.26%; juice increased by 0.28%. Alcohol and smoking increased by 0.3% and 0.12% respectively over the previous month.</w:t>
      </w:r>
    </w:p>
    <w:p w14:paraId="2FC5BB34" w14:textId="77777777" w:rsidR="00AF0678" w:rsidRPr="0001114B" w:rsidRDefault="00AF0678" w:rsidP="00AF0678">
      <w:pPr>
        <w:pStyle w:val="FootnoteText"/>
        <w:spacing w:before="40" w:after="40" w:line="283"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The group of other goods and services</w:t>
      </w:r>
      <w:r w:rsidRPr="00AB31C4">
        <w:rPr>
          <w:rFonts w:ascii="Times New Roman" w:hAnsi="Times New Roman" w:cs="Times New Roman"/>
          <w:sz w:val="28"/>
          <w:szCs w:val="28"/>
          <w:lang w:val="es-NI"/>
        </w:rPr>
        <w:t xml:space="preserve"> increased by 0.18%, mainly focusing on personal goods such as electric personal care machines, which </w:t>
      </w:r>
      <w:r w:rsidRPr="00AB31C4">
        <w:rPr>
          <w:rFonts w:ascii="Times New Roman" w:hAnsi="Times New Roman" w:cs="Times New Roman"/>
          <w:sz w:val="28"/>
          <w:szCs w:val="28"/>
          <w:lang w:val="es-NI"/>
        </w:rPr>
        <w:lastRenderedPageBreak/>
        <w:t xml:space="preserve">increased by 0.08%; non-electrical personal tools </w:t>
      </w:r>
      <w:r>
        <w:rPr>
          <w:rFonts w:ascii="Times New Roman" w:hAnsi="Times New Roman" w:cs="Times New Roman"/>
          <w:sz w:val="28"/>
          <w:szCs w:val="28"/>
          <w:lang w:val="es-NI"/>
        </w:rPr>
        <w:t>up</w:t>
      </w:r>
      <w:r w:rsidRPr="00AB31C4">
        <w:rPr>
          <w:rFonts w:ascii="Times New Roman" w:hAnsi="Times New Roman" w:cs="Times New Roman"/>
          <w:sz w:val="28"/>
          <w:szCs w:val="28"/>
          <w:lang w:val="es-NI"/>
        </w:rPr>
        <w:t xml:space="preserve"> 0.12%; hospitality services increased by 0.26%.</w:t>
      </w:r>
    </w:p>
    <w:p w14:paraId="706ACB0A" w14:textId="77777777" w:rsidR="009837C3" w:rsidRPr="0001114B" w:rsidRDefault="009837C3" w:rsidP="009837C3">
      <w:pPr>
        <w:pStyle w:val="FootnoteText"/>
        <w:spacing w:before="40" w:after="40" w:line="283"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Garment, hats and footwear group</w:t>
      </w:r>
      <w:r w:rsidRPr="00AB31C4">
        <w:rPr>
          <w:rFonts w:ascii="Times New Roman" w:hAnsi="Times New Roman" w:cs="Times New Roman"/>
          <w:sz w:val="28"/>
          <w:szCs w:val="28"/>
          <w:lang w:val="es-NI"/>
        </w:rPr>
        <w:t xml:space="preserve"> increased by 0.12%.</w:t>
      </w:r>
    </w:p>
    <w:p w14:paraId="1CAE74C9" w14:textId="5F84A5FA" w:rsidR="009837C3" w:rsidRPr="0001114B" w:rsidRDefault="009837C3" w:rsidP="009837C3">
      <w:pPr>
        <w:pStyle w:val="FootnoteText"/>
        <w:spacing w:before="40" w:after="40" w:line="283"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w:t>
      </w:r>
      <w:r w:rsidR="004127AA">
        <w:rPr>
          <w:rFonts w:ascii="Times New Roman" w:hAnsi="Times New Roman" w:cs="Times New Roman"/>
          <w:i/>
          <w:sz w:val="28"/>
          <w:szCs w:val="28"/>
          <w:lang w:val="es-NI"/>
        </w:rPr>
        <w:t xml:space="preserve"> </w:t>
      </w:r>
      <w:r w:rsidRPr="00AB31C4">
        <w:rPr>
          <w:rFonts w:ascii="Times New Roman" w:hAnsi="Times New Roman" w:cs="Times New Roman"/>
          <w:i/>
          <w:sz w:val="28"/>
          <w:szCs w:val="28"/>
          <w:lang w:val="es-NI"/>
        </w:rPr>
        <w:t xml:space="preserve">Medicine and medical service group </w:t>
      </w:r>
      <w:r w:rsidRPr="00AB31C4">
        <w:rPr>
          <w:rFonts w:ascii="Times New Roman" w:hAnsi="Times New Roman" w:cs="Times New Roman"/>
          <w:sz w:val="28"/>
          <w:szCs w:val="28"/>
          <w:lang w:val="es-NI"/>
        </w:rPr>
        <w:t xml:space="preserve">increased by 0.03% due to the change of seasons, the proliferation of pathogenic viruses, people increased their purchase of drugs to strengthen the immune system, in which the price of vitamins and minerals </w:t>
      </w:r>
      <w:r>
        <w:rPr>
          <w:rFonts w:ascii="Times New Roman" w:hAnsi="Times New Roman" w:cs="Times New Roman"/>
          <w:sz w:val="28"/>
          <w:szCs w:val="28"/>
          <w:lang w:val="es-NI"/>
        </w:rPr>
        <w:t>up</w:t>
      </w:r>
      <w:r w:rsidRPr="00AB31C4">
        <w:rPr>
          <w:rFonts w:ascii="Times New Roman" w:hAnsi="Times New Roman" w:cs="Times New Roman"/>
          <w:sz w:val="28"/>
          <w:szCs w:val="28"/>
          <w:lang w:val="es-NI"/>
        </w:rPr>
        <w:t xml:space="preserve"> 0.04%; group of analgesics, antipyretics and anti-inflammatory drugs increased by 0.36%; prices of drugs for the gastrointestinal tract increased by 0.11%.</w:t>
      </w:r>
    </w:p>
    <w:p w14:paraId="3ACDD939" w14:textId="286420CB" w:rsidR="00F2357B" w:rsidRPr="0001114B" w:rsidRDefault="00F2357B" w:rsidP="00996470">
      <w:pPr>
        <w:pStyle w:val="FootnoteText"/>
        <w:spacing w:before="20" w:line="283" w:lineRule="auto"/>
        <w:ind w:firstLine="567"/>
        <w:jc w:val="both"/>
        <w:rPr>
          <w:rFonts w:ascii="Times New Roman" w:hAnsi="Times New Roman" w:cs="Times New Roman"/>
          <w:sz w:val="28"/>
          <w:szCs w:val="28"/>
          <w:lang w:val="es-NI"/>
        </w:rPr>
      </w:pPr>
      <w:r w:rsidRPr="0001114B">
        <w:rPr>
          <w:rFonts w:ascii="Times New Roman" w:hAnsi="Times New Roman" w:cs="Times New Roman"/>
          <w:sz w:val="28"/>
          <w:szCs w:val="28"/>
          <w:lang w:val="es-NI"/>
        </w:rPr>
        <w:t xml:space="preserve">(2) </w:t>
      </w:r>
      <w:r w:rsidR="004127AA" w:rsidRPr="00AB31C4">
        <w:rPr>
          <w:rFonts w:ascii="Times New Roman" w:hAnsi="Times New Roman" w:cs="Times New Roman"/>
          <w:sz w:val="28"/>
          <w:szCs w:val="28"/>
          <w:lang w:val="es-NI"/>
        </w:rPr>
        <w:t>Three groups of goods and services with reduced price indexes include:</w:t>
      </w:r>
    </w:p>
    <w:p w14:paraId="394F4BF3" w14:textId="77777777" w:rsidR="00650F61" w:rsidRPr="00996470" w:rsidRDefault="00650F61" w:rsidP="00650F61">
      <w:pPr>
        <w:pStyle w:val="FootnoteText"/>
        <w:spacing w:before="20" w:line="283" w:lineRule="auto"/>
        <w:ind w:firstLine="567"/>
        <w:jc w:val="both"/>
        <w:rPr>
          <w:rFonts w:ascii="Times New Roman" w:hAnsi="Times New Roman" w:cs="Times New Roman"/>
          <w:spacing w:val="-4"/>
          <w:sz w:val="28"/>
          <w:szCs w:val="28"/>
          <w:lang w:val="es-NI"/>
        </w:rPr>
      </w:pPr>
      <w:r w:rsidRPr="00AB31C4">
        <w:rPr>
          <w:rFonts w:ascii="Times New Roman" w:hAnsi="Times New Roman" w:cs="Times New Roman"/>
          <w:i/>
          <w:spacing w:val="-4"/>
          <w:sz w:val="28"/>
          <w:szCs w:val="28"/>
          <w:lang w:val="es-NI"/>
        </w:rPr>
        <w:t>- Food and food</w:t>
      </w:r>
      <w:r>
        <w:rPr>
          <w:rFonts w:ascii="Times New Roman" w:hAnsi="Times New Roman" w:cs="Times New Roman"/>
          <w:i/>
          <w:spacing w:val="-4"/>
          <w:sz w:val="28"/>
          <w:szCs w:val="28"/>
          <w:lang w:val="es-NI"/>
        </w:rPr>
        <w:t>suff</w:t>
      </w:r>
      <w:r w:rsidRPr="00AB31C4">
        <w:rPr>
          <w:rFonts w:ascii="Times New Roman" w:hAnsi="Times New Roman" w:cs="Times New Roman"/>
          <w:i/>
          <w:spacing w:val="-4"/>
          <w:sz w:val="28"/>
          <w:szCs w:val="28"/>
          <w:lang w:val="es-NI"/>
        </w:rPr>
        <w:t xml:space="preserve"> group</w:t>
      </w:r>
      <w:r w:rsidRPr="00AB31C4">
        <w:rPr>
          <w:rFonts w:ascii="Times New Roman" w:hAnsi="Times New Roman" w:cs="Times New Roman"/>
          <w:spacing w:val="-4"/>
          <w:sz w:val="28"/>
          <w:szCs w:val="28"/>
          <w:lang w:val="es-NI"/>
        </w:rPr>
        <w:t xml:space="preserve"> decreased by 0.05% (</w:t>
      </w:r>
      <w:r>
        <w:rPr>
          <w:rFonts w:ascii="Times New Roman" w:hAnsi="Times New Roman" w:cs="Times New Roman"/>
          <w:spacing w:val="-4"/>
          <w:sz w:val="28"/>
          <w:szCs w:val="28"/>
          <w:lang w:val="es-NI"/>
        </w:rPr>
        <w:t xml:space="preserve">making the </w:t>
      </w:r>
      <w:r w:rsidRPr="00AB31C4">
        <w:rPr>
          <w:rFonts w:ascii="Times New Roman" w:hAnsi="Times New Roman" w:cs="Times New Roman"/>
          <w:spacing w:val="-4"/>
          <w:sz w:val="28"/>
          <w:szCs w:val="28"/>
          <w:lang w:val="es-NI"/>
        </w:rPr>
        <w:t>general CPI to decrease by 0.02 percentage points), of which: Food increased by 0.21%</w:t>
      </w:r>
      <w:r w:rsidRPr="00996470">
        <w:rPr>
          <w:rStyle w:val="FootnoteReference"/>
          <w:rFonts w:ascii="Times New Roman" w:hAnsi="Times New Roman"/>
          <w:spacing w:val="-4"/>
          <w:sz w:val="28"/>
          <w:szCs w:val="28"/>
          <w:lang w:val="es-NI"/>
        </w:rPr>
        <w:footnoteReference w:id="20"/>
      </w:r>
      <w:r w:rsidRPr="00AB31C4">
        <w:rPr>
          <w:rFonts w:ascii="Times New Roman" w:hAnsi="Times New Roman" w:cs="Times New Roman"/>
          <w:spacing w:val="-4"/>
          <w:sz w:val="28"/>
          <w:szCs w:val="28"/>
          <w:lang w:val="es-NI"/>
        </w:rPr>
        <w:t xml:space="preserve"> (the overall CPI impact increased by 0.01 percentage points) ; food decreased by 0.32%</w:t>
      </w:r>
      <w:r w:rsidRPr="00996470">
        <w:rPr>
          <w:rStyle w:val="FootnoteReference"/>
          <w:rFonts w:ascii="Times New Roman" w:hAnsi="Times New Roman"/>
          <w:spacing w:val="-4"/>
          <w:sz w:val="28"/>
          <w:szCs w:val="28"/>
          <w:lang w:val="es-NI"/>
        </w:rPr>
        <w:footnoteReference w:id="21"/>
      </w:r>
      <w:r w:rsidRPr="00AB31C4">
        <w:rPr>
          <w:rFonts w:ascii="Times New Roman" w:hAnsi="Times New Roman" w:cs="Times New Roman"/>
          <w:spacing w:val="-4"/>
          <w:sz w:val="28"/>
          <w:szCs w:val="28"/>
          <w:lang w:val="es-NI"/>
        </w:rPr>
        <w:t xml:space="preserve"> (the impact decreased by 0.07 percentage points); eating out of the family increased by 0.51%</w:t>
      </w:r>
      <w:r w:rsidRPr="00996470">
        <w:rPr>
          <w:rStyle w:val="FootnoteReference"/>
          <w:rFonts w:ascii="Times New Roman" w:hAnsi="Times New Roman"/>
          <w:spacing w:val="-4"/>
          <w:sz w:val="28"/>
          <w:szCs w:val="28"/>
          <w:lang w:val="es-NI"/>
        </w:rPr>
        <w:footnoteReference w:id="22"/>
      </w:r>
      <w:r w:rsidRPr="00AB31C4">
        <w:rPr>
          <w:rFonts w:ascii="Times New Roman" w:hAnsi="Times New Roman" w:cs="Times New Roman"/>
          <w:spacing w:val="-4"/>
          <w:sz w:val="28"/>
          <w:szCs w:val="28"/>
          <w:lang w:val="es-NI"/>
        </w:rPr>
        <w:t xml:space="preserve"> (general CPI impact increased by 0.04 percentage points).</w:t>
      </w:r>
    </w:p>
    <w:p w14:paraId="53336044" w14:textId="77777777" w:rsidR="00F52C88" w:rsidRPr="0001114B" w:rsidRDefault="00F52C88" w:rsidP="00F52C88">
      <w:pPr>
        <w:pStyle w:val="FootnoteText"/>
        <w:spacing w:before="20" w:line="283"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Post and telecommunications group</w:t>
      </w:r>
      <w:r w:rsidRPr="00AB31C4">
        <w:rPr>
          <w:rFonts w:ascii="Times New Roman" w:hAnsi="Times New Roman" w:cs="Times New Roman"/>
          <w:sz w:val="28"/>
          <w:szCs w:val="28"/>
          <w:lang w:val="es-NI"/>
        </w:rPr>
        <w:t xml:space="preserve"> decreased by 0.12%.</w:t>
      </w:r>
    </w:p>
    <w:p w14:paraId="59985346" w14:textId="77777777" w:rsidR="00650F61" w:rsidRPr="0001114B" w:rsidRDefault="00650F61" w:rsidP="00650F61">
      <w:pPr>
        <w:pStyle w:val="FootnoteText"/>
        <w:spacing w:before="20" w:line="283" w:lineRule="auto"/>
        <w:ind w:firstLine="567"/>
        <w:jc w:val="both"/>
        <w:rPr>
          <w:rFonts w:ascii="Times New Roman" w:hAnsi="Times New Roman" w:cs="Times New Roman"/>
          <w:sz w:val="28"/>
          <w:szCs w:val="28"/>
          <w:lang w:val="es-NI"/>
        </w:rPr>
      </w:pPr>
      <w:r w:rsidRPr="00AB31C4">
        <w:rPr>
          <w:rFonts w:ascii="Times New Roman" w:hAnsi="Times New Roman" w:cs="Times New Roman"/>
          <w:i/>
          <w:sz w:val="28"/>
          <w:szCs w:val="28"/>
          <w:lang w:val="es-NI"/>
        </w:rPr>
        <w:t>- Transport group</w:t>
      </w:r>
      <w:r w:rsidRPr="00AB31C4">
        <w:rPr>
          <w:rFonts w:ascii="Times New Roman" w:hAnsi="Times New Roman" w:cs="Times New Roman"/>
          <w:sz w:val="28"/>
          <w:szCs w:val="28"/>
          <w:lang w:val="es-NI"/>
        </w:rPr>
        <w:t xml:space="preserve"> decreased by 0.59% (making the general CPI decrease by 0.06 percentage points) due to the impact of the petrol price adjustment on April </w:t>
      </w:r>
      <w:r>
        <w:rPr>
          <w:rFonts w:ascii="Times New Roman" w:hAnsi="Times New Roman" w:cs="Times New Roman"/>
          <w:sz w:val="28"/>
          <w:szCs w:val="28"/>
          <w:lang w:val="es-NI"/>
        </w:rPr>
        <w:t>0</w:t>
      </w:r>
      <w:r w:rsidRPr="00AB31C4">
        <w:rPr>
          <w:rFonts w:ascii="Times New Roman" w:hAnsi="Times New Roman" w:cs="Times New Roman"/>
          <w:sz w:val="28"/>
          <w:szCs w:val="28"/>
          <w:lang w:val="es-NI"/>
        </w:rPr>
        <w:t>1, 2022</w:t>
      </w:r>
      <w:r>
        <w:rPr>
          <w:rFonts w:ascii="Times New Roman" w:hAnsi="Times New Roman" w:cs="Times New Roman"/>
          <w:sz w:val="28"/>
          <w:szCs w:val="28"/>
          <w:lang w:val="es-NI"/>
        </w:rPr>
        <w:t>;</w:t>
      </w:r>
      <w:r w:rsidRPr="00AB31C4">
        <w:rPr>
          <w:rFonts w:ascii="Times New Roman" w:hAnsi="Times New Roman" w:cs="Times New Roman"/>
          <w:sz w:val="28"/>
          <w:szCs w:val="28"/>
          <w:lang w:val="es-NI"/>
        </w:rPr>
        <w:t xml:space="preserve"> Ap</w:t>
      </w:r>
      <w:r>
        <w:rPr>
          <w:rFonts w:ascii="Times New Roman" w:hAnsi="Times New Roman" w:cs="Times New Roman"/>
          <w:sz w:val="28"/>
          <w:szCs w:val="28"/>
          <w:lang w:val="es-NI"/>
        </w:rPr>
        <w:t>ril 12, 2022 and April 21, 2022</w:t>
      </w:r>
      <w:r w:rsidRPr="00AB31C4">
        <w:rPr>
          <w:rFonts w:ascii="Times New Roman" w:hAnsi="Times New Roman" w:cs="Times New Roman"/>
          <w:sz w:val="28"/>
          <w:szCs w:val="28"/>
          <w:lang w:val="es-NI"/>
        </w:rPr>
        <w:t xml:space="preserve"> causing gasoline prices to decrease by 2.5%; the price of diesel oil increased by 7.01 %. Besides, the price of public transport service increased by 3.72% due to the increase in fuel price; vehicle maintenance service prices increased by 0.42%; self-driving car and motorbike rental fees increased by 0.32%; driving license fees increased by 0.11%.</w:t>
      </w:r>
    </w:p>
    <w:p w14:paraId="2948222B" w14:textId="77777777" w:rsidR="009F74C0" w:rsidRPr="0001114B" w:rsidRDefault="009F74C0" w:rsidP="009F74C0">
      <w:pPr>
        <w:pStyle w:val="NormalWeb"/>
        <w:spacing w:before="40" w:beforeAutospacing="0" w:after="40" w:afterAutospacing="0" w:line="283" w:lineRule="auto"/>
        <w:ind w:firstLine="567"/>
        <w:jc w:val="both"/>
        <w:rPr>
          <w:rFonts w:ascii="Times New Roman" w:hAnsi="Times New Roman" w:cs="Times New Roman"/>
          <w:spacing w:val="-2"/>
          <w:sz w:val="28"/>
          <w:szCs w:val="28"/>
        </w:rPr>
      </w:pPr>
      <w:bookmarkStart w:id="2" w:name="_Hlk67815215"/>
      <w:r w:rsidRPr="00310E14">
        <w:rPr>
          <w:rFonts w:ascii="Times New Roman" w:hAnsi="Times New Roman" w:cs="Times New Roman"/>
          <w:spacing w:val="-2"/>
          <w:sz w:val="28"/>
          <w:szCs w:val="28"/>
        </w:rPr>
        <w:t>Core inflation</w:t>
      </w:r>
      <w:r w:rsidRPr="0001114B">
        <w:rPr>
          <w:rStyle w:val="FootnoteReference"/>
          <w:rFonts w:ascii="Times New Roman" w:hAnsi="Times New Roman"/>
          <w:spacing w:val="-2"/>
          <w:sz w:val="28"/>
          <w:szCs w:val="28"/>
        </w:rPr>
        <w:footnoteReference w:id="23"/>
      </w:r>
      <w:r w:rsidRPr="00310E14">
        <w:rPr>
          <w:rFonts w:ascii="Times New Roman" w:hAnsi="Times New Roman" w:cs="Times New Roman"/>
          <w:spacing w:val="-2"/>
          <w:sz w:val="28"/>
          <w:szCs w:val="28"/>
        </w:rPr>
        <w:t xml:space="preserve"> in April 2022 increased by 0.44% over the previous month, up by 1.47% over the same period last year. On average, in the first 4 months of 2022, core inflation increased by 0.97% over the same period in 2021, lower than </w:t>
      </w:r>
      <w:r w:rsidRPr="00310E14">
        <w:rPr>
          <w:rFonts w:ascii="Times New Roman" w:hAnsi="Times New Roman" w:cs="Times New Roman"/>
          <w:spacing w:val="-2"/>
          <w:sz w:val="28"/>
          <w:szCs w:val="28"/>
        </w:rPr>
        <w:lastRenderedPageBreak/>
        <w:t>the general average CPI (up 2.1%), this reflects mainly consumer price fluctuations</w:t>
      </w:r>
      <w:r>
        <w:rPr>
          <w:rFonts w:ascii="Times New Roman" w:hAnsi="Times New Roman" w:cs="Times New Roman"/>
          <w:spacing w:val="-2"/>
          <w:sz w:val="28"/>
          <w:szCs w:val="28"/>
          <w:lang w:val="vi-VN"/>
        </w:rPr>
        <w:t xml:space="preserve"> </w:t>
      </w:r>
      <w:r w:rsidRPr="00310E14">
        <w:rPr>
          <w:rFonts w:ascii="Times New Roman" w:hAnsi="Times New Roman" w:cs="Times New Roman"/>
          <w:spacing w:val="-2"/>
          <w:sz w:val="28"/>
          <w:szCs w:val="28"/>
        </w:rPr>
        <w:t>due to food and food prices and gasoline and oil prices.</w:t>
      </w:r>
    </w:p>
    <w:bookmarkEnd w:id="2"/>
    <w:p w14:paraId="03CD9592" w14:textId="1B4767D5" w:rsidR="000A4444" w:rsidRPr="0001114B" w:rsidRDefault="000A4444" w:rsidP="00996470">
      <w:pPr>
        <w:pStyle w:val="NormalWeb"/>
        <w:spacing w:before="40" w:beforeAutospacing="0" w:after="40" w:afterAutospacing="0" w:line="283" w:lineRule="auto"/>
        <w:ind w:firstLine="567"/>
        <w:jc w:val="both"/>
        <w:rPr>
          <w:rFonts w:ascii="Times New Roman" w:hAnsi="Times New Roman" w:cs="Times New Roman"/>
          <w:spacing w:val="-4"/>
          <w:sz w:val="28"/>
          <w:szCs w:val="28"/>
          <w:lang w:val="es-NI"/>
        </w:rPr>
      </w:pPr>
      <w:r w:rsidRPr="000A4444">
        <w:rPr>
          <w:rFonts w:ascii="Times New Roman" w:hAnsi="Times New Roman" w:cs="Times New Roman"/>
          <w:spacing w:val="-4"/>
          <w:sz w:val="28"/>
          <w:szCs w:val="28"/>
          <w:lang w:val="es-NI"/>
        </w:rPr>
        <w:t>The domestic gold price fluctuated inversely with the world gold price. As of April 25, 2022, the average world gold price was at 1,950/ounce</w:t>
      </w:r>
      <w:r>
        <w:rPr>
          <w:rFonts w:ascii="Times New Roman" w:hAnsi="Times New Roman" w:cs="Times New Roman"/>
          <w:spacing w:val="-4"/>
          <w:sz w:val="28"/>
          <w:szCs w:val="28"/>
          <w:lang w:val="vi-VN"/>
        </w:rPr>
        <w:t xml:space="preserve"> </w:t>
      </w:r>
      <w:r w:rsidRPr="000A4444">
        <w:rPr>
          <w:rFonts w:ascii="Times New Roman" w:hAnsi="Times New Roman" w:cs="Times New Roman"/>
          <w:spacing w:val="-4"/>
          <w:sz w:val="28"/>
          <w:szCs w:val="28"/>
          <w:lang w:val="es-NI"/>
        </w:rPr>
        <w:t>USD, down 0.3% compared to March 2022 due to the pressure of bond yields increasing again, reducing the attractiveness of gold. Domestically, the gold price index in April 2022 increased by 0.73% compared to the previous month; an increase of 12.28% over the same period in 2021; the average growth in the first 4 months of 2022 increased by 5.65%.</w:t>
      </w:r>
    </w:p>
    <w:p w14:paraId="3B39D10C" w14:textId="77777777" w:rsidR="00A27260" w:rsidRDefault="00F2357B" w:rsidP="00A27260">
      <w:pPr>
        <w:pStyle w:val="ListParagraph"/>
        <w:tabs>
          <w:tab w:val="left" w:pos="567"/>
        </w:tabs>
        <w:spacing w:before="40" w:after="40"/>
        <w:ind w:left="0" w:firstLine="567"/>
        <w:jc w:val="both"/>
        <w:rPr>
          <w:rFonts w:ascii="Times New Roman" w:hAnsi="Times New Roman" w:cs="Times New Roman"/>
          <w:spacing w:val="-4"/>
          <w:sz w:val="28"/>
          <w:szCs w:val="28"/>
          <w:lang w:val="es-NI"/>
        </w:rPr>
      </w:pPr>
      <w:r w:rsidRPr="0001114B">
        <w:rPr>
          <w:rFonts w:ascii="Times New Roman" w:hAnsi="Times New Roman" w:cs="Times New Roman"/>
          <w:sz w:val="28"/>
          <w:szCs w:val="28"/>
          <w:lang w:val="es-NI"/>
        </w:rPr>
        <w:t xml:space="preserve"> </w:t>
      </w:r>
      <w:r w:rsidR="00A27260" w:rsidRPr="001104FD">
        <w:rPr>
          <w:rFonts w:ascii="Times New Roman" w:hAnsi="Times New Roman" w:cs="Times New Roman"/>
          <w:spacing w:val="-4"/>
          <w:sz w:val="28"/>
          <w:szCs w:val="28"/>
          <w:lang w:val="es-NI"/>
        </w:rPr>
        <w:t xml:space="preserve">The US dollar on the world market rose in the context of investors expecting the US Federal Reserve (FED) to decide to step up interest rate hikes in the near future. As of April 25, 2022, the US dollar index on the international market reached 100.04 points, up 1.58 points from the previous month. Domestically, the average US dollar price on the free market </w:t>
      </w:r>
      <w:r w:rsidR="00A27260">
        <w:rPr>
          <w:rFonts w:ascii="Times New Roman" w:hAnsi="Times New Roman" w:cs="Times New Roman"/>
          <w:spacing w:val="-4"/>
          <w:sz w:val="28"/>
          <w:szCs w:val="28"/>
          <w:lang w:val="vi-VN"/>
        </w:rPr>
        <w:t>wa</w:t>
      </w:r>
      <w:r w:rsidR="00A27260" w:rsidRPr="001104FD">
        <w:rPr>
          <w:rFonts w:ascii="Times New Roman" w:hAnsi="Times New Roman" w:cs="Times New Roman"/>
          <w:spacing w:val="-4"/>
          <w:sz w:val="28"/>
          <w:szCs w:val="28"/>
          <w:lang w:val="es-NI"/>
        </w:rPr>
        <w:t xml:space="preserve">s around 23,016 VND/USD. </w:t>
      </w:r>
      <w:r w:rsidR="00A27260">
        <w:rPr>
          <w:rFonts w:ascii="Times New Roman" w:hAnsi="Times New Roman" w:cs="Times New Roman"/>
          <w:spacing w:val="-4"/>
          <w:sz w:val="28"/>
          <w:szCs w:val="28"/>
          <w:lang w:val="es-NI"/>
        </w:rPr>
        <w:t>The</w:t>
      </w:r>
      <w:r w:rsidR="00A27260">
        <w:rPr>
          <w:rFonts w:ascii="Times New Roman" w:hAnsi="Times New Roman" w:cs="Times New Roman"/>
          <w:spacing w:val="-4"/>
          <w:sz w:val="28"/>
          <w:szCs w:val="28"/>
          <w:lang w:val="vi-VN"/>
        </w:rPr>
        <w:t xml:space="preserve"> </w:t>
      </w:r>
      <w:r w:rsidR="00A27260" w:rsidRPr="001104FD">
        <w:rPr>
          <w:rFonts w:ascii="Times New Roman" w:hAnsi="Times New Roman" w:cs="Times New Roman"/>
          <w:spacing w:val="-4"/>
          <w:sz w:val="28"/>
          <w:szCs w:val="28"/>
          <w:lang w:val="es-NI"/>
        </w:rPr>
        <w:t>US dollar price index in April 2022 increased by 0.07% over the previous month and decreased by 0.64% over the same period in 2021; average decrease of 0.66% in the first 4 months of 2022.</w:t>
      </w:r>
    </w:p>
    <w:p w14:paraId="403E3FC9" w14:textId="68613A0B" w:rsidR="00E72A61" w:rsidRPr="005628AE" w:rsidRDefault="00E72A61" w:rsidP="00F2357B">
      <w:pPr>
        <w:pStyle w:val="ListParagraph"/>
        <w:tabs>
          <w:tab w:val="left" w:pos="567"/>
        </w:tabs>
        <w:spacing w:before="40" w:after="40"/>
        <w:ind w:left="0" w:firstLine="567"/>
        <w:jc w:val="both"/>
        <w:rPr>
          <w:rFonts w:ascii="Times New Roman" w:hAnsi="Times New Roman" w:cs="Times New Roman"/>
          <w:b/>
          <w:bCs/>
          <w:i/>
          <w:iCs/>
          <w:sz w:val="28"/>
          <w:szCs w:val="28"/>
          <w:lang w:val="fr-FR"/>
        </w:rPr>
      </w:pPr>
      <w:r w:rsidRPr="005628AE">
        <w:rPr>
          <w:rFonts w:ascii="Times New Roman" w:hAnsi="Times New Roman" w:cs="Times New Roman"/>
          <w:b/>
          <w:bCs/>
          <w:i/>
          <w:iCs/>
          <w:sz w:val="28"/>
          <w:szCs w:val="28"/>
          <w:lang w:val="fr-FR"/>
        </w:rPr>
        <w:t xml:space="preserve">d) </w:t>
      </w:r>
      <w:r w:rsidR="007B2844" w:rsidRPr="00635A11">
        <w:rPr>
          <w:rStyle w:val="y2iqfc"/>
          <w:rFonts w:ascii="Times New Roman" w:eastAsia="Calibri" w:hAnsi="Times New Roman" w:cs="Times New Roman"/>
          <w:b/>
          <w:bCs/>
          <w:i/>
          <w:iCs/>
          <w:color w:val="202124"/>
          <w:sz w:val="28"/>
          <w:szCs w:val="28"/>
        </w:rPr>
        <w:t>Transport</w:t>
      </w:r>
    </w:p>
    <w:p w14:paraId="3A02BC5F" w14:textId="77777777" w:rsidR="004E26D1" w:rsidRDefault="004E26D1" w:rsidP="004E26D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w:hAnsi="Times New Roman"/>
          <w:color w:val="0E101A"/>
          <w:sz w:val="28"/>
          <w:szCs w:val="28"/>
        </w:rPr>
      </w:pPr>
      <w:r w:rsidRPr="00635A11">
        <w:rPr>
          <w:rStyle w:val="y2iqfc"/>
          <w:rFonts w:ascii="Times New Roman" w:eastAsia="Calibri" w:hAnsi="Times New Roman" w:cs="Times New Roman"/>
          <w:i/>
          <w:color w:val="202124"/>
          <w:sz w:val="28"/>
          <w:szCs w:val="28"/>
        </w:rPr>
        <w:t>Passenger transport in April had a relatively high increase because the Covid-19 epidemic was controlled along with Vietnam's tourism opening policy from March 15, 2022, so the travel demand of people increased;</w:t>
      </w:r>
      <w:r w:rsidRPr="009E44A1">
        <w:rPr>
          <w:rStyle w:val="y2iqfc"/>
          <w:rFonts w:ascii="Times New Roman" w:eastAsia="Calibri" w:hAnsi="Times New Roman" w:cs="Times New Roman"/>
          <w:i/>
          <w:color w:val="202124"/>
          <w:sz w:val="28"/>
          <w:szCs w:val="28"/>
        </w:rPr>
        <w:t xml:space="preserve">the number of passengers </w:t>
      </w:r>
      <w:r w:rsidRPr="00002AB7">
        <w:rPr>
          <w:rStyle w:val="Emphasis"/>
          <w:rFonts w:ascii="Times New Roman" w:hAnsi="Times New Roman"/>
          <w:iCs w:val="0"/>
          <w:color w:val="0E101A"/>
          <w:sz w:val="28"/>
          <w:szCs w:val="28"/>
        </w:rPr>
        <w:t>carried</w:t>
      </w:r>
      <w:r>
        <w:rPr>
          <w:rStyle w:val="Emphasis"/>
          <w:rFonts w:ascii="Times New Roman" w:hAnsi="Times New Roman"/>
          <w:i w:val="0"/>
          <w:color w:val="0E101A"/>
          <w:sz w:val="28"/>
          <w:szCs w:val="28"/>
          <w:lang w:val="vi-VN"/>
        </w:rPr>
        <w:t xml:space="preserve"> </w:t>
      </w:r>
      <w:r>
        <w:rPr>
          <w:rStyle w:val="y2iqfc"/>
          <w:rFonts w:ascii="Times New Roman" w:eastAsia="Calibri" w:hAnsi="Times New Roman" w:cs="Times New Roman"/>
          <w:i/>
          <w:color w:val="202124"/>
          <w:sz w:val="28"/>
          <w:szCs w:val="28"/>
        </w:rPr>
        <w:t>in</w:t>
      </w:r>
      <w:r w:rsidRPr="009E44A1">
        <w:rPr>
          <w:rStyle w:val="y2iqfc"/>
          <w:rFonts w:ascii="Times New Roman" w:eastAsia="Calibri" w:hAnsi="Times New Roman" w:cs="Times New Roman"/>
          <w:i/>
          <w:color w:val="202124"/>
          <w:sz w:val="28"/>
          <w:szCs w:val="28"/>
        </w:rPr>
        <w:t xml:space="preserve">creasing by </w:t>
      </w:r>
      <w:r>
        <w:rPr>
          <w:rStyle w:val="y2iqfc"/>
          <w:rFonts w:ascii="Times New Roman" w:eastAsia="Calibri" w:hAnsi="Times New Roman" w:cs="Times New Roman"/>
          <w:i/>
          <w:color w:val="202124"/>
          <w:sz w:val="28"/>
          <w:szCs w:val="28"/>
        </w:rPr>
        <w:t>6.2</w:t>
      </w:r>
      <w:r w:rsidRPr="009E44A1">
        <w:rPr>
          <w:rStyle w:val="y2iqfc"/>
          <w:rFonts w:ascii="Times New Roman" w:eastAsia="Calibri" w:hAnsi="Times New Roman" w:cs="Times New Roman"/>
          <w:i/>
          <w:color w:val="202124"/>
          <w:sz w:val="28"/>
          <w:szCs w:val="28"/>
        </w:rPr>
        <w:t xml:space="preserve">% and passengers traffic increasing by </w:t>
      </w:r>
      <w:r>
        <w:rPr>
          <w:rStyle w:val="y2iqfc"/>
          <w:rFonts w:ascii="Times New Roman" w:eastAsia="Calibri" w:hAnsi="Times New Roman" w:cs="Times New Roman"/>
          <w:i/>
          <w:color w:val="202124"/>
          <w:sz w:val="28"/>
          <w:szCs w:val="28"/>
        </w:rPr>
        <w:t>13.2</w:t>
      </w:r>
      <w:r w:rsidRPr="009E44A1">
        <w:rPr>
          <w:rStyle w:val="y2iqfc"/>
          <w:rFonts w:ascii="Times New Roman" w:eastAsia="Calibri" w:hAnsi="Times New Roman" w:cs="Times New Roman"/>
          <w:i/>
          <w:color w:val="202124"/>
          <w:sz w:val="28"/>
          <w:szCs w:val="28"/>
        </w:rPr>
        <w:t>% over the same period last year</w:t>
      </w:r>
      <w:r>
        <w:rPr>
          <w:rStyle w:val="y2iqfc"/>
          <w:rFonts w:ascii="Times New Roman" w:eastAsia="Calibri" w:hAnsi="Times New Roman" w:cs="Times New Roman"/>
          <w:i/>
          <w:color w:val="202124"/>
          <w:sz w:val="28"/>
          <w:szCs w:val="28"/>
        </w:rPr>
        <w:t xml:space="preserve">; </w:t>
      </w:r>
      <w:r w:rsidRPr="00635A11">
        <w:rPr>
          <w:rStyle w:val="y2iqfc"/>
          <w:rFonts w:ascii="Times New Roman" w:eastAsia="Calibri" w:hAnsi="Times New Roman" w:cs="Times New Roman"/>
          <w:i/>
          <w:color w:val="202124"/>
          <w:sz w:val="28"/>
          <w:szCs w:val="28"/>
        </w:rPr>
        <w:t xml:space="preserve">freight transport maintained the growth rate of 14.5% in terms of </w:t>
      </w:r>
      <w:r>
        <w:rPr>
          <w:rStyle w:val="y2iqfc"/>
          <w:rFonts w:ascii="Times New Roman" w:eastAsia="Calibri" w:hAnsi="Times New Roman" w:cs="Times New Roman"/>
          <w:i/>
          <w:color w:val="202124"/>
          <w:sz w:val="28"/>
          <w:szCs w:val="28"/>
        </w:rPr>
        <w:t>carried</w:t>
      </w:r>
      <w:r w:rsidRPr="00635A11">
        <w:rPr>
          <w:rStyle w:val="y2iqfc"/>
          <w:rFonts w:ascii="Times New Roman" w:eastAsia="Calibri" w:hAnsi="Times New Roman" w:cs="Times New Roman"/>
          <w:i/>
          <w:color w:val="202124"/>
          <w:sz w:val="28"/>
          <w:szCs w:val="28"/>
        </w:rPr>
        <w:t xml:space="preserve"> and 14.7% in terms of </w:t>
      </w:r>
      <w:r>
        <w:rPr>
          <w:rStyle w:val="y2iqfc"/>
          <w:rFonts w:ascii="Times New Roman" w:eastAsia="Calibri" w:hAnsi="Times New Roman" w:cs="Times New Roman"/>
          <w:i/>
          <w:color w:val="202124"/>
          <w:sz w:val="28"/>
          <w:szCs w:val="28"/>
        </w:rPr>
        <w:t>traffic</w:t>
      </w:r>
      <w:r w:rsidRPr="00635A11">
        <w:rPr>
          <w:rStyle w:val="y2iqfc"/>
          <w:rFonts w:ascii="Times New Roman" w:eastAsia="Calibri" w:hAnsi="Times New Roman" w:cs="Times New Roman"/>
          <w:i/>
          <w:color w:val="202124"/>
          <w:sz w:val="28"/>
          <w:szCs w:val="28"/>
        </w:rPr>
        <w:t>.</w:t>
      </w:r>
    </w:p>
    <w:p w14:paraId="1601650E" w14:textId="77777777" w:rsidR="004E26D1" w:rsidRPr="009E44A1" w:rsidRDefault="004E26D1" w:rsidP="004E26D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Italic" w:hAnsi="Times New Roman Italic"/>
          <w:iCs w:val="0"/>
          <w:color w:val="0E101A"/>
          <w:spacing w:val="-2"/>
          <w:sz w:val="28"/>
          <w:szCs w:val="28"/>
        </w:rPr>
      </w:pPr>
      <w:r w:rsidRPr="009E44A1">
        <w:rPr>
          <w:rStyle w:val="Emphasis"/>
          <w:rFonts w:ascii="Times New Roman Italic" w:hAnsi="Times New Roman Italic"/>
          <w:color w:val="0E101A"/>
          <w:spacing w:val="-2"/>
          <w:sz w:val="28"/>
          <w:szCs w:val="28"/>
        </w:rPr>
        <w:t xml:space="preserve">Generally, in the first </w:t>
      </w:r>
      <w:r>
        <w:rPr>
          <w:rStyle w:val="Emphasis"/>
          <w:rFonts w:ascii="Times New Roman Italic" w:hAnsi="Times New Roman Italic"/>
          <w:color w:val="0E101A"/>
          <w:spacing w:val="-2"/>
          <w:sz w:val="28"/>
          <w:szCs w:val="28"/>
        </w:rPr>
        <w:t>4 months</w:t>
      </w:r>
      <w:r>
        <w:rPr>
          <w:rStyle w:val="Emphasis"/>
          <w:rFonts w:asciiTheme="minorHAnsi" w:hAnsiTheme="minorHAnsi"/>
          <w:color w:val="0E101A"/>
          <w:spacing w:val="-2"/>
          <w:sz w:val="28"/>
          <w:szCs w:val="28"/>
          <w:lang w:val="vi-VN"/>
        </w:rPr>
        <w:t xml:space="preserve"> </w:t>
      </w:r>
      <w:r w:rsidRPr="009E44A1">
        <w:rPr>
          <w:rStyle w:val="Emphasis"/>
          <w:rFonts w:ascii="Times New Roman Italic" w:hAnsi="Times New Roman Italic"/>
          <w:color w:val="0E101A"/>
          <w:spacing w:val="-2"/>
          <w:sz w:val="28"/>
          <w:szCs w:val="28"/>
        </w:rPr>
        <w:t>of 2022, passenger carried</w:t>
      </w:r>
      <w:r>
        <w:rPr>
          <w:rStyle w:val="Emphasis"/>
          <w:rFonts w:asciiTheme="minorHAnsi" w:hAnsiTheme="minorHAnsi"/>
          <w:iCs w:val="0"/>
          <w:color w:val="0E101A"/>
          <w:spacing w:val="-2"/>
          <w:sz w:val="28"/>
          <w:szCs w:val="28"/>
          <w:lang w:val="vi-VN"/>
        </w:rPr>
        <w:t xml:space="preserve"> </w:t>
      </w:r>
      <w:r w:rsidRPr="009E44A1">
        <w:rPr>
          <w:rStyle w:val="Emphasis"/>
          <w:rFonts w:ascii="Times New Roman Italic" w:hAnsi="Times New Roman Italic"/>
          <w:color w:val="0E101A"/>
          <w:spacing w:val="-2"/>
          <w:sz w:val="28"/>
          <w:szCs w:val="28"/>
        </w:rPr>
        <w:t xml:space="preserve">decreased by </w:t>
      </w:r>
      <w:r>
        <w:rPr>
          <w:rStyle w:val="Emphasis"/>
          <w:rFonts w:ascii="Times New Roman Italic" w:hAnsi="Times New Roman Italic"/>
          <w:color w:val="0E101A"/>
          <w:spacing w:val="-2"/>
          <w:sz w:val="28"/>
          <w:szCs w:val="28"/>
        </w:rPr>
        <w:t>6.3</w:t>
      </w:r>
      <w:r w:rsidRPr="009E44A1">
        <w:rPr>
          <w:rStyle w:val="Emphasis"/>
          <w:rFonts w:ascii="Times New Roman Italic" w:hAnsi="Times New Roman Italic"/>
          <w:color w:val="0E101A"/>
          <w:spacing w:val="-2"/>
          <w:sz w:val="28"/>
          <w:szCs w:val="28"/>
        </w:rPr>
        <w:t xml:space="preserve">% compared to the same period last year, passenger traffic decreased by </w:t>
      </w:r>
      <w:r>
        <w:rPr>
          <w:rStyle w:val="Emphasis"/>
          <w:rFonts w:ascii="Times New Roman Italic" w:hAnsi="Times New Roman Italic"/>
          <w:color w:val="0E101A"/>
          <w:spacing w:val="-2"/>
          <w:sz w:val="28"/>
          <w:szCs w:val="28"/>
        </w:rPr>
        <w:t>0.7</w:t>
      </w:r>
      <w:r w:rsidRPr="009E44A1">
        <w:rPr>
          <w:rStyle w:val="Emphasis"/>
          <w:rFonts w:ascii="Times New Roman Italic" w:hAnsi="Times New Roman Italic"/>
          <w:color w:val="0E101A"/>
          <w:spacing w:val="-2"/>
          <w:sz w:val="28"/>
          <w:szCs w:val="28"/>
        </w:rPr>
        <w:t xml:space="preserve">%, freight carried increased by </w:t>
      </w:r>
      <w:r>
        <w:rPr>
          <w:rStyle w:val="Emphasis"/>
          <w:rFonts w:ascii="Times New Roman Italic" w:hAnsi="Times New Roman Italic"/>
          <w:color w:val="0E101A"/>
          <w:spacing w:val="-2"/>
          <w:sz w:val="28"/>
          <w:szCs w:val="28"/>
        </w:rPr>
        <w:t>4.8</w:t>
      </w:r>
      <w:r w:rsidRPr="009E44A1">
        <w:rPr>
          <w:rStyle w:val="Emphasis"/>
          <w:rFonts w:ascii="Times New Roman Italic" w:hAnsi="Times New Roman Italic"/>
          <w:color w:val="0E101A"/>
          <w:spacing w:val="-2"/>
          <w:sz w:val="28"/>
          <w:szCs w:val="28"/>
        </w:rPr>
        <w:t xml:space="preserve">%, and freight traffic increased by </w:t>
      </w:r>
      <w:r>
        <w:rPr>
          <w:rStyle w:val="Emphasis"/>
          <w:rFonts w:ascii="Times New Roman Italic" w:hAnsi="Times New Roman Italic"/>
          <w:color w:val="0E101A"/>
          <w:spacing w:val="-2"/>
          <w:sz w:val="28"/>
          <w:szCs w:val="28"/>
        </w:rPr>
        <w:t>12</w:t>
      </w:r>
      <w:r w:rsidRPr="009E44A1">
        <w:rPr>
          <w:rStyle w:val="Emphasis"/>
          <w:rFonts w:ascii="Times New Roman Italic" w:hAnsi="Times New Roman Italic"/>
          <w:color w:val="0E101A"/>
          <w:spacing w:val="-2"/>
          <w:sz w:val="28"/>
          <w:szCs w:val="28"/>
        </w:rPr>
        <w:t>%.</w:t>
      </w:r>
    </w:p>
    <w:p w14:paraId="10F6D0BD" w14:textId="77777777" w:rsidR="00D0550D" w:rsidRPr="00D0550D" w:rsidRDefault="00D0550D" w:rsidP="00D0550D">
      <w:pPr>
        <w:tabs>
          <w:tab w:val="left" w:pos="567"/>
        </w:tabs>
        <w:spacing w:before="40" w:after="40"/>
        <w:ind w:firstLine="567"/>
        <w:jc w:val="both"/>
        <w:rPr>
          <w:rFonts w:ascii="Times New Roman" w:hAnsi="Times New Roman" w:cs="Times New Roman"/>
          <w:sz w:val="28"/>
          <w:szCs w:val="28"/>
          <w:lang w:val="fr-FR"/>
        </w:rPr>
      </w:pPr>
      <w:bookmarkStart w:id="3" w:name="_Hlk86823183"/>
      <w:r w:rsidRPr="00D0550D">
        <w:rPr>
          <w:rFonts w:ascii="Times New Roman" w:hAnsi="Times New Roman" w:cs="Times New Roman"/>
          <w:i/>
          <w:iCs/>
          <w:sz w:val="28"/>
          <w:szCs w:val="28"/>
          <w:lang w:val="fr-FR"/>
        </w:rPr>
        <w:t>Passengers carried</w:t>
      </w:r>
      <w:r w:rsidRPr="00D0550D">
        <w:rPr>
          <w:rFonts w:ascii="Times New Roman" w:hAnsi="Times New Roman" w:cs="Times New Roman"/>
          <w:sz w:val="28"/>
          <w:szCs w:val="28"/>
          <w:lang w:val="fr-FR"/>
        </w:rPr>
        <w:t xml:space="preserve"> in April 2022 were estimated at 358.7 millions persons, increased by 12.7% compared to the previous month, and passenger traffic was 17.2 billion passengers-km, increased by 19.8%. Generally, in the first </w:t>
      </w:r>
      <w:r w:rsidRPr="00D0550D">
        <w:rPr>
          <w:rFonts w:ascii="Times New Roman" w:hAnsi="Times New Roman" w:cs="Times New Roman"/>
          <w:i/>
          <w:iCs/>
          <w:sz w:val="28"/>
          <w:szCs w:val="28"/>
          <w:lang w:val="fr-FR"/>
        </w:rPr>
        <w:t>4 months</w:t>
      </w:r>
      <w:r w:rsidRPr="00D0550D">
        <w:rPr>
          <w:rFonts w:ascii="Times New Roman" w:hAnsi="Times New Roman" w:cs="Times New Roman"/>
          <w:iCs/>
          <w:sz w:val="28"/>
          <w:szCs w:val="28"/>
          <w:lang w:val="fr-FR"/>
        </w:rPr>
        <w:t xml:space="preserve"> </w:t>
      </w:r>
      <w:r w:rsidRPr="00D0550D">
        <w:rPr>
          <w:rFonts w:ascii="Times New Roman" w:hAnsi="Times New Roman" w:cs="Times New Roman"/>
          <w:sz w:val="28"/>
          <w:szCs w:val="28"/>
          <w:lang w:val="fr-FR"/>
        </w:rPr>
        <w:t xml:space="preserve">of 2022, passenger carried reached 1,224.8 millions passengers, a decrease of 6.3% over the same period last year (the same period of 2021 up 3%), the passenger traffic gained 56.1 billion passengers-km, down 0.7% (the same period of 2021 decreased by 2.9%). </w:t>
      </w:r>
      <w:bookmarkEnd w:id="3"/>
      <w:r w:rsidRPr="00D0550D">
        <w:rPr>
          <w:rFonts w:ascii="Times New Roman" w:hAnsi="Times New Roman" w:cs="Times New Roman"/>
          <w:sz w:val="28"/>
          <w:szCs w:val="28"/>
          <w:lang w:val="fr-FR"/>
        </w:rPr>
        <w:t>Of which, domestic passengers carriage gained nearly 1,224.6 million passengers, down 6.3% and 55.2 billion passengers-km, down 1.9%; over seas passengers carriage achieved 211.4 thousand passengers, increasing by 383.2% and 864 million passengers-km, went up 443%.</w:t>
      </w:r>
    </w:p>
    <w:p w14:paraId="130026A9" w14:textId="0756EE40" w:rsidR="005B457C" w:rsidRDefault="005B457C" w:rsidP="005B457C">
      <w:pPr>
        <w:spacing w:after="0" w:line="240" w:lineRule="auto"/>
        <w:ind w:right="119"/>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ab/>
      </w:r>
      <w:r w:rsidRPr="005B457C">
        <w:rPr>
          <w:rFonts w:ascii="Times New Roman" w:hAnsi="Times New Roman" w:cs="Times New Roman"/>
          <w:sz w:val="28"/>
          <w:szCs w:val="28"/>
          <w:lang w:val="fr-FR"/>
        </w:rPr>
        <w:t>By types of transport, aviation and seaway were two industries with relatively high growth rates in the first 4 months of this year, the remaining industries still decreased compared to the same period last year.</w:t>
      </w:r>
    </w:p>
    <w:p w14:paraId="7F1994A7" w14:textId="77777777" w:rsidR="005B457C" w:rsidRDefault="005B457C" w:rsidP="00222D9D">
      <w:pPr>
        <w:spacing w:after="0" w:line="240" w:lineRule="auto"/>
        <w:ind w:right="119"/>
        <w:jc w:val="center"/>
        <w:rPr>
          <w:rFonts w:ascii="Times New Roman" w:hAnsi="Times New Roman" w:cs="Times New Roman"/>
          <w:sz w:val="28"/>
          <w:szCs w:val="28"/>
          <w:lang w:val="fr-FR"/>
        </w:rPr>
      </w:pPr>
    </w:p>
    <w:p w14:paraId="06EA9741" w14:textId="77777777" w:rsidR="00D24515" w:rsidRPr="00D24515" w:rsidRDefault="00D24515" w:rsidP="00D24515">
      <w:pPr>
        <w:spacing w:before="120" w:after="120" w:line="240" w:lineRule="auto"/>
        <w:jc w:val="center"/>
        <w:rPr>
          <w:rFonts w:ascii="Arial" w:hAnsi="Arial" w:cs="Arial"/>
          <w:b/>
          <w:spacing w:val="-2"/>
          <w:sz w:val="24"/>
          <w:szCs w:val="20"/>
          <w:lang w:val="pl-PL"/>
        </w:rPr>
      </w:pPr>
      <w:r w:rsidRPr="00D24515">
        <w:rPr>
          <w:rFonts w:ascii="Arial" w:hAnsi="Arial" w:cs="Arial"/>
          <w:b/>
          <w:spacing w:val="-2"/>
          <w:sz w:val="24"/>
          <w:szCs w:val="20"/>
          <w:lang w:val="pl-PL"/>
        </w:rPr>
        <w:t>Table 6. Carriage of passengers in the first 4 monthsof 2022</w:t>
      </w:r>
    </w:p>
    <w:p w14:paraId="07279D33" w14:textId="3293A03B" w:rsidR="00E72A61" w:rsidRDefault="00D24515" w:rsidP="00D24515">
      <w:pPr>
        <w:spacing w:before="120" w:after="120" w:line="240" w:lineRule="auto"/>
        <w:jc w:val="center"/>
        <w:rPr>
          <w:rFonts w:ascii="Arial" w:hAnsi="Arial" w:cs="Arial"/>
          <w:b/>
          <w:spacing w:val="-2"/>
          <w:sz w:val="24"/>
          <w:szCs w:val="20"/>
          <w:lang w:val="pl-PL"/>
        </w:rPr>
      </w:pPr>
      <w:r w:rsidRPr="00D24515">
        <w:rPr>
          <w:rFonts w:ascii="Arial" w:hAnsi="Arial" w:cs="Arial"/>
          <w:b/>
          <w:spacing w:val="-2"/>
          <w:sz w:val="24"/>
          <w:szCs w:val="20"/>
          <w:lang w:val="pl-PL"/>
        </w:rPr>
        <w:t>by types of transport</w:t>
      </w:r>
    </w:p>
    <w:tbl>
      <w:tblPr>
        <w:tblW w:w="9219" w:type="dxa"/>
        <w:jc w:val="right"/>
        <w:tblLook w:val="04A0" w:firstRow="1" w:lastRow="0" w:firstColumn="1" w:lastColumn="0" w:noHBand="0" w:noVBand="1"/>
      </w:tblPr>
      <w:tblGrid>
        <w:gridCol w:w="2063"/>
        <w:gridCol w:w="1951"/>
        <w:gridCol w:w="2110"/>
        <w:gridCol w:w="272"/>
        <w:gridCol w:w="1531"/>
        <w:gridCol w:w="1292"/>
      </w:tblGrid>
      <w:tr w:rsidR="00D24515" w:rsidRPr="00387E47" w14:paraId="47A2E009" w14:textId="77777777" w:rsidTr="00B76D54">
        <w:trPr>
          <w:trHeight w:val="418"/>
          <w:jc w:val="right"/>
        </w:trPr>
        <w:tc>
          <w:tcPr>
            <w:tcW w:w="2063" w:type="dxa"/>
            <w:tcBorders>
              <w:top w:val="single" w:sz="4" w:space="0" w:color="auto"/>
              <w:left w:val="nil"/>
              <w:bottom w:val="nil"/>
              <w:right w:val="nil"/>
            </w:tcBorders>
            <w:vAlign w:val="center"/>
            <w:hideMark/>
          </w:tcPr>
          <w:p w14:paraId="03ABFD39" w14:textId="77777777" w:rsidR="00D24515" w:rsidRPr="005759E5" w:rsidRDefault="00D24515" w:rsidP="00B76D54">
            <w:pPr>
              <w:spacing w:before="40" w:after="40"/>
              <w:rPr>
                <w:rFonts w:ascii="Arial" w:hAnsi="Arial" w:cs="Arial"/>
                <w:sz w:val="20"/>
                <w:szCs w:val="20"/>
                <w:lang w:eastAsia="vi-VN"/>
              </w:rPr>
            </w:pPr>
            <w:r w:rsidRPr="005759E5">
              <w:rPr>
                <w:rFonts w:ascii="Arial" w:hAnsi="Arial" w:cs="Arial"/>
                <w:sz w:val="20"/>
                <w:szCs w:val="20"/>
                <w:lang w:eastAsia="vi-VN"/>
              </w:rPr>
              <w:t> </w:t>
            </w:r>
          </w:p>
        </w:tc>
        <w:tc>
          <w:tcPr>
            <w:tcW w:w="4061" w:type="dxa"/>
            <w:gridSpan w:val="2"/>
            <w:tcBorders>
              <w:top w:val="single" w:sz="4" w:space="0" w:color="auto"/>
              <w:left w:val="nil"/>
              <w:bottom w:val="single" w:sz="4" w:space="0" w:color="auto"/>
              <w:right w:val="nil"/>
            </w:tcBorders>
            <w:vAlign w:val="center"/>
            <w:hideMark/>
          </w:tcPr>
          <w:p w14:paraId="781E2A54"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iCs/>
                <w:sz w:val="20"/>
                <w:szCs w:val="20"/>
                <w:lang w:eastAsia="vi-VN"/>
              </w:rPr>
              <w:t xml:space="preserve">Number of passengers </w:t>
            </w:r>
          </w:p>
        </w:tc>
        <w:tc>
          <w:tcPr>
            <w:tcW w:w="272" w:type="dxa"/>
            <w:tcBorders>
              <w:top w:val="single" w:sz="4" w:space="0" w:color="auto"/>
              <w:left w:val="nil"/>
              <w:bottom w:val="single" w:sz="4" w:space="0" w:color="auto"/>
              <w:right w:val="nil"/>
            </w:tcBorders>
            <w:vAlign w:val="center"/>
            <w:hideMark/>
          </w:tcPr>
          <w:p w14:paraId="384AC251" w14:textId="77777777" w:rsidR="00D24515" w:rsidRPr="005759E5" w:rsidRDefault="00D24515" w:rsidP="00B76D54">
            <w:pPr>
              <w:spacing w:before="40" w:after="40"/>
              <w:jc w:val="center"/>
              <w:rPr>
                <w:rFonts w:ascii="Arial" w:hAnsi="Arial" w:cs="Arial"/>
                <w:color w:val="000000"/>
                <w:sz w:val="20"/>
                <w:szCs w:val="20"/>
                <w:lang w:eastAsia="vi-VN"/>
              </w:rPr>
            </w:pPr>
            <w:r w:rsidRPr="005759E5">
              <w:rPr>
                <w:rFonts w:ascii="Arial" w:hAnsi="Arial" w:cs="Arial"/>
                <w:color w:val="000000"/>
                <w:sz w:val="20"/>
                <w:szCs w:val="20"/>
                <w:lang w:eastAsia="vi-VN"/>
              </w:rPr>
              <w:t> </w:t>
            </w:r>
          </w:p>
        </w:tc>
        <w:tc>
          <w:tcPr>
            <w:tcW w:w="2823" w:type="dxa"/>
            <w:gridSpan w:val="2"/>
            <w:tcBorders>
              <w:top w:val="single" w:sz="4" w:space="0" w:color="auto"/>
              <w:left w:val="nil"/>
              <w:bottom w:val="single" w:sz="4" w:space="0" w:color="auto"/>
              <w:right w:val="nil"/>
            </w:tcBorders>
            <w:vAlign w:val="center"/>
            <w:hideMark/>
          </w:tcPr>
          <w:p w14:paraId="270D6330" w14:textId="77777777" w:rsidR="00D24515" w:rsidRPr="005759E5" w:rsidRDefault="00D24515" w:rsidP="00B76D54">
            <w:pPr>
              <w:spacing w:before="40" w:after="40"/>
              <w:jc w:val="center"/>
              <w:rPr>
                <w:rFonts w:ascii="Arial" w:hAnsi="Arial" w:cs="Arial"/>
                <w:color w:val="000000"/>
                <w:sz w:val="20"/>
                <w:szCs w:val="20"/>
                <w:lang w:eastAsia="vi-VN"/>
              </w:rPr>
            </w:pPr>
            <w:r w:rsidRPr="005759E5">
              <w:rPr>
                <w:rFonts w:ascii="Arial" w:hAnsi="Arial" w:cs="Arial"/>
                <w:color w:val="000000"/>
                <w:sz w:val="20"/>
                <w:szCs w:val="20"/>
                <w:lang w:eastAsia="vi-VN"/>
              </w:rPr>
              <w:t>The growth ratecompared to the same period last year (%)</w:t>
            </w:r>
          </w:p>
        </w:tc>
      </w:tr>
      <w:tr w:rsidR="00D24515" w:rsidRPr="00387E47" w14:paraId="0B8A743F" w14:textId="77777777" w:rsidTr="00B76D54">
        <w:trPr>
          <w:trHeight w:val="411"/>
          <w:jc w:val="right"/>
        </w:trPr>
        <w:tc>
          <w:tcPr>
            <w:tcW w:w="2063" w:type="dxa"/>
            <w:vAlign w:val="center"/>
            <w:hideMark/>
          </w:tcPr>
          <w:p w14:paraId="4E798A91" w14:textId="77777777" w:rsidR="00D24515" w:rsidRPr="005759E5" w:rsidRDefault="00D24515" w:rsidP="00B76D54">
            <w:pPr>
              <w:rPr>
                <w:rFonts w:ascii="Arial" w:hAnsi="Arial" w:cs="Arial"/>
                <w:color w:val="000000"/>
                <w:sz w:val="20"/>
                <w:szCs w:val="20"/>
                <w:lang w:eastAsia="vi-VN"/>
              </w:rPr>
            </w:pPr>
          </w:p>
        </w:tc>
        <w:tc>
          <w:tcPr>
            <w:tcW w:w="1951" w:type="dxa"/>
            <w:tcBorders>
              <w:top w:val="single" w:sz="4" w:space="0" w:color="auto"/>
              <w:left w:val="nil"/>
              <w:bottom w:val="single" w:sz="4" w:space="0" w:color="auto"/>
              <w:right w:val="nil"/>
            </w:tcBorders>
            <w:vAlign w:val="center"/>
            <w:hideMark/>
          </w:tcPr>
          <w:p w14:paraId="27C5B997"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sz w:val="20"/>
                <w:szCs w:val="20"/>
                <w:lang w:eastAsia="vi-VN"/>
              </w:rPr>
              <w:t>Carried</w:t>
            </w:r>
            <w:r w:rsidRPr="005759E5">
              <w:rPr>
                <w:rFonts w:ascii="Arial" w:hAnsi="Arial" w:cs="Arial"/>
                <w:sz w:val="20"/>
                <w:szCs w:val="20"/>
                <w:lang w:eastAsia="vi-VN"/>
              </w:rPr>
              <w:br/>
              <w:t>(Mill. passengers)</w:t>
            </w:r>
          </w:p>
        </w:tc>
        <w:tc>
          <w:tcPr>
            <w:tcW w:w="2110" w:type="dxa"/>
            <w:tcBorders>
              <w:top w:val="single" w:sz="4" w:space="0" w:color="auto"/>
              <w:left w:val="nil"/>
              <w:bottom w:val="single" w:sz="4" w:space="0" w:color="auto"/>
              <w:right w:val="nil"/>
            </w:tcBorders>
            <w:vAlign w:val="center"/>
            <w:hideMark/>
          </w:tcPr>
          <w:p w14:paraId="676D9252"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sz w:val="20"/>
                <w:szCs w:val="20"/>
                <w:lang w:eastAsia="vi-VN"/>
              </w:rPr>
              <w:t>Traffic</w:t>
            </w:r>
            <w:r w:rsidRPr="005759E5">
              <w:rPr>
                <w:rFonts w:ascii="Arial" w:hAnsi="Arial" w:cs="Arial"/>
                <w:sz w:val="20"/>
                <w:szCs w:val="20"/>
                <w:lang w:eastAsia="vi-VN"/>
              </w:rPr>
              <w:br/>
              <w:t>(Bill. passengers-km)</w:t>
            </w:r>
          </w:p>
        </w:tc>
        <w:tc>
          <w:tcPr>
            <w:tcW w:w="272" w:type="dxa"/>
            <w:tcBorders>
              <w:top w:val="single" w:sz="4" w:space="0" w:color="auto"/>
              <w:left w:val="nil"/>
              <w:bottom w:val="single" w:sz="4" w:space="0" w:color="auto"/>
              <w:right w:val="nil"/>
            </w:tcBorders>
            <w:vAlign w:val="center"/>
            <w:hideMark/>
          </w:tcPr>
          <w:p w14:paraId="71934407"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sz w:val="20"/>
                <w:szCs w:val="20"/>
                <w:lang w:eastAsia="vi-VN"/>
              </w:rPr>
              <w:t> </w:t>
            </w:r>
          </w:p>
        </w:tc>
        <w:tc>
          <w:tcPr>
            <w:tcW w:w="1531" w:type="dxa"/>
            <w:tcBorders>
              <w:top w:val="single" w:sz="4" w:space="0" w:color="auto"/>
              <w:left w:val="nil"/>
              <w:bottom w:val="single" w:sz="4" w:space="0" w:color="auto"/>
              <w:right w:val="nil"/>
            </w:tcBorders>
            <w:vAlign w:val="center"/>
            <w:hideMark/>
          </w:tcPr>
          <w:p w14:paraId="39A5C47E"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sz w:val="20"/>
                <w:szCs w:val="20"/>
                <w:lang w:eastAsia="vi-VN"/>
              </w:rPr>
              <w:t>Carried</w:t>
            </w:r>
          </w:p>
        </w:tc>
        <w:tc>
          <w:tcPr>
            <w:tcW w:w="1292" w:type="dxa"/>
            <w:tcBorders>
              <w:top w:val="single" w:sz="4" w:space="0" w:color="auto"/>
              <w:left w:val="nil"/>
              <w:bottom w:val="single" w:sz="4" w:space="0" w:color="auto"/>
              <w:right w:val="nil"/>
            </w:tcBorders>
            <w:vAlign w:val="center"/>
            <w:hideMark/>
          </w:tcPr>
          <w:p w14:paraId="276FEAAB" w14:textId="77777777" w:rsidR="00D24515" w:rsidRPr="005759E5" w:rsidRDefault="00D24515" w:rsidP="00B76D54">
            <w:pPr>
              <w:spacing w:before="40" w:after="40"/>
              <w:jc w:val="center"/>
              <w:rPr>
                <w:rFonts w:ascii="Arial" w:hAnsi="Arial" w:cs="Arial"/>
                <w:sz w:val="20"/>
                <w:szCs w:val="20"/>
                <w:lang w:eastAsia="vi-VN"/>
              </w:rPr>
            </w:pPr>
            <w:r w:rsidRPr="005759E5">
              <w:rPr>
                <w:rFonts w:ascii="Arial" w:hAnsi="Arial" w:cs="Arial"/>
                <w:sz w:val="20"/>
                <w:szCs w:val="20"/>
                <w:lang w:eastAsia="vi-VN"/>
              </w:rPr>
              <w:t>Traffic</w:t>
            </w:r>
          </w:p>
        </w:tc>
      </w:tr>
      <w:tr w:rsidR="00D24515" w:rsidRPr="00387E47" w14:paraId="363EAF82" w14:textId="77777777" w:rsidTr="00B76D54">
        <w:trPr>
          <w:trHeight w:val="372"/>
          <w:jc w:val="right"/>
        </w:trPr>
        <w:tc>
          <w:tcPr>
            <w:tcW w:w="2063" w:type="dxa"/>
            <w:noWrap/>
            <w:vAlign w:val="bottom"/>
            <w:hideMark/>
          </w:tcPr>
          <w:p w14:paraId="599A4B5C" w14:textId="77777777" w:rsidR="00D24515" w:rsidRPr="005759E5" w:rsidRDefault="00D24515" w:rsidP="00B76D54">
            <w:pPr>
              <w:spacing w:before="40" w:after="40"/>
              <w:rPr>
                <w:rFonts w:ascii="Arial" w:hAnsi="Arial" w:cs="Arial"/>
                <w:b/>
                <w:bCs/>
                <w:sz w:val="20"/>
                <w:szCs w:val="20"/>
                <w:lang w:eastAsia="vi-VN"/>
              </w:rPr>
            </w:pPr>
            <w:r w:rsidRPr="005759E5">
              <w:rPr>
                <w:rFonts w:ascii="Arial" w:hAnsi="Arial" w:cs="Arial"/>
                <w:b/>
                <w:bCs/>
                <w:sz w:val="20"/>
                <w:szCs w:val="20"/>
                <w:lang w:eastAsia="vi-VN"/>
              </w:rPr>
              <w:t>Total</w:t>
            </w:r>
          </w:p>
        </w:tc>
        <w:tc>
          <w:tcPr>
            <w:tcW w:w="1951" w:type="dxa"/>
            <w:tcBorders>
              <w:top w:val="single" w:sz="4" w:space="0" w:color="auto"/>
              <w:left w:val="nil"/>
              <w:bottom w:val="nil"/>
              <w:right w:val="nil"/>
            </w:tcBorders>
            <w:noWrap/>
            <w:vAlign w:val="bottom"/>
            <w:hideMark/>
          </w:tcPr>
          <w:p w14:paraId="0F49E44A" w14:textId="77777777" w:rsidR="00D24515" w:rsidRPr="005759E5" w:rsidRDefault="00D24515" w:rsidP="00B76D54">
            <w:pPr>
              <w:spacing w:before="120" w:after="40"/>
              <w:ind w:right="456"/>
              <w:jc w:val="right"/>
              <w:rPr>
                <w:rFonts w:ascii="Arial" w:hAnsi="Arial" w:cs="Arial"/>
                <w:b/>
                <w:color w:val="000000"/>
                <w:sz w:val="20"/>
                <w:szCs w:val="20"/>
              </w:rPr>
            </w:pPr>
            <w:r w:rsidRPr="005759E5">
              <w:rPr>
                <w:rFonts w:ascii="Arial" w:hAnsi="Arial" w:cs="Arial"/>
                <w:b/>
                <w:bCs/>
                <w:sz w:val="20"/>
                <w:szCs w:val="20"/>
              </w:rPr>
              <w:t>1,224.8</w:t>
            </w:r>
          </w:p>
        </w:tc>
        <w:tc>
          <w:tcPr>
            <w:tcW w:w="2110" w:type="dxa"/>
            <w:tcBorders>
              <w:top w:val="single" w:sz="4" w:space="0" w:color="auto"/>
              <w:left w:val="nil"/>
              <w:bottom w:val="nil"/>
              <w:right w:val="nil"/>
            </w:tcBorders>
            <w:noWrap/>
            <w:vAlign w:val="bottom"/>
            <w:hideMark/>
          </w:tcPr>
          <w:p w14:paraId="20C79286" w14:textId="77777777" w:rsidR="00D24515" w:rsidRPr="005759E5" w:rsidRDefault="00D24515" w:rsidP="00B76D54">
            <w:pPr>
              <w:spacing w:before="120" w:after="40"/>
              <w:ind w:right="520"/>
              <w:jc w:val="right"/>
              <w:rPr>
                <w:rFonts w:ascii="Arial" w:hAnsi="Arial" w:cs="Arial"/>
                <w:b/>
                <w:color w:val="000000"/>
                <w:sz w:val="20"/>
                <w:szCs w:val="20"/>
              </w:rPr>
            </w:pPr>
            <w:r w:rsidRPr="005759E5">
              <w:rPr>
                <w:rFonts w:ascii="Arial" w:hAnsi="Arial" w:cs="Arial"/>
                <w:b/>
                <w:bCs/>
                <w:sz w:val="20"/>
                <w:szCs w:val="20"/>
              </w:rPr>
              <w:t>56.1</w:t>
            </w:r>
          </w:p>
        </w:tc>
        <w:tc>
          <w:tcPr>
            <w:tcW w:w="272" w:type="dxa"/>
            <w:tcBorders>
              <w:top w:val="single" w:sz="4" w:space="0" w:color="auto"/>
              <w:left w:val="nil"/>
              <w:bottom w:val="nil"/>
              <w:right w:val="nil"/>
            </w:tcBorders>
            <w:noWrap/>
            <w:vAlign w:val="bottom"/>
          </w:tcPr>
          <w:p w14:paraId="234CD587" w14:textId="77777777" w:rsidR="00D24515" w:rsidRPr="005759E5" w:rsidRDefault="00D24515" w:rsidP="00B76D54">
            <w:pPr>
              <w:spacing w:before="120" w:after="40"/>
              <w:jc w:val="right"/>
              <w:rPr>
                <w:rFonts w:ascii="Arial" w:hAnsi="Arial" w:cs="Arial"/>
                <w:b/>
                <w:bCs/>
                <w:sz w:val="20"/>
                <w:szCs w:val="20"/>
                <w:lang w:eastAsia="vi-VN"/>
              </w:rPr>
            </w:pPr>
          </w:p>
        </w:tc>
        <w:tc>
          <w:tcPr>
            <w:tcW w:w="1531" w:type="dxa"/>
            <w:tcBorders>
              <w:top w:val="single" w:sz="4" w:space="0" w:color="auto"/>
              <w:left w:val="nil"/>
              <w:bottom w:val="nil"/>
              <w:right w:val="nil"/>
            </w:tcBorders>
            <w:noWrap/>
            <w:vAlign w:val="bottom"/>
          </w:tcPr>
          <w:p w14:paraId="55A87462" w14:textId="77777777" w:rsidR="00D24515" w:rsidRPr="005759E5" w:rsidRDefault="00D24515" w:rsidP="00B76D54">
            <w:pPr>
              <w:spacing w:before="120" w:after="40"/>
              <w:ind w:right="237"/>
              <w:jc w:val="right"/>
              <w:rPr>
                <w:rFonts w:ascii="Arial" w:hAnsi="Arial" w:cs="Arial"/>
                <w:b/>
                <w:color w:val="000000"/>
                <w:sz w:val="20"/>
                <w:szCs w:val="20"/>
              </w:rPr>
            </w:pPr>
            <w:r w:rsidRPr="005759E5">
              <w:rPr>
                <w:rFonts w:ascii="Arial" w:hAnsi="Arial" w:cs="Arial"/>
                <w:b/>
                <w:bCs/>
                <w:sz w:val="20"/>
                <w:szCs w:val="20"/>
              </w:rPr>
              <w:t>-6.3</w:t>
            </w:r>
          </w:p>
        </w:tc>
        <w:tc>
          <w:tcPr>
            <w:tcW w:w="1292" w:type="dxa"/>
            <w:tcBorders>
              <w:top w:val="single" w:sz="4" w:space="0" w:color="auto"/>
              <w:left w:val="nil"/>
              <w:bottom w:val="nil"/>
              <w:right w:val="nil"/>
            </w:tcBorders>
            <w:noWrap/>
            <w:vAlign w:val="bottom"/>
            <w:hideMark/>
          </w:tcPr>
          <w:p w14:paraId="3A85B35C" w14:textId="77777777" w:rsidR="00D24515" w:rsidRPr="005759E5" w:rsidRDefault="00D24515" w:rsidP="00B76D54">
            <w:pPr>
              <w:spacing w:before="120" w:after="40"/>
              <w:ind w:right="316"/>
              <w:jc w:val="right"/>
              <w:rPr>
                <w:rFonts w:ascii="Arial" w:hAnsi="Arial" w:cs="Arial"/>
                <w:b/>
                <w:color w:val="000000"/>
                <w:sz w:val="20"/>
                <w:szCs w:val="20"/>
              </w:rPr>
            </w:pPr>
            <w:r w:rsidRPr="005759E5">
              <w:rPr>
                <w:rFonts w:ascii="Arial" w:hAnsi="Arial" w:cs="Arial"/>
                <w:b/>
                <w:bCs/>
                <w:sz w:val="20"/>
                <w:szCs w:val="20"/>
              </w:rPr>
              <w:t>-0.7</w:t>
            </w:r>
          </w:p>
        </w:tc>
      </w:tr>
      <w:tr w:rsidR="00D24515" w:rsidRPr="00387E47" w14:paraId="06681A86" w14:textId="77777777" w:rsidTr="00B76D54">
        <w:trPr>
          <w:cantSplit/>
          <w:trHeight w:val="315"/>
          <w:jc w:val="right"/>
        </w:trPr>
        <w:tc>
          <w:tcPr>
            <w:tcW w:w="2063" w:type="dxa"/>
            <w:noWrap/>
            <w:vAlign w:val="bottom"/>
            <w:hideMark/>
          </w:tcPr>
          <w:p w14:paraId="1DDFD4F6" w14:textId="77777777" w:rsidR="00D24515" w:rsidRPr="005759E5" w:rsidRDefault="00D24515" w:rsidP="00B76D54">
            <w:pPr>
              <w:spacing w:before="40" w:after="40"/>
              <w:ind w:firstLineChars="100" w:firstLine="200"/>
              <w:rPr>
                <w:rFonts w:ascii="Arial" w:hAnsi="Arial" w:cs="Arial"/>
                <w:sz w:val="20"/>
                <w:szCs w:val="20"/>
              </w:rPr>
            </w:pPr>
            <w:r w:rsidRPr="005759E5">
              <w:rPr>
                <w:rFonts w:ascii="Arial" w:hAnsi="Arial" w:cs="Arial"/>
                <w:sz w:val="20"/>
                <w:szCs w:val="20"/>
              </w:rPr>
              <w:t>Railway</w:t>
            </w:r>
          </w:p>
        </w:tc>
        <w:tc>
          <w:tcPr>
            <w:tcW w:w="1951" w:type="dxa"/>
            <w:noWrap/>
            <w:vAlign w:val="bottom"/>
            <w:hideMark/>
          </w:tcPr>
          <w:p w14:paraId="2EF9A6D4" w14:textId="77777777" w:rsidR="00D24515" w:rsidRPr="005759E5" w:rsidRDefault="00D24515" w:rsidP="00B76D54">
            <w:pPr>
              <w:spacing w:before="120" w:after="40"/>
              <w:ind w:right="456"/>
              <w:jc w:val="right"/>
              <w:rPr>
                <w:rFonts w:ascii="Arial" w:hAnsi="Arial" w:cs="Arial"/>
                <w:color w:val="000000"/>
                <w:sz w:val="20"/>
                <w:szCs w:val="20"/>
              </w:rPr>
            </w:pPr>
            <w:r w:rsidRPr="005759E5">
              <w:rPr>
                <w:rFonts w:ascii="Arial" w:hAnsi="Arial" w:cs="Arial"/>
                <w:bCs/>
                <w:sz w:val="20"/>
                <w:szCs w:val="20"/>
              </w:rPr>
              <w:t>0.8</w:t>
            </w:r>
          </w:p>
        </w:tc>
        <w:tc>
          <w:tcPr>
            <w:tcW w:w="2110" w:type="dxa"/>
            <w:noWrap/>
            <w:vAlign w:val="bottom"/>
            <w:hideMark/>
          </w:tcPr>
          <w:p w14:paraId="3A81D51A" w14:textId="77777777" w:rsidR="00D24515" w:rsidRPr="005759E5" w:rsidRDefault="00D24515" w:rsidP="00B76D54">
            <w:pPr>
              <w:spacing w:before="120" w:after="40"/>
              <w:ind w:right="520"/>
              <w:jc w:val="right"/>
              <w:rPr>
                <w:rFonts w:ascii="Arial" w:hAnsi="Arial" w:cs="Arial"/>
                <w:color w:val="000000"/>
                <w:sz w:val="20"/>
                <w:szCs w:val="20"/>
              </w:rPr>
            </w:pPr>
            <w:r w:rsidRPr="005759E5">
              <w:rPr>
                <w:rFonts w:ascii="Arial" w:hAnsi="Arial" w:cs="Arial"/>
                <w:bCs/>
                <w:sz w:val="20"/>
                <w:szCs w:val="20"/>
              </w:rPr>
              <w:t>0.3</w:t>
            </w:r>
          </w:p>
        </w:tc>
        <w:tc>
          <w:tcPr>
            <w:tcW w:w="272" w:type="dxa"/>
            <w:noWrap/>
            <w:vAlign w:val="bottom"/>
          </w:tcPr>
          <w:p w14:paraId="21D9283B" w14:textId="77777777" w:rsidR="00D24515" w:rsidRPr="005759E5" w:rsidRDefault="00D24515" w:rsidP="00B76D54">
            <w:pPr>
              <w:spacing w:before="120" w:after="40"/>
              <w:jc w:val="right"/>
              <w:rPr>
                <w:rFonts w:ascii="Arial" w:hAnsi="Arial" w:cs="Arial"/>
                <w:sz w:val="20"/>
                <w:szCs w:val="20"/>
                <w:lang w:eastAsia="vi-VN"/>
              </w:rPr>
            </w:pPr>
          </w:p>
        </w:tc>
        <w:tc>
          <w:tcPr>
            <w:tcW w:w="1531" w:type="dxa"/>
            <w:noWrap/>
            <w:vAlign w:val="bottom"/>
          </w:tcPr>
          <w:p w14:paraId="22E9147C" w14:textId="77777777" w:rsidR="00D24515" w:rsidRPr="005759E5" w:rsidRDefault="00D24515" w:rsidP="00B76D54">
            <w:pPr>
              <w:spacing w:before="120" w:after="40"/>
              <w:ind w:right="237"/>
              <w:jc w:val="right"/>
              <w:rPr>
                <w:rFonts w:ascii="Arial" w:hAnsi="Arial" w:cs="Arial"/>
                <w:color w:val="000000"/>
                <w:sz w:val="20"/>
                <w:szCs w:val="20"/>
              </w:rPr>
            </w:pPr>
            <w:r w:rsidRPr="005759E5">
              <w:rPr>
                <w:rFonts w:ascii="Arial" w:hAnsi="Arial" w:cs="Arial"/>
                <w:sz w:val="20"/>
                <w:szCs w:val="20"/>
              </w:rPr>
              <w:t>-15.6</w:t>
            </w:r>
          </w:p>
        </w:tc>
        <w:tc>
          <w:tcPr>
            <w:tcW w:w="1292" w:type="dxa"/>
            <w:noWrap/>
            <w:vAlign w:val="bottom"/>
            <w:hideMark/>
          </w:tcPr>
          <w:p w14:paraId="62C3A399" w14:textId="77777777" w:rsidR="00D24515" w:rsidRPr="005759E5" w:rsidRDefault="00D24515" w:rsidP="00B76D54">
            <w:pPr>
              <w:spacing w:before="120" w:after="40"/>
              <w:ind w:right="316"/>
              <w:jc w:val="right"/>
              <w:rPr>
                <w:rFonts w:ascii="Arial" w:hAnsi="Arial" w:cs="Arial"/>
                <w:color w:val="000000"/>
                <w:sz w:val="20"/>
                <w:szCs w:val="20"/>
              </w:rPr>
            </w:pPr>
            <w:r w:rsidRPr="005759E5">
              <w:rPr>
                <w:rFonts w:ascii="Arial" w:hAnsi="Arial" w:cs="Arial"/>
                <w:sz w:val="20"/>
                <w:szCs w:val="20"/>
              </w:rPr>
              <w:t>-28.7</w:t>
            </w:r>
          </w:p>
        </w:tc>
      </w:tr>
      <w:tr w:rsidR="00D24515" w:rsidRPr="00387E47" w14:paraId="6DF1AE6D" w14:textId="77777777" w:rsidTr="00B76D54">
        <w:trPr>
          <w:cantSplit/>
          <w:trHeight w:val="315"/>
          <w:jc w:val="right"/>
        </w:trPr>
        <w:tc>
          <w:tcPr>
            <w:tcW w:w="2063" w:type="dxa"/>
            <w:noWrap/>
            <w:vAlign w:val="bottom"/>
            <w:hideMark/>
          </w:tcPr>
          <w:p w14:paraId="62CE3668" w14:textId="77777777" w:rsidR="00D24515" w:rsidRPr="005759E5" w:rsidRDefault="00D24515" w:rsidP="00B76D54">
            <w:pPr>
              <w:spacing w:before="40" w:after="40"/>
              <w:ind w:firstLineChars="100" w:firstLine="200"/>
              <w:rPr>
                <w:rFonts w:ascii="Arial" w:hAnsi="Arial" w:cs="Arial"/>
                <w:sz w:val="20"/>
                <w:szCs w:val="20"/>
              </w:rPr>
            </w:pPr>
            <w:r w:rsidRPr="005759E5">
              <w:rPr>
                <w:rFonts w:ascii="Arial" w:hAnsi="Arial" w:cs="Arial"/>
                <w:sz w:val="20"/>
                <w:szCs w:val="20"/>
              </w:rPr>
              <w:t>Seaway</w:t>
            </w:r>
          </w:p>
        </w:tc>
        <w:tc>
          <w:tcPr>
            <w:tcW w:w="1951" w:type="dxa"/>
            <w:noWrap/>
            <w:vAlign w:val="bottom"/>
            <w:hideMark/>
          </w:tcPr>
          <w:p w14:paraId="1C0A28AC" w14:textId="77777777" w:rsidR="00D24515" w:rsidRPr="005759E5" w:rsidRDefault="00D24515" w:rsidP="00B76D54">
            <w:pPr>
              <w:spacing w:before="120" w:after="40"/>
              <w:ind w:right="456"/>
              <w:jc w:val="right"/>
              <w:rPr>
                <w:rFonts w:ascii="Arial" w:hAnsi="Arial" w:cs="Arial"/>
                <w:color w:val="000000"/>
                <w:sz w:val="20"/>
                <w:szCs w:val="20"/>
              </w:rPr>
            </w:pPr>
            <w:r w:rsidRPr="005759E5">
              <w:rPr>
                <w:rFonts w:ascii="Arial" w:hAnsi="Arial" w:cs="Arial"/>
                <w:bCs/>
                <w:sz w:val="20"/>
                <w:szCs w:val="20"/>
              </w:rPr>
              <w:t>3.8</w:t>
            </w:r>
          </w:p>
        </w:tc>
        <w:tc>
          <w:tcPr>
            <w:tcW w:w="2110" w:type="dxa"/>
            <w:noWrap/>
            <w:vAlign w:val="bottom"/>
            <w:hideMark/>
          </w:tcPr>
          <w:p w14:paraId="4CC70FBF" w14:textId="77777777" w:rsidR="00D24515" w:rsidRPr="005759E5" w:rsidRDefault="00D24515" w:rsidP="00B76D54">
            <w:pPr>
              <w:spacing w:before="120" w:after="40"/>
              <w:ind w:right="520"/>
              <w:jc w:val="right"/>
              <w:rPr>
                <w:rFonts w:ascii="Arial" w:hAnsi="Arial" w:cs="Arial"/>
                <w:color w:val="000000"/>
                <w:sz w:val="20"/>
                <w:szCs w:val="20"/>
              </w:rPr>
            </w:pPr>
            <w:r w:rsidRPr="005759E5">
              <w:rPr>
                <w:rFonts w:ascii="Arial" w:hAnsi="Arial" w:cs="Arial"/>
                <w:bCs/>
                <w:sz w:val="20"/>
                <w:szCs w:val="20"/>
              </w:rPr>
              <w:t>0.2</w:t>
            </w:r>
          </w:p>
        </w:tc>
        <w:tc>
          <w:tcPr>
            <w:tcW w:w="272" w:type="dxa"/>
            <w:noWrap/>
            <w:vAlign w:val="bottom"/>
          </w:tcPr>
          <w:p w14:paraId="0BB3F43F" w14:textId="77777777" w:rsidR="00D24515" w:rsidRPr="005759E5" w:rsidRDefault="00D24515" w:rsidP="00B76D54">
            <w:pPr>
              <w:spacing w:before="120" w:after="40"/>
              <w:jc w:val="right"/>
              <w:rPr>
                <w:rFonts w:ascii="Arial" w:hAnsi="Arial" w:cs="Arial"/>
                <w:sz w:val="20"/>
                <w:szCs w:val="20"/>
                <w:lang w:eastAsia="vi-VN"/>
              </w:rPr>
            </w:pPr>
          </w:p>
        </w:tc>
        <w:tc>
          <w:tcPr>
            <w:tcW w:w="1531" w:type="dxa"/>
            <w:noWrap/>
            <w:vAlign w:val="bottom"/>
          </w:tcPr>
          <w:p w14:paraId="11ADD0E8" w14:textId="77777777" w:rsidR="00D24515" w:rsidRPr="005759E5" w:rsidRDefault="00D24515" w:rsidP="00B76D54">
            <w:pPr>
              <w:spacing w:before="120" w:after="40"/>
              <w:ind w:right="237"/>
              <w:jc w:val="right"/>
              <w:rPr>
                <w:rFonts w:ascii="Arial" w:hAnsi="Arial" w:cs="Arial"/>
                <w:color w:val="000000"/>
                <w:sz w:val="20"/>
                <w:szCs w:val="20"/>
              </w:rPr>
            </w:pPr>
            <w:r w:rsidRPr="005759E5">
              <w:rPr>
                <w:rFonts w:ascii="Arial" w:hAnsi="Arial" w:cs="Arial"/>
                <w:sz w:val="20"/>
                <w:szCs w:val="20"/>
              </w:rPr>
              <w:t>47.9</w:t>
            </w:r>
          </w:p>
        </w:tc>
        <w:tc>
          <w:tcPr>
            <w:tcW w:w="1292" w:type="dxa"/>
            <w:noWrap/>
            <w:vAlign w:val="bottom"/>
            <w:hideMark/>
          </w:tcPr>
          <w:p w14:paraId="54341AB7" w14:textId="77777777" w:rsidR="00D24515" w:rsidRPr="005759E5" w:rsidRDefault="00D24515" w:rsidP="00B76D54">
            <w:pPr>
              <w:spacing w:before="120" w:after="40"/>
              <w:ind w:right="316"/>
              <w:jc w:val="right"/>
              <w:rPr>
                <w:rFonts w:ascii="Arial" w:hAnsi="Arial" w:cs="Arial"/>
                <w:color w:val="000000"/>
                <w:sz w:val="20"/>
                <w:szCs w:val="20"/>
              </w:rPr>
            </w:pPr>
            <w:r w:rsidRPr="005759E5">
              <w:rPr>
                <w:rFonts w:ascii="Arial" w:hAnsi="Arial" w:cs="Arial"/>
                <w:sz w:val="20"/>
                <w:szCs w:val="20"/>
              </w:rPr>
              <w:t>22.7</w:t>
            </w:r>
          </w:p>
        </w:tc>
      </w:tr>
      <w:tr w:rsidR="00D24515" w:rsidRPr="00387E47" w14:paraId="2500AD56" w14:textId="77777777" w:rsidTr="00B76D54">
        <w:trPr>
          <w:cantSplit/>
          <w:trHeight w:val="315"/>
          <w:jc w:val="right"/>
        </w:trPr>
        <w:tc>
          <w:tcPr>
            <w:tcW w:w="2063" w:type="dxa"/>
            <w:noWrap/>
            <w:vAlign w:val="bottom"/>
            <w:hideMark/>
          </w:tcPr>
          <w:p w14:paraId="6BBD8488" w14:textId="77777777" w:rsidR="00D24515" w:rsidRPr="005759E5" w:rsidRDefault="00D24515" w:rsidP="00B76D54">
            <w:pPr>
              <w:spacing w:before="40" w:after="40"/>
              <w:ind w:firstLineChars="100" w:firstLine="200"/>
              <w:rPr>
                <w:rFonts w:ascii="Arial" w:hAnsi="Arial" w:cs="Arial"/>
                <w:sz w:val="20"/>
                <w:szCs w:val="20"/>
              </w:rPr>
            </w:pPr>
            <w:r w:rsidRPr="005759E5">
              <w:rPr>
                <w:rFonts w:ascii="Arial" w:hAnsi="Arial" w:cs="Arial"/>
                <w:sz w:val="20"/>
                <w:szCs w:val="20"/>
              </w:rPr>
              <w:t>Inland waterway</w:t>
            </w:r>
          </w:p>
        </w:tc>
        <w:tc>
          <w:tcPr>
            <w:tcW w:w="1951" w:type="dxa"/>
            <w:noWrap/>
            <w:vAlign w:val="bottom"/>
            <w:hideMark/>
          </w:tcPr>
          <w:p w14:paraId="609235D6" w14:textId="77777777" w:rsidR="00D24515" w:rsidRPr="005759E5" w:rsidRDefault="00D24515" w:rsidP="00B76D54">
            <w:pPr>
              <w:spacing w:before="120" w:after="40"/>
              <w:ind w:right="456"/>
              <w:jc w:val="right"/>
              <w:rPr>
                <w:rFonts w:ascii="Arial" w:hAnsi="Arial" w:cs="Arial"/>
                <w:color w:val="000000"/>
                <w:sz w:val="20"/>
                <w:szCs w:val="20"/>
              </w:rPr>
            </w:pPr>
            <w:r w:rsidRPr="005759E5">
              <w:rPr>
                <w:rFonts w:ascii="Arial" w:hAnsi="Arial" w:cs="Arial"/>
                <w:bCs/>
                <w:sz w:val="20"/>
                <w:szCs w:val="20"/>
              </w:rPr>
              <w:t>79.8</w:t>
            </w:r>
          </w:p>
        </w:tc>
        <w:tc>
          <w:tcPr>
            <w:tcW w:w="2110" w:type="dxa"/>
            <w:noWrap/>
            <w:vAlign w:val="bottom"/>
            <w:hideMark/>
          </w:tcPr>
          <w:p w14:paraId="64284A40" w14:textId="77777777" w:rsidR="00D24515" w:rsidRPr="005759E5" w:rsidRDefault="00D24515" w:rsidP="00B76D54">
            <w:pPr>
              <w:spacing w:before="120" w:after="40"/>
              <w:ind w:right="520"/>
              <w:jc w:val="right"/>
              <w:rPr>
                <w:rFonts w:ascii="Arial" w:hAnsi="Arial" w:cs="Arial"/>
                <w:color w:val="000000"/>
                <w:sz w:val="20"/>
                <w:szCs w:val="20"/>
              </w:rPr>
            </w:pPr>
            <w:r w:rsidRPr="005759E5">
              <w:rPr>
                <w:rFonts w:ascii="Arial" w:hAnsi="Arial" w:cs="Arial"/>
                <w:bCs/>
                <w:sz w:val="20"/>
                <w:szCs w:val="20"/>
              </w:rPr>
              <w:t>1.5</w:t>
            </w:r>
          </w:p>
        </w:tc>
        <w:tc>
          <w:tcPr>
            <w:tcW w:w="272" w:type="dxa"/>
            <w:noWrap/>
            <w:vAlign w:val="bottom"/>
          </w:tcPr>
          <w:p w14:paraId="78B56E96" w14:textId="77777777" w:rsidR="00D24515" w:rsidRPr="005759E5" w:rsidRDefault="00D24515" w:rsidP="00B76D54">
            <w:pPr>
              <w:spacing w:before="120" w:after="40"/>
              <w:jc w:val="right"/>
              <w:rPr>
                <w:rFonts w:ascii="Arial" w:hAnsi="Arial" w:cs="Arial"/>
                <w:sz w:val="20"/>
                <w:szCs w:val="20"/>
                <w:lang w:eastAsia="vi-VN"/>
              </w:rPr>
            </w:pPr>
          </w:p>
        </w:tc>
        <w:tc>
          <w:tcPr>
            <w:tcW w:w="1531" w:type="dxa"/>
            <w:noWrap/>
            <w:vAlign w:val="bottom"/>
          </w:tcPr>
          <w:p w14:paraId="63605B90" w14:textId="77777777" w:rsidR="00D24515" w:rsidRPr="005759E5" w:rsidRDefault="00D24515" w:rsidP="00B76D54">
            <w:pPr>
              <w:spacing w:before="120" w:after="40"/>
              <w:ind w:right="237"/>
              <w:jc w:val="right"/>
              <w:rPr>
                <w:rFonts w:ascii="Arial" w:hAnsi="Arial" w:cs="Arial"/>
                <w:color w:val="000000"/>
                <w:sz w:val="20"/>
                <w:szCs w:val="20"/>
              </w:rPr>
            </w:pPr>
            <w:r w:rsidRPr="005759E5">
              <w:rPr>
                <w:rFonts w:ascii="Arial" w:hAnsi="Arial" w:cs="Arial"/>
                <w:sz w:val="20"/>
                <w:szCs w:val="20"/>
              </w:rPr>
              <w:t>-1.9</w:t>
            </w:r>
          </w:p>
        </w:tc>
        <w:tc>
          <w:tcPr>
            <w:tcW w:w="1292" w:type="dxa"/>
            <w:noWrap/>
            <w:vAlign w:val="bottom"/>
            <w:hideMark/>
          </w:tcPr>
          <w:p w14:paraId="02A592E3" w14:textId="77777777" w:rsidR="00D24515" w:rsidRPr="005759E5" w:rsidRDefault="00D24515" w:rsidP="00B76D54">
            <w:pPr>
              <w:spacing w:before="120" w:after="40"/>
              <w:ind w:right="316"/>
              <w:jc w:val="right"/>
              <w:rPr>
                <w:rFonts w:ascii="Arial" w:hAnsi="Arial" w:cs="Arial"/>
                <w:color w:val="000000"/>
                <w:sz w:val="20"/>
                <w:szCs w:val="20"/>
              </w:rPr>
            </w:pPr>
            <w:r w:rsidRPr="005759E5">
              <w:rPr>
                <w:rFonts w:ascii="Arial" w:hAnsi="Arial" w:cs="Arial"/>
                <w:sz w:val="20"/>
                <w:szCs w:val="20"/>
              </w:rPr>
              <w:t>0.2</w:t>
            </w:r>
          </w:p>
        </w:tc>
      </w:tr>
      <w:tr w:rsidR="00D24515" w:rsidRPr="00387E47" w14:paraId="6124EF99" w14:textId="77777777" w:rsidTr="00B76D54">
        <w:trPr>
          <w:cantSplit/>
          <w:trHeight w:val="315"/>
          <w:jc w:val="right"/>
        </w:trPr>
        <w:tc>
          <w:tcPr>
            <w:tcW w:w="2063" w:type="dxa"/>
            <w:noWrap/>
            <w:vAlign w:val="bottom"/>
            <w:hideMark/>
          </w:tcPr>
          <w:p w14:paraId="26068FCB" w14:textId="77777777" w:rsidR="00D24515" w:rsidRPr="005759E5" w:rsidRDefault="00D24515" w:rsidP="00B76D54">
            <w:pPr>
              <w:spacing w:before="40" w:after="40"/>
              <w:ind w:firstLineChars="100" w:firstLine="200"/>
              <w:rPr>
                <w:rFonts w:ascii="Arial" w:hAnsi="Arial" w:cs="Arial"/>
                <w:sz w:val="20"/>
                <w:szCs w:val="20"/>
              </w:rPr>
            </w:pPr>
            <w:r w:rsidRPr="005759E5">
              <w:rPr>
                <w:rFonts w:ascii="Arial" w:hAnsi="Arial" w:cs="Arial"/>
                <w:sz w:val="20"/>
                <w:szCs w:val="20"/>
              </w:rPr>
              <w:t>Road</w:t>
            </w:r>
          </w:p>
        </w:tc>
        <w:tc>
          <w:tcPr>
            <w:tcW w:w="1951" w:type="dxa"/>
            <w:noWrap/>
            <w:vAlign w:val="bottom"/>
            <w:hideMark/>
          </w:tcPr>
          <w:p w14:paraId="64C7172A" w14:textId="77777777" w:rsidR="00D24515" w:rsidRPr="005759E5" w:rsidRDefault="00D24515" w:rsidP="00B76D54">
            <w:pPr>
              <w:spacing w:before="120" w:after="40"/>
              <w:ind w:right="456"/>
              <w:jc w:val="right"/>
              <w:rPr>
                <w:rFonts w:ascii="Arial" w:hAnsi="Arial" w:cs="Arial"/>
                <w:color w:val="000000"/>
                <w:sz w:val="20"/>
                <w:szCs w:val="20"/>
              </w:rPr>
            </w:pPr>
            <w:r w:rsidRPr="005759E5">
              <w:rPr>
                <w:rFonts w:ascii="Arial" w:hAnsi="Arial" w:cs="Arial"/>
                <w:bCs/>
                <w:sz w:val="20"/>
                <w:szCs w:val="20"/>
              </w:rPr>
              <w:t>1,125.9</w:t>
            </w:r>
          </w:p>
        </w:tc>
        <w:tc>
          <w:tcPr>
            <w:tcW w:w="2110" w:type="dxa"/>
            <w:noWrap/>
            <w:vAlign w:val="bottom"/>
            <w:hideMark/>
          </w:tcPr>
          <w:p w14:paraId="44D09DD8" w14:textId="77777777" w:rsidR="00D24515" w:rsidRPr="005759E5" w:rsidRDefault="00D24515" w:rsidP="00B76D54">
            <w:pPr>
              <w:spacing w:before="120" w:after="40"/>
              <w:ind w:right="520"/>
              <w:jc w:val="right"/>
              <w:rPr>
                <w:rFonts w:ascii="Arial" w:hAnsi="Arial" w:cs="Arial"/>
                <w:color w:val="000000"/>
                <w:sz w:val="20"/>
                <w:szCs w:val="20"/>
              </w:rPr>
            </w:pPr>
            <w:r w:rsidRPr="005759E5">
              <w:rPr>
                <w:rFonts w:ascii="Arial" w:hAnsi="Arial" w:cs="Arial"/>
                <w:bCs/>
                <w:sz w:val="20"/>
                <w:szCs w:val="20"/>
              </w:rPr>
              <w:t>40.6</w:t>
            </w:r>
          </w:p>
        </w:tc>
        <w:tc>
          <w:tcPr>
            <w:tcW w:w="272" w:type="dxa"/>
            <w:noWrap/>
            <w:vAlign w:val="bottom"/>
          </w:tcPr>
          <w:p w14:paraId="12443D6A" w14:textId="77777777" w:rsidR="00D24515" w:rsidRPr="005759E5" w:rsidRDefault="00D24515" w:rsidP="00B76D54">
            <w:pPr>
              <w:spacing w:before="120" w:after="40"/>
              <w:jc w:val="right"/>
              <w:rPr>
                <w:rFonts w:ascii="Arial" w:hAnsi="Arial" w:cs="Arial"/>
                <w:sz w:val="20"/>
                <w:szCs w:val="20"/>
                <w:lang w:eastAsia="vi-VN"/>
              </w:rPr>
            </w:pPr>
          </w:p>
        </w:tc>
        <w:tc>
          <w:tcPr>
            <w:tcW w:w="1531" w:type="dxa"/>
            <w:noWrap/>
            <w:vAlign w:val="bottom"/>
          </w:tcPr>
          <w:p w14:paraId="5EF4CC18" w14:textId="77777777" w:rsidR="00D24515" w:rsidRPr="005759E5" w:rsidRDefault="00D24515" w:rsidP="00B76D54">
            <w:pPr>
              <w:spacing w:before="120" w:after="40"/>
              <w:ind w:right="237"/>
              <w:jc w:val="right"/>
              <w:rPr>
                <w:rFonts w:ascii="Arial" w:hAnsi="Arial" w:cs="Arial"/>
                <w:color w:val="000000"/>
                <w:sz w:val="20"/>
                <w:szCs w:val="20"/>
              </w:rPr>
            </w:pPr>
            <w:r w:rsidRPr="005759E5">
              <w:rPr>
                <w:rFonts w:ascii="Arial" w:hAnsi="Arial" w:cs="Arial"/>
                <w:sz w:val="20"/>
                <w:szCs w:val="20"/>
              </w:rPr>
              <w:t>-7.0</w:t>
            </w:r>
          </w:p>
        </w:tc>
        <w:tc>
          <w:tcPr>
            <w:tcW w:w="1292" w:type="dxa"/>
            <w:noWrap/>
            <w:vAlign w:val="bottom"/>
            <w:hideMark/>
          </w:tcPr>
          <w:p w14:paraId="7046A496" w14:textId="77777777" w:rsidR="00D24515" w:rsidRPr="005759E5" w:rsidRDefault="00D24515" w:rsidP="00B76D54">
            <w:pPr>
              <w:spacing w:before="120" w:after="40"/>
              <w:ind w:right="316"/>
              <w:jc w:val="right"/>
              <w:rPr>
                <w:rFonts w:ascii="Arial" w:hAnsi="Arial" w:cs="Arial"/>
                <w:color w:val="000000"/>
                <w:sz w:val="20"/>
                <w:szCs w:val="20"/>
              </w:rPr>
            </w:pPr>
            <w:r w:rsidRPr="005759E5">
              <w:rPr>
                <w:rFonts w:ascii="Arial" w:hAnsi="Arial" w:cs="Arial"/>
                <w:sz w:val="20"/>
                <w:szCs w:val="20"/>
              </w:rPr>
              <w:t>-8.7</w:t>
            </w:r>
          </w:p>
        </w:tc>
      </w:tr>
      <w:tr w:rsidR="00D24515" w:rsidRPr="00387E47" w14:paraId="6E1CDCCA" w14:textId="77777777" w:rsidTr="00B76D54">
        <w:trPr>
          <w:cantSplit/>
          <w:trHeight w:val="315"/>
          <w:jc w:val="right"/>
        </w:trPr>
        <w:tc>
          <w:tcPr>
            <w:tcW w:w="2063" w:type="dxa"/>
            <w:tcBorders>
              <w:top w:val="nil"/>
              <w:left w:val="nil"/>
              <w:bottom w:val="single" w:sz="4" w:space="0" w:color="auto"/>
              <w:right w:val="nil"/>
            </w:tcBorders>
            <w:noWrap/>
            <w:vAlign w:val="bottom"/>
            <w:hideMark/>
          </w:tcPr>
          <w:p w14:paraId="6108AA01" w14:textId="77777777" w:rsidR="00D24515" w:rsidRPr="005759E5" w:rsidRDefault="00D24515" w:rsidP="00B76D54">
            <w:pPr>
              <w:spacing w:before="40" w:after="40"/>
              <w:ind w:firstLineChars="100" w:firstLine="200"/>
              <w:rPr>
                <w:rFonts w:ascii="Arial" w:hAnsi="Arial" w:cs="Arial"/>
                <w:sz w:val="20"/>
                <w:szCs w:val="20"/>
              </w:rPr>
            </w:pPr>
            <w:r w:rsidRPr="005759E5">
              <w:rPr>
                <w:rFonts w:ascii="Arial" w:hAnsi="Arial" w:cs="Arial"/>
                <w:sz w:val="20"/>
                <w:szCs w:val="20"/>
              </w:rPr>
              <w:t>Airway</w:t>
            </w:r>
          </w:p>
        </w:tc>
        <w:tc>
          <w:tcPr>
            <w:tcW w:w="1951" w:type="dxa"/>
            <w:tcBorders>
              <w:top w:val="nil"/>
              <w:left w:val="nil"/>
              <w:bottom w:val="single" w:sz="4" w:space="0" w:color="auto"/>
              <w:right w:val="nil"/>
            </w:tcBorders>
            <w:noWrap/>
            <w:vAlign w:val="bottom"/>
            <w:hideMark/>
          </w:tcPr>
          <w:p w14:paraId="246ED802" w14:textId="77777777" w:rsidR="00D24515" w:rsidRPr="005759E5" w:rsidRDefault="00D24515" w:rsidP="00B76D54">
            <w:pPr>
              <w:spacing w:before="120" w:after="40"/>
              <w:ind w:right="456"/>
              <w:jc w:val="right"/>
              <w:rPr>
                <w:rFonts w:ascii="Arial" w:hAnsi="Arial" w:cs="Arial"/>
                <w:color w:val="000000"/>
                <w:sz w:val="20"/>
                <w:szCs w:val="20"/>
              </w:rPr>
            </w:pPr>
            <w:r w:rsidRPr="005759E5">
              <w:rPr>
                <w:rFonts w:ascii="Arial" w:hAnsi="Arial" w:cs="Arial"/>
                <w:bCs/>
                <w:sz w:val="20"/>
                <w:szCs w:val="20"/>
              </w:rPr>
              <w:t>14.5</w:t>
            </w:r>
          </w:p>
        </w:tc>
        <w:tc>
          <w:tcPr>
            <w:tcW w:w="2110" w:type="dxa"/>
            <w:tcBorders>
              <w:top w:val="nil"/>
              <w:left w:val="nil"/>
              <w:bottom w:val="single" w:sz="4" w:space="0" w:color="auto"/>
              <w:right w:val="nil"/>
            </w:tcBorders>
            <w:noWrap/>
            <w:vAlign w:val="bottom"/>
            <w:hideMark/>
          </w:tcPr>
          <w:p w14:paraId="4B6190EE" w14:textId="77777777" w:rsidR="00D24515" w:rsidRPr="005759E5" w:rsidRDefault="00D24515" w:rsidP="00B76D54">
            <w:pPr>
              <w:spacing w:before="120" w:after="40"/>
              <w:ind w:right="520"/>
              <w:jc w:val="right"/>
              <w:rPr>
                <w:rFonts w:ascii="Arial" w:hAnsi="Arial" w:cs="Arial"/>
                <w:color w:val="000000"/>
                <w:sz w:val="20"/>
                <w:szCs w:val="20"/>
              </w:rPr>
            </w:pPr>
            <w:r w:rsidRPr="005759E5">
              <w:rPr>
                <w:rFonts w:ascii="Arial" w:hAnsi="Arial" w:cs="Arial"/>
                <w:bCs/>
                <w:sz w:val="20"/>
                <w:szCs w:val="20"/>
              </w:rPr>
              <w:t>13.5</w:t>
            </w:r>
          </w:p>
        </w:tc>
        <w:tc>
          <w:tcPr>
            <w:tcW w:w="272" w:type="dxa"/>
            <w:tcBorders>
              <w:top w:val="nil"/>
              <w:left w:val="nil"/>
              <w:bottom w:val="single" w:sz="4" w:space="0" w:color="auto"/>
              <w:right w:val="nil"/>
            </w:tcBorders>
            <w:noWrap/>
            <w:vAlign w:val="bottom"/>
          </w:tcPr>
          <w:p w14:paraId="7901C9E2" w14:textId="77777777" w:rsidR="00D24515" w:rsidRPr="005759E5" w:rsidRDefault="00D24515" w:rsidP="00B76D54">
            <w:pPr>
              <w:spacing w:before="120" w:after="40"/>
              <w:jc w:val="right"/>
              <w:rPr>
                <w:rFonts w:ascii="Arial" w:hAnsi="Arial" w:cs="Arial"/>
                <w:sz w:val="20"/>
                <w:szCs w:val="20"/>
                <w:lang w:eastAsia="vi-VN"/>
              </w:rPr>
            </w:pPr>
          </w:p>
        </w:tc>
        <w:tc>
          <w:tcPr>
            <w:tcW w:w="1531" w:type="dxa"/>
            <w:tcBorders>
              <w:top w:val="nil"/>
              <w:left w:val="nil"/>
              <w:bottom w:val="single" w:sz="4" w:space="0" w:color="auto"/>
              <w:right w:val="nil"/>
            </w:tcBorders>
            <w:noWrap/>
            <w:vAlign w:val="bottom"/>
          </w:tcPr>
          <w:p w14:paraId="54AAD19F" w14:textId="77777777" w:rsidR="00D24515" w:rsidRPr="005759E5" w:rsidRDefault="00D24515" w:rsidP="00B76D54">
            <w:pPr>
              <w:spacing w:before="120" w:after="40"/>
              <w:ind w:right="237"/>
              <w:jc w:val="right"/>
              <w:rPr>
                <w:rFonts w:ascii="Arial" w:hAnsi="Arial" w:cs="Arial"/>
                <w:color w:val="000000"/>
                <w:sz w:val="20"/>
                <w:szCs w:val="20"/>
              </w:rPr>
            </w:pPr>
            <w:r w:rsidRPr="005759E5">
              <w:rPr>
                <w:rFonts w:ascii="Arial" w:hAnsi="Arial" w:cs="Arial"/>
                <w:sz w:val="20"/>
                <w:szCs w:val="20"/>
              </w:rPr>
              <w:t>26.3</w:t>
            </w:r>
          </w:p>
        </w:tc>
        <w:tc>
          <w:tcPr>
            <w:tcW w:w="1292" w:type="dxa"/>
            <w:tcBorders>
              <w:top w:val="nil"/>
              <w:left w:val="nil"/>
              <w:bottom w:val="single" w:sz="4" w:space="0" w:color="auto"/>
              <w:right w:val="nil"/>
            </w:tcBorders>
            <w:noWrap/>
            <w:vAlign w:val="bottom"/>
            <w:hideMark/>
          </w:tcPr>
          <w:p w14:paraId="3838979B" w14:textId="77777777" w:rsidR="00D24515" w:rsidRPr="005759E5" w:rsidRDefault="00D24515" w:rsidP="00B76D54">
            <w:pPr>
              <w:spacing w:before="120" w:after="40"/>
              <w:ind w:right="316"/>
              <w:jc w:val="right"/>
              <w:rPr>
                <w:rFonts w:ascii="Arial" w:hAnsi="Arial" w:cs="Arial"/>
                <w:color w:val="000000"/>
                <w:sz w:val="20"/>
                <w:szCs w:val="20"/>
              </w:rPr>
            </w:pPr>
            <w:r w:rsidRPr="005759E5">
              <w:rPr>
                <w:rFonts w:ascii="Arial" w:hAnsi="Arial" w:cs="Arial"/>
                <w:sz w:val="20"/>
                <w:szCs w:val="20"/>
              </w:rPr>
              <w:t>36.0</w:t>
            </w:r>
          </w:p>
        </w:tc>
      </w:tr>
    </w:tbl>
    <w:p w14:paraId="4AD5B5CB" w14:textId="77777777" w:rsidR="00D24515" w:rsidRPr="00C917E0" w:rsidRDefault="00D24515" w:rsidP="00C917E0">
      <w:pPr>
        <w:spacing w:after="0" w:line="240" w:lineRule="auto"/>
        <w:ind w:right="119"/>
        <w:jc w:val="both"/>
        <w:rPr>
          <w:rFonts w:ascii="Times New Roman" w:hAnsi="Times New Roman" w:cs="Times New Roman"/>
          <w:sz w:val="28"/>
          <w:szCs w:val="28"/>
          <w:lang w:val="fr-FR"/>
        </w:rPr>
      </w:pPr>
    </w:p>
    <w:p w14:paraId="14B47D07" w14:textId="77777777" w:rsidR="00E72A61" w:rsidRPr="00C917E0" w:rsidRDefault="00E72A61" w:rsidP="00C917E0">
      <w:pPr>
        <w:spacing w:after="0" w:line="240" w:lineRule="auto"/>
        <w:ind w:right="119"/>
        <w:jc w:val="both"/>
        <w:rPr>
          <w:rFonts w:ascii="Times New Roman" w:hAnsi="Times New Roman" w:cs="Times New Roman"/>
          <w:sz w:val="28"/>
          <w:szCs w:val="28"/>
          <w:lang w:val="fr-FR"/>
        </w:rPr>
      </w:pPr>
    </w:p>
    <w:p w14:paraId="2A55049E" w14:textId="3539CA95" w:rsidR="00C917E0" w:rsidRPr="00C917E0" w:rsidRDefault="00C917E0" w:rsidP="00C917E0">
      <w:pPr>
        <w:spacing w:after="0" w:line="240" w:lineRule="auto"/>
        <w:ind w:right="119"/>
        <w:jc w:val="both"/>
        <w:rPr>
          <w:rFonts w:ascii="Times New Roman" w:hAnsi="Times New Roman" w:cs="Times New Roman"/>
          <w:sz w:val="28"/>
          <w:szCs w:val="28"/>
          <w:lang w:val="fr-FR"/>
        </w:rPr>
      </w:pPr>
      <w:bookmarkStart w:id="4" w:name="_Hlk86823246"/>
      <w:r>
        <w:rPr>
          <w:rFonts w:ascii="Times New Roman" w:hAnsi="Times New Roman" w:cs="Times New Roman"/>
          <w:sz w:val="28"/>
          <w:szCs w:val="28"/>
          <w:lang w:val="fr-FR"/>
        </w:rPr>
        <w:tab/>
      </w:r>
      <w:r w:rsidRPr="00C917E0">
        <w:rPr>
          <w:rFonts w:ascii="Times New Roman" w:hAnsi="Times New Roman" w:cs="Times New Roman"/>
          <w:i/>
          <w:iCs/>
          <w:sz w:val="28"/>
          <w:szCs w:val="28"/>
          <w:lang w:val="fr-FR"/>
        </w:rPr>
        <w:t>Freight carried</w:t>
      </w:r>
      <w:r w:rsidRPr="00C917E0">
        <w:rPr>
          <w:rFonts w:ascii="Times New Roman" w:hAnsi="Times New Roman" w:cs="Times New Roman"/>
          <w:sz w:val="28"/>
          <w:szCs w:val="28"/>
          <w:lang w:val="fr-FR"/>
        </w:rPr>
        <w:t xml:space="preserve"> in April2022 was estimated at 155.4 millions tons, increased by 4.2% compared to the previous month, and freight traffic 33.6 billion tons-km, up 4.8%. Generally, in the first 4 months, freight carried reached 628.3 million tons, up 4.8% against the similar period last year (the same period in 2021 increased by 11.2%), freight traffic gained 129.9 billion tons-km, up 12% (the same period of 2021 increased by 11.2%)</w:t>
      </w:r>
      <w:bookmarkEnd w:id="4"/>
      <w:r w:rsidRPr="00C917E0">
        <w:rPr>
          <w:rFonts w:ascii="Times New Roman" w:hAnsi="Times New Roman" w:cs="Times New Roman"/>
          <w:sz w:val="28"/>
          <w:szCs w:val="28"/>
          <w:lang w:val="fr-FR"/>
        </w:rPr>
        <w:t>, of which domestic freight carried recorded 615.4 million tons, an increase of  4.9% and 78.9 billion tons-km, up 16.1%; oversea freight reached 12.9 million tons, decreasing by 0.7% and 51 billion tons-km, up 6.2%.</w:t>
      </w:r>
    </w:p>
    <w:p w14:paraId="3D1E66EA" w14:textId="77777777" w:rsidR="005628AE" w:rsidRDefault="005628AE" w:rsidP="00222D9D">
      <w:pPr>
        <w:spacing w:after="0" w:line="240" w:lineRule="auto"/>
        <w:jc w:val="center"/>
        <w:rPr>
          <w:rFonts w:ascii="Arial" w:hAnsi="Arial" w:cs="Arial"/>
          <w:b/>
          <w:spacing w:val="-2"/>
          <w:sz w:val="24"/>
          <w:szCs w:val="24"/>
          <w:lang w:val="pl-PL"/>
        </w:rPr>
      </w:pPr>
    </w:p>
    <w:p w14:paraId="2DF7870C" w14:textId="77777777" w:rsidR="00E20A7A" w:rsidRPr="00E20A7A" w:rsidRDefault="00E20A7A" w:rsidP="00E20A7A">
      <w:pPr>
        <w:spacing w:before="120"/>
        <w:jc w:val="center"/>
        <w:rPr>
          <w:rFonts w:ascii="Arial" w:hAnsi="Arial" w:cs="Arial"/>
          <w:b/>
          <w:spacing w:val="-2"/>
          <w:sz w:val="24"/>
          <w:szCs w:val="24"/>
          <w:lang w:val="pl-PL"/>
        </w:rPr>
      </w:pPr>
      <w:r w:rsidRPr="00E20A7A">
        <w:rPr>
          <w:rFonts w:ascii="Arial" w:hAnsi="Arial" w:cs="Arial"/>
          <w:b/>
          <w:spacing w:val="-2"/>
          <w:sz w:val="24"/>
          <w:szCs w:val="24"/>
          <w:lang w:val="pl-PL"/>
        </w:rPr>
        <w:t>Table 7. Carriage of freight in the first 4 months of 2022</w:t>
      </w:r>
    </w:p>
    <w:p w14:paraId="0B4F60D0" w14:textId="0C049AA6" w:rsidR="00E72A61" w:rsidRPr="00FA6831" w:rsidRDefault="00E20A7A" w:rsidP="00E20A7A">
      <w:pPr>
        <w:spacing w:before="120"/>
        <w:jc w:val="center"/>
        <w:rPr>
          <w:rFonts w:ascii="Times New Roman" w:hAnsi="Times New Roman" w:cs="Times New Roman"/>
          <w:b/>
          <w:bCs/>
          <w:sz w:val="2"/>
          <w:szCs w:val="24"/>
          <w:lang w:val="fr-FR"/>
        </w:rPr>
      </w:pPr>
      <w:r w:rsidRPr="00E20A7A">
        <w:rPr>
          <w:rFonts w:ascii="Arial" w:hAnsi="Arial" w:cs="Arial"/>
          <w:b/>
          <w:spacing w:val="-2"/>
          <w:sz w:val="24"/>
          <w:szCs w:val="24"/>
          <w:lang w:val="pl-PL"/>
        </w:rPr>
        <w:t>by types of transport</w:t>
      </w:r>
    </w:p>
    <w:tbl>
      <w:tblPr>
        <w:tblW w:w="8514" w:type="dxa"/>
        <w:jc w:val="center"/>
        <w:tblLook w:val="04A0" w:firstRow="1" w:lastRow="0" w:firstColumn="1" w:lastColumn="0" w:noHBand="0" w:noVBand="1"/>
      </w:tblPr>
      <w:tblGrid>
        <w:gridCol w:w="2197"/>
        <w:gridCol w:w="1318"/>
        <w:gridCol w:w="1621"/>
        <w:gridCol w:w="279"/>
        <w:gridCol w:w="1310"/>
        <w:gridCol w:w="1789"/>
      </w:tblGrid>
      <w:tr w:rsidR="00E20A7A" w:rsidRPr="005759E5" w14:paraId="6D20F0A5" w14:textId="77777777" w:rsidTr="00B76D54">
        <w:trPr>
          <w:trHeight w:val="466"/>
          <w:jc w:val="center"/>
        </w:trPr>
        <w:tc>
          <w:tcPr>
            <w:tcW w:w="2197" w:type="dxa"/>
            <w:tcBorders>
              <w:top w:val="single" w:sz="4" w:space="0" w:color="auto"/>
              <w:left w:val="nil"/>
              <w:bottom w:val="nil"/>
              <w:right w:val="nil"/>
            </w:tcBorders>
            <w:vAlign w:val="center"/>
            <w:hideMark/>
          </w:tcPr>
          <w:p w14:paraId="41C21CEE" w14:textId="77777777" w:rsidR="00E20A7A" w:rsidRPr="005759E5" w:rsidRDefault="00E20A7A" w:rsidP="00B76D54">
            <w:pPr>
              <w:rPr>
                <w:rFonts w:ascii="Arial" w:hAnsi="Arial" w:cs="Arial"/>
                <w:lang w:eastAsia="vi-VN"/>
              </w:rPr>
            </w:pPr>
            <w:r w:rsidRPr="005759E5">
              <w:rPr>
                <w:rFonts w:ascii="Arial" w:hAnsi="Arial" w:cs="Arial"/>
                <w:lang w:eastAsia="vi-VN"/>
              </w:rPr>
              <w:t> </w:t>
            </w:r>
          </w:p>
        </w:tc>
        <w:tc>
          <w:tcPr>
            <w:tcW w:w="2939" w:type="dxa"/>
            <w:gridSpan w:val="2"/>
            <w:tcBorders>
              <w:top w:val="single" w:sz="4" w:space="0" w:color="auto"/>
              <w:left w:val="nil"/>
              <w:bottom w:val="single" w:sz="4" w:space="0" w:color="auto"/>
              <w:right w:val="nil"/>
            </w:tcBorders>
            <w:vAlign w:val="center"/>
            <w:hideMark/>
          </w:tcPr>
          <w:p w14:paraId="4EDCAEA7" w14:textId="77777777" w:rsidR="00E20A7A" w:rsidRPr="005759E5" w:rsidRDefault="00E20A7A" w:rsidP="00B76D54">
            <w:pPr>
              <w:jc w:val="center"/>
              <w:rPr>
                <w:rFonts w:ascii="Arial" w:hAnsi="Arial" w:cs="Arial"/>
                <w:color w:val="000000"/>
                <w:lang w:eastAsia="vi-VN"/>
              </w:rPr>
            </w:pPr>
            <w:r w:rsidRPr="005759E5">
              <w:rPr>
                <w:rFonts w:ascii="Arial" w:hAnsi="Arial" w:cs="Arial"/>
                <w:color w:val="000000"/>
                <w:lang w:eastAsia="vi-VN"/>
              </w:rPr>
              <w:t>Quantity of goods</w:t>
            </w:r>
          </w:p>
        </w:tc>
        <w:tc>
          <w:tcPr>
            <w:tcW w:w="279" w:type="dxa"/>
            <w:tcBorders>
              <w:top w:val="single" w:sz="4" w:space="0" w:color="auto"/>
              <w:left w:val="nil"/>
              <w:bottom w:val="single" w:sz="4" w:space="0" w:color="auto"/>
              <w:right w:val="nil"/>
            </w:tcBorders>
            <w:vAlign w:val="center"/>
            <w:hideMark/>
          </w:tcPr>
          <w:p w14:paraId="03250E7E" w14:textId="77777777" w:rsidR="00E20A7A" w:rsidRPr="005759E5" w:rsidRDefault="00E20A7A" w:rsidP="00B76D54">
            <w:pPr>
              <w:jc w:val="center"/>
              <w:rPr>
                <w:rFonts w:ascii="Arial" w:hAnsi="Arial" w:cs="Arial"/>
                <w:color w:val="000000"/>
                <w:lang w:eastAsia="vi-VN"/>
              </w:rPr>
            </w:pPr>
            <w:r w:rsidRPr="005759E5">
              <w:rPr>
                <w:rFonts w:ascii="Arial" w:hAnsi="Arial" w:cs="Arial"/>
                <w:color w:val="000000"/>
                <w:lang w:eastAsia="vi-VN"/>
              </w:rPr>
              <w:t> </w:t>
            </w:r>
          </w:p>
        </w:tc>
        <w:tc>
          <w:tcPr>
            <w:tcW w:w="3099" w:type="dxa"/>
            <w:gridSpan w:val="2"/>
            <w:tcBorders>
              <w:top w:val="single" w:sz="4" w:space="0" w:color="auto"/>
              <w:left w:val="nil"/>
              <w:bottom w:val="single" w:sz="4" w:space="0" w:color="auto"/>
              <w:right w:val="nil"/>
            </w:tcBorders>
            <w:vAlign w:val="center"/>
            <w:hideMark/>
          </w:tcPr>
          <w:p w14:paraId="3FA9B8BD" w14:textId="77777777" w:rsidR="00E20A7A" w:rsidRPr="005759E5" w:rsidRDefault="00E20A7A" w:rsidP="00B76D54">
            <w:pPr>
              <w:spacing w:before="60" w:after="60"/>
              <w:jc w:val="center"/>
              <w:rPr>
                <w:rFonts w:ascii="Arial" w:hAnsi="Arial" w:cs="Arial"/>
                <w:color w:val="000000"/>
                <w:lang w:eastAsia="vi-VN"/>
              </w:rPr>
            </w:pPr>
            <w:r w:rsidRPr="005759E5">
              <w:rPr>
                <w:rFonts w:ascii="Arial" w:hAnsi="Arial" w:cs="Arial"/>
                <w:color w:val="000000"/>
                <w:lang w:eastAsia="vi-VN"/>
              </w:rPr>
              <w:t>The growth rate compared to the same period last year (%)</w:t>
            </w:r>
          </w:p>
        </w:tc>
      </w:tr>
      <w:tr w:rsidR="00E20A7A" w:rsidRPr="005759E5" w14:paraId="24B17AB4" w14:textId="77777777" w:rsidTr="00B76D54">
        <w:trPr>
          <w:trHeight w:val="416"/>
          <w:jc w:val="center"/>
        </w:trPr>
        <w:tc>
          <w:tcPr>
            <w:tcW w:w="2197" w:type="dxa"/>
            <w:vAlign w:val="center"/>
            <w:hideMark/>
          </w:tcPr>
          <w:p w14:paraId="23BCCD73" w14:textId="77777777" w:rsidR="00E20A7A" w:rsidRPr="005759E5" w:rsidRDefault="00E20A7A" w:rsidP="00B76D54">
            <w:pPr>
              <w:rPr>
                <w:rFonts w:ascii="Arial" w:hAnsi="Arial" w:cs="Arial"/>
                <w:color w:val="000000"/>
                <w:lang w:eastAsia="vi-VN"/>
              </w:rPr>
            </w:pPr>
          </w:p>
        </w:tc>
        <w:tc>
          <w:tcPr>
            <w:tcW w:w="1318" w:type="dxa"/>
            <w:tcBorders>
              <w:top w:val="single" w:sz="4" w:space="0" w:color="auto"/>
              <w:left w:val="nil"/>
              <w:bottom w:val="single" w:sz="4" w:space="0" w:color="auto"/>
              <w:right w:val="nil"/>
            </w:tcBorders>
            <w:vAlign w:val="center"/>
            <w:hideMark/>
          </w:tcPr>
          <w:p w14:paraId="1D2270A6" w14:textId="77777777" w:rsidR="00E20A7A" w:rsidRPr="005759E5" w:rsidRDefault="00E20A7A" w:rsidP="00B76D54">
            <w:pPr>
              <w:spacing w:before="40" w:after="40"/>
              <w:jc w:val="center"/>
              <w:rPr>
                <w:rFonts w:ascii="Arial" w:hAnsi="Arial" w:cs="Arial"/>
                <w:lang w:eastAsia="vi-VN"/>
              </w:rPr>
            </w:pPr>
            <w:r w:rsidRPr="005759E5">
              <w:rPr>
                <w:rFonts w:ascii="Arial" w:hAnsi="Arial" w:cs="Arial"/>
                <w:lang w:eastAsia="vi-VN"/>
              </w:rPr>
              <w:t>Carried</w:t>
            </w:r>
            <w:r w:rsidRPr="005759E5">
              <w:rPr>
                <w:rFonts w:ascii="Arial" w:hAnsi="Arial" w:cs="Arial"/>
                <w:lang w:eastAsia="vi-VN"/>
              </w:rPr>
              <w:br/>
              <w:t>(Mill. tons)</w:t>
            </w:r>
          </w:p>
        </w:tc>
        <w:tc>
          <w:tcPr>
            <w:tcW w:w="1621" w:type="dxa"/>
            <w:tcBorders>
              <w:top w:val="single" w:sz="4" w:space="0" w:color="auto"/>
              <w:left w:val="nil"/>
              <w:bottom w:val="single" w:sz="4" w:space="0" w:color="auto"/>
              <w:right w:val="nil"/>
            </w:tcBorders>
            <w:vAlign w:val="center"/>
            <w:hideMark/>
          </w:tcPr>
          <w:p w14:paraId="4D4848CD" w14:textId="77777777" w:rsidR="00E20A7A" w:rsidRPr="005759E5" w:rsidRDefault="00E20A7A" w:rsidP="00B76D54">
            <w:pPr>
              <w:spacing w:before="40" w:after="40"/>
              <w:jc w:val="center"/>
              <w:rPr>
                <w:rFonts w:ascii="Arial" w:hAnsi="Arial" w:cs="Arial"/>
                <w:lang w:eastAsia="vi-VN"/>
              </w:rPr>
            </w:pPr>
            <w:r w:rsidRPr="005759E5">
              <w:rPr>
                <w:rFonts w:ascii="Arial" w:hAnsi="Arial" w:cs="Arial"/>
                <w:lang w:eastAsia="vi-VN"/>
              </w:rPr>
              <w:t>Traffic</w:t>
            </w:r>
            <w:r w:rsidRPr="005759E5">
              <w:rPr>
                <w:rFonts w:ascii="Arial" w:hAnsi="Arial" w:cs="Arial"/>
                <w:lang w:eastAsia="vi-VN"/>
              </w:rPr>
              <w:br/>
              <w:t>(Bill. tons-km)</w:t>
            </w:r>
          </w:p>
        </w:tc>
        <w:tc>
          <w:tcPr>
            <w:tcW w:w="279" w:type="dxa"/>
            <w:tcBorders>
              <w:top w:val="single" w:sz="4" w:space="0" w:color="auto"/>
              <w:left w:val="nil"/>
              <w:bottom w:val="single" w:sz="4" w:space="0" w:color="auto"/>
              <w:right w:val="nil"/>
            </w:tcBorders>
            <w:vAlign w:val="center"/>
            <w:hideMark/>
          </w:tcPr>
          <w:p w14:paraId="691DB8A9" w14:textId="77777777" w:rsidR="00E20A7A" w:rsidRPr="005759E5" w:rsidRDefault="00E20A7A" w:rsidP="00B76D54">
            <w:pPr>
              <w:rPr>
                <w:rFonts w:ascii="Arial" w:hAnsi="Arial" w:cs="Arial"/>
                <w:lang w:eastAsia="vi-VN"/>
              </w:rPr>
            </w:pPr>
          </w:p>
        </w:tc>
        <w:tc>
          <w:tcPr>
            <w:tcW w:w="1310" w:type="dxa"/>
            <w:tcBorders>
              <w:top w:val="single" w:sz="4" w:space="0" w:color="auto"/>
              <w:left w:val="nil"/>
              <w:bottom w:val="single" w:sz="4" w:space="0" w:color="auto"/>
              <w:right w:val="nil"/>
            </w:tcBorders>
            <w:vAlign w:val="center"/>
            <w:hideMark/>
          </w:tcPr>
          <w:p w14:paraId="34422395" w14:textId="77777777" w:rsidR="00E20A7A" w:rsidRPr="005759E5" w:rsidRDefault="00E20A7A" w:rsidP="00B76D54">
            <w:pPr>
              <w:jc w:val="center"/>
              <w:rPr>
                <w:rFonts w:ascii="Arial" w:hAnsi="Arial" w:cs="Arial"/>
                <w:lang w:eastAsia="vi-VN"/>
              </w:rPr>
            </w:pPr>
            <w:r w:rsidRPr="005759E5">
              <w:rPr>
                <w:rFonts w:ascii="Arial" w:hAnsi="Arial" w:cs="Arial"/>
                <w:lang w:eastAsia="vi-VN"/>
              </w:rPr>
              <w:t>Carried</w:t>
            </w:r>
          </w:p>
        </w:tc>
        <w:tc>
          <w:tcPr>
            <w:tcW w:w="1789" w:type="dxa"/>
            <w:tcBorders>
              <w:top w:val="single" w:sz="4" w:space="0" w:color="auto"/>
              <w:left w:val="nil"/>
              <w:bottom w:val="single" w:sz="4" w:space="0" w:color="auto"/>
              <w:right w:val="nil"/>
            </w:tcBorders>
            <w:vAlign w:val="center"/>
            <w:hideMark/>
          </w:tcPr>
          <w:p w14:paraId="685BCC17" w14:textId="77777777" w:rsidR="00E20A7A" w:rsidRPr="005759E5" w:rsidRDefault="00E20A7A" w:rsidP="00B76D54">
            <w:pPr>
              <w:jc w:val="center"/>
              <w:rPr>
                <w:rFonts w:ascii="Arial" w:hAnsi="Arial" w:cs="Arial"/>
                <w:lang w:eastAsia="vi-VN"/>
              </w:rPr>
            </w:pPr>
            <w:r w:rsidRPr="005759E5">
              <w:rPr>
                <w:rFonts w:ascii="Arial" w:hAnsi="Arial" w:cs="Arial"/>
                <w:lang w:eastAsia="vi-VN"/>
              </w:rPr>
              <w:t>Traffic</w:t>
            </w:r>
          </w:p>
        </w:tc>
      </w:tr>
      <w:tr w:rsidR="00E20A7A" w:rsidRPr="005759E5" w14:paraId="22C4FF84" w14:textId="77777777" w:rsidTr="00B76D54">
        <w:trPr>
          <w:cantSplit/>
          <w:trHeight w:val="340"/>
          <w:jc w:val="center"/>
        </w:trPr>
        <w:tc>
          <w:tcPr>
            <w:tcW w:w="2197" w:type="dxa"/>
            <w:noWrap/>
            <w:vAlign w:val="center"/>
            <w:hideMark/>
          </w:tcPr>
          <w:p w14:paraId="47BD17E4" w14:textId="77777777" w:rsidR="00E20A7A" w:rsidRPr="005759E5" w:rsidRDefault="00E20A7A" w:rsidP="00B76D54">
            <w:pPr>
              <w:spacing w:before="120" w:after="100"/>
              <w:rPr>
                <w:rFonts w:ascii="Arial" w:hAnsi="Arial" w:cs="Arial"/>
                <w:b/>
                <w:bCs/>
                <w:lang w:eastAsia="vi-VN"/>
              </w:rPr>
            </w:pPr>
            <w:r w:rsidRPr="005759E5">
              <w:rPr>
                <w:rFonts w:ascii="Arial" w:hAnsi="Arial" w:cs="Arial"/>
                <w:b/>
                <w:bCs/>
                <w:lang w:eastAsia="vi-VN"/>
              </w:rPr>
              <w:t>Total</w:t>
            </w:r>
          </w:p>
        </w:tc>
        <w:tc>
          <w:tcPr>
            <w:tcW w:w="1318" w:type="dxa"/>
            <w:tcBorders>
              <w:top w:val="single" w:sz="4" w:space="0" w:color="auto"/>
              <w:left w:val="nil"/>
              <w:bottom w:val="nil"/>
              <w:right w:val="nil"/>
            </w:tcBorders>
            <w:noWrap/>
            <w:vAlign w:val="bottom"/>
            <w:hideMark/>
          </w:tcPr>
          <w:p w14:paraId="3C4A7120" w14:textId="77777777" w:rsidR="00E20A7A" w:rsidRPr="005759E5" w:rsidRDefault="00E20A7A" w:rsidP="00B76D54">
            <w:pPr>
              <w:spacing w:before="240" w:after="40"/>
              <w:ind w:right="426"/>
              <w:jc w:val="right"/>
              <w:rPr>
                <w:rFonts w:ascii="Arial" w:hAnsi="Arial" w:cs="Arial"/>
                <w:b/>
                <w:color w:val="000000"/>
                <w:sz w:val="20"/>
                <w:szCs w:val="20"/>
              </w:rPr>
            </w:pPr>
            <w:r w:rsidRPr="005759E5">
              <w:rPr>
                <w:rFonts w:ascii="Arial" w:hAnsi="Arial" w:cs="Arial"/>
                <w:b/>
                <w:color w:val="000000"/>
                <w:sz w:val="20"/>
                <w:szCs w:val="20"/>
              </w:rPr>
              <w:t>628.3</w:t>
            </w:r>
          </w:p>
        </w:tc>
        <w:tc>
          <w:tcPr>
            <w:tcW w:w="1621" w:type="dxa"/>
            <w:tcBorders>
              <w:top w:val="single" w:sz="4" w:space="0" w:color="auto"/>
              <w:left w:val="nil"/>
              <w:bottom w:val="nil"/>
              <w:right w:val="nil"/>
            </w:tcBorders>
            <w:noWrap/>
            <w:vAlign w:val="bottom"/>
            <w:hideMark/>
          </w:tcPr>
          <w:p w14:paraId="0EE2B6AA" w14:textId="77777777" w:rsidR="00E20A7A" w:rsidRPr="005759E5" w:rsidRDefault="00E20A7A" w:rsidP="00B76D54">
            <w:pPr>
              <w:spacing w:before="240" w:after="40"/>
              <w:ind w:right="426"/>
              <w:jc w:val="right"/>
              <w:rPr>
                <w:rFonts w:ascii="Arial" w:hAnsi="Arial" w:cs="Arial"/>
                <w:b/>
                <w:color w:val="000000"/>
                <w:sz w:val="20"/>
                <w:szCs w:val="20"/>
              </w:rPr>
            </w:pPr>
            <w:r w:rsidRPr="005759E5">
              <w:rPr>
                <w:rFonts w:ascii="Arial" w:hAnsi="Arial" w:cs="Arial"/>
                <w:b/>
                <w:color w:val="000000"/>
                <w:sz w:val="20"/>
                <w:szCs w:val="20"/>
              </w:rPr>
              <w:t>129.9</w:t>
            </w:r>
          </w:p>
        </w:tc>
        <w:tc>
          <w:tcPr>
            <w:tcW w:w="279" w:type="dxa"/>
            <w:tcBorders>
              <w:top w:val="single" w:sz="4" w:space="0" w:color="auto"/>
              <w:left w:val="nil"/>
              <w:bottom w:val="nil"/>
              <w:right w:val="nil"/>
            </w:tcBorders>
            <w:noWrap/>
            <w:vAlign w:val="bottom"/>
          </w:tcPr>
          <w:p w14:paraId="2A8649A9" w14:textId="77777777" w:rsidR="00E20A7A" w:rsidRPr="005759E5" w:rsidRDefault="00E20A7A" w:rsidP="00B76D54">
            <w:pPr>
              <w:spacing w:before="240" w:after="40"/>
              <w:jc w:val="right"/>
              <w:rPr>
                <w:rFonts w:ascii="Arial" w:hAnsi="Arial" w:cs="Arial"/>
                <w:b/>
                <w:bCs/>
                <w:sz w:val="20"/>
                <w:szCs w:val="20"/>
                <w:lang w:eastAsia="vi-VN"/>
              </w:rPr>
            </w:pPr>
          </w:p>
        </w:tc>
        <w:tc>
          <w:tcPr>
            <w:tcW w:w="1310" w:type="dxa"/>
            <w:tcBorders>
              <w:top w:val="single" w:sz="4" w:space="0" w:color="auto"/>
              <w:left w:val="nil"/>
              <w:bottom w:val="nil"/>
              <w:right w:val="nil"/>
            </w:tcBorders>
            <w:noWrap/>
            <w:vAlign w:val="bottom"/>
          </w:tcPr>
          <w:p w14:paraId="7CC4B12E" w14:textId="77777777" w:rsidR="00E20A7A" w:rsidRPr="005759E5" w:rsidRDefault="00E20A7A" w:rsidP="00B76D54">
            <w:pPr>
              <w:spacing w:before="240" w:after="40"/>
              <w:ind w:right="257"/>
              <w:jc w:val="right"/>
              <w:rPr>
                <w:rFonts w:ascii="Arial" w:hAnsi="Arial" w:cs="Arial"/>
                <w:b/>
                <w:color w:val="000000"/>
                <w:sz w:val="20"/>
                <w:szCs w:val="20"/>
              </w:rPr>
            </w:pPr>
            <w:r w:rsidRPr="005759E5">
              <w:rPr>
                <w:rFonts w:ascii="Arial" w:hAnsi="Arial" w:cs="Arial"/>
                <w:b/>
                <w:color w:val="000000"/>
                <w:sz w:val="20"/>
                <w:szCs w:val="20"/>
              </w:rPr>
              <w:t>4.8</w:t>
            </w:r>
          </w:p>
        </w:tc>
        <w:tc>
          <w:tcPr>
            <w:tcW w:w="1789" w:type="dxa"/>
            <w:tcBorders>
              <w:top w:val="single" w:sz="4" w:space="0" w:color="auto"/>
              <w:left w:val="nil"/>
              <w:bottom w:val="nil"/>
              <w:right w:val="nil"/>
            </w:tcBorders>
            <w:noWrap/>
            <w:vAlign w:val="bottom"/>
            <w:hideMark/>
          </w:tcPr>
          <w:p w14:paraId="20CE3B48" w14:textId="77777777" w:rsidR="00E20A7A" w:rsidRPr="005759E5" w:rsidRDefault="00E20A7A" w:rsidP="00B76D54">
            <w:pPr>
              <w:spacing w:before="240" w:after="40"/>
              <w:ind w:right="257"/>
              <w:jc w:val="right"/>
              <w:rPr>
                <w:rFonts w:ascii="Arial" w:hAnsi="Arial" w:cs="Arial"/>
                <w:b/>
                <w:color w:val="000000"/>
                <w:sz w:val="20"/>
                <w:szCs w:val="20"/>
              </w:rPr>
            </w:pPr>
            <w:r w:rsidRPr="005759E5">
              <w:rPr>
                <w:rFonts w:ascii="Arial" w:hAnsi="Arial" w:cs="Arial"/>
                <w:b/>
                <w:color w:val="000000"/>
                <w:sz w:val="20"/>
                <w:szCs w:val="20"/>
              </w:rPr>
              <w:t>12.0</w:t>
            </w:r>
          </w:p>
        </w:tc>
      </w:tr>
      <w:tr w:rsidR="00E20A7A" w:rsidRPr="005759E5" w14:paraId="262CA4B0" w14:textId="77777777" w:rsidTr="00B76D54">
        <w:trPr>
          <w:cantSplit/>
          <w:trHeight w:val="340"/>
          <w:jc w:val="center"/>
        </w:trPr>
        <w:tc>
          <w:tcPr>
            <w:tcW w:w="2197" w:type="dxa"/>
            <w:noWrap/>
            <w:vAlign w:val="bottom"/>
            <w:hideMark/>
          </w:tcPr>
          <w:p w14:paraId="7A8B33EE" w14:textId="77777777" w:rsidR="00E20A7A" w:rsidRPr="005759E5" w:rsidRDefault="00E20A7A" w:rsidP="00B76D54">
            <w:pPr>
              <w:spacing w:before="40" w:after="40"/>
              <w:ind w:firstLineChars="100" w:firstLine="220"/>
              <w:rPr>
                <w:rFonts w:ascii="Arial" w:hAnsi="Arial" w:cs="Arial"/>
              </w:rPr>
            </w:pPr>
            <w:r w:rsidRPr="005759E5">
              <w:rPr>
                <w:rFonts w:ascii="Arial" w:hAnsi="Arial" w:cs="Arial"/>
              </w:rPr>
              <w:t>Railway</w:t>
            </w:r>
          </w:p>
        </w:tc>
        <w:tc>
          <w:tcPr>
            <w:tcW w:w="1318" w:type="dxa"/>
            <w:noWrap/>
            <w:vAlign w:val="bottom"/>
            <w:hideMark/>
          </w:tcPr>
          <w:p w14:paraId="49542E84"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2.0</w:t>
            </w:r>
          </w:p>
        </w:tc>
        <w:tc>
          <w:tcPr>
            <w:tcW w:w="1621" w:type="dxa"/>
            <w:noWrap/>
            <w:vAlign w:val="bottom"/>
            <w:hideMark/>
          </w:tcPr>
          <w:p w14:paraId="3D895DF0"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1.5</w:t>
            </w:r>
          </w:p>
        </w:tc>
        <w:tc>
          <w:tcPr>
            <w:tcW w:w="279" w:type="dxa"/>
            <w:noWrap/>
            <w:vAlign w:val="bottom"/>
          </w:tcPr>
          <w:p w14:paraId="59E58DD0" w14:textId="77777777" w:rsidR="00E20A7A" w:rsidRPr="005759E5" w:rsidRDefault="00E20A7A" w:rsidP="00B76D54">
            <w:pPr>
              <w:spacing w:before="80" w:after="80"/>
              <w:ind w:firstLine="318"/>
              <w:jc w:val="right"/>
              <w:rPr>
                <w:rFonts w:ascii="Arial" w:hAnsi="Arial" w:cs="Arial"/>
                <w:sz w:val="20"/>
                <w:szCs w:val="20"/>
                <w:lang w:eastAsia="vi-VN"/>
              </w:rPr>
            </w:pPr>
          </w:p>
        </w:tc>
        <w:tc>
          <w:tcPr>
            <w:tcW w:w="1310" w:type="dxa"/>
            <w:noWrap/>
            <w:vAlign w:val="bottom"/>
          </w:tcPr>
          <w:p w14:paraId="567E454B"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13.4</w:t>
            </w:r>
          </w:p>
        </w:tc>
        <w:tc>
          <w:tcPr>
            <w:tcW w:w="1789" w:type="dxa"/>
            <w:noWrap/>
            <w:vAlign w:val="bottom"/>
            <w:hideMark/>
          </w:tcPr>
          <w:p w14:paraId="45353B31"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28.1</w:t>
            </w:r>
          </w:p>
        </w:tc>
      </w:tr>
      <w:tr w:rsidR="00E20A7A" w:rsidRPr="005759E5" w14:paraId="2C7A70B5" w14:textId="77777777" w:rsidTr="00B76D54">
        <w:trPr>
          <w:cantSplit/>
          <w:trHeight w:val="340"/>
          <w:jc w:val="center"/>
        </w:trPr>
        <w:tc>
          <w:tcPr>
            <w:tcW w:w="2197" w:type="dxa"/>
            <w:noWrap/>
            <w:vAlign w:val="bottom"/>
            <w:hideMark/>
          </w:tcPr>
          <w:p w14:paraId="19B6BE45" w14:textId="77777777" w:rsidR="00E20A7A" w:rsidRPr="005759E5" w:rsidRDefault="00E20A7A" w:rsidP="00B76D54">
            <w:pPr>
              <w:spacing w:before="40" w:after="40"/>
              <w:ind w:firstLineChars="100" w:firstLine="220"/>
              <w:rPr>
                <w:rFonts w:ascii="Arial" w:hAnsi="Arial" w:cs="Arial"/>
              </w:rPr>
            </w:pPr>
            <w:r w:rsidRPr="005759E5">
              <w:rPr>
                <w:rFonts w:ascii="Arial" w:hAnsi="Arial" w:cs="Arial"/>
              </w:rPr>
              <w:t>Seaway</w:t>
            </w:r>
          </w:p>
        </w:tc>
        <w:tc>
          <w:tcPr>
            <w:tcW w:w="1318" w:type="dxa"/>
            <w:noWrap/>
            <w:vAlign w:val="bottom"/>
            <w:hideMark/>
          </w:tcPr>
          <w:p w14:paraId="12AE17BD"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31.8</w:t>
            </w:r>
          </w:p>
        </w:tc>
        <w:tc>
          <w:tcPr>
            <w:tcW w:w="1621" w:type="dxa"/>
            <w:noWrap/>
            <w:vAlign w:val="bottom"/>
            <w:hideMark/>
          </w:tcPr>
          <w:p w14:paraId="3BD169C1"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63.2</w:t>
            </w:r>
          </w:p>
        </w:tc>
        <w:tc>
          <w:tcPr>
            <w:tcW w:w="279" w:type="dxa"/>
            <w:noWrap/>
            <w:vAlign w:val="bottom"/>
          </w:tcPr>
          <w:p w14:paraId="6BD2DE83" w14:textId="77777777" w:rsidR="00E20A7A" w:rsidRPr="005759E5" w:rsidRDefault="00E20A7A" w:rsidP="00B76D54">
            <w:pPr>
              <w:spacing w:before="80" w:after="80"/>
              <w:ind w:firstLine="318"/>
              <w:jc w:val="right"/>
              <w:rPr>
                <w:rFonts w:ascii="Arial" w:hAnsi="Arial" w:cs="Arial"/>
                <w:sz w:val="20"/>
                <w:szCs w:val="20"/>
                <w:lang w:eastAsia="vi-VN"/>
              </w:rPr>
            </w:pPr>
          </w:p>
        </w:tc>
        <w:tc>
          <w:tcPr>
            <w:tcW w:w="1310" w:type="dxa"/>
            <w:noWrap/>
            <w:vAlign w:val="bottom"/>
          </w:tcPr>
          <w:p w14:paraId="13AF39C9"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15.9</w:t>
            </w:r>
          </w:p>
        </w:tc>
        <w:tc>
          <w:tcPr>
            <w:tcW w:w="1789" w:type="dxa"/>
            <w:noWrap/>
            <w:vAlign w:val="bottom"/>
            <w:hideMark/>
          </w:tcPr>
          <w:p w14:paraId="4448809A"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14.1</w:t>
            </w:r>
          </w:p>
        </w:tc>
      </w:tr>
      <w:tr w:rsidR="00E20A7A" w:rsidRPr="005759E5" w14:paraId="4CBF8DE5" w14:textId="77777777" w:rsidTr="00B76D54">
        <w:trPr>
          <w:cantSplit/>
          <w:trHeight w:val="340"/>
          <w:jc w:val="center"/>
        </w:trPr>
        <w:tc>
          <w:tcPr>
            <w:tcW w:w="2197" w:type="dxa"/>
            <w:noWrap/>
            <w:vAlign w:val="bottom"/>
            <w:hideMark/>
          </w:tcPr>
          <w:p w14:paraId="7042A4A5" w14:textId="77777777" w:rsidR="00E20A7A" w:rsidRPr="005759E5" w:rsidRDefault="00E20A7A" w:rsidP="00B76D54">
            <w:pPr>
              <w:spacing w:before="40" w:after="40"/>
              <w:ind w:firstLineChars="100" w:firstLine="220"/>
              <w:rPr>
                <w:rFonts w:ascii="Arial" w:hAnsi="Arial" w:cs="Arial"/>
              </w:rPr>
            </w:pPr>
            <w:r w:rsidRPr="005759E5">
              <w:rPr>
                <w:rFonts w:ascii="Arial" w:hAnsi="Arial" w:cs="Arial"/>
              </w:rPr>
              <w:t>Inland waterway</w:t>
            </w:r>
          </w:p>
        </w:tc>
        <w:tc>
          <w:tcPr>
            <w:tcW w:w="1318" w:type="dxa"/>
            <w:noWrap/>
            <w:vAlign w:val="bottom"/>
            <w:hideMark/>
          </w:tcPr>
          <w:p w14:paraId="47B3466D"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115.6</w:t>
            </w:r>
          </w:p>
        </w:tc>
        <w:tc>
          <w:tcPr>
            <w:tcW w:w="1621" w:type="dxa"/>
            <w:noWrap/>
            <w:vAlign w:val="bottom"/>
            <w:hideMark/>
          </w:tcPr>
          <w:p w14:paraId="43A1A06F"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28.7</w:t>
            </w:r>
          </w:p>
        </w:tc>
        <w:tc>
          <w:tcPr>
            <w:tcW w:w="279" w:type="dxa"/>
            <w:noWrap/>
            <w:vAlign w:val="bottom"/>
          </w:tcPr>
          <w:p w14:paraId="2A949E30" w14:textId="77777777" w:rsidR="00E20A7A" w:rsidRPr="005759E5" w:rsidRDefault="00E20A7A" w:rsidP="00B76D54">
            <w:pPr>
              <w:spacing w:before="80" w:after="80"/>
              <w:ind w:firstLine="318"/>
              <w:jc w:val="right"/>
              <w:rPr>
                <w:rFonts w:ascii="Arial" w:hAnsi="Arial" w:cs="Arial"/>
                <w:sz w:val="20"/>
                <w:szCs w:val="20"/>
                <w:lang w:eastAsia="vi-VN"/>
              </w:rPr>
            </w:pPr>
          </w:p>
        </w:tc>
        <w:tc>
          <w:tcPr>
            <w:tcW w:w="1310" w:type="dxa"/>
            <w:noWrap/>
            <w:vAlign w:val="bottom"/>
          </w:tcPr>
          <w:p w14:paraId="22856571"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8.5</w:t>
            </w:r>
          </w:p>
        </w:tc>
        <w:tc>
          <w:tcPr>
            <w:tcW w:w="1789" w:type="dxa"/>
            <w:noWrap/>
            <w:vAlign w:val="bottom"/>
            <w:hideMark/>
          </w:tcPr>
          <w:p w14:paraId="729156E5"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17.4</w:t>
            </w:r>
          </w:p>
        </w:tc>
      </w:tr>
      <w:tr w:rsidR="00E20A7A" w:rsidRPr="005759E5" w14:paraId="4D86E811" w14:textId="77777777" w:rsidTr="00B76D54">
        <w:trPr>
          <w:cantSplit/>
          <w:trHeight w:val="340"/>
          <w:jc w:val="center"/>
        </w:trPr>
        <w:tc>
          <w:tcPr>
            <w:tcW w:w="2197" w:type="dxa"/>
            <w:noWrap/>
            <w:vAlign w:val="bottom"/>
            <w:hideMark/>
          </w:tcPr>
          <w:p w14:paraId="6BB36A06" w14:textId="77777777" w:rsidR="00E20A7A" w:rsidRPr="005759E5" w:rsidRDefault="00E20A7A" w:rsidP="00B76D54">
            <w:pPr>
              <w:spacing w:before="40" w:after="40"/>
              <w:ind w:firstLineChars="100" w:firstLine="220"/>
              <w:rPr>
                <w:rFonts w:ascii="Arial" w:hAnsi="Arial" w:cs="Arial"/>
              </w:rPr>
            </w:pPr>
            <w:r w:rsidRPr="005759E5">
              <w:rPr>
                <w:rFonts w:ascii="Arial" w:hAnsi="Arial" w:cs="Arial"/>
              </w:rPr>
              <w:lastRenderedPageBreak/>
              <w:t>Road</w:t>
            </w:r>
          </w:p>
        </w:tc>
        <w:tc>
          <w:tcPr>
            <w:tcW w:w="1318" w:type="dxa"/>
            <w:noWrap/>
            <w:vAlign w:val="bottom"/>
            <w:hideMark/>
          </w:tcPr>
          <w:p w14:paraId="5CF74E3B"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478.8</w:t>
            </w:r>
          </w:p>
        </w:tc>
        <w:tc>
          <w:tcPr>
            <w:tcW w:w="1621" w:type="dxa"/>
            <w:noWrap/>
            <w:vAlign w:val="bottom"/>
            <w:hideMark/>
          </w:tcPr>
          <w:p w14:paraId="16811690"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35.1</w:t>
            </w:r>
          </w:p>
        </w:tc>
        <w:tc>
          <w:tcPr>
            <w:tcW w:w="279" w:type="dxa"/>
            <w:noWrap/>
            <w:vAlign w:val="bottom"/>
          </w:tcPr>
          <w:p w14:paraId="714B3FB7" w14:textId="77777777" w:rsidR="00E20A7A" w:rsidRPr="005759E5" w:rsidRDefault="00E20A7A" w:rsidP="00B76D54">
            <w:pPr>
              <w:spacing w:before="80" w:after="80"/>
              <w:ind w:firstLine="318"/>
              <w:jc w:val="right"/>
              <w:rPr>
                <w:rFonts w:ascii="Arial" w:hAnsi="Arial" w:cs="Arial"/>
                <w:sz w:val="20"/>
                <w:szCs w:val="20"/>
                <w:lang w:eastAsia="vi-VN"/>
              </w:rPr>
            </w:pPr>
          </w:p>
        </w:tc>
        <w:tc>
          <w:tcPr>
            <w:tcW w:w="1310" w:type="dxa"/>
            <w:noWrap/>
            <w:vAlign w:val="bottom"/>
          </w:tcPr>
          <w:p w14:paraId="6ED85287"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3.3</w:t>
            </w:r>
          </w:p>
        </w:tc>
        <w:tc>
          <w:tcPr>
            <w:tcW w:w="1789" w:type="dxa"/>
            <w:noWrap/>
            <w:vAlign w:val="bottom"/>
            <w:hideMark/>
          </w:tcPr>
          <w:p w14:paraId="7BE2F967"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3.6</w:t>
            </w:r>
          </w:p>
        </w:tc>
      </w:tr>
      <w:tr w:rsidR="00E20A7A" w:rsidRPr="005759E5" w14:paraId="14F3D212" w14:textId="77777777" w:rsidTr="00B76D54">
        <w:trPr>
          <w:cantSplit/>
          <w:trHeight w:val="340"/>
          <w:jc w:val="center"/>
        </w:trPr>
        <w:tc>
          <w:tcPr>
            <w:tcW w:w="2197" w:type="dxa"/>
            <w:tcBorders>
              <w:top w:val="nil"/>
              <w:left w:val="nil"/>
              <w:bottom w:val="single" w:sz="4" w:space="0" w:color="auto"/>
              <w:right w:val="nil"/>
            </w:tcBorders>
            <w:noWrap/>
            <w:vAlign w:val="bottom"/>
            <w:hideMark/>
          </w:tcPr>
          <w:p w14:paraId="4B81B38F" w14:textId="77777777" w:rsidR="00E20A7A" w:rsidRPr="005759E5" w:rsidRDefault="00E20A7A" w:rsidP="00B76D54">
            <w:pPr>
              <w:spacing w:before="40" w:after="40"/>
              <w:ind w:firstLineChars="100" w:firstLine="220"/>
              <w:rPr>
                <w:rFonts w:ascii="Arial" w:hAnsi="Arial" w:cs="Arial"/>
              </w:rPr>
            </w:pPr>
            <w:r w:rsidRPr="005759E5">
              <w:rPr>
                <w:rFonts w:ascii="Arial" w:hAnsi="Arial" w:cs="Arial"/>
              </w:rPr>
              <w:t>Airway</w:t>
            </w:r>
          </w:p>
        </w:tc>
        <w:tc>
          <w:tcPr>
            <w:tcW w:w="1318" w:type="dxa"/>
            <w:tcBorders>
              <w:top w:val="nil"/>
              <w:left w:val="nil"/>
              <w:bottom w:val="single" w:sz="4" w:space="0" w:color="auto"/>
              <w:right w:val="nil"/>
            </w:tcBorders>
            <w:noWrap/>
            <w:vAlign w:val="bottom"/>
            <w:hideMark/>
          </w:tcPr>
          <w:p w14:paraId="49D2578E"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0.1</w:t>
            </w:r>
          </w:p>
        </w:tc>
        <w:tc>
          <w:tcPr>
            <w:tcW w:w="1621" w:type="dxa"/>
            <w:tcBorders>
              <w:top w:val="nil"/>
              <w:left w:val="nil"/>
              <w:bottom w:val="single" w:sz="4" w:space="0" w:color="auto"/>
              <w:right w:val="nil"/>
            </w:tcBorders>
            <w:noWrap/>
            <w:vAlign w:val="bottom"/>
            <w:hideMark/>
          </w:tcPr>
          <w:p w14:paraId="2575BDED" w14:textId="77777777" w:rsidR="00E20A7A" w:rsidRPr="005759E5" w:rsidRDefault="00E20A7A" w:rsidP="00B76D54">
            <w:pPr>
              <w:spacing w:before="80" w:after="80"/>
              <w:ind w:right="426"/>
              <w:jc w:val="right"/>
              <w:rPr>
                <w:rFonts w:ascii="Arial" w:hAnsi="Arial" w:cs="Arial"/>
                <w:color w:val="000000"/>
                <w:sz w:val="20"/>
                <w:szCs w:val="20"/>
              </w:rPr>
            </w:pPr>
            <w:r w:rsidRPr="005759E5">
              <w:rPr>
                <w:rFonts w:ascii="Arial" w:hAnsi="Arial" w:cs="Arial"/>
                <w:color w:val="000000"/>
                <w:sz w:val="20"/>
                <w:szCs w:val="20"/>
              </w:rPr>
              <w:t>1.4</w:t>
            </w:r>
          </w:p>
        </w:tc>
        <w:tc>
          <w:tcPr>
            <w:tcW w:w="279" w:type="dxa"/>
            <w:tcBorders>
              <w:top w:val="nil"/>
              <w:left w:val="nil"/>
              <w:bottom w:val="single" w:sz="4" w:space="0" w:color="auto"/>
              <w:right w:val="nil"/>
            </w:tcBorders>
            <w:noWrap/>
            <w:vAlign w:val="bottom"/>
          </w:tcPr>
          <w:p w14:paraId="3103F0AF" w14:textId="77777777" w:rsidR="00E20A7A" w:rsidRPr="005759E5" w:rsidRDefault="00E20A7A" w:rsidP="00B76D54">
            <w:pPr>
              <w:spacing w:before="80" w:after="80"/>
              <w:ind w:firstLine="318"/>
              <w:jc w:val="right"/>
              <w:rPr>
                <w:rFonts w:ascii="Arial" w:hAnsi="Arial" w:cs="Arial"/>
                <w:sz w:val="20"/>
                <w:szCs w:val="20"/>
                <w:lang w:eastAsia="vi-VN"/>
              </w:rPr>
            </w:pPr>
          </w:p>
        </w:tc>
        <w:tc>
          <w:tcPr>
            <w:tcW w:w="1310" w:type="dxa"/>
            <w:tcBorders>
              <w:top w:val="nil"/>
              <w:left w:val="nil"/>
              <w:bottom w:val="single" w:sz="4" w:space="0" w:color="auto"/>
              <w:right w:val="nil"/>
            </w:tcBorders>
            <w:noWrap/>
            <w:vAlign w:val="bottom"/>
          </w:tcPr>
          <w:p w14:paraId="7F353D44"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1.5</w:t>
            </w:r>
          </w:p>
        </w:tc>
        <w:tc>
          <w:tcPr>
            <w:tcW w:w="1789" w:type="dxa"/>
            <w:tcBorders>
              <w:top w:val="nil"/>
              <w:left w:val="nil"/>
              <w:bottom w:val="single" w:sz="4" w:space="0" w:color="auto"/>
              <w:right w:val="nil"/>
            </w:tcBorders>
            <w:noWrap/>
            <w:vAlign w:val="bottom"/>
            <w:hideMark/>
          </w:tcPr>
          <w:p w14:paraId="387C55C9" w14:textId="77777777" w:rsidR="00E20A7A" w:rsidRPr="005759E5" w:rsidRDefault="00E20A7A" w:rsidP="00B76D54">
            <w:pPr>
              <w:spacing w:before="80" w:after="80"/>
              <w:ind w:right="257"/>
              <w:jc w:val="right"/>
              <w:rPr>
                <w:rFonts w:ascii="Arial" w:hAnsi="Arial" w:cs="Arial"/>
                <w:color w:val="000000"/>
                <w:sz w:val="20"/>
                <w:szCs w:val="20"/>
              </w:rPr>
            </w:pPr>
            <w:r w:rsidRPr="005759E5">
              <w:rPr>
                <w:rFonts w:ascii="Arial" w:hAnsi="Arial" w:cs="Arial"/>
                <w:color w:val="000000"/>
                <w:sz w:val="20"/>
                <w:szCs w:val="20"/>
              </w:rPr>
              <w:t>32.7</w:t>
            </w:r>
          </w:p>
        </w:tc>
      </w:tr>
    </w:tbl>
    <w:p w14:paraId="0C39EE8D" w14:textId="77777777" w:rsidR="00E72A61" w:rsidRPr="000D03CF" w:rsidRDefault="00E72A61" w:rsidP="00E72A61">
      <w:pPr>
        <w:spacing w:before="40" w:after="40" w:line="288" w:lineRule="auto"/>
        <w:ind w:firstLine="567"/>
        <w:jc w:val="both"/>
        <w:rPr>
          <w:rFonts w:ascii="Times New Roman" w:hAnsi="Times New Roman" w:cs="Times New Roman"/>
          <w:b/>
          <w:i/>
          <w:sz w:val="20"/>
          <w:szCs w:val="28"/>
          <w:lang w:val="fr-FR" w:eastAsia="en-GB"/>
        </w:rPr>
      </w:pPr>
    </w:p>
    <w:p w14:paraId="25815EDB" w14:textId="6538D16C" w:rsidR="00E72A61" w:rsidRPr="001E40A3" w:rsidRDefault="00E72A61" w:rsidP="00CF6D82">
      <w:pPr>
        <w:spacing w:before="40" w:after="40" w:line="300" w:lineRule="auto"/>
        <w:ind w:firstLine="567"/>
        <w:jc w:val="both"/>
        <w:rPr>
          <w:rFonts w:ascii="Times New Roman" w:hAnsi="Times New Roman" w:cs="Times New Roman"/>
          <w:b/>
          <w:bCs/>
          <w:i/>
          <w:sz w:val="28"/>
          <w:szCs w:val="28"/>
        </w:rPr>
      </w:pPr>
      <w:r w:rsidRPr="001E40A3">
        <w:rPr>
          <w:rFonts w:ascii="Times New Roman" w:hAnsi="Times New Roman" w:cs="Times New Roman"/>
          <w:b/>
          <w:bCs/>
          <w:i/>
          <w:iCs/>
          <w:sz w:val="28"/>
          <w:szCs w:val="28"/>
        </w:rPr>
        <w:t xml:space="preserve">đ) </w:t>
      </w:r>
      <w:r w:rsidR="00E20A7A" w:rsidRPr="00E20A7A">
        <w:rPr>
          <w:rFonts w:ascii="Times New Roman" w:hAnsi="Times New Roman" w:cs="Times New Roman"/>
          <w:b/>
          <w:bCs/>
          <w:i/>
          <w:iCs/>
          <w:sz w:val="28"/>
          <w:szCs w:val="28"/>
        </w:rPr>
        <w:t xml:space="preserve">International visitors to Viet </w:t>
      </w:r>
      <w:r w:rsidRPr="001E40A3">
        <w:rPr>
          <w:rFonts w:ascii="Times New Roman" w:hAnsi="Times New Roman" w:cs="Times New Roman"/>
          <w:b/>
          <w:bCs/>
          <w:i/>
          <w:iCs/>
          <w:sz w:val="28"/>
          <w:szCs w:val="28"/>
        </w:rPr>
        <w:t>Nam</w:t>
      </w:r>
      <w:r w:rsidRPr="000D03CF">
        <w:rPr>
          <w:rStyle w:val="FootnoteReference"/>
          <w:rFonts w:ascii="Times New Roman" w:hAnsi="Times New Roman"/>
          <w:bCs/>
          <w:i/>
          <w:iCs/>
          <w:sz w:val="28"/>
          <w:szCs w:val="28"/>
        </w:rPr>
        <w:footnoteReference w:id="24"/>
      </w:r>
    </w:p>
    <w:p w14:paraId="6F20C3E8" w14:textId="579FCDA8" w:rsidR="00E72A61" w:rsidRPr="001E40A3" w:rsidRDefault="00CB588C" w:rsidP="00CF6D82">
      <w:pPr>
        <w:spacing w:before="40" w:after="40" w:line="300" w:lineRule="auto"/>
        <w:ind w:firstLine="567"/>
        <w:jc w:val="both"/>
        <w:rPr>
          <w:rFonts w:ascii="Times New Roman" w:hAnsi="Times New Roman" w:cs="Times New Roman"/>
          <w:i/>
          <w:sz w:val="28"/>
          <w:szCs w:val="28"/>
          <w:lang w:val="fr-FR" w:eastAsia="en-GB"/>
        </w:rPr>
      </w:pPr>
      <w:r w:rsidRPr="00CB588C">
        <w:rPr>
          <w:rFonts w:ascii="Times New Roman" w:hAnsi="Times New Roman" w:cs="Times New Roman"/>
          <w:i/>
          <w:sz w:val="28"/>
          <w:szCs w:val="28"/>
          <w:lang w:val="fr-FR" w:eastAsia="en-GB"/>
        </w:rPr>
        <w:t>International visitors to our country in April</w:t>
      </w:r>
      <w:r w:rsidR="00E72A61" w:rsidRPr="001E40A3">
        <w:rPr>
          <w:rStyle w:val="FootnoteReference"/>
          <w:rFonts w:ascii="Times New Roman" w:hAnsi="Times New Roman"/>
        </w:rPr>
        <w:footnoteReference w:id="25"/>
      </w:r>
      <w:r w:rsidR="00E72A61">
        <w:rPr>
          <w:rFonts w:ascii="Times New Roman" w:hAnsi="Times New Roman" w:cs="Times New Roman"/>
          <w:i/>
          <w:sz w:val="28"/>
          <w:szCs w:val="28"/>
          <w:lang w:val="fr-FR" w:eastAsia="en-GB"/>
        </w:rPr>
        <w:t xml:space="preserve"> </w:t>
      </w:r>
      <w:r w:rsidRPr="00CB588C">
        <w:rPr>
          <w:rFonts w:ascii="Times New Roman" w:hAnsi="Times New Roman" w:cs="Times New Roman"/>
          <w:i/>
          <w:sz w:val="28"/>
          <w:szCs w:val="28"/>
          <w:lang w:val="fr-FR" w:eastAsia="en-GB"/>
        </w:rPr>
        <w:t>were estimated at 101.4 thousand arrivals, 2.4  times higher than the previous month and 5.2 times higher than the same period last year because Viet Nam has opened up to tourism and many international routes have been restored. Generally, in the first 4 months of 2022, international visitors to Viet Nam were estimated at 192,4 thousand arrivals, up 184.7% compared to the same period last year.</w:t>
      </w:r>
    </w:p>
    <w:p w14:paraId="1AE3C287" w14:textId="77777777" w:rsidR="00FF6BF1" w:rsidRPr="004F6BF5" w:rsidRDefault="00FF6BF1" w:rsidP="00FF6BF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pacing w:val="-4"/>
          <w:sz w:val="28"/>
          <w:szCs w:val="28"/>
        </w:rPr>
      </w:pPr>
      <w:r w:rsidRPr="00776237">
        <w:rPr>
          <w:rFonts w:ascii="Times New Roman" w:hAnsi="Times New Roman" w:cs="Times New Roman"/>
          <w:spacing w:val="-4"/>
          <w:sz w:val="28"/>
          <w:szCs w:val="28"/>
        </w:rPr>
        <w:t>Out of a total of nearly 192.4 thousand international visitors to Vietnam in the first 4 months of the year</w:t>
      </w:r>
      <w:r w:rsidRPr="004F6BF5">
        <w:rPr>
          <w:rFonts w:ascii="Times New Roman" w:hAnsi="Times New Roman" w:cs="Times New Roman"/>
          <w:spacing w:val="-4"/>
          <w:sz w:val="28"/>
          <w:szCs w:val="28"/>
        </w:rPr>
        <w:t xml:space="preserve">, visitors coming by airway gained </w:t>
      </w:r>
      <w:r>
        <w:rPr>
          <w:rFonts w:ascii="Times New Roman" w:hAnsi="Times New Roman" w:cs="Times New Roman"/>
          <w:spacing w:val="-4"/>
          <w:sz w:val="28"/>
          <w:szCs w:val="28"/>
        </w:rPr>
        <w:t>170.4</w:t>
      </w:r>
      <w:r w:rsidRPr="004F6BF5">
        <w:rPr>
          <w:rFonts w:ascii="Times New Roman" w:hAnsi="Times New Roman" w:cs="Times New Roman"/>
          <w:spacing w:val="-4"/>
          <w:sz w:val="28"/>
          <w:szCs w:val="28"/>
        </w:rPr>
        <w:t xml:space="preserve"> thousand persons, accounting for </w:t>
      </w:r>
      <w:r>
        <w:rPr>
          <w:rFonts w:ascii="Times New Roman" w:hAnsi="Times New Roman" w:cs="Times New Roman"/>
          <w:spacing w:val="-4"/>
          <w:sz w:val="28"/>
          <w:szCs w:val="28"/>
        </w:rPr>
        <w:t>88.6</w:t>
      </w:r>
      <w:r w:rsidRPr="004F6BF5">
        <w:rPr>
          <w:rFonts w:ascii="Times New Roman" w:hAnsi="Times New Roman" w:cs="Times New Roman"/>
          <w:spacing w:val="-4"/>
          <w:sz w:val="28"/>
          <w:szCs w:val="28"/>
        </w:rPr>
        <w:t xml:space="preserve">% of </w:t>
      </w:r>
      <w:r>
        <w:rPr>
          <w:rFonts w:ascii="Times New Roman" w:hAnsi="Times New Roman" w:cs="Times New Roman"/>
          <w:spacing w:val="-4"/>
          <w:sz w:val="28"/>
          <w:szCs w:val="28"/>
        </w:rPr>
        <w:t xml:space="preserve"> </w:t>
      </w:r>
      <w:r w:rsidRPr="004F6BF5">
        <w:rPr>
          <w:rFonts w:ascii="Times New Roman" w:hAnsi="Times New Roman" w:cs="Times New Roman"/>
          <w:spacing w:val="-4"/>
          <w:sz w:val="28"/>
          <w:szCs w:val="28"/>
        </w:rPr>
        <w:t xml:space="preserve">the number of international visitors to Viet Nam, </w:t>
      </w:r>
      <w:r w:rsidRPr="00776237">
        <w:rPr>
          <w:rFonts w:ascii="Times New Roman" w:hAnsi="Times New Roman" w:cs="Times New Roman"/>
          <w:spacing w:val="-4"/>
          <w:sz w:val="28"/>
          <w:szCs w:val="28"/>
        </w:rPr>
        <w:t xml:space="preserve">4 times higher than the same period last year; by roadway achieved </w:t>
      </w:r>
      <w:r>
        <w:rPr>
          <w:rFonts w:ascii="Times New Roman" w:hAnsi="Times New Roman" w:cs="Times New Roman"/>
          <w:spacing w:val="-4"/>
          <w:sz w:val="28"/>
          <w:szCs w:val="28"/>
        </w:rPr>
        <w:t>21.9</w:t>
      </w:r>
      <w:r w:rsidRPr="004F6BF5">
        <w:rPr>
          <w:rFonts w:ascii="Times New Roman" w:hAnsi="Times New Roman" w:cs="Times New Roman"/>
          <w:spacing w:val="-4"/>
          <w:sz w:val="28"/>
          <w:szCs w:val="28"/>
        </w:rPr>
        <w:t xml:space="preserve"> thousand arrivals, accounted for </w:t>
      </w:r>
      <w:r>
        <w:rPr>
          <w:rFonts w:ascii="Times New Roman" w:hAnsi="Times New Roman" w:cs="Times New Roman"/>
          <w:spacing w:val="-4"/>
          <w:sz w:val="28"/>
          <w:szCs w:val="28"/>
        </w:rPr>
        <w:t>11.4</w:t>
      </w:r>
      <w:r w:rsidRPr="004F6BF5">
        <w:rPr>
          <w:rFonts w:ascii="Times New Roman" w:hAnsi="Times New Roman" w:cs="Times New Roman"/>
          <w:spacing w:val="-4"/>
          <w:sz w:val="28"/>
          <w:szCs w:val="28"/>
        </w:rPr>
        <w:t xml:space="preserve">% and went down by </w:t>
      </w:r>
      <w:r>
        <w:rPr>
          <w:rFonts w:ascii="Times New Roman" w:hAnsi="Times New Roman" w:cs="Times New Roman"/>
          <w:spacing w:val="-4"/>
          <w:sz w:val="28"/>
          <w:szCs w:val="28"/>
        </w:rPr>
        <w:t>10.5</w:t>
      </w:r>
      <w:r w:rsidRPr="004F6BF5">
        <w:rPr>
          <w:rFonts w:ascii="Times New Roman" w:hAnsi="Times New Roman" w:cs="Times New Roman"/>
          <w:spacing w:val="-4"/>
          <w:sz w:val="28"/>
          <w:szCs w:val="28"/>
        </w:rPr>
        <w:t xml:space="preserve">%; by seaway achieved </w:t>
      </w:r>
      <w:r>
        <w:rPr>
          <w:rFonts w:ascii="Times New Roman" w:hAnsi="Times New Roman" w:cs="Times New Roman"/>
          <w:spacing w:val="-4"/>
          <w:sz w:val="28"/>
          <w:szCs w:val="28"/>
        </w:rPr>
        <w:t>64</w:t>
      </w:r>
      <w:r w:rsidRPr="004F6BF5">
        <w:rPr>
          <w:rFonts w:ascii="Times New Roman" w:hAnsi="Times New Roman" w:cs="Times New Roman"/>
          <w:spacing w:val="-4"/>
          <w:sz w:val="28"/>
          <w:szCs w:val="28"/>
        </w:rPr>
        <w:t xml:space="preserve"> arrivals, accounted for 0.</w:t>
      </w:r>
      <w:r>
        <w:rPr>
          <w:rFonts w:ascii="Times New Roman" w:hAnsi="Times New Roman" w:cs="Times New Roman"/>
          <w:spacing w:val="-4"/>
          <w:sz w:val="28"/>
          <w:szCs w:val="28"/>
        </w:rPr>
        <w:t>03</w:t>
      </w:r>
      <w:r w:rsidRPr="004F6BF5">
        <w:rPr>
          <w:rFonts w:ascii="Times New Roman" w:hAnsi="Times New Roman" w:cs="Times New Roman"/>
          <w:spacing w:val="-4"/>
          <w:sz w:val="28"/>
          <w:szCs w:val="28"/>
        </w:rPr>
        <w:t xml:space="preserve">% and decreased by </w:t>
      </w:r>
      <w:r>
        <w:rPr>
          <w:rFonts w:ascii="Times New Roman" w:hAnsi="Times New Roman" w:cs="Times New Roman"/>
          <w:spacing w:val="-4"/>
          <w:sz w:val="28"/>
          <w:szCs w:val="28"/>
        </w:rPr>
        <w:t>58.7</w:t>
      </w:r>
      <w:r w:rsidRPr="004F6BF5">
        <w:rPr>
          <w:rFonts w:ascii="Times New Roman" w:hAnsi="Times New Roman" w:cs="Times New Roman"/>
          <w:spacing w:val="-4"/>
          <w:sz w:val="28"/>
          <w:szCs w:val="28"/>
        </w:rPr>
        <w:t>%.</w:t>
      </w:r>
    </w:p>
    <w:p w14:paraId="09C97A9E" w14:textId="52CB22D4" w:rsidR="00A959AA" w:rsidRPr="00A959AA" w:rsidRDefault="00A959AA" w:rsidP="00A959AA">
      <w:pPr>
        <w:shd w:val="clear" w:color="auto" w:fill="FFFFFF"/>
        <w:spacing w:before="40" w:after="40" w:line="286" w:lineRule="auto"/>
        <w:ind w:firstLine="567"/>
        <w:jc w:val="center"/>
        <w:rPr>
          <w:rFonts w:ascii="Arial" w:hAnsi="Arial" w:cs="Arial"/>
          <w:b/>
          <w:sz w:val="24"/>
          <w:szCs w:val="24"/>
          <w:lang w:val="fr-FR"/>
        </w:rPr>
      </w:pPr>
      <w:r w:rsidRPr="00A959AA">
        <w:rPr>
          <w:rFonts w:ascii="Arial" w:hAnsi="Arial" w:cs="Arial"/>
          <w:b/>
          <w:sz w:val="24"/>
          <w:szCs w:val="24"/>
          <w:lang w:val="fr-FR"/>
        </w:rPr>
        <w:t>Figure 17. International visitors to Viet Nam</w:t>
      </w:r>
    </w:p>
    <w:p w14:paraId="3194B256" w14:textId="1171B8CC" w:rsidR="00E72A61" w:rsidRPr="00FA6831" w:rsidRDefault="00A959AA" w:rsidP="00A959AA">
      <w:pPr>
        <w:shd w:val="clear" w:color="auto" w:fill="FFFFFF"/>
        <w:spacing w:before="40" w:after="40" w:line="286" w:lineRule="auto"/>
        <w:ind w:firstLine="567"/>
        <w:jc w:val="center"/>
        <w:rPr>
          <w:rFonts w:ascii="Times New Roman" w:hAnsi="Times New Roman" w:cs="Times New Roman"/>
          <w:sz w:val="2"/>
        </w:rPr>
      </w:pPr>
      <w:r w:rsidRPr="00A959AA">
        <w:rPr>
          <w:rFonts w:ascii="Arial" w:hAnsi="Arial" w:cs="Arial"/>
          <w:b/>
          <w:sz w:val="24"/>
          <w:szCs w:val="24"/>
          <w:lang w:val="fr-FR"/>
        </w:rPr>
        <w:t>in the first 4 months of 2022 by territories</w:t>
      </w:r>
    </w:p>
    <w:p w14:paraId="308A592F" w14:textId="15D79E64" w:rsidR="00E72A61" w:rsidRPr="00FA6831" w:rsidRDefault="00A959AA" w:rsidP="00E72A61">
      <w:pPr>
        <w:jc w:val="center"/>
        <w:rPr>
          <w:rFonts w:ascii="Times New Roman" w:hAnsi="Times New Roman" w:cs="Times New Roman"/>
        </w:rPr>
      </w:pPr>
      <w:r>
        <w:rPr>
          <w:noProof/>
        </w:rPr>
        <w:drawing>
          <wp:inline distT="0" distB="0" distL="0" distR="0" wp14:anchorId="76FF92F1" wp14:editId="13C55EEE">
            <wp:extent cx="4556760" cy="2110740"/>
            <wp:effectExtent l="0" t="0" r="0" b="0"/>
            <wp:docPr id="82" name="Picture 8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timelin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6760" cy="2110740"/>
                    </a:xfrm>
                    <a:prstGeom prst="rect">
                      <a:avLst/>
                    </a:prstGeom>
                    <a:noFill/>
                    <a:ln>
                      <a:noFill/>
                    </a:ln>
                  </pic:spPr>
                </pic:pic>
              </a:graphicData>
            </a:graphic>
          </wp:inline>
        </w:drawing>
      </w:r>
    </w:p>
    <w:p w14:paraId="468C2A4A" w14:textId="77777777" w:rsidR="00E72A61" w:rsidRPr="00134D48" w:rsidRDefault="00E72A61" w:rsidP="00E72A61">
      <w:pPr>
        <w:spacing w:before="40" w:after="40"/>
        <w:ind w:firstLine="567"/>
        <w:jc w:val="both"/>
        <w:rPr>
          <w:rFonts w:ascii="Times New Roman" w:eastAsia="Calibri" w:hAnsi="Times New Roman" w:cs="Times New Roman"/>
          <w:sz w:val="2"/>
          <w:szCs w:val="28"/>
          <w:lang w:val="en-US"/>
        </w:rPr>
      </w:pPr>
    </w:p>
    <w:p w14:paraId="0A3F42A6" w14:textId="77777777" w:rsidR="00CF6D82" w:rsidRPr="00CF6D82" w:rsidRDefault="00CF6D82" w:rsidP="00CF6D82">
      <w:pPr>
        <w:spacing w:before="40" w:after="40" w:line="264" w:lineRule="auto"/>
        <w:ind w:firstLine="567"/>
        <w:jc w:val="both"/>
        <w:rPr>
          <w:rFonts w:ascii="Times New Roman" w:hAnsi="Times New Roman" w:cs="Times New Roman"/>
          <w:b/>
          <w:bCs/>
          <w:sz w:val="28"/>
          <w:szCs w:val="28"/>
        </w:rPr>
      </w:pPr>
      <w:r w:rsidRPr="00CF6D82">
        <w:rPr>
          <w:rFonts w:ascii="Times New Roman" w:hAnsi="Times New Roman" w:cs="Times New Roman"/>
          <w:b/>
          <w:bCs/>
          <w:sz w:val="28"/>
          <w:szCs w:val="28"/>
        </w:rPr>
        <w:t>7. Một số tình hình xã hội</w:t>
      </w:r>
    </w:p>
    <w:p w14:paraId="37EC895C" w14:textId="77777777" w:rsidR="00CF6D82" w:rsidRPr="00CF6D82" w:rsidRDefault="00CF6D82" w:rsidP="00CF6D82">
      <w:pPr>
        <w:tabs>
          <w:tab w:val="left" w:pos="709"/>
          <w:tab w:val="left" w:pos="1134"/>
        </w:tabs>
        <w:spacing w:before="40" w:after="40" w:line="264" w:lineRule="auto"/>
        <w:ind w:firstLine="567"/>
        <w:jc w:val="both"/>
        <w:rPr>
          <w:rFonts w:ascii="Times New Roman" w:hAnsi="Times New Roman" w:cs="Times New Roman"/>
          <w:b/>
          <w:i/>
          <w:sz w:val="28"/>
          <w:szCs w:val="28"/>
        </w:rPr>
      </w:pPr>
      <w:r w:rsidRPr="00CF6D82">
        <w:rPr>
          <w:rFonts w:ascii="Times New Roman" w:hAnsi="Times New Roman" w:cs="Times New Roman"/>
          <w:b/>
          <w:i/>
          <w:sz w:val="28"/>
          <w:szCs w:val="28"/>
        </w:rPr>
        <w:t>a) Đời sống dân cư và công tác an sinh xã hội</w:t>
      </w:r>
    </w:p>
    <w:p w14:paraId="085E6AF6" w14:textId="7A0612B7" w:rsidR="00CF6D82" w:rsidRPr="00CF6D82" w:rsidRDefault="00A959AA" w:rsidP="00CF6D82">
      <w:pPr>
        <w:spacing w:before="40" w:after="40" w:line="269" w:lineRule="auto"/>
        <w:ind w:firstLine="567"/>
        <w:jc w:val="both"/>
        <w:rPr>
          <w:rFonts w:ascii="Times New Roman" w:hAnsi="Times New Roman" w:cs="Times New Roman"/>
          <w:sz w:val="28"/>
          <w:szCs w:val="28"/>
          <w:lang w:val="nl-NL"/>
        </w:rPr>
      </w:pPr>
      <w:r w:rsidRPr="00A959AA">
        <w:rPr>
          <w:rFonts w:ascii="Times New Roman" w:hAnsi="Times New Roman" w:cs="Times New Roman"/>
          <w:sz w:val="28"/>
          <w:szCs w:val="28"/>
          <w:lang w:val="nl-NL"/>
        </w:rPr>
        <w:t>According to preliminary results from the Household Living Standards Survey, in April this year, the percentage of households whose income decreased compared to the same period last year was 24.6% (of which 85.5% of households assessed their income decrease due to the impact of the Covid-19 epidemic);</w:t>
      </w:r>
      <w:r>
        <w:rPr>
          <w:rFonts w:ascii="Times New Roman" w:hAnsi="Times New Roman" w:cs="Times New Roman"/>
          <w:sz w:val="28"/>
          <w:szCs w:val="28"/>
          <w:lang w:val="vi-VN"/>
        </w:rPr>
        <w:t xml:space="preserve"> </w:t>
      </w:r>
      <w:r w:rsidR="00F80A5B" w:rsidRPr="00F80A5B">
        <w:rPr>
          <w:rFonts w:ascii="Times New Roman" w:hAnsi="Times New Roman" w:cs="Times New Roman"/>
          <w:sz w:val="28"/>
          <w:szCs w:val="28"/>
          <w:lang w:val="nl-NL"/>
        </w:rPr>
        <w:t xml:space="preserve">The percentage of unchanged income households was 43.6%, and the </w:t>
      </w:r>
      <w:r w:rsidR="00F80A5B" w:rsidRPr="00F80A5B">
        <w:rPr>
          <w:rFonts w:ascii="Times New Roman" w:hAnsi="Times New Roman" w:cs="Times New Roman"/>
          <w:sz w:val="28"/>
          <w:szCs w:val="28"/>
          <w:lang w:val="nl-NL"/>
        </w:rPr>
        <w:lastRenderedPageBreak/>
        <w:t>percentage of increased income households was 31.8%. Besides, the Covid-19 epidemic has wide affected people's lives when 74.8% of households were suffering from negative impacts of the Covid-19 pandemic; Only 2.3% of households were negatively affected by other diseases, and 2% were affected by livestock and plants diseases.</w:t>
      </w:r>
    </w:p>
    <w:p w14:paraId="293A1F5C" w14:textId="588036EB" w:rsidR="00BF555D" w:rsidRPr="00CF6D82" w:rsidRDefault="00CF6D82" w:rsidP="00CF6D82">
      <w:pPr>
        <w:tabs>
          <w:tab w:val="left" w:pos="709"/>
          <w:tab w:val="left" w:pos="1134"/>
        </w:tabs>
        <w:spacing w:before="40" w:after="40" w:line="269" w:lineRule="auto"/>
        <w:ind w:firstLine="567"/>
        <w:jc w:val="both"/>
        <w:rPr>
          <w:rFonts w:ascii="Times New Roman" w:hAnsi="Times New Roman" w:cs="Times New Roman"/>
          <w:sz w:val="28"/>
          <w:szCs w:val="28"/>
        </w:rPr>
      </w:pPr>
      <w:r w:rsidRPr="00CF6D82">
        <w:rPr>
          <w:rFonts w:ascii="Times New Roman" w:hAnsi="Times New Roman" w:cs="Times New Roman"/>
          <w:sz w:val="28"/>
          <w:szCs w:val="28"/>
        </w:rPr>
        <w:t xml:space="preserve"> </w:t>
      </w:r>
      <w:r w:rsidR="00434EF5" w:rsidRPr="00434EF5">
        <w:rPr>
          <w:rFonts w:ascii="Times New Roman" w:hAnsi="Times New Roman" w:cs="Times New Roman"/>
          <w:sz w:val="28"/>
          <w:szCs w:val="28"/>
          <w:lang w:val="nl-NL"/>
        </w:rPr>
        <w:t>Support packages due to the impact of the Covid-19 epidemic continue to be implemented. As of April 25, 2022, the support package under Resolution No. 68/NQ-CP dated July 1, 2021, and Resolution No. 126/NQ-CP dated October 8, 2021, of the Government reached more than 43.2 trillion VND to support 36.6 million employees and 381.7 thousand employers/business households; The support package under Resolution No. 116/NQ-CP dated September 24, 2021, of the Government, has disbursed more than 38.4 trillion VND to support over 13 million labors and 346.7 thousand units/household businesses with labors.</w:t>
      </w:r>
    </w:p>
    <w:p w14:paraId="35D1C48B" w14:textId="4A371CEC" w:rsidR="00722C96" w:rsidRPr="00380E0B" w:rsidRDefault="00722C96" w:rsidP="00CF6D82">
      <w:pPr>
        <w:pStyle w:val="Normal11"/>
        <w:tabs>
          <w:tab w:val="left" w:pos="900"/>
        </w:tabs>
        <w:spacing w:before="40" w:beforeAutospacing="0" w:after="40" w:afterAutospacing="0" w:line="269" w:lineRule="auto"/>
        <w:ind w:firstLine="567"/>
        <w:jc w:val="both"/>
        <w:rPr>
          <w:rStyle w:val="normalchar"/>
          <w:rFonts w:ascii="Times New Roman" w:hAnsi="Times New Roman"/>
          <w:b/>
          <w:bCs/>
          <w:i/>
          <w:iCs/>
          <w:sz w:val="28"/>
          <w:szCs w:val="28"/>
          <w:lang w:val="nl-NL"/>
        </w:rPr>
      </w:pPr>
      <w:r w:rsidRPr="00380E0B">
        <w:rPr>
          <w:rStyle w:val="normalchar"/>
          <w:rFonts w:ascii="Times New Roman" w:hAnsi="Times New Roman"/>
          <w:b/>
          <w:bCs/>
          <w:i/>
          <w:iCs/>
          <w:sz w:val="28"/>
          <w:szCs w:val="28"/>
          <w:lang w:val="nl-NL"/>
        </w:rPr>
        <w:t xml:space="preserve">b) </w:t>
      </w:r>
      <w:r w:rsidR="006F2730" w:rsidRPr="002A32D4">
        <w:rPr>
          <w:rStyle w:val="normalchar"/>
          <w:rFonts w:ascii="Times New Roman" w:hAnsi="Times New Roman"/>
          <w:b/>
          <w:bCs/>
          <w:i/>
          <w:iCs/>
          <w:sz w:val="28"/>
          <w:szCs w:val="28"/>
          <w:lang w:val="nl-NL"/>
        </w:rPr>
        <w:t>Epidemic diseases and food poisoning</w:t>
      </w:r>
    </w:p>
    <w:p w14:paraId="51179B54" w14:textId="77777777" w:rsidR="0099256B" w:rsidRPr="00380E0B" w:rsidRDefault="0099256B" w:rsidP="0099256B">
      <w:pPr>
        <w:spacing w:before="40" w:after="40" w:line="269" w:lineRule="auto"/>
        <w:ind w:firstLine="567"/>
        <w:jc w:val="both"/>
        <w:rPr>
          <w:rFonts w:ascii="Times New Roman" w:hAnsi="Times New Roman" w:cs="Times New Roman"/>
          <w:sz w:val="28"/>
          <w:szCs w:val="28"/>
          <w:lang w:val="de-DE"/>
        </w:rPr>
      </w:pPr>
      <w:r w:rsidRPr="000A7200">
        <w:rPr>
          <w:rFonts w:ascii="Times New Roman" w:hAnsi="Times New Roman" w:cs="Times New Roman"/>
          <w:spacing w:val="-2"/>
          <w:sz w:val="28"/>
          <w:szCs w:val="28"/>
          <w:lang w:val="de-DE"/>
        </w:rPr>
        <w:t>According to the report of the Ministry of Health</w:t>
      </w:r>
      <w:r w:rsidRPr="007B3832">
        <w:rPr>
          <w:rFonts w:ascii="Times New Roman" w:hAnsi="Times New Roman" w:cs="Times New Roman"/>
          <w:spacing w:val="-2"/>
          <w:sz w:val="28"/>
          <w:szCs w:val="28"/>
          <w:lang w:val="de-DE"/>
        </w:rPr>
        <w:t xml:space="preserve">, </w:t>
      </w:r>
      <w:r>
        <w:rPr>
          <w:rFonts w:ascii="Times New Roman" w:hAnsi="Times New Roman" w:cs="Times New Roman"/>
          <w:spacing w:val="-2"/>
          <w:sz w:val="28"/>
          <w:szCs w:val="28"/>
          <w:lang w:val="de-DE"/>
        </w:rPr>
        <w:t>in the month</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March 19</w:t>
      </w:r>
      <w:r>
        <w:rPr>
          <w:rFonts w:ascii="Times New Roman" w:hAnsi="Times New Roman" w:cs="Times New Roman"/>
          <w:spacing w:val="-4"/>
          <w:sz w:val="28"/>
          <w:szCs w:val="28"/>
          <w:vertAlign w:val="superscript"/>
          <w:lang w:val="de-DE"/>
        </w:rPr>
        <w:t>th</w:t>
      </w:r>
      <w:r>
        <w:rPr>
          <w:rFonts w:ascii="Times New Roman" w:hAnsi="Times New Roman" w:cs="Times New Roman"/>
          <w:spacing w:val="-4"/>
          <w:sz w:val="28"/>
          <w:szCs w:val="28"/>
          <w:lang w:val="de-DE"/>
        </w:rPr>
        <w:t xml:space="preserve"> to April 18</w:t>
      </w:r>
      <w:r>
        <w:rPr>
          <w:rFonts w:ascii="Times New Roman" w:hAnsi="Times New Roman" w:cs="Times New Roman"/>
          <w:spacing w:val="-4"/>
          <w:sz w:val="28"/>
          <w:szCs w:val="28"/>
          <w:vertAlign w:val="superscript"/>
          <w:lang w:val="de-DE"/>
        </w:rPr>
        <w:t>th</w:t>
      </w:r>
      <w:r w:rsidRPr="00EC73DD">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 xml:space="preserve"> 2022</w:t>
      </w:r>
      <w:r>
        <w:rPr>
          <w:rFonts w:ascii="Times New Roman" w:hAnsi="Times New Roman" w:cs="Times New Roman"/>
          <w:spacing w:val="-4"/>
          <w:sz w:val="28"/>
          <w:szCs w:val="28"/>
          <w:lang w:val="vi-VN"/>
        </w:rPr>
        <w:t>)</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there were  </w:t>
      </w:r>
      <w:r>
        <w:rPr>
          <w:rFonts w:ascii="Times New Roman" w:hAnsi="Times New Roman" w:cs="Times New Roman"/>
          <w:sz w:val="28"/>
          <w:szCs w:val="28"/>
          <w:lang w:val="de-DE"/>
        </w:rPr>
        <w:t>4,785</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hemorrhagic fever</w:t>
      </w:r>
      <w:r w:rsidRPr="00EC73DD">
        <w:rPr>
          <w:rFonts w:ascii="Times New Roman" w:hAnsi="Times New Roman" w:cs="Times New Roman"/>
          <w:spacing w:val="-4"/>
          <w:sz w:val="28"/>
          <w:szCs w:val="28"/>
          <w:lang w:val="de-DE"/>
        </w:rPr>
        <w:t xml:space="preserve"> </w:t>
      </w:r>
      <w:r w:rsidRPr="00380E0B">
        <w:rPr>
          <w:rFonts w:ascii="Times New Roman" w:hAnsi="Times New Roman" w:cs="Times New Roman"/>
          <w:sz w:val="28"/>
          <w:szCs w:val="28"/>
          <w:lang w:val="de-DE"/>
        </w:rPr>
        <w:t>(</w:t>
      </w:r>
      <w:r>
        <w:rPr>
          <w:rFonts w:ascii="Times New Roman" w:hAnsi="Times New Roman" w:cs="Times New Roman"/>
          <w:sz w:val="28"/>
          <w:szCs w:val="28"/>
          <w:lang w:val="de-DE"/>
        </w:rPr>
        <w:t>04</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died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660</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hand, foot and mouth disease</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14</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virus encephalitis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01</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 of meningococcal disease</w:t>
      </w:r>
      <w:r>
        <w:rPr>
          <w:rFonts w:ascii="Times New Roman" w:hAnsi="Times New Roman" w:cs="Times New Roman"/>
          <w:sz w:val="28"/>
          <w:szCs w:val="28"/>
          <w:lang w:val="de-DE"/>
        </w:rPr>
        <w:t xml:space="preserve"> and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14</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scarlet fever suspected for measles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In the first 4</w:t>
      </w:r>
      <w:r w:rsidRPr="00D64BE4">
        <w:rPr>
          <w:rFonts w:ascii="Times New Roman" w:hAnsi="Times New Roman" w:cs="Times New Roman"/>
          <w:sz w:val="28"/>
          <w:szCs w:val="28"/>
          <w:lang w:val="de-DE"/>
        </w:rPr>
        <w:t xml:space="preserve"> months</w:t>
      </w:r>
      <w:r>
        <w:rPr>
          <w:rFonts w:ascii="Times New Roman" w:hAnsi="Times New Roman" w:cs="Times New Roman"/>
          <w:sz w:val="28"/>
          <w:szCs w:val="28"/>
          <w:lang w:val="de-DE"/>
        </w:rPr>
        <w:t xml:space="preserve"> </w:t>
      </w:r>
      <w:r>
        <w:rPr>
          <w:rFonts w:ascii="Times New Roman" w:hAnsi="Times New Roman" w:cs="Times New Roman"/>
          <w:sz w:val="28"/>
          <w:szCs w:val="28"/>
          <w:lang w:val="vi-VN"/>
        </w:rPr>
        <w:t xml:space="preserve">of </w:t>
      </w:r>
      <w:r w:rsidRPr="00EC73DD">
        <w:rPr>
          <w:rFonts w:ascii="Times New Roman" w:hAnsi="Times New Roman" w:cs="Times New Roman"/>
          <w:spacing w:val="-4"/>
          <w:sz w:val="28"/>
          <w:szCs w:val="28"/>
          <w:lang w:val="de-DE"/>
        </w:rPr>
        <w:t>2022</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there were</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14,704</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hemorrhagic fever</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06</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died</w:t>
      </w:r>
      <w:r w:rsidRPr="00380E0B">
        <w:rPr>
          <w:rFonts w:ascii="Times New Roman" w:hAnsi="Times New Roman" w:cs="Times New Roman"/>
          <w:sz w:val="28"/>
          <w:szCs w:val="28"/>
          <w:lang w:val="de-DE"/>
        </w:rPr>
        <w:t>);</w:t>
      </w:r>
      <w:r>
        <w:rPr>
          <w:rFonts w:ascii="Times New Roman" w:hAnsi="Times New Roman" w:cs="Times New Roman"/>
          <w:sz w:val="28"/>
          <w:szCs w:val="28"/>
          <w:lang w:val="de-DE"/>
        </w:rPr>
        <w:t xml:space="preserve"> 1,066</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hand, foot and mouth disease</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42</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virus encephalitis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02</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w:t>
      </w:r>
      <w:r>
        <w:rPr>
          <w:rFonts w:ascii="Times New Roman" w:hAnsi="Times New Roman" w:cs="Times New Roman"/>
          <w:sz w:val="28"/>
          <w:szCs w:val="28"/>
          <w:lang w:val="de-DE"/>
        </w:rPr>
        <w:t>s</w:t>
      </w:r>
      <w:r w:rsidRPr="00D64BE4">
        <w:rPr>
          <w:rFonts w:ascii="Times New Roman" w:hAnsi="Times New Roman" w:cs="Times New Roman"/>
          <w:sz w:val="28"/>
          <w:szCs w:val="28"/>
          <w:lang w:val="de-DE"/>
        </w:rPr>
        <w:t xml:space="preserve"> of meningococcal disease</w:t>
      </w:r>
      <w:r>
        <w:rPr>
          <w:rFonts w:ascii="Times New Roman" w:hAnsi="Times New Roman" w:cs="Times New Roman"/>
          <w:sz w:val="28"/>
          <w:szCs w:val="28"/>
          <w:lang w:val="de-DE"/>
        </w:rPr>
        <w:t xml:space="preserve"> and 21</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scarlet fever suspected for measles</w:t>
      </w:r>
      <w:r w:rsidRPr="00380E0B">
        <w:rPr>
          <w:rFonts w:ascii="Times New Roman" w:hAnsi="Times New Roman" w:cs="Times New Roman"/>
          <w:sz w:val="28"/>
          <w:szCs w:val="28"/>
          <w:lang w:val="de-DE"/>
        </w:rPr>
        <w:t>.</w:t>
      </w:r>
    </w:p>
    <w:p w14:paraId="30334749" w14:textId="1C9F12DF" w:rsidR="008B449A" w:rsidRPr="00CF6D82" w:rsidRDefault="008B449A" w:rsidP="008B449A">
      <w:pPr>
        <w:spacing w:before="40" w:after="40" w:line="252" w:lineRule="auto"/>
        <w:ind w:firstLine="567"/>
        <w:jc w:val="both"/>
        <w:rPr>
          <w:rFonts w:ascii="Times New Roman" w:hAnsi="Times New Roman" w:cs="Times New Roman"/>
          <w:spacing w:val="-2"/>
          <w:sz w:val="28"/>
          <w:szCs w:val="28"/>
          <w:lang w:val="de-DE"/>
        </w:rPr>
      </w:pPr>
      <w:r w:rsidRPr="00520AFF">
        <w:rPr>
          <w:rFonts w:ascii="Times New Roman" w:hAnsi="Times New Roman" w:cs="Times New Roman"/>
          <w:spacing w:val="-2"/>
          <w:sz w:val="28"/>
          <w:szCs w:val="28"/>
          <w:lang w:val="de-DE"/>
        </w:rPr>
        <w:t>The number of new cases and deaths from the Covid-19 epidemic in most regions of the world has decreased</w:t>
      </w:r>
      <w:r w:rsidRPr="00CF6D82">
        <w:rPr>
          <w:rStyle w:val="FootnoteReference"/>
          <w:rFonts w:ascii="Times New Roman" w:hAnsi="Times New Roman"/>
          <w:spacing w:val="-2"/>
          <w:sz w:val="28"/>
          <w:szCs w:val="28"/>
          <w:lang w:val="de-DE"/>
        </w:rPr>
        <w:footnoteReference w:id="26"/>
      </w:r>
      <w:r w:rsidRPr="00520AFF">
        <w:rPr>
          <w:rFonts w:ascii="Times New Roman" w:hAnsi="Times New Roman" w:cs="Times New Roman"/>
          <w:spacing w:val="-2"/>
          <w:sz w:val="28"/>
          <w:szCs w:val="28"/>
          <w:lang w:val="de-DE"/>
        </w:rPr>
        <w:t>, many countries are proactively adapting and speeding up the process of returning to pre-pandemic life</w:t>
      </w:r>
      <w:r w:rsidRPr="00CF6D82">
        <w:rPr>
          <w:rFonts w:ascii="Times New Roman" w:hAnsi="Times New Roman" w:cs="Times New Roman"/>
          <w:spacing w:val="-2"/>
          <w:sz w:val="28"/>
          <w:szCs w:val="28"/>
          <w:lang w:val="de-DE"/>
        </w:rPr>
        <w:t xml:space="preserve">. </w:t>
      </w:r>
      <w:r w:rsidRPr="00520AFF">
        <w:rPr>
          <w:rFonts w:ascii="Times New Roman" w:hAnsi="Times New Roman" w:cs="Times New Roman"/>
          <w:spacing w:val="-2"/>
          <w:sz w:val="28"/>
          <w:szCs w:val="28"/>
          <w:lang w:val="de-DE"/>
        </w:rPr>
        <w:t>In Vietnam, the epidemic situation has had positive developments, with a tendency to decrease sharply in all four criteria: the number of cases in the community, the number of deaths, the number of cases being treated at the hospital, the number of severe cases</w:t>
      </w:r>
      <w:r>
        <w:rPr>
          <w:rFonts w:ascii="Times New Roman" w:hAnsi="Times New Roman" w:cs="Times New Roman"/>
          <w:spacing w:val="-2"/>
          <w:sz w:val="28"/>
          <w:szCs w:val="28"/>
          <w:lang w:val="de-DE"/>
        </w:rPr>
        <w:t xml:space="preserve">. </w:t>
      </w:r>
      <w:r w:rsidRPr="00520AFF">
        <w:rPr>
          <w:rFonts w:ascii="Times New Roman" w:hAnsi="Times New Roman" w:cs="Times New Roman"/>
          <w:spacing w:val="-2"/>
          <w:sz w:val="28"/>
          <w:szCs w:val="28"/>
          <w:lang w:val="de-DE"/>
        </w:rPr>
        <w:t xml:space="preserve">As of </w:t>
      </w:r>
      <w:r w:rsidR="000922CA">
        <w:rPr>
          <w:rFonts w:ascii="Times New Roman" w:hAnsi="Times New Roman" w:cs="Times New Roman"/>
          <w:spacing w:val="-2"/>
          <w:sz w:val="28"/>
          <w:szCs w:val="28"/>
          <w:lang w:val="de-DE"/>
        </w:rPr>
        <w:t>4</w:t>
      </w:r>
      <w:r w:rsidRPr="00520AFF">
        <w:rPr>
          <w:rFonts w:ascii="Times New Roman" w:hAnsi="Times New Roman" w:cs="Times New Roman"/>
          <w:spacing w:val="-2"/>
          <w:sz w:val="28"/>
          <w:szCs w:val="28"/>
          <w:lang w:val="de-DE"/>
        </w:rPr>
        <w:t>:00 pm on April 26</w:t>
      </w:r>
      <w:r w:rsidRPr="00520AFF">
        <w:rPr>
          <w:rFonts w:ascii="Times New Roman" w:hAnsi="Times New Roman" w:cs="Times New Roman"/>
          <w:spacing w:val="-2"/>
          <w:sz w:val="28"/>
          <w:szCs w:val="28"/>
          <w:vertAlign w:val="superscript"/>
          <w:lang w:val="de-DE"/>
        </w:rPr>
        <w:t>th</w:t>
      </w:r>
      <w:r w:rsidRPr="00520AFF">
        <w:rPr>
          <w:rFonts w:ascii="Times New Roman" w:hAnsi="Times New Roman" w:cs="Times New Roman"/>
          <w:spacing w:val="-2"/>
          <w:sz w:val="28"/>
          <w:szCs w:val="28"/>
          <w:lang w:val="de-DE"/>
        </w:rPr>
        <w:t xml:space="preserve"> 2022</w:t>
      </w:r>
      <w:r w:rsidRPr="00CF6D82">
        <w:rPr>
          <w:rFonts w:ascii="Times New Roman" w:hAnsi="Times New Roman" w:cs="Times New Roman"/>
          <w:spacing w:val="-2"/>
          <w:sz w:val="28"/>
          <w:szCs w:val="28"/>
          <w:lang w:val="de-DE"/>
        </w:rPr>
        <w:t xml:space="preserve">, </w:t>
      </w:r>
      <w:r>
        <w:rPr>
          <w:rFonts w:ascii="Times New Roman" w:hAnsi="Times New Roman" w:cs="Times New Roman"/>
          <w:spacing w:val="-4"/>
          <w:sz w:val="28"/>
          <w:szCs w:val="28"/>
          <w:lang w:val="de-DE"/>
        </w:rPr>
        <w:t>there were</w:t>
      </w:r>
      <w:r w:rsidRPr="00CF6D82">
        <w:rPr>
          <w:rFonts w:ascii="Times New Roman" w:hAnsi="Times New Roman" w:cs="Times New Roman"/>
          <w:spacing w:val="-2"/>
          <w:sz w:val="28"/>
          <w:szCs w:val="28"/>
          <w:lang w:val="de-DE"/>
        </w:rPr>
        <w:t xml:space="preserve"> </w:t>
      </w:r>
      <w:r>
        <w:rPr>
          <w:rFonts w:ascii="Times New Roman" w:hAnsi="Times New Roman" w:cs="Times New Roman"/>
          <w:spacing w:val="-2"/>
          <w:sz w:val="28"/>
          <w:szCs w:val="28"/>
          <w:lang w:val="de-DE"/>
        </w:rPr>
        <w:t>10,620.2</w:t>
      </w:r>
      <w:r w:rsidRPr="00CF6D82">
        <w:rPr>
          <w:rFonts w:ascii="Times New Roman" w:hAnsi="Times New Roman" w:cs="Times New Roman"/>
          <w:spacing w:val="-2"/>
          <w:sz w:val="28"/>
          <w:szCs w:val="28"/>
          <w:lang w:val="de-DE"/>
        </w:rPr>
        <w:t xml:space="preserve">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reported</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of which</w:t>
      </w:r>
      <w:r>
        <w:rPr>
          <w:rFonts w:ascii="Times New Roman" w:hAnsi="Times New Roman" w:cs="Times New Roman"/>
          <w:spacing w:val="-2"/>
          <w:sz w:val="28"/>
          <w:szCs w:val="28"/>
          <w:lang w:val="de-DE"/>
        </w:rPr>
        <w:t xml:space="preserve"> 9,116.2</w:t>
      </w:r>
      <w:r w:rsidRPr="00CF6D82">
        <w:rPr>
          <w:rFonts w:ascii="Times New Roman" w:hAnsi="Times New Roman" w:cs="Times New Roman"/>
          <w:spacing w:val="-2"/>
          <w:sz w:val="28"/>
          <w:szCs w:val="28"/>
          <w:lang w:val="de-DE"/>
        </w:rPr>
        <w:t xml:space="preserve">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cured</w:t>
      </w:r>
      <w:r>
        <w:rPr>
          <w:rFonts w:ascii="Times New Roman" w:hAnsi="Times New Roman" w:cs="Times New Roman"/>
          <w:sz w:val="28"/>
          <w:szCs w:val="28"/>
          <w:lang w:val="de-DE"/>
        </w:rPr>
        <w:t xml:space="preserve"> and</w:t>
      </w:r>
      <w:r w:rsidRPr="00CF6D82">
        <w:rPr>
          <w:rFonts w:ascii="Times New Roman" w:hAnsi="Times New Roman" w:cs="Times New Roman"/>
          <w:spacing w:val="-2"/>
          <w:sz w:val="28"/>
          <w:szCs w:val="28"/>
          <w:lang w:val="de-DE"/>
        </w:rPr>
        <w:t xml:space="preserve"> 43 </w:t>
      </w:r>
      <w:r>
        <w:rPr>
          <w:rFonts w:ascii="Times New Roman" w:hAnsi="Times New Roman" w:cs="Times New Roman"/>
          <w:spacing w:val="-4"/>
          <w:sz w:val="28"/>
          <w:szCs w:val="28"/>
          <w:lang w:val="de-DE"/>
        </w:rPr>
        <w:t xml:space="preserve">thousand </w:t>
      </w:r>
      <w:r>
        <w:rPr>
          <w:rFonts w:ascii="Times New Roman" w:hAnsi="Times New Roman" w:cs="Times New Roman"/>
          <w:spacing w:val="-4"/>
          <w:sz w:val="28"/>
          <w:szCs w:val="28"/>
          <w:lang w:val="en-US"/>
        </w:rPr>
        <w:t>cases died</w:t>
      </w:r>
      <w:r w:rsidRPr="00CF6D82">
        <w:rPr>
          <w:rFonts w:ascii="Times New Roman" w:hAnsi="Times New Roman" w:cs="Times New Roman"/>
          <w:spacing w:val="-2"/>
          <w:sz w:val="28"/>
          <w:szCs w:val="28"/>
          <w:lang w:val="de-DE"/>
        </w:rPr>
        <w:t>.</w:t>
      </w:r>
    </w:p>
    <w:p w14:paraId="52D5677C" w14:textId="77777777" w:rsidR="004F15A9" w:rsidRPr="000D03CF" w:rsidRDefault="004F15A9" w:rsidP="004F15A9">
      <w:pPr>
        <w:spacing w:before="40" w:after="40" w:line="252" w:lineRule="auto"/>
        <w:ind w:firstLine="567"/>
        <w:jc w:val="both"/>
        <w:rPr>
          <w:rFonts w:ascii="Times New Roman" w:hAnsi="Times New Roman" w:cs="Times New Roman"/>
          <w:spacing w:val="-2"/>
          <w:sz w:val="28"/>
          <w:szCs w:val="28"/>
          <w:lang w:val="de-DE"/>
        </w:rPr>
      </w:pPr>
      <w:r w:rsidRPr="001A464D">
        <w:rPr>
          <w:rFonts w:ascii="Times New Roman" w:hAnsi="Times New Roman" w:cs="Times New Roman"/>
          <w:spacing w:val="-2"/>
          <w:sz w:val="28"/>
          <w:szCs w:val="28"/>
          <w:lang w:val="de-DE"/>
        </w:rPr>
        <w:t>From April 21</w:t>
      </w:r>
      <w:r w:rsidRPr="001A464D">
        <w:rPr>
          <w:rFonts w:ascii="Times New Roman" w:hAnsi="Times New Roman" w:cs="Times New Roman"/>
          <w:spacing w:val="-2"/>
          <w:sz w:val="28"/>
          <w:szCs w:val="28"/>
          <w:vertAlign w:val="superscript"/>
          <w:lang w:val="de-DE"/>
        </w:rPr>
        <w:t>st</w:t>
      </w:r>
      <w:r w:rsidRPr="001A464D">
        <w:rPr>
          <w:rFonts w:ascii="Times New Roman" w:hAnsi="Times New Roman" w:cs="Times New Roman"/>
          <w:spacing w:val="-2"/>
          <w:sz w:val="28"/>
          <w:szCs w:val="28"/>
          <w:lang w:val="de-DE"/>
        </w:rPr>
        <w:t>, 2022, many localities across the country simultaneously organized vaccination against Covid-19 for childr</w:t>
      </w:r>
      <w:r>
        <w:rPr>
          <w:rFonts w:ascii="Times New Roman" w:hAnsi="Times New Roman" w:cs="Times New Roman"/>
          <w:spacing w:val="-2"/>
          <w:sz w:val="28"/>
          <w:szCs w:val="28"/>
          <w:lang w:val="de-DE"/>
        </w:rPr>
        <w:t xml:space="preserve">en from 5 to under 12 years old. </w:t>
      </w:r>
      <w:r>
        <w:rPr>
          <w:rFonts w:ascii="Times New Roman" w:hAnsi="Times New Roman" w:cs="Times New Roman"/>
          <w:sz w:val="28"/>
          <w:szCs w:val="28"/>
          <w:lang w:val="de-DE"/>
        </w:rPr>
        <w:t>As of April 25</w:t>
      </w:r>
      <w:r>
        <w:rPr>
          <w:rFonts w:ascii="Times New Roman" w:hAnsi="Times New Roman" w:cs="Times New Roman"/>
          <w:sz w:val="28"/>
          <w:szCs w:val="28"/>
          <w:vertAlign w:val="superscript"/>
          <w:lang w:val="de-DE"/>
        </w:rPr>
        <w:t>th</w:t>
      </w:r>
      <w:r>
        <w:rPr>
          <w:rFonts w:ascii="Times New Roman" w:hAnsi="Times New Roman" w:cs="Times New Roman"/>
          <w:sz w:val="28"/>
          <w:szCs w:val="28"/>
          <w:lang w:val="de-DE"/>
        </w:rPr>
        <w:t>, 2022</w:t>
      </w:r>
      <w:r w:rsidRPr="000D03CF">
        <w:rPr>
          <w:rFonts w:ascii="Times New Roman" w:hAnsi="Times New Roman" w:cs="Times New Roman"/>
          <w:spacing w:val="-2"/>
          <w:sz w:val="28"/>
          <w:szCs w:val="28"/>
          <w:lang w:val="de-DE"/>
        </w:rPr>
        <w:t xml:space="preserve">, </w:t>
      </w:r>
      <w:r w:rsidRPr="00321DA0">
        <w:rPr>
          <w:rFonts w:ascii="Times New Roman" w:hAnsi="Times New Roman" w:cs="Times New Roman"/>
          <w:sz w:val="28"/>
          <w:szCs w:val="28"/>
          <w:lang w:val="de-DE"/>
        </w:rPr>
        <w:t xml:space="preserve">The total number of doses of Covid-19 vaccine that have been administered </w:t>
      </w:r>
      <w:r>
        <w:rPr>
          <w:rFonts w:ascii="Times New Roman" w:hAnsi="Times New Roman" w:cs="Times New Roman"/>
          <w:sz w:val="28"/>
          <w:szCs w:val="28"/>
          <w:lang w:val="de-DE"/>
        </w:rPr>
        <w:t>was</w:t>
      </w:r>
      <w:r w:rsidRPr="00EC73DD">
        <w:rPr>
          <w:rFonts w:ascii="Times New Roman" w:hAnsi="Times New Roman" w:cs="Times New Roman"/>
          <w:sz w:val="28"/>
          <w:szCs w:val="28"/>
          <w:lang w:val="de-DE"/>
        </w:rPr>
        <w:t xml:space="preserve"> </w:t>
      </w:r>
      <w:r>
        <w:rPr>
          <w:rFonts w:ascii="Times New Roman" w:hAnsi="Times New Roman" w:cs="Times New Roman"/>
          <w:spacing w:val="-2"/>
          <w:sz w:val="28"/>
          <w:szCs w:val="28"/>
          <w:lang w:val="de-DE"/>
        </w:rPr>
        <w:t>213,061.7</w:t>
      </w:r>
      <w:r w:rsidRPr="000D03CF">
        <w:rPr>
          <w:rFonts w:ascii="Times New Roman" w:hAnsi="Times New Roman" w:cs="Times New Roman"/>
          <w:spacing w:val="-2"/>
          <w:sz w:val="28"/>
          <w:szCs w:val="28"/>
          <w:lang w:val="de-DE"/>
        </w:rPr>
        <w:t xml:space="preserve"> </w:t>
      </w:r>
      <w:r>
        <w:rPr>
          <w:rFonts w:ascii="Times New Roman" w:hAnsi="Times New Roman" w:cs="Times New Roman"/>
          <w:sz w:val="28"/>
          <w:szCs w:val="28"/>
          <w:lang w:val="de-DE"/>
        </w:rPr>
        <w:t xml:space="preserve">thousand </w:t>
      </w:r>
      <w:r w:rsidRPr="00321DA0">
        <w:rPr>
          <w:rFonts w:ascii="Times New Roman" w:hAnsi="Times New Roman" w:cs="Times New Roman"/>
          <w:sz w:val="28"/>
          <w:szCs w:val="28"/>
          <w:lang w:val="de-DE"/>
        </w:rPr>
        <w:t>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of which the first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was</w:t>
      </w:r>
      <w:r w:rsidRPr="000D03CF">
        <w:rPr>
          <w:rFonts w:ascii="Times New Roman" w:hAnsi="Times New Roman" w:cs="Times New Roman"/>
          <w:spacing w:val="-2"/>
          <w:sz w:val="28"/>
          <w:szCs w:val="28"/>
          <w:lang w:val="de-DE"/>
        </w:rPr>
        <w:t xml:space="preserve"> 8</w:t>
      </w:r>
      <w:r>
        <w:rPr>
          <w:rFonts w:ascii="Times New Roman" w:hAnsi="Times New Roman" w:cs="Times New Roman"/>
          <w:spacing w:val="-2"/>
          <w:sz w:val="28"/>
          <w:szCs w:val="28"/>
          <w:lang w:val="de-DE"/>
        </w:rPr>
        <w:t>1,210.6</w:t>
      </w:r>
      <w:r w:rsidRPr="000D03CF">
        <w:rPr>
          <w:rFonts w:ascii="Times New Roman" w:hAnsi="Times New Roman" w:cs="Times New Roman"/>
          <w:spacing w:val="-2"/>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the </w:t>
      </w:r>
      <w:r w:rsidRPr="00321DA0">
        <w:rPr>
          <w:rFonts w:ascii="Times New Roman" w:hAnsi="Times New Roman" w:cs="Times New Roman"/>
          <w:sz w:val="28"/>
          <w:szCs w:val="28"/>
          <w:lang w:val="de-DE"/>
        </w:rPr>
        <w:t xml:space="preserve">second </w:t>
      </w:r>
      <w:r>
        <w:rPr>
          <w:rFonts w:ascii="Times New Roman" w:hAnsi="Times New Roman" w:cs="Times New Roman"/>
          <w:sz w:val="28"/>
          <w:szCs w:val="28"/>
          <w:lang w:val="de-DE"/>
        </w:rPr>
        <w:t>time was</w:t>
      </w:r>
      <w:r>
        <w:rPr>
          <w:rFonts w:ascii="Times New Roman" w:hAnsi="Times New Roman" w:cs="Times New Roman"/>
          <w:spacing w:val="-2"/>
          <w:sz w:val="28"/>
          <w:szCs w:val="28"/>
          <w:lang w:val="de-DE"/>
        </w:rPr>
        <w:t xml:space="preserve"> 77,079.1</w:t>
      </w:r>
      <w:r w:rsidRPr="000D03CF">
        <w:rPr>
          <w:rFonts w:ascii="Times New Roman" w:hAnsi="Times New Roman" w:cs="Times New Roman"/>
          <w:spacing w:val="-2"/>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the 3</w:t>
      </w:r>
      <w:r w:rsidRPr="00C717C8">
        <w:rPr>
          <w:rFonts w:ascii="Times New Roman" w:hAnsi="Times New Roman" w:cs="Times New Roman"/>
          <w:sz w:val="28"/>
          <w:szCs w:val="28"/>
          <w:vertAlign w:val="superscript"/>
          <w:lang w:val="de-DE"/>
        </w:rPr>
        <w:t>rd</w:t>
      </w:r>
      <w:r w:rsidRPr="00321DA0">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t>
      </w:r>
      <w:r w:rsidRPr="004E22F5">
        <w:rPr>
          <w:rFonts w:ascii="Times New Roman" w:hAnsi="Times New Roman" w:cs="Times New Roman"/>
          <w:sz w:val="28"/>
          <w:szCs w:val="28"/>
          <w:lang w:val="de-DE"/>
        </w:rPr>
        <w:t>Additional injections, booster injections and basic 3-dose injections</w:t>
      </w:r>
      <w:r w:rsidRPr="00321DA0">
        <w:rPr>
          <w:rFonts w:ascii="Times New Roman" w:hAnsi="Times New Roman" w:cs="Times New Roman"/>
          <w:sz w:val="28"/>
          <w:szCs w:val="28"/>
          <w:lang w:val="de-DE"/>
        </w:rPr>
        <w:t xml:space="preserve">) </w:t>
      </w:r>
      <w:r>
        <w:rPr>
          <w:rFonts w:ascii="Times New Roman" w:hAnsi="Times New Roman" w:cs="Times New Roman"/>
          <w:sz w:val="28"/>
          <w:szCs w:val="28"/>
          <w:lang w:val="de-DE"/>
        </w:rPr>
        <w:t>was</w:t>
      </w:r>
      <w:r>
        <w:rPr>
          <w:rFonts w:ascii="Times New Roman" w:hAnsi="Times New Roman" w:cs="Times New Roman"/>
          <w:spacing w:val="-2"/>
          <w:sz w:val="28"/>
          <w:szCs w:val="28"/>
          <w:lang w:val="de-DE"/>
        </w:rPr>
        <w:t xml:space="preserve"> 54,772</w:t>
      </w:r>
      <w:r w:rsidRPr="000D03CF">
        <w:rPr>
          <w:rFonts w:ascii="Times New Roman" w:hAnsi="Times New Roman" w:cs="Times New Roman"/>
          <w:spacing w:val="-2"/>
          <w:sz w:val="28"/>
          <w:szCs w:val="28"/>
          <w:lang w:val="de-DE"/>
        </w:rPr>
        <w:t xml:space="preserve"> </w:t>
      </w:r>
      <w:r>
        <w:rPr>
          <w:rFonts w:ascii="Times New Roman" w:hAnsi="Times New Roman" w:cs="Times New Roman"/>
          <w:sz w:val="28"/>
          <w:szCs w:val="28"/>
          <w:lang w:val="de-DE"/>
        </w:rPr>
        <w:t>thousand doses</w:t>
      </w:r>
      <w:r w:rsidRPr="000D03CF">
        <w:rPr>
          <w:rFonts w:ascii="Times New Roman" w:hAnsi="Times New Roman" w:cs="Times New Roman"/>
          <w:spacing w:val="-2"/>
          <w:sz w:val="28"/>
          <w:szCs w:val="28"/>
          <w:lang w:val="de-DE"/>
        </w:rPr>
        <w:t>.</w:t>
      </w:r>
    </w:p>
    <w:p w14:paraId="64C52301" w14:textId="7167FBC7" w:rsidR="00022670" w:rsidRPr="00380E0B" w:rsidRDefault="00022670" w:rsidP="00022670">
      <w:pPr>
        <w:spacing w:before="40" w:after="40" w:line="252"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lastRenderedPageBreak/>
        <w:t xml:space="preserve">The total number of alive HIV-infected persons </w:t>
      </w:r>
      <w:r>
        <w:rPr>
          <w:rFonts w:ascii="Times New Roman" w:hAnsi="Times New Roman" w:cs="Times New Roman"/>
          <w:sz w:val="28"/>
          <w:szCs w:val="28"/>
          <w:lang w:val="vi-VN"/>
        </w:rPr>
        <w:t>in</w:t>
      </w:r>
      <w:r w:rsidRPr="00D64BE4">
        <w:rPr>
          <w:rFonts w:ascii="Times New Roman" w:hAnsi="Times New Roman" w:cs="Times New Roman"/>
          <w:sz w:val="28"/>
          <w:szCs w:val="28"/>
          <w:lang w:val="de-DE"/>
        </w:rPr>
        <w:t xml:space="preserve"> the country as of </w:t>
      </w:r>
      <w:r>
        <w:rPr>
          <w:rFonts w:ascii="Times New Roman" w:hAnsi="Times New Roman" w:cs="Times New Roman"/>
          <w:sz w:val="28"/>
          <w:szCs w:val="28"/>
          <w:lang w:val="de-DE"/>
        </w:rPr>
        <w:t>April</w:t>
      </w:r>
      <w:r w:rsidRPr="00D64BE4">
        <w:rPr>
          <w:rFonts w:ascii="Times New Roman" w:hAnsi="Times New Roman" w:cs="Times New Roman"/>
          <w:sz w:val="28"/>
          <w:szCs w:val="28"/>
          <w:lang w:val="de-DE"/>
        </w:rPr>
        <w:t xml:space="preserve"> 18, 2021 was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215,572</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persons and</w:t>
      </w:r>
      <w:r w:rsidRPr="00EC73DD">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 xml:space="preserve">the number of </w:t>
      </w:r>
      <w:r>
        <w:rPr>
          <w:rFonts w:ascii="Times New Roman" w:hAnsi="Times New Roman" w:cs="Times New Roman"/>
          <w:sz w:val="28"/>
          <w:szCs w:val="28"/>
          <w:lang w:val="de-DE"/>
        </w:rPr>
        <w:t>deaths by</w:t>
      </w:r>
      <w:r w:rsidRPr="00D64BE4">
        <w:rPr>
          <w:rFonts w:ascii="Times New Roman" w:hAnsi="Times New Roman" w:cs="Times New Roman"/>
          <w:sz w:val="28"/>
          <w:szCs w:val="28"/>
          <w:lang w:val="de-DE"/>
        </w:rPr>
        <w:t xml:space="preserve"> HIV/AIDS as of </w:t>
      </w:r>
      <w:r>
        <w:rPr>
          <w:rFonts w:ascii="Times New Roman" w:hAnsi="Times New Roman" w:cs="Times New Roman"/>
          <w:sz w:val="28"/>
          <w:szCs w:val="28"/>
          <w:lang w:val="de-DE"/>
        </w:rPr>
        <w:t xml:space="preserve">the </w:t>
      </w:r>
      <w:r w:rsidRPr="00D64BE4">
        <w:rPr>
          <w:rFonts w:ascii="Times New Roman" w:hAnsi="Times New Roman" w:cs="Times New Roman"/>
          <w:sz w:val="28"/>
          <w:szCs w:val="28"/>
          <w:lang w:val="de-DE"/>
        </w:rPr>
        <w:t>above time-point was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111,396</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persons</w:t>
      </w:r>
      <w:r w:rsidRPr="00380E0B">
        <w:rPr>
          <w:rFonts w:ascii="Times New Roman" w:hAnsi="Times New Roman" w:cs="Times New Roman"/>
          <w:sz w:val="28"/>
          <w:szCs w:val="28"/>
          <w:lang w:val="de-DE"/>
        </w:rPr>
        <w:t>.</w:t>
      </w:r>
    </w:p>
    <w:p w14:paraId="79DCCF67" w14:textId="77777777" w:rsidR="00022670" w:rsidRDefault="00022670" w:rsidP="00022670">
      <w:pPr>
        <w:tabs>
          <w:tab w:val="left" w:pos="709"/>
          <w:tab w:val="left" w:pos="1134"/>
        </w:tabs>
        <w:spacing w:before="40" w:after="40" w:line="252"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 xml:space="preserve">In </w:t>
      </w:r>
      <w:r>
        <w:rPr>
          <w:rFonts w:ascii="Times New Roman" w:hAnsi="Times New Roman" w:cs="Times New Roman"/>
          <w:sz w:val="28"/>
          <w:szCs w:val="28"/>
          <w:lang w:val="de-DE"/>
        </w:rPr>
        <w:t>April</w:t>
      </w:r>
      <w:r w:rsidRPr="00D64BE4">
        <w:rPr>
          <w:rFonts w:ascii="Times New Roman" w:hAnsi="Times New Roman" w:cs="Times New Roman"/>
          <w:sz w:val="28"/>
          <w:szCs w:val="28"/>
          <w:lang w:val="de-DE"/>
        </w:rPr>
        <w:t xml:space="preserve">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Pr>
          <w:rFonts w:ascii="Times New Roman" w:hAnsi="Times New Roman" w:cs="Times New Roman"/>
          <w:sz w:val="28"/>
          <w:szCs w:val="28"/>
          <w:lang w:val="de-DE"/>
        </w:rPr>
        <w:t xml:space="preserve"> 03</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 </w:t>
      </w:r>
      <w:r>
        <w:rPr>
          <w:rFonts w:ascii="Times New Roman" w:hAnsi="Times New Roman" w:cs="Times New Roman"/>
          <w:sz w:val="28"/>
          <w:szCs w:val="28"/>
          <w:lang w:val="de-DE"/>
        </w:rPr>
        <w:t>157</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persons poisoned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01</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case</w:t>
      </w:r>
      <w:r w:rsidRPr="006D7720">
        <w:rPr>
          <w:rFonts w:ascii="Times New Roman" w:hAnsi="Times New Roman" w:cs="Times New Roman"/>
          <w:sz w:val="28"/>
          <w:szCs w:val="28"/>
          <w:lang w:val="de-DE"/>
        </w:rPr>
        <w:t xml:space="preserve"> died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I</w:t>
      </w:r>
      <w:r w:rsidRPr="00D64BE4">
        <w:rPr>
          <w:rFonts w:ascii="Times New Roman" w:hAnsi="Times New Roman" w:cs="Times New Roman"/>
          <w:sz w:val="28"/>
          <w:szCs w:val="28"/>
          <w:lang w:val="de-DE"/>
        </w:rPr>
        <w:t xml:space="preserve">n the first </w:t>
      </w:r>
      <w:r>
        <w:rPr>
          <w:rFonts w:ascii="Times New Roman" w:hAnsi="Times New Roman" w:cs="Times New Roman"/>
          <w:sz w:val="28"/>
          <w:szCs w:val="28"/>
          <w:lang w:val="de-DE"/>
        </w:rPr>
        <w:t>4</w:t>
      </w:r>
      <w:r w:rsidRPr="00D64BE4">
        <w:rPr>
          <w:rFonts w:ascii="Times New Roman" w:hAnsi="Times New Roman" w:cs="Times New Roman"/>
          <w:sz w:val="28"/>
          <w:szCs w:val="28"/>
          <w:lang w:val="de-DE"/>
        </w:rPr>
        <w:t xml:space="preserve"> months of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07</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248</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poisoned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01</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case</w:t>
      </w:r>
      <w:r w:rsidRPr="006D7720">
        <w:rPr>
          <w:rFonts w:ascii="Times New Roman" w:hAnsi="Times New Roman" w:cs="Times New Roman"/>
          <w:sz w:val="28"/>
          <w:szCs w:val="28"/>
          <w:lang w:val="de-DE"/>
        </w:rPr>
        <w:t xml:space="preserve"> died</w:t>
      </w:r>
      <w:r w:rsidRPr="00380E0B">
        <w:rPr>
          <w:rFonts w:ascii="Times New Roman" w:hAnsi="Times New Roman" w:cs="Times New Roman"/>
          <w:sz w:val="28"/>
          <w:szCs w:val="28"/>
          <w:lang w:val="de-DE"/>
        </w:rPr>
        <w:t>).</w:t>
      </w:r>
    </w:p>
    <w:p w14:paraId="22BE3DA7" w14:textId="3C88407B" w:rsidR="00CF6D82" w:rsidRPr="00CF6D82" w:rsidRDefault="00CF6D82" w:rsidP="000D03CF">
      <w:pPr>
        <w:spacing w:before="40" w:after="40" w:line="252" w:lineRule="auto"/>
        <w:ind w:firstLine="567"/>
        <w:jc w:val="both"/>
        <w:rPr>
          <w:rFonts w:ascii="Times New Roman" w:hAnsi="Times New Roman" w:cs="Times New Roman"/>
          <w:b/>
          <w:bCs/>
          <w:i/>
          <w:iCs/>
          <w:sz w:val="28"/>
          <w:szCs w:val="28"/>
          <w:lang w:val="pl-PL"/>
        </w:rPr>
      </w:pPr>
      <w:r w:rsidRPr="00CF6D82">
        <w:rPr>
          <w:rFonts w:ascii="Times New Roman" w:hAnsi="Times New Roman" w:cs="Times New Roman"/>
          <w:b/>
          <w:bCs/>
          <w:i/>
          <w:iCs/>
          <w:sz w:val="28"/>
          <w:szCs w:val="28"/>
          <w:lang w:val="pl-PL"/>
        </w:rPr>
        <w:t xml:space="preserve">c) </w:t>
      </w:r>
      <w:r w:rsidR="00065287" w:rsidRPr="00FD314D">
        <w:rPr>
          <w:rFonts w:ascii="Times New Roman" w:hAnsi="Times New Roman"/>
          <w:b/>
          <w:bCs/>
          <w:i/>
          <w:iCs/>
          <w:sz w:val="28"/>
          <w:szCs w:val="28"/>
        </w:rPr>
        <w:t>Traffic accident</w:t>
      </w:r>
      <w:r w:rsidR="00065287" w:rsidRPr="00FD314D">
        <w:rPr>
          <w:rStyle w:val="FootnoteReference"/>
          <w:b/>
          <w:bCs/>
          <w:i/>
          <w:iCs/>
        </w:rPr>
        <w:footnoteReference w:id="27"/>
      </w:r>
    </w:p>
    <w:p w14:paraId="4AA08F56" w14:textId="77777777" w:rsidR="00FF2CDA" w:rsidRDefault="00FF2CDA" w:rsidP="000D03CF">
      <w:pPr>
        <w:tabs>
          <w:tab w:val="left" w:pos="426"/>
          <w:tab w:val="left" w:pos="900"/>
        </w:tabs>
        <w:spacing w:before="40" w:after="40" w:line="252" w:lineRule="auto"/>
        <w:ind w:firstLine="567"/>
        <w:jc w:val="both"/>
        <w:rPr>
          <w:rFonts w:ascii="Times New Roman" w:eastAsia="Calibri" w:hAnsi="Times New Roman" w:cs="Times New Roman"/>
          <w:spacing w:val="-2"/>
          <w:sz w:val="28"/>
          <w:szCs w:val="28"/>
          <w:lang w:val="de-DE"/>
        </w:rPr>
      </w:pPr>
      <w:r w:rsidRPr="00FF2CDA">
        <w:rPr>
          <w:rFonts w:ascii="Times New Roman" w:eastAsia="Calibri" w:hAnsi="Times New Roman" w:cs="Times New Roman"/>
          <w:spacing w:val="-2"/>
          <w:sz w:val="28"/>
          <w:szCs w:val="28"/>
          <w:lang w:val="de-DE"/>
        </w:rPr>
        <w:t>In the month (from March 15 to April 14), there were 1,046 traffic accidents nationwide, including 737 traffic accidents of less serious or more serious and 309 traffic collision cases, causing 600 deaths, 380 injuries and 310 minor injuries. Compared to the previous month, the number of traffic accidents in April increased by 32.7% (the number of traffic accidents less serious or more serious increased by 32.6%, and the number of traffic collisions decreased by 33.2%); the number of deaths increased by 22.2%; the number of injured people increased by 50.8% and the number of minor injuries increased by 35.4%. Compared to the same period last year, the number of traffic accidents in April increased by 3.2% (the number of traffic accidents less serious or more serious increased by 13.7%, and the number of traffic collisions decreased by 15.6%); the number of deaths increased by 21.7%; the number of injured people increased by 12.1% and the number of minor injuries decreased by 20.1%.</w:t>
      </w:r>
    </w:p>
    <w:p w14:paraId="0EA1AEFB" w14:textId="77777777" w:rsidR="0050162B" w:rsidRDefault="00FF2CDA" w:rsidP="002A6FCC">
      <w:pPr>
        <w:spacing w:before="120" w:after="120"/>
        <w:ind w:firstLine="720"/>
        <w:jc w:val="both"/>
        <w:rPr>
          <w:rFonts w:ascii="Times New Roman" w:eastAsia="Calibri" w:hAnsi="Times New Roman" w:cs="Times New Roman"/>
          <w:spacing w:val="-2"/>
          <w:sz w:val="28"/>
          <w:szCs w:val="28"/>
          <w:lang w:val="de-DE"/>
        </w:rPr>
      </w:pPr>
      <w:r w:rsidRPr="00FF2CDA">
        <w:rPr>
          <w:rFonts w:ascii="Times New Roman" w:eastAsia="Calibri" w:hAnsi="Times New Roman" w:cs="Times New Roman"/>
          <w:spacing w:val="-2"/>
          <w:sz w:val="28"/>
          <w:szCs w:val="28"/>
          <w:lang w:val="de-DE"/>
        </w:rPr>
        <w:t>Generally, in the first 4 months of 2022, there were 3,808 traffic accidents nationwide, including 2,703 traffic accidents less serious or more serious and 1,105 traffic collisions, causing 2,276 deaths, and 1,327 people injured and 1,104 people slightly injured. Compared to the same period last year, the number of traffic accidents in the first 4 months of 2022 decreased by 9.8% (traffic accidents of less serious or more serious decreased by 0.7%; the number of traffic collisions decreased by 26.2%); the number of deaths increased by 5.1%; the number of injured people decreased by 9.2% and the number of people with minor injuries decreased by 33.2%. On average, 1 day in the first 4 months of the year, there were 31 traffic accidents nationwide, including 22 traffic accidents of less serious or more serious and 09 traffic collisions, causing 19 deaths, 11 injuries, and 9 people with minor injuries.</w:t>
      </w:r>
    </w:p>
    <w:p w14:paraId="53AAC067" w14:textId="14EE222C" w:rsidR="002A6FCC" w:rsidRPr="00472AAC" w:rsidRDefault="00CF6D82" w:rsidP="002A6FCC">
      <w:pPr>
        <w:spacing w:before="120" w:after="120"/>
        <w:ind w:firstLine="720"/>
        <w:jc w:val="both"/>
        <w:rPr>
          <w:rFonts w:ascii="Times New Roman" w:hAnsi="Times New Roman"/>
          <w:b/>
          <w:bCs/>
          <w:sz w:val="28"/>
          <w:szCs w:val="28"/>
        </w:rPr>
      </w:pPr>
      <w:r w:rsidRPr="00CF6D82">
        <w:rPr>
          <w:rFonts w:ascii="Times New Roman" w:hAnsi="Times New Roman" w:cs="Times New Roman"/>
          <w:b/>
          <w:i/>
          <w:sz w:val="28"/>
          <w:szCs w:val="28"/>
          <w:lang w:val="pl-PL"/>
        </w:rPr>
        <w:t xml:space="preserve">d) </w:t>
      </w:r>
      <w:r w:rsidR="002A6FCC" w:rsidRPr="00472AAC">
        <w:rPr>
          <w:rFonts w:ascii="Times New Roman" w:hAnsi="Times New Roman"/>
          <w:b/>
          <w:bCs/>
          <w:sz w:val="28"/>
          <w:szCs w:val="28"/>
        </w:rPr>
        <w:t>Damage caused by natural disasters</w:t>
      </w:r>
      <w:r w:rsidR="002A6FCC" w:rsidRPr="002A6FCC">
        <w:rPr>
          <w:rStyle w:val="FootnoteReference"/>
          <w:bCs/>
          <w:i/>
          <w:sz w:val="28"/>
          <w:szCs w:val="28"/>
          <w:lang w:val="pl-PL"/>
        </w:rPr>
        <w:footnoteReference w:id="28"/>
      </w:r>
    </w:p>
    <w:p w14:paraId="7131B9EE" w14:textId="77777777" w:rsidR="00466B97" w:rsidRDefault="00466B97" w:rsidP="00466B97">
      <w:pPr>
        <w:spacing w:before="120" w:after="120"/>
        <w:ind w:firstLine="720"/>
        <w:jc w:val="both"/>
        <w:rPr>
          <w:rFonts w:ascii="Times New Roman" w:hAnsi="Times New Roman"/>
          <w:sz w:val="28"/>
          <w:szCs w:val="28"/>
        </w:rPr>
      </w:pPr>
      <w:r w:rsidRPr="00472AAC">
        <w:rPr>
          <w:rFonts w:ascii="Times New Roman" w:hAnsi="Times New Roman"/>
          <w:sz w:val="28"/>
          <w:szCs w:val="28"/>
        </w:rPr>
        <w:t xml:space="preserve">The damage caused by natural disasters in April was mainly due to the influence of heavy rain, flooding, landslides, killing 16 people, missing, 10 people being injured; 1.1 thousand houses collapsed, washed away and damaged; 81.4 thousand hectares of </w:t>
      </w:r>
      <w:r>
        <w:rPr>
          <w:rFonts w:ascii="Times New Roman" w:hAnsi="Times New Roman"/>
          <w:sz w:val="28"/>
          <w:szCs w:val="28"/>
        </w:rPr>
        <w:t>paddy</w:t>
      </w:r>
      <w:r w:rsidRPr="00472AAC">
        <w:rPr>
          <w:rFonts w:ascii="Times New Roman" w:hAnsi="Times New Roman"/>
          <w:sz w:val="28"/>
          <w:szCs w:val="28"/>
        </w:rPr>
        <w:t xml:space="preserve"> and 12.2 thousand crops were </w:t>
      </w:r>
      <w:r w:rsidRPr="00472AAC">
        <w:rPr>
          <w:rFonts w:ascii="Times New Roman" w:hAnsi="Times New Roman"/>
          <w:sz w:val="28"/>
          <w:szCs w:val="28"/>
        </w:rPr>
        <w:lastRenderedPageBreak/>
        <w:t>damaged; the total value of property damage caused by natural disasters in the month was 2,760.5 billion</w:t>
      </w:r>
      <w:r>
        <w:rPr>
          <w:rFonts w:ascii="Times New Roman" w:hAnsi="Times New Roman"/>
          <w:sz w:val="28"/>
          <w:szCs w:val="28"/>
          <w:lang w:val="vi-VN"/>
        </w:rPr>
        <w:t xml:space="preserve"> </w:t>
      </w:r>
      <w:r w:rsidRPr="003831A9">
        <w:rPr>
          <w:rFonts w:ascii="Times New Roman" w:hAnsi="Times New Roman"/>
          <w:sz w:val="28"/>
          <w:szCs w:val="28"/>
          <w:lang w:val="vi-VN"/>
        </w:rPr>
        <w:t>VND</w:t>
      </w:r>
      <w:r w:rsidRPr="00472AAC">
        <w:rPr>
          <w:rFonts w:ascii="Times New Roman" w:hAnsi="Times New Roman"/>
          <w:sz w:val="28"/>
          <w:szCs w:val="28"/>
        </w:rPr>
        <w:t xml:space="preserve">, 62.3 times higher than the same period last year. Some localities suffered heavy damage such as: Thua Thien - Hue lost 872.2 billion VND; Quang Tri lost 791.4 billion VND; Quang Nam lost 425.7 billion VND; Phu Yen lost 355.9 billion VND... </w:t>
      </w:r>
    </w:p>
    <w:p w14:paraId="510E3395" w14:textId="5DC56678" w:rsidR="00003FCA" w:rsidRPr="00472AAC" w:rsidRDefault="00003FCA" w:rsidP="00003FCA">
      <w:pPr>
        <w:spacing w:before="120" w:after="120"/>
        <w:ind w:firstLine="720"/>
        <w:jc w:val="both"/>
        <w:rPr>
          <w:rFonts w:ascii="Times New Roman" w:hAnsi="Times New Roman"/>
          <w:sz w:val="28"/>
          <w:szCs w:val="28"/>
        </w:rPr>
      </w:pPr>
      <w:r>
        <w:rPr>
          <w:rFonts w:ascii="Times New Roman" w:hAnsi="Times New Roman"/>
          <w:sz w:val="28"/>
          <w:szCs w:val="28"/>
        </w:rPr>
        <w:t>Generally</w:t>
      </w:r>
      <w:r>
        <w:rPr>
          <w:rFonts w:ascii="Times New Roman" w:hAnsi="Times New Roman"/>
          <w:sz w:val="28"/>
          <w:szCs w:val="28"/>
          <w:lang w:val="vi-VN"/>
        </w:rPr>
        <w:t>,</w:t>
      </w:r>
      <w:r w:rsidRPr="00472AAC">
        <w:rPr>
          <w:rFonts w:ascii="Times New Roman" w:hAnsi="Times New Roman"/>
          <w:sz w:val="28"/>
          <w:szCs w:val="28"/>
        </w:rPr>
        <w:t xml:space="preserve"> in the first 4 months of this year, natural disasters made 19 people dead and missing, 11 people injured; 2.6 thousand houses collapsed and damaged; 119.9 thousand hectares of </w:t>
      </w:r>
      <w:r>
        <w:rPr>
          <w:rFonts w:ascii="Times New Roman" w:hAnsi="Times New Roman"/>
          <w:sz w:val="28"/>
          <w:szCs w:val="28"/>
        </w:rPr>
        <w:t>paddy</w:t>
      </w:r>
      <w:r w:rsidRPr="00472AAC">
        <w:rPr>
          <w:rFonts w:ascii="Times New Roman" w:hAnsi="Times New Roman"/>
          <w:sz w:val="28"/>
          <w:szCs w:val="28"/>
        </w:rPr>
        <w:t xml:space="preserve"> and 16.4 thousand hectares of crops were damaged; The total value of property damage was estimated at more than 3,593 billion VND, 41.6 times higher than the same period in 2021. </w:t>
      </w:r>
    </w:p>
    <w:p w14:paraId="5B32305F" w14:textId="4A53B334" w:rsidR="00AF7630" w:rsidRPr="00AF7630" w:rsidRDefault="00AF7630" w:rsidP="00AF7630">
      <w:pPr>
        <w:tabs>
          <w:tab w:val="left" w:pos="426"/>
          <w:tab w:val="left" w:pos="900"/>
        </w:tabs>
        <w:spacing w:before="40" w:after="40" w:line="254" w:lineRule="auto"/>
        <w:ind w:firstLine="567"/>
        <w:jc w:val="both"/>
        <w:rPr>
          <w:rFonts w:ascii="Times New Roman" w:eastAsia="Calibri" w:hAnsi="Times New Roman" w:cs="Times New Roman"/>
          <w:b/>
          <w:i/>
          <w:sz w:val="28"/>
          <w:szCs w:val="28"/>
          <w:lang w:val="de-DE"/>
        </w:rPr>
      </w:pPr>
      <w:r w:rsidRPr="00AF7630">
        <w:rPr>
          <w:rFonts w:ascii="Times New Roman" w:eastAsia="Calibri" w:hAnsi="Times New Roman" w:cs="Times New Roman"/>
          <w:b/>
          <w:i/>
          <w:sz w:val="28"/>
          <w:szCs w:val="28"/>
          <w:lang w:val="de-DE"/>
        </w:rPr>
        <w:t>đ)</w:t>
      </w:r>
      <w:r w:rsidRPr="00AF7630">
        <w:rPr>
          <w:rFonts w:ascii="Times New Roman" w:hAnsi="Times New Roman" w:cs="Times New Roman"/>
          <w:b/>
          <w:i/>
          <w:sz w:val="28"/>
          <w:szCs w:val="28"/>
          <w:lang w:val="pl-PL"/>
        </w:rPr>
        <w:t xml:space="preserve"> </w:t>
      </w:r>
      <w:r w:rsidR="00502832" w:rsidRPr="00502832">
        <w:rPr>
          <w:rFonts w:ascii="Times New Roman" w:hAnsi="Times New Roman" w:cs="Times New Roman"/>
          <w:b/>
          <w:i/>
          <w:sz w:val="28"/>
          <w:szCs w:val="28"/>
          <w:lang w:val="pl-PL"/>
        </w:rPr>
        <w:t>Environmental protection and fire, explosion prevention</w:t>
      </w:r>
    </w:p>
    <w:p w14:paraId="428D1ABE" w14:textId="1AEA69EE" w:rsidR="006E1B8F" w:rsidRPr="00274EFE" w:rsidRDefault="006E1B8F" w:rsidP="006E1B8F">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w:t>
      </w:r>
      <w:r>
        <w:rPr>
          <w:rFonts w:ascii="Times New Roman" w:hAnsi="Times New Roman"/>
          <w:sz w:val="28"/>
          <w:szCs w:val="28"/>
        </w:rPr>
        <w:t>April</w:t>
      </w:r>
      <w:r w:rsidRPr="00886697">
        <w:rPr>
          <w:rFonts w:ascii="Times New Roman" w:hAnsi="Times New Roman"/>
          <w:sz w:val="28"/>
          <w:szCs w:val="28"/>
        </w:rPr>
        <w:t xml:space="preserve">, across the country, authorities detected </w:t>
      </w:r>
      <w:r>
        <w:rPr>
          <w:rFonts w:ascii="Times New Roman" w:hAnsi="Times New Roman"/>
          <w:sz w:val="28"/>
          <w:szCs w:val="28"/>
        </w:rPr>
        <w:t>1</w:t>
      </w:r>
      <w:r>
        <w:rPr>
          <w:rFonts w:ascii="Times New Roman" w:hAnsi="Times New Roman"/>
          <w:sz w:val="28"/>
          <w:szCs w:val="28"/>
          <w:lang w:val="vi-VN"/>
        </w:rPr>
        <w:t xml:space="preserve">,191 </w:t>
      </w:r>
      <w:r w:rsidRPr="00886697">
        <w:rPr>
          <w:rFonts w:ascii="Times New Roman" w:hAnsi="Times New Roman"/>
          <w:sz w:val="28"/>
          <w:szCs w:val="28"/>
        </w:rPr>
        <w:t xml:space="preserve">cases of environmental violations, of which </w:t>
      </w:r>
      <w:r>
        <w:rPr>
          <w:rFonts w:ascii="Times New Roman" w:hAnsi="Times New Roman"/>
          <w:sz w:val="28"/>
          <w:szCs w:val="28"/>
        </w:rPr>
        <w:t>947</w:t>
      </w:r>
      <w:r w:rsidRPr="00886697">
        <w:rPr>
          <w:rFonts w:ascii="Times New Roman" w:hAnsi="Times New Roman"/>
          <w:sz w:val="28"/>
          <w:szCs w:val="28"/>
        </w:rPr>
        <w:t xml:space="preserve"> cases were handled with a total fine of </w:t>
      </w:r>
      <w:r>
        <w:rPr>
          <w:rFonts w:ascii="Times New Roman" w:hAnsi="Times New Roman"/>
          <w:sz w:val="28"/>
          <w:szCs w:val="28"/>
        </w:rPr>
        <w:t>30</w:t>
      </w:r>
      <w:r w:rsidRPr="00886697">
        <w:rPr>
          <w:rFonts w:ascii="Times New Roman" w:hAnsi="Times New Roman"/>
          <w:sz w:val="28"/>
          <w:szCs w:val="28"/>
        </w:rPr>
        <w:t>.</w:t>
      </w:r>
      <w:r>
        <w:rPr>
          <w:rFonts w:ascii="Times New Roman" w:hAnsi="Times New Roman"/>
          <w:sz w:val="28"/>
          <w:szCs w:val="28"/>
        </w:rPr>
        <w:t>6</w:t>
      </w:r>
      <w:r w:rsidRPr="00886697">
        <w:rPr>
          <w:rFonts w:ascii="Times New Roman" w:hAnsi="Times New Roman"/>
          <w:sz w:val="28"/>
          <w:szCs w:val="28"/>
        </w:rPr>
        <w:t xml:space="preserve"> billion VND. Generally, in the first </w:t>
      </w:r>
      <w:r>
        <w:rPr>
          <w:rFonts w:ascii="Times New Roman" w:hAnsi="Times New Roman"/>
          <w:sz w:val="28"/>
          <w:szCs w:val="28"/>
        </w:rPr>
        <w:t>4</w:t>
      </w:r>
      <w:r w:rsidRPr="00886697">
        <w:rPr>
          <w:rFonts w:ascii="Times New Roman" w:hAnsi="Times New Roman"/>
          <w:sz w:val="28"/>
          <w:szCs w:val="28"/>
        </w:rPr>
        <w:t xml:space="preserve"> months of the year, </w:t>
      </w:r>
      <w:r>
        <w:rPr>
          <w:rFonts w:ascii="Times New Roman" w:hAnsi="Times New Roman"/>
          <w:sz w:val="28"/>
          <w:szCs w:val="28"/>
        </w:rPr>
        <w:t>7</w:t>
      </w:r>
      <w:r w:rsidRPr="00886697">
        <w:rPr>
          <w:rFonts w:ascii="Times New Roman" w:hAnsi="Times New Roman"/>
          <w:sz w:val="28"/>
          <w:szCs w:val="28"/>
        </w:rPr>
        <w:t>,</w:t>
      </w:r>
      <w:r>
        <w:rPr>
          <w:rFonts w:ascii="Times New Roman" w:hAnsi="Times New Roman"/>
          <w:sz w:val="28"/>
          <w:szCs w:val="28"/>
        </w:rPr>
        <w:t>259</w:t>
      </w:r>
      <w:r w:rsidRPr="00886697">
        <w:rPr>
          <w:rFonts w:ascii="Times New Roman" w:hAnsi="Times New Roman"/>
          <w:sz w:val="28"/>
          <w:szCs w:val="28"/>
        </w:rPr>
        <w:t xml:space="preserve"> cases of environmental violations were detected, of which </w:t>
      </w:r>
      <w:r>
        <w:rPr>
          <w:rFonts w:ascii="Times New Roman" w:hAnsi="Times New Roman"/>
          <w:sz w:val="28"/>
          <w:szCs w:val="28"/>
        </w:rPr>
        <w:t>6</w:t>
      </w:r>
      <w:r>
        <w:rPr>
          <w:rFonts w:ascii="Times New Roman" w:hAnsi="Times New Roman"/>
          <w:sz w:val="28"/>
          <w:szCs w:val="28"/>
          <w:lang w:val="vi-VN"/>
        </w:rPr>
        <w:t xml:space="preserve">,086 </w:t>
      </w:r>
      <w:r w:rsidRPr="00886697">
        <w:rPr>
          <w:rFonts w:ascii="Times New Roman" w:hAnsi="Times New Roman"/>
          <w:sz w:val="28"/>
          <w:szCs w:val="28"/>
        </w:rPr>
        <w:t xml:space="preserve">cases were handled with a total fine of </w:t>
      </w:r>
      <w:r>
        <w:rPr>
          <w:rFonts w:ascii="Times New Roman" w:hAnsi="Times New Roman"/>
          <w:sz w:val="28"/>
          <w:szCs w:val="28"/>
        </w:rPr>
        <w:t>83</w:t>
      </w:r>
      <w:r>
        <w:rPr>
          <w:rFonts w:ascii="Times New Roman" w:hAnsi="Times New Roman"/>
          <w:sz w:val="28"/>
          <w:szCs w:val="28"/>
          <w:lang w:val="vi-VN"/>
        </w:rPr>
        <w:t xml:space="preserve">,4 </w:t>
      </w:r>
      <w:r w:rsidRPr="00886697">
        <w:rPr>
          <w:rFonts w:ascii="Times New Roman" w:hAnsi="Times New Roman"/>
          <w:sz w:val="28"/>
          <w:szCs w:val="28"/>
        </w:rPr>
        <w:t xml:space="preserve">billion </w:t>
      </w:r>
      <w:r>
        <w:rPr>
          <w:rFonts w:ascii="Times New Roman" w:hAnsi="Times New Roman"/>
          <w:sz w:val="28"/>
          <w:szCs w:val="28"/>
        </w:rPr>
        <w:t>VND</w:t>
      </w:r>
      <w:r>
        <w:rPr>
          <w:rFonts w:ascii="Times New Roman" w:hAnsi="Times New Roman"/>
          <w:sz w:val="28"/>
          <w:szCs w:val="28"/>
          <w:lang w:val="vi-VN"/>
        </w:rPr>
        <w:t xml:space="preserve">, up 11.2% over the same period last </w:t>
      </w:r>
      <w:r w:rsidR="00274EFE">
        <w:rPr>
          <w:rFonts w:ascii="Times New Roman" w:hAnsi="Times New Roman"/>
          <w:sz w:val="28"/>
          <w:szCs w:val="28"/>
        </w:rPr>
        <w:t>year.</w:t>
      </w:r>
    </w:p>
    <w:p w14:paraId="3A47CA68" w14:textId="4CC04F53" w:rsidR="006E1B8F" w:rsidRDefault="006E1B8F" w:rsidP="006E1B8F">
      <w:pPr>
        <w:spacing w:before="120" w:after="120" w:line="288" w:lineRule="auto"/>
        <w:ind w:firstLine="720"/>
        <w:jc w:val="both"/>
        <w:rPr>
          <w:rFonts w:ascii="Times New Roman" w:hAnsi="Times New Roman"/>
          <w:sz w:val="28"/>
          <w:szCs w:val="28"/>
          <w:lang w:val="vi-VN"/>
        </w:rPr>
      </w:pPr>
      <w:r w:rsidRPr="00886697">
        <w:rPr>
          <w:rFonts w:ascii="Times New Roman" w:hAnsi="Times New Roman"/>
          <w:sz w:val="28"/>
          <w:szCs w:val="28"/>
        </w:rPr>
        <w:t>During the month</w:t>
      </w:r>
      <w:r w:rsidRPr="00EC73DD">
        <w:rPr>
          <w:rStyle w:val="FootnoteReference"/>
          <w:rFonts w:ascii="Times New Roman" w:eastAsia="Calibri" w:hAnsi="Times New Roman"/>
          <w:sz w:val="28"/>
          <w:szCs w:val="28"/>
          <w:lang w:val="de-DE"/>
        </w:rPr>
        <w:t xml:space="preserve"> </w:t>
      </w:r>
      <w:r w:rsidRPr="00EC73DD">
        <w:rPr>
          <w:rStyle w:val="FootnoteReference"/>
          <w:rFonts w:ascii="Times New Roman" w:eastAsia="Calibri" w:hAnsi="Times New Roman"/>
          <w:sz w:val="28"/>
          <w:szCs w:val="28"/>
          <w:lang w:val="de-DE"/>
        </w:rPr>
        <w:footnoteReference w:id="29"/>
      </w:r>
      <w:r w:rsidRPr="00EC73DD">
        <w:rPr>
          <w:rFonts w:ascii="Times New Roman" w:hAnsi="Times New Roman" w:cs="Times New Roman"/>
          <w:sz w:val="28"/>
          <w:szCs w:val="28"/>
          <w:lang w:val="de-DE"/>
        </w:rPr>
        <w:t xml:space="preserve">, </w:t>
      </w:r>
      <w:r w:rsidRPr="00886697">
        <w:rPr>
          <w:rFonts w:ascii="Times New Roman" w:hAnsi="Times New Roman"/>
          <w:sz w:val="28"/>
          <w:szCs w:val="28"/>
        </w:rPr>
        <w:t xml:space="preserve">there were </w:t>
      </w:r>
      <w:r>
        <w:rPr>
          <w:rFonts w:ascii="Times New Roman" w:hAnsi="Times New Roman"/>
          <w:sz w:val="28"/>
          <w:szCs w:val="28"/>
        </w:rPr>
        <w:t>134</w:t>
      </w:r>
      <w:r w:rsidRPr="00886697">
        <w:rPr>
          <w:rFonts w:ascii="Times New Roman" w:hAnsi="Times New Roman"/>
          <w:sz w:val="28"/>
          <w:szCs w:val="28"/>
        </w:rPr>
        <w:t xml:space="preserve"> fires and explosions in the whole country, killing </w:t>
      </w:r>
      <w:r>
        <w:rPr>
          <w:rFonts w:ascii="Times New Roman" w:hAnsi="Times New Roman"/>
          <w:sz w:val="28"/>
          <w:szCs w:val="28"/>
        </w:rPr>
        <w:t>11</w:t>
      </w:r>
      <w:r w:rsidRPr="00886697">
        <w:rPr>
          <w:rFonts w:ascii="Times New Roman" w:hAnsi="Times New Roman"/>
          <w:sz w:val="28"/>
          <w:szCs w:val="28"/>
        </w:rPr>
        <w:t xml:space="preserve"> people and injuring </w:t>
      </w:r>
      <w:r>
        <w:rPr>
          <w:rFonts w:ascii="Times New Roman" w:hAnsi="Times New Roman"/>
          <w:sz w:val="28"/>
          <w:szCs w:val="28"/>
        </w:rPr>
        <w:t>5</w:t>
      </w:r>
      <w:r w:rsidRPr="00886697">
        <w:rPr>
          <w:rFonts w:ascii="Times New Roman" w:hAnsi="Times New Roman"/>
          <w:sz w:val="28"/>
          <w:szCs w:val="28"/>
        </w:rPr>
        <w:t xml:space="preserve"> others. Property damage was estimated at </w:t>
      </w:r>
      <w:r>
        <w:rPr>
          <w:rFonts w:ascii="Times New Roman" w:hAnsi="Times New Roman"/>
          <w:sz w:val="28"/>
          <w:szCs w:val="28"/>
        </w:rPr>
        <w:t>22</w:t>
      </w:r>
      <w:r w:rsidRPr="00886697">
        <w:rPr>
          <w:rFonts w:ascii="Times New Roman" w:hAnsi="Times New Roman"/>
          <w:sz w:val="28"/>
          <w:szCs w:val="28"/>
        </w:rPr>
        <w:t>.</w:t>
      </w:r>
      <w:r>
        <w:rPr>
          <w:rFonts w:ascii="Times New Roman" w:hAnsi="Times New Roman"/>
          <w:sz w:val="28"/>
          <w:szCs w:val="28"/>
        </w:rPr>
        <w:t>5</w:t>
      </w:r>
      <w:r w:rsidRPr="00886697">
        <w:rPr>
          <w:rFonts w:ascii="Times New Roman" w:hAnsi="Times New Roman"/>
          <w:sz w:val="28"/>
          <w:szCs w:val="28"/>
        </w:rPr>
        <w:t xml:space="preserve"> billion </w:t>
      </w:r>
      <w:r>
        <w:rPr>
          <w:rFonts w:ascii="Times New Roman" w:hAnsi="Times New Roman"/>
          <w:sz w:val="28"/>
          <w:szCs w:val="28"/>
        </w:rPr>
        <w:t>VND</w:t>
      </w:r>
      <w:r>
        <w:rPr>
          <w:rFonts w:ascii="Times New Roman" w:hAnsi="Times New Roman"/>
          <w:sz w:val="28"/>
          <w:szCs w:val="28"/>
          <w:lang w:val="vi-VN"/>
        </w:rPr>
        <w:t>, up 114.4% over the same period last year</w:t>
      </w:r>
      <w:r w:rsidRPr="00886697">
        <w:rPr>
          <w:rFonts w:ascii="Times New Roman" w:hAnsi="Times New Roman"/>
          <w:sz w:val="28"/>
          <w:szCs w:val="28"/>
        </w:rPr>
        <w:t xml:space="preserve">. Generally, in the first </w:t>
      </w:r>
      <w:r>
        <w:rPr>
          <w:rFonts w:ascii="Times New Roman" w:hAnsi="Times New Roman"/>
          <w:sz w:val="28"/>
          <w:szCs w:val="28"/>
        </w:rPr>
        <w:t>4</w:t>
      </w:r>
      <w:r w:rsidRPr="00886697">
        <w:rPr>
          <w:rFonts w:ascii="Times New Roman" w:hAnsi="Times New Roman"/>
          <w:sz w:val="28"/>
          <w:szCs w:val="28"/>
        </w:rPr>
        <w:t xml:space="preserve"> months of the year, there were </w:t>
      </w:r>
      <w:r>
        <w:rPr>
          <w:rFonts w:ascii="Times New Roman" w:hAnsi="Times New Roman"/>
          <w:sz w:val="28"/>
          <w:szCs w:val="28"/>
        </w:rPr>
        <w:t>580</w:t>
      </w:r>
      <w:r w:rsidRPr="00886697">
        <w:rPr>
          <w:rFonts w:ascii="Times New Roman" w:hAnsi="Times New Roman"/>
          <w:sz w:val="28"/>
          <w:szCs w:val="28"/>
        </w:rPr>
        <w:t xml:space="preserve"> fires and explosions in the whole country, killing </w:t>
      </w:r>
      <w:r>
        <w:rPr>
          <w:rFonts w:ascii="Times New Roman" w:hAnsi="Times New Roman"/>
          <w:sz w:val="28"/>
          <w:szCs w:val="28"/>
        </w:rPr>
        <w:t>34</w:t>
      </w:r>
      <w:r w:rsidRPr="00886697">
        <w:rPr>
          <w:rFonts w:ascii="Times New Roman" w:hAnsi="Times New Roman"/>
          <w:sz w:val="28"/>
          <w:szCs w:val="28"/>
        </w:rPr>
        <w:t xml:space="preserve"> people and injuring </w:t>
      </w:r>
      <w:r>
        <w:rPr>
          <w:rFonts w:ascii="Times New Roman" w:hAnsi="Times New Roman"/>
          <w:sz w:val="28"/>
          <w:szCs w:val="28"/>
        </w:rPr>
        <w:t>35</w:t>
      </w:r>
      <w:r w:rsidRPr="00886697">
        <w:rPr>
          <w:rFonts w:ascii="Times New Roman" w:hAnsi="Times New Roman"/>
          <w:sz w:val="28"/>
          <w:szCs w:val="28"/>
        </w:rPr>
        <w:t xml:space="preserve"> people, and property damage was estimated at </w:t>
      </w:r>
      <w:r>
        <w:rPr>
          <w:rFonts w:ascii="Times New Roman" w:hAnsi="Times New Roman"/>
          <w:sz w:val="28"/>
          <w:szCs w:val="28"/>
        </w:rPr>
        <w:t>79</w:t>
      </w:r>
      <w:r w:rsidRPr="00886697">
        <w:rPr>
          <w:rFonts w:ascii="Times New Roman" w:hAnsi="Times New Roman"/>
          <w:sz w:val="28"/>
          <w:szCs w:val="28"/>
        </w:rPr>
        <w:t>.</w:t>
      </w:r>
      <w:r>
        <w:rPr>
          <w:rFonts w:ascii="Times New Roman" w:hAnsi="Times New Roman"/>
          <w:sz w:val="28"/>
          <w:szCs w:val="28"/>
        </w:rPr>
        <w:t>3</w:t>
      </w:r>
      <w:r w:rsidRPr="00886697">
        <w:rPr>
          <w:rFonts w:ascii="Times New Roman" w:hAnsi="Times New Roman"/>
          <w:sz w:val="28"/>
          <w:szCs w:val="28"/>
        </w:rPr>
        <w:t xml:space="preserve"> billion </w:t>
      </w:r>
      <w:r>
        <w:rPr>
          <w:rFonts w:ascii="Times New Roman" w:hAnsi="Times New Roman"/>
          <w:sz w:val="28"/>
          <w:szCs w:val="28"/>
        </w:rPr>
        <w:t>VND</w:t>
      </w:r>
      <w:r>
        <w:rPr>
          <w:rFonts w:ascii="Times New Roman" w:hAnsi="Times New Roman"/>
          <w:sz w:val="28"/>
          <w:szCs w:val="28"/>
          <w:lang w:val="vi-VN"/>
        </w:rPr>
        <w:t>, down 66.7% over the period last year</w:t>
      </w:r>
      <w:r w:rsidRPr="00886697">
        <w:rPr>
          <w:rFonts w:ascii="Times New Roman" w:hAnsi="Times New Roman"/>
          <w:sz w:val="28"/>
          <w:szCs w:val="28"/>
        </w:rPr>
        <w:t>.</w:t>
      </w:r>
      <w:r>
        <w:rPr>
          <w:rFonts w:ascii="Times New Roman" w:hAnsi="Times New Roman"/>
          <w:sz w:val="28"/>
          <w:szCs w:val="28"/>
          <w:lang w:val="vi-VN"/>
        </w:rPr>
        <w:t>/.</w:t>
      </w:r>
    </w:p>
    <w:p w14:paraId="6127DDDA" w14:textId="77777777" w:rsidR="006E1B8F" w:rsidRPr="001C0660" w:rsidRDefault="006E1B8F" w:rsidP="006E1B8F">
      <w:pPr>
        <w:pStyle w:val="Normal1"/>
        <w:spacing w:before="40" w:beforeAutospacing="0" w:after="40" w:afterAutospacing="0" w:line="288" w:lineRule="auto"/>
        <w:jc w:val="center"/>
        <w:rPr>
          <w:rFonts w:ascii="Times New Roman" w:hAnsi="Times New Roman" w:cs="Times New Roman"/>
          <w:b/>
          <w:bCs/>
          <w:sz w:val="28"/>
          <w:szCs w:val="28"/>
        </w:rPr>
      </w:pPr>
      <w:r w:rsidRPr="001C0660">
        <w:rPr>
          <w:rFonts w:ascii="Times New Roman" w:hAnsi="Times New Roman" w:cs="Times New Roman"/>
          <w:b/>
          <w:bCs/>
          <w:iCs/>
          <w:sz w:val="28"/>
          <w:szCs w:val="28"/>
          <w:shd w:val="clear" w:color="auto" w:fill="FFFFFF"/>
          <w:lang w:val="de-DE"/>
        </w:rPr>
        <w:t>GENERAL STATISTICS OFFICE</w:t>
      </w:r>
    </w:p>
    <w:p w14:paraId="08AFF3C7" w14:textId="77777777" w:rsidR="006E1B8F" w:rsidRPr="00331F6F" w:rsidRDefault="006E1B8F" w:rsidP="006E1B8F">
      <w:pPr>
        <w:spacing w:before="120" w:after="120" w:line="288" w:lineRule="auto"/>
        <w:ind w:firstLine="720"/>
        <w:jc w:val="both"/>
        <w:rPr>
          <w:rFonts w:ascii="Times New Roman" w:hAnsi="Times New Roman" w:cs="Times New Roman"/>
          <w:sz w:val="28"/>
          <w:szCs w:val="28"/>
          <w:lang w:val="vi-VN"/>
        </w:rPr>
      </w:pPr>
    </w:p>
    <w:p w14:paraId="138CE67F" w14:textId="77777777" w:rsidR="00722C96" w:rsidRPr="00CF6D82" w:rsidRDefault="00722C96" w:rsidP="002715A4">
      <w:pPr>
        <w:spacing w:after="40" w:line="288" w:lineRule="auto"/>
        <w:ind w:firstLine="567"/>
        <w:jc w:val="both"/>
        <w:rPr>
          <w:rFonts w:ascii="Times New Roman" w:hAnsi="Times New Roman" w:cs="Times New Roman"/>
          <w:sz w:val="12"/>
          <w:szCs w:val="28"/>
        </w:rPr>
      </w:pPr>
    </w:p>
    <w:p w14:paraId="6893BD84" w14:textId="77777777" w:rsidR="005B4899" w:rsidRPr="00AF7630" w:rsidRDefault="005B4899" w:rsidP="00AF7630">
      <w:pPr>
        <w:pStyle w:val="NormalWeb"/>
        <w:shd w:val="clear" w:color="auto" w:fill="FFFFFF"/>
        <w:tabs>
          <w:tab w:val="left" w:pos="6540"/>
        </w:tabs>
        <w:spacing w:before="40" w:beforeAutospacing="0" w:after="40" w:afterAutospacing="0" w:line="288" w:lineRule="auto"/>
        <w:rPr>
          <w:rFonts w:ascii="Times New Roman" w:hAnsi="Times New Roman" w:cs="Times New Roman"/>
          <w:b/>
          <w:bCs/>
          <w:sz w:val="2"/>
          <w:szCs w:val="28"/>
        </w:rPr>
      </w:pPr>
    </w:p>
    <w:sectPr w:rsidR="005B4899" w:rsidRPr="00AF7630" w:rsidSect="000E60E5">
      <w:headerReference w:type="default" r:id="rId28"/>
      <w:footerReference w:type="default" r:id="rId29"/>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75ED" w14:textId="77777777" w:rsidR="00301E9C" w:rsidRDefault="00301E9C" w:rsidP="00140F6C">
      <w:pPr>
        <w:spacing w:after="0" w:line="240" w:lineRule="auto"/>
        <w:rPr>
          <w:rFonts w:cs="Times New Roman"/>
        </w:rPr>
      </w:pPr>
      <w:r>
        <w:rPr>
          <w:rFonts w:cs="Times New Roman"/>
        </w:rPr>
        <w:separator/>
      </w:r>
    </w:p>
  </w:endnote>
  <w:endnote w:type="continuationSeparator" w:id="0">
    <w:p w14:paraId="399FE0D6" w14:textId="77777777" w:rsidR="00301E9C" w:rsidRDefault="00301E9C"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7" w:usb1="00000000" w:usb2="00000000" w:usb3="00000000" w:csb0="00000003" w:csb1="00000000"/>
  </w:font>
  <w:font w:name="Times New Roman Italic">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EABE" w14:textId="77777777" w:rsidR="0065317F" w:rsidRPr="00E330CF" w:rsidRDefault="0065317F" w:rsidP="006B1758">
    <w:pPr>
      <w:pStyle w:val="Footer"/>
      <w:ind w:right="360"/>
      <w:rPr>
        <w:rFonts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2864" w14:textId="77777777" w:rsidR="00301E9C" w:rsidRDefault="00301E9C" w:rsidP="00140F6C">
      <w:pPr>
        <w:spacing w:after="0" w:line="240" w:lineRule="auto"/>
        <w:rPr>
          <w:rFonts w:cs="Times New Roman"/>
        </w:rPr>
      </w:pPr>
      <w:r>
        <w:rPr>
          <w:rFonts w:cs="Times New Roman"/>
        </w:rPr>
        <w:separator/>
      </w:r>
    </w:p>
  </w:footnote>
  <w:footnote w:type="continuationSeparator" w:id="0">
    <w:p w14:paraId="2265FA89" w14:textId="77777777" w:rsidR="00301E9C" w:rsidRDefault="00301E9C" w:rsidP="00140F6C">
      <w:pPr>
        <w:spacing w:after="0" w:line="240" w:lineRule="auto"/>
        <w:rPr>
          <w:rFonts w:cs="Times New Roman"/>
        </w:rPr>
      </w:pPr>
      <w:r>
        <w:rPr>
          <w:rFonts w:cs="Times New Roman"/>
        </w:rPr>
        <w:continuationSeparator/>
      </w:r>
    </w:p>
  </w:footnote>
  <w:footnote w:id="1">
    <w:p w14:paraId="12AEC003" w14:textId="77777777" w:rsidR="00C168ED" w:rsidRPr="00DE0598" w:rsidRDefault="00C168ED" w:rsidP="00C168ED">
      <w:pPr>
        <w:pStyle w:val="FootnoteText"/>
        <w:ind w:left="142" w:hanging="142"/>
        <w:rPr>
          <w:rFonts w:ascii="Times New Roman" w:hAnsi="Times New Roman" w:cs="Times New Roman"/>
        </w:rPr>
      </w:pPr>
      <w:r w:rsidRPr="007703D4">
        <w:rPr>
          <w:rStyle w:val="FootnoteReference"/>
        </w:rPr>
        <w:footnoteRef/>
      </w:r>
      <w:r w:rsidRPr="007703D4">
        <w:rPr>
          <w:rFonts w:ascii="Times New Roman" w:hAnsi="Times New Roman" w:cs="Times New Roman"/>
        </w:rPr>
        <w:t xml:space="preserve"> </w:t>
      </w:r>
      <w:r w:rsidRPr="008417C7">
        <w:rPr>
          <w:rFonts w:ascii="Times New Roman" w:hAnsi="Times New Roman" w:cs="Times New Roman"/>
          <w:spacing w:val="-4"/>
          <w:lang w:val="en-US"/>
        </w:rPr>
        <w:t>According to the Report of the Ministry of Agriculture and Rural Development</w:t>
      </w:r>
    </w:p>
  </w:footnote>
  <w:footnote w:id="2">
    <w:p w14:paraId="1F5EB97E" w14:textId="77777777" w:rsidR="00286B33" w:rsidRPr="00637A41" w:rsidRDefault="00286B33" w:rsidP="00286B33">
      <w:pPr>
        <w:pStyle w:val="FootnoteText"/>
        <w:ind w:left="142" w:hanging="142"/>
        <w:jc w:val="both"/>
        <w:rPr>
          <w:lang w:val="vi-VN"/>
        </w:rPr>
      </w:pPr>
      <w:r w:rsidRPr="001D1D1E">
        <w:rPr>
          <w:rStyle w:val="FootnoteReference"/>
          <w:rFonts w:ascii="Times New Roman" w:hAnsi="Times New Roman"/>
        </w:rPr>
        <w:footnoteRef/>
      </w:r>
      <w:r w:rsidRPr="001D1D1E">
        <w:rPr>
          <w:rFonts w:ascii="Times New Roman" w:hAnsi="Times New Roman" w:cs="Times New Roman"/>
        </w:rPr>
        <w:t xml:space="preserve"> </w:t>
      </w:r>
      <w:r w:rsidRPr="00286B33">
        <w:rPr>
          <w:rFonts w:ascii="Times New Roman" w:hAnsi="Times New Roman" w:cs="Times New Roman"/>
        </w:rPr>
        <w:t>The price of vannamei shrimp of 100 shrimps/kg ranges from 92,000 to 100,000 VND/kg; size 80 shrimps/kg ranging from 105,000 to 115,000 VND/kg; The price of black tiger shrimp 20 shrimps/kg ranges from 260,000-280,000 VND/kg. Source:</w:t>
      </w:r>
      <w:hyperlink r:id="rId1" w:history="1">
        <w:r w:rsidRPr="001D1D1E">
          <w:rPr>
            <w:rStyle w:val="Hyperlink"/>
            <w:rFonts w:ascii="Times New Roman" w:hAnsi="Times New Roman" w:cs="Times New Roman"/>
            <w:lang w:val="vi-VN"/>
          </w:rPr>
          <w:t>https://thuysanvietnam.com.vn/gia-tom-nguyen-lieu-tuan-11-17-04-2022/</w:t>
        </w:r>
      </w:hyperlink>
    </w:p>
  </w:footnote>
  <w:footnote w:id="3">
    <w:p w14:paraId="02161001" w14:textId="5B18E905" w:rsidR="008A7EF7" w:rsidRPr="002B7FD0" w:rsidRDefault="008A7EF7" w:rsidP="008A7EF7">
      <w:pPr>
        <w:pStyle w:val="FootnoteText"/>
        <w:jc w:val="both"/>
        <w:rPr>
          <w:rFonts w:ascii="Times New Roman" w:hAnsi="Times New Roman" w:cs="Times New Roman"/>
          <w:lang w:val="vi-VN"/>
        </w:rPr>
      </w:pPr>
      <w:r w:rsidRPr="002B7FD0">
        <w:rPr>
          <w:rStyle w:val="FootnoteReference"/>
          <w:rFonts w:ascii="Times New Roman" w:hAnsi="Times New Roman"/>
        </w:rPr>
        <w:footnoteRef/>
      </w:r>
      <w:r w:rsidRPr="002B7FD0">
        <w:rPr>
          <w:rFonts w:ascii="Times New Roman" w:hAnsi="Times New Roman" w:cs="Times New Roman"/>
        </w:rPr>
        <w:t xml:space="preserve"> </w:t>
      </w:r>
      <w:r w:rsidRPr="002B7FD0">
        <w:rPr>
          <w:rFonts w:ascii="Times New Roman" w:hAnsi="Times New Roman" w:cs="Times New Roman"/>
          <w:color w:val="202124"/>
          <w:lang w:val="en"/>
        </w:rPr>
        <w:t>The growth rate of the IIP index in April 2022 compared with the previous month of some large-scale industrial regions are: Hung Yen, up 11.2%; Hai Duong increased by 9.5%; Long An increased by 9%; Binh Duong increased by 7.3%; Bac Giang increased by 5.5%; Hanoi and Thai Nguyen both increased by 5%; Quang Ninh increased by 3.7%; Hai Phong up 2.4%; Ho Chi Minh City up 2%</w:t>
      </w:r>
      <w:r w:rsidR="00D47331" w:rsidRPr="002B7FD0">
        <w:rPr>
          <w:rFonts w:ascii="Times New Roman" w:hAnsi="Times New Roman" w:cs="Times New Roman"/>
          <w:color w:val="202124"/>
          <w:lang w:val="vi-VN"/>
        </w:rPr>
        <w:t>,</w:t>
      </w:r>
      <w:r w:rsidRPr="002B7FD0">
        <w:rPr>
          <w:rFonts w:ascii="Times New Roman" w:hAnsi="Times New Roman" w:cs="Times New Roman"/>
          <w:color w:val="202124"/>
          <w:lang w:val="vi-VN"/>
        </w:rPr>
        <w:t xml:space="preserve"> etc.</w:t>
      </w:r>
    </w:p>
  </w:footnote>
  <w:footnote w:id="4">
    <w:p w14:paraId="580537EA" w14:textId="7605BADF" w:rsidR="0065317F" w:rsidRPr="00A7390A" w:rsidRDefault="0065317F" w:rsidP="00B31A7B">
      <w:pPr>
        <w:pStyle w:val="FootnoteText"/>
        <w:ind w:left="142" w:hanging="142"/>
        <w:jc w:val="both"/>
        <w:rPr>
          <w:rFonts w:ascii="Times New Roman" w:hAnsi="Times New Roman" w:cs="Times New Roman"/>
          <w:spacing w:val="-4"/>
          <w:lang w:val="vi-VN"/>
        </w:rPr>
      </w:pPr>
      <w:r w:rsidRPr="00A7390A">
        <w:rPr>
          <w:rStyle w:val="FootnoteReference"/>
          <w:rFonts w:ascii="Times New Roman" w:hAnsi="Times New Roman"/>
        </w:rPr>
        <w:footnoteRef/>
      </w:r>
      <w:r w:rsidRPr="00A7390A">
        <w:rPr>
          <w:rFonts w:ascii="Times New Roman" w:hAnsi="Times New Roman" w:cs="Times New Roman"/>
          <w:lang w:val="vi-VN"/>
        </w:rPr>
        <w:t xml:space="preserve"> </w:t>
      </w:r>
      <w:r w:rsidR="00E84AD6" w:rsidRPr="00E84AD6">
        <w:rPr>
          <w:rFonts w:ascii="Times New Roman" w:hAnsi="Times New Roman" w:cs="Times New Roman"/>
          <w:lang w:val="vi-VN"/>
        </w:rPr>
        <w:t>Source: National Enterprise Registration Information System, Business Registration Management Agency, Ministry of Planning and Investment (Received the report on 22th April 2022)</w:t>
      </w:r>
    </w:p>
  </w:footnote>
  <w:footnote w:id="5">
    <w:p w14:paraId="3F173200" w14:textId="77777777" w:rsidR="00FB2709" w:rsidRPr="00FD3E27" w:rsidRDefault="00FB2709" w:rsidP="00FB2709">
      <w:pPr>
        <w:pStyle w:val="FootnoteText"/>
        <w:rPr>
          <w:rFonts w:ascii="Times New Roman" w:hAnsi="Times New Roman" w:cs="Times New Roman"/>
          <w:lang w:val="en-US"/>
        </w:rPr>
      </w:pPr>
      <w:r w:rsidRPr="00FD3E27">
        <w:rPr>
          <w:rStyle w:val="FootnoteReference"/>
          <w:rFonts w:ascii="Times New Roman" w:hAnsi="Times New Roman"/>
        </w:rPr>
        <w:footnoteRef/>
      </w:r>
      <w:r w:rsidRPr="0046027A">
        <w:rPr>
          <w:rFonts w:ascii="Times New Roman" w:hAnsi="Times New Roman" w:cs="Times New Roman"/>
          <w:lang w:val="vi-VN"/>
        </w:rPr>
        <w:t>According to the report of the Foreign Investment Department, Ministry of Planning and Investment, received on April 22, 2022</w:t>
      </w:r>
    </w:p>
  </w:footnote>
  <w:footnote w:id="6">
    <w:p w14:paraId="534F102F" w14:textId="1C389931" w:rsidR="001E59C1" w:rsidRPr="008C5A96" w:rsidRDefault="001E59C1" w:rsidP="008C5A96">
      <w:pPr>
        <w:pStyle w:val="HTMLPreformatted"/>
        <w:shd w:val="clear" w:color="auto" w:fill="F8F9FA"/>
        <w:jc w:val="both"/>
        <w:rPr>
          <w:rFonts w:ascii="Times New Roman" w:hAnsi="Times New Roman" w:cs="Times New Roman"/>
        </w:rPr>
      </w:pPr>
      <w:r w:rsidRPr="008C5A96">
        <w:rPr>
          <w:rStyle w:val="FootnoteReference"/>
          <w:rFonts w:ascii="Times New Roman" w:hAnsi="Times New Roman"/>
        </w:rPr>
        <w:footnoteRef/>
      </w:r>
      <w:r w:rsidRPr="008C5A96">
        <w:rPr>
          <w:rFonts w:ascii="Times New Roman" w:hAnsi="Times New Roman" w:cs="Times New Roman"/>
        </w:rPr>
        <w:t xml:space="preserve"> </w:t>
      </w:r>
      <w:r w:rsidR="0021615D" w:rsidRPr="008C5A96">
        <w:rPr>
          <w:rFonts w:ascii="Times New Roman" w:hAnsi="Times New Roman" w:cs="Times New Roman"/>
          <w:color w:val="202124"/>
        </w:rPr>
        <w:t>Newly granted overseas investment capital in the first 4 months of 2022 increased sharply compared to the same period last year because, in the first 4 months of 2022, there were 05 major projects newly granted the IRC, which were projects of Vines Energy Solutions Joint Stock Company to the US, Canada, France, Germany, the Netherlands with a total investment capital of over 34.68 million USD/project.</w:t>
      </w:r>
    </w:p>
  </w:footnote>
  <w:footnote w:id="7">
    <w:p w14:paraId="1B2CC33A" w14:textId="487EF795" w:rsidR="001E59C1" w:rsidRPr="008C5A96" w:rsidRDefault="001E59C1" w:rsidP="008C5A96">
      <w:pPr>
        <w:pStyle w:val="HTMLPreformatted"/>
        <w:shd w:val="clear" w:color="auto" w:fill="F8F9FA"/>
        <w:jc w:val="both"/>
        <w:rPr>
          <w:rFonts w:ascii="Times New Roman" w:hAnsi="Times New Roman" w:cs="Times New Roman"/>
          <w:color w:val="202124"/>
          <w:sz w:val="47"/>
          <w:szCs w:val="47"/>
        </w:rPr>
      </w:pPr>
      <w:r w:rsidRPr="008C5A96">
        <w:rPr>
          <w:rStyle w:val="FootnoteReference"/>
          <w:rFonts w:ascii="Times New Roman" w:hAnsi="Times New Roman"/>
        </w:rPr>
        <w:footnoteRef/>
      </w:r>
      <w:r w:rsidRPr="008C5A96">
        <w:rPr>
          <w:rFonts w:ascii="Times New Roman" w:hAnsi="Times New Roman" w:cs="Times New Roman"/>
        </w:rPr>
        <w:t xml:space="preserve"> </w:t>
      </w:r>
      <w:r w:rsidR="0021615D" w:rsidRPr="008C5A96">
        <w:rPr>
          <w:rStyle w:val="y2iqfc"/>
          <w:rFonts w:ascii="Times New Roman" w:hAnsi="Times New Roman" w:cs="Times New Roman"/>
          <w:color w:val="202124"/>
        </w:rPr>
        <w:t>Adjusted investment capital decreased sharply in the 4 months of 2022 because in the 4 months of 2021 there were many large projects adjusted to increase capital: Vingroup's project in the US was adjusted to increase by 300 million USD; Indochina Rubber Development and Investment Co., Ltd. project in Cambodia increased by 76 million USD and 01 Vinfast projects in Germany increased by 32 million USD (excluding the case of capital reduction of more than 30 million USD in April 2021, these three cases alone accounted for 94.1% of the total adjusted capital of the four months in 2021).</w:t>
      </w:r>
    </w:p>
    <w:p w14:paraId="1F4A5972" w14:textId="77777777" w:rsidR="001E59C1" w:rsidRPr="0055728F" w:rsidRDefault="001E59C1" w:rsidP="001E59C1">
      <w:pPr>
        <w:pStyle w:val="FootnoteText"/>
        <w:rPr>
          <w:lang w:val="en-US"/>
        </w:rPr>
      </w:pPr>
    </w:p>
  </w:footnote>
  <w:footnote w:id="8">
    <w:p w14:paraId="50124A8C" w14:textId="77777777" w:rsidR="00E1341E" w:rsidRPr="00C83F82" w:rsidRDefault="00E1341E" w:rsidP="00E1341E">
      <w:pPr>
        <w:pStyle w:val="FootnoteText"/>
        <w:ind w:hanging="142"/>
        <w:jc w:val="both"/>
        <w:rPr>
          <w:lang w:val="en-US"/>
        </w:rPr>
      </w:pPr>
      <w:r>
        <w:rPr>
          <w:rStyle w:val="FootnoteReference"/>
        </w:rPr>
        <w:footnoteRef/>
      </w:r>
      <w:r>
        <w:t xml:space="preserve"> </w:t>
      </w:r>
      <w:r w:rsidRPr="00E1341E">
        <w:rPr>
          <w:rFonts w:ascii="Times New Roman" w:hAnsi="Times New Roman" w:cs="Times New Roman"/>
          <w:lang w:val="en-US"/>
        </w:rPr>
        <w:t>According to the first 4 month 2022 balance state budget revenue report of Ministry of Finance.</w:t>
      </w:r>
    </w:p>
    <w:p w14:paraId="68C2C23C" w14:textId="77777777" w:rsidR="00E1341E" w:rsidRPr="00C83F82" w:rsidRDefault="00E1341E" w:rsidP="00E1341E">
      <w:pPr>
        <w:pStyle w:val="FootnoteText"/>
        <w:rPr>
          <w:lang w:val="en-US"/>
        </w:rPr>
      </w:pPr>
    </w:p>
  </w:footnote>
  <w:footnote w:id="9">
    <w:p w14:paraId="09D42FC2" w14:textId="77777777" w:rsidR="00081B16" w:rsidRPr="00230052" w:rsidRDefault="00081B16" w:rsidP="00081B16">
      <w:pPr>
        <w:pStyle w:val="FootnoteText"/>
      </w:pPr>
      <w:r>
        <w:rPr>
          <w:rStyle w:val="FootnoteReference"/>
        </w:rPr>
        <w:footnoteRef/>
      </w:r>
      <w:r>
        <w:t xml:space="preserve"> </w:t>
      </w:r>
      <w:r w:rsidRPr="0046027A">
        <w:rPr>
          <w:rFonts w:ascii="Times New Roman" w:hAnsi="Times New Roman" w:cs="Times New Roman"/>
          <w:lang w:val="vi-VN"/>
        </w:rPr>
        <w:t>Total retail sales of consumer goods and services in 2018 reached 358.3 trillion VND, up 11.5% over the same period last year; in 2019 reached 396.5 trillion VND, up 10.7%.</w:t>
      </w:r>
    </w:p>
  </w:footnote>
  <w:footnote w:id="10">
    <w:p w14:paraId="1B18B255" w14:textId="72D9553F" w:rsidR="003871F8" w:rsidRPr="009F297E" w:rsidRDefault="003871F8" w:rsidP="003871F8">
      <w:pPr>
        <w:spacing w:before="20" w:after="20" w:line="240" w:lineRule="auto"/>
        <w:ind w:left="198" w:right="119" w:hanging="198"/>
        <w:jc w:val="both"/>
        <w:rPr>
          <w:rFonts w:ascii="Times New Roman" w:hAnsi="Times New Roman" w:cs="Times New Roman"/>
          <w:sz w:val="20"/>
          <w:szCs w:val="20"/>
          <w:lang w:val="vi-VN"/>
        </w:rPr>
      </w:pPr>
      <w:r w:rsidRPr="00BC5895">
        <w:rPr>
          <w:rStyle w:val="FootnoteReference"/>
        </w:rPr>
        <w:footnoteRef/>
      </w:r>
      <w:r w:rsidRPr="009F297E">
        <w:rPr>
          <w:rFonts w:ascii="Times New Roman" w:hAnsi="Times New Roman" w:cs="Times New Roman"/>
          <w:sz w:val="20"/>
          <w:szCs w:val="20"/>
          <w:lang w:val="vi-VN"/>
        </w:rPr>
        <w:t xml:space="preserve"> </w:t>
      </w:r>
      <w:r w:rsidR="002F7CB1" w:rsidRPr="002F7CB1">
        <w:rPr>
          <w:rFonts w:ascii="Times New Roman" w:hAnsi="Times New Roman" w:cs="Times New Roman"/>
          <w:spacing w:val="-2"/>
          <w:sz w:val="20"/>
          <w:szCs w:val="20"/>
        </w:rPr>
        <w:t>Estimated total export and import value in April 2022 provided by the General Department of Customs on April 26, 2022. The General Statistics Office estimated the import and export value of key commodities in April 2022 based on preliminary data provided by the General Department of Customs by April 15, 2022.</w:t>
      </w:r>
    </w:p>
  </w:footnote>
  <w:footnote w:id="11">
    <w:p w14:paraId="76749D15" w14:textId="77777777" w:rsidR="00AD3499" w:rsidRPr="009F297E" w:rsidRDefault="00AD3499" w:rsidP="00AD3499">
      <w:pPr>
        <w:pStyle w:val="FootnoteText"/>
        <w:spacing w:before="20" w:after="20"/>
        <w:ind w:left="198" w:right="119" w:hanging="198"/>
        <w:jc w:val="both"/>
        <w:rPr>
          <w:lang w:val="vi-VN"/>
        </w:rPr>
      </w:pPr>
      <w:r w:rsidRPr="00BC5895">
        <w:rPr>
          <w:rStyle w:val="FootnoteReference"/>
        </w:rPr>
        <w:footnoteRef/>
      </w:r>
      <w:r w:rsidRPr="009F297E">
        <w:rPr>
          <w:rFonts w:ascii="Times New Roman" w:hAnsi="Times New Roman" w:cs="Times New Roman"/>
          <w:lang w:val="vi-VN"/>
        </w:rPr>
        <w:t xml:space="preserve"> </w:t>
      </w:r>
      <w:r w:rsidRPr="002730D8">
        <w:rPr>
          <w:rFonts w:ascii="Times New Roman" w:hAnsi="Times New Roman" w:cs="Times New Roman"/>
          <w:lang w:val="vi-VN"/>
        </w:rPr>
        <w:t xml:space="preserve">Total import and export turnover of goods in </w:t>
      </w:r>
      <w:r>
        <w:rPr>
          <w:rFonts w:ascii="Times New Roman" w:hAnsi="Times New Roman" w:cs="Times New Roman"/>
          <w:lang w:val="en-US"/>
        </w:rPr>
        <w:t>4 months</w:t>
      </w:r>
      <w:r w:rsidRPr="002730D8">
        <w:rPr>
          <w:rFonts w:ascii="Times New Roman" w:hAnsi="Times New Roman" w:cs="Times New Roman"/>
          <w:lang w:val="vi-VN"/>
        </w:rPr>
        <w:t xml:space="preserve"> of 2021 reached </w:t>
      </w:r>
      <w:r>
        <w:rPr>
          <w:rFonts w:ascii="Times New Roman" w:hAnsi="Times New Roman" w:cs="Times New Roman"/>
          <w:lang w:val="en-US"/>
        </w:rPr>
        <w:t>208.7</w:t>
      </w:r>
      <w:r w:rsidRPr="002730D8">
        <w:rPr>
          <w:rFonts w:ascii="Times New Roman" w:hAnsi="Times New Roman" w:cs="Times New Roman"/>
          <w:lang w:val="vi-VN"/>
        </w:rPr>
        <w:t xml:space="preserve"> billion USD, up </w:t>
      </w:r>
      <w:r>
        <w:rPr>
          <w:rFonts w:ascii="Times New Roman" w:hAnsi="Times New Roman" w:cs="Times New Roman"/>
          <w:lang w:val="en-US"/>
        </w:rPr>
        <w:t>30.9</w:t>
      </w:r>
      <w:r w:rsidRPr="002730D8">
        <w:rPr>
          <w:rFonts w:ascii="Times New Roman" w:hAnsi="Times New Roman" w:cs="Times New Roman"/>
          <w:lang w:val="vi-VN"/>
        </w:rPr>
        <w:t xml:space="preserve">% over the same period last year, of which export reached </w:t>
      </w:r>
      <w:r>
        <w:rPr>
          <w:rFonts w:ascii="Times New Roman" w:hAnsi="Times New Roman" w:cs="Times New Roman"/>
          <w:lang w:val="en-US"/>
        </w:rPr>
        <w:t>105.1</w:t>
      </w:r>
      <w:r w:rsidRPr="002730D8">
        <w:rPr>
          <w:rFonts w:ascii="Times New Roman" w:hAnsi="Times New Roman" w:cs="Times New Roman"/>
          <w:lang w:val="vi-VN"/>
        </w:rPr>
        <w:t xml:space="preserve"> billion USD, up 2</w:t>
      </w:r>
      <w:r>
        <w:rPr>
          <w:rFonts w:ascii="Times New Roman" w:hAnsi="Times New Roman" w:cs="Times New Roman"/>
          <w:lang w:val="en-US"/>
        </w:rPr>
        <w:t>9.7</w:t>
      </w:r>
      <w:r w:rsidRPr="002730D8">
        <w:rPr>
          <w:rFonts w:ascii="Times New Roman" w:hAnsi="Times New Roman" w:cs="Times New Roman"/>
          <w:lang w:val="vi-VN"/>
        </w:rPr>
        <w:t xml:space="preserve">%; imports reached </w:t>
      </w:r>
      <w:r>
        <w:rPr>
          <w:rFonts w:ascii="Times New Roman" w:hAnsi="Times New Roman" w:cs="Times New Roman"/>
          <w:lang w:val="en-US"/>
        </w:rPr>
        <w:t>103.6</w:t>
      </w:r>
      <w:r w:rsidRPr="002730D8">
        <w:rPr>
          <w:rFonts w:ascii="Times New Roman" w:hAnsi="Times New Roman" w:cs="Times New Roman"/>
          <w:lang w:val="vi-VN"/>
        </w:rPr>
        <w:t xml:space="preserve"> billion USD, up </w:t>
      </w:r>
      <w:r>
        <w:rPr>
          <w:rFonts w:ascii="Times New Roman" w:hAnsi="Times New Roman" w:cs="Times New Roman"/>
          <w:lang w:val="en-US"/>
        </w:rPr>
        <w:t>32</w:t>
      </w:r>
      <w:r w:rsidRPr="002730D8">
        <w:rPr>
          <w:rFonts w:ascii="Times New Roman" w:hAnsi="Times New Roman" w:cs="Times New Roman"/>
          <w:lang w:val="vi-VN"/>
        </w:rPr>
        <w:t>.1%.</w:t>
      </w:r>
    </w:p>
  </w:footnote>
  <w:footnote w:id="12">
    <w:p w14:paraId="4A91E40C" w14:textId="77777777" w:rsidR="00CF4192" w:rsidRPr="009F297E" w:rsidRDefault="00CF4192" w:rsidP="00CF4192">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sidRPr="00100E64">
        <w:rPr>
          <w:rFonts w:ascii="Times New Roman" w:hAnsi="Times New Roman" w:cs="Times New Roman"/>
          <w:lang w:val="vi-VN"/>
        </w:rPr>
        <w:t>Estimated trade surplus in March is 1.39 billion USD</w:t>
      </w:r>
      <w:r w:rsidRPr="009F297E">
        <w:rPr>
          <w:rFonts w:ascii="Times New Roman" w:hAnsi="Times New Roman" w:cs="Times New Roman"/>
          <w:lang w:val="vi-VN"/>
        </w:rPr>
        <w:t>.</w:t>
      </w:r>
    </w:p>
  </w:footnote>
  <w:footnote w:id="13">
    <w:p w14:paraId="59E67D7E" w14:textId="02A98372" w:rsidR="00CF4192" w:rsidRPr="009F297E" w:rsidRDefault="00CF4192" w:rsidP="00CF4192">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Pr>
          <w:rFonts w:ascii="Times New Roman" w:hAnsi="Times New Roman" w:cs="Times New Roman"/>
        </w:rPr>
        <w:t>T</w:t>
      </w:r>
      <w:r w:rsidRPr="00100E64">
        <w:rPr>
          <w:rFonts w:ascii="Times New Roman" w:hAnsi="Times New Roman" w:cs="Times New Roman"/>
          <w:lang w:val="vi-VN"/>
        </w:rPr>
        <w:t xml:space="preserve">he trade surplus to the US in </w:t>
      </w:r>
      <w:r w:rsidR="00805DC7">
        <w:rPr>
          <w:rFonts w:ascii="Times New Roman" w:hAnsi="Times New Roman" w:cs="Times New Roman"/>
        </w:rPr>
        <w:t xml:space="preserve">the first </w:t>
      </w:r>
      <w:r w:rsidRPr="00100E64">
        <w:rPr>
          <w:rFonts w:ascii="Times New Roman" w:hAnsi="Times New Roman" w:cs="Times New Roman"/>
          <w:lang w:val="vi-VN"/>
        </w:rPr>
        <w:t xml:space="preserve">4 months of 2022 </w:t>
      </w:r>
      <w:r>
        <w:rPr>
          <w:rFonts w:ascii="Times New Roman" w:hAnsi="Times New Roman" w:cs="Times New Roman"/>
        </w:rPr>
        <w:t>wa</w:t>
      </w:r>
      <w:r w:rsidRPr="00100E64">
        <w:rPr>
          <w:rFonts w:ascii="Times New Roman" w:hAnsi="Times New Roman" w:cs="Times New Roman"/>
          <w:lang w:val="vi-VN"/>
        </w:rPr>
        <w:t xml:space="preserve">s </w:t>
      </w:r>
      <w:r>
        <w:rPr>
          <w:rFonts w:ascii="Times New Roman" w:hAnsi="Times New Roman" w:cs="Times New Roman"/>
        </w:rPr>
        <w:t xml:space="preserve">estimated at </w:t>
      </w:r>
      <w:r w:rsidRPr="00100E64">
        <w:rPr>
          <w:rFonts w:ascii="Times New Roman" w:hAnsi="Times New Roman" w:cs="Times New Roman"/>
          <w:lang w:val="vi-VN"/>
        </w:rPr>
        <w:t>30.9 billion USD</w:t>
      </w:r>
      <w:r w:rsidRPr="009F297E">
        <w:rPr>
          <w:rFonts w:ascii="Times New Roman" w:hAnsi="Times New Roman" w:cs="Times New Roman"/>
          <w:lang w:val="vi-VN"/>
        </w:rPr>
        <w:t>.</w:t>
      </w:r>
    </w:p>
  </w:footnote>
  <w:footnote w:id="14">
    <w:p w14:paraId="623C6D79" w14:textId="77777777" w:rsidR="00475254" w:rsidRPr="002273F0" w:rsidRDefault="00475254" w:rsidP="00475254">
      <w:pPr>
        <w:pStyle w:val="FootnoteText"/>
        <w:ind w:left="198" w:hanging="198"/>
        <w:jc w:val="both"/>
        <w:rPr>
          <w:rFonts w:ascii="Times New Roman" w:hAnsi="Times New Roman" w:cs="Times New Roman"/>
        </w:rPr>
      </w:pPr>
      <w:r w:rsidRPr="003871F8">
        <w:rPr>
          <w:rStyle w:val="FootnoteReference"/>
          <w:rFonts w:ascii="Times New Roman" w:hAnsi="Times New Roman"/>
        </w:rPr>
        <w:footnoteRef/>
      </w:r>
      <w:r>
        <w:rPr>
          <w:rFonts w:ascii="Times New Roman" w:hAnsi="Times New Roman" w:cs="Times New Roman"/>
        </w:rPr>
        <w:t xml:space="preserve"> </w:t>
      </w:r>
      <w:r w:rsidRPr="00C41760">
        <w:rPr>
          <w:rFonts w:ascii="Times New Roman" w:hAnsi="Times New Roman" w:cs="Times New Roman"/>
        </w:rPr>
        <w:t xml:space="preserve">The average CPI growth rate in the first 4 months of the year compared to the same period last year in the years 2017-2020 </w:t>
      </w:r>
      <w:r>
        <w:rPr>
          <w:rFonts w:ascii="Times New Roman" w:hAnsi="Times New Roman" w:cs="Times New Roman"/>
        </w:rPr>
        <w:t>increased respectively</w:t>
      </w:r>
      <w:r w:rsidRPr="00C41760">
        <w:rPr>
          <w:rFonts w:ascii="Times New Roman" w:hAnsi="Times New Roman" w:cs="Times New Roman"/>
        </w:rPr>
        <w:t>: 4.8%; 2.8%; 2.71%; 4.9%.</w:t>
      </w:r>
    </w:p>
  </w:footnote>
  <w:footnote w:id="15">
    <w:p w14:paraId="1F60A2B7" w14:textId="1E67BC4A" w:rsidR="0065317F" w:rsidRPr="008D7017" w:rsidRDefault="0065317F" w:rsidP="0065317F">
      <w:pPr>
        <w:pStyle w:val="FootnoteText"/>
        <w:ind w:left="198" w:hanging="198"/>
        <w:rPr>
          <w:rFonts w:ascii="Times New Roman" w:hAnsi="Times New Roman" w:cs="Times New Roman"/>
          <w:lang w:val="en-US"/>
        </w:rPr>
      </w:pPr>
      <w:r w:rsidRPr="008D7017">
        <w:rPr>
          <w:rStyle w:val="FootnoteReference"/>
          <w:rFonts w:ascii="Times New Roman" w:hAnsi="Times New Roman"/>
        </w:rPr>
        <w:footnoteRef/>
      </w:r>
      <w:r w:rsidRPr="008D7017">
        <w:rPr>
          <w:rFonts w:ascii="Times New Roman" w:hAnsi="Times New Roman" w:cs="Times New Roman"/>
        </w:rPr>
        <w:t xml:space="preserve"> </w:t>
      </w:r>
      <w:r w:rsidR="000B10B4" w:rsidRPr="001104FD">
        <w:rPr>
          <w:rFonts w:ascii="Times New Roman" w:hAnsi="Times New Roman" w:cs="Times New Roman"/>
          <w:lang w:val="en-US"/>
        </w:rPr>
        <w:t xml:space="preserve">The growth rate of the price index of educational services in April 2022 compared with the previous month of some localities: Hanoi increased by 1.98%; Nghe An increased </w:t>
      </w:r>
      <w:r w:rsidR="000B10B4">
        <w:rPr>
          <w:rFonts w:ascii="Times New Roman" w:hAnsi="Times New Roman" w:cs="Times New Roman"/>
          <w:lang w:val="en-US"/>
        </w:rPr>
        <w:t xml:space="preserve">by </w:t>
      </w:r>
      <w:r w:rsidR="000B10B4" w:rsidRPr="001104FD">
        <w:rPr>
          <w:rFonts w:ascii="Times New Roman" w:hAnsi="Times New Roman" w:cs="Times New Roman"/>
          <w:lang w:val="en-US"/>
        </w:rPr>
        <w:t>19.89%; Binh Dinh increased by 10.22%; Phu Yen increased by 21.08%; Kien Giang increased by 6.1%.</w:t>
      </w:r>
    </w:p>
  </w:footnote>
  <w:footnote w:id="16">
    <w:p w14:paraId="6F273E2C" w14:textId="77777777" w:rsidR="0073737A" w:rsidRPr="008D7017" w:rsidRDefault="0073737A" w:rsidP="0073737A">
      <w:pPr>
        <w:pStyle w:val="FootnoteText"/>
        <w:ind w:left="198" w:hanging="198"/>
        <w:jc w:val="both"/>
        <w:rPr>
          <w:rFonts w:ascii="Times New Roman" w:hAnsi="Times New Roman" w:cs="Times New Roman"/>
          <w:lang w:val="en-US"/>
        </w:rPr>
      </w:pPr>
      <w:r w:rsidRPr="008D7017">
        <w:rPr>
          <w:rStyle w:val="FootnoteReference"/>
          <w:rFonts w:ascii="Times New Roman" w:hAnsi="Times New Roman"/>
        </w:rPr>
        <w:footnoteRef/>
      </w:r>
      <w:r w:rsidRPr="008D7017">
        <w:rPr>
          <w:rFonts w:ascii="Times New Roman" w:hAnsi="Times New Roman" w:cs="Times New Roman"/>
        </w:rPr>
        <w:t xml:space="preserve"> </w:t>
      </w:r>
      <w:r w:rsidRPr="001104FD">
        <w:rPr>
          <w:rFonts w:ascii="Times New Roman" w:hAnsi="Times New Roman" w:cs="Times New Roman"/>
          <w:lang w:val="en-US"/>
        </w:rPr>
        <w:t>Steel price increased when the price of raw materials from iron ore, scrap steel… increased sharply; the price of input materials in cement production such as gasoline and coal increased. Besides, the prices of some other building material products also increased, such as stone, sand, and construction bricks.</w:t>
      </w:r>
    </w:p>
  </w:footnote>
  <w:footnote w:id="17">
    <w:p w14:paraId="4F891605" w14:textId="77777777" w:rsidR="0073737A" w:rsidRPr="008D7017" w:rsidRDefault="0073737A" w:rsidP="0073737A">
      <w:pPr>
        <w:pStyle w:val="FootnoteText"/>
        <w:ind w:left="198" w:hanging="198"/>
        <w:jc w:val="both"/>
        <w:rPr>
          <w:rFonts w:ascii="Times New Roman" w:hAnsi="Times New Roman" w:cs="Times New Roman"/>
          <w:lang w:val="en-US"/>
        </w:rPr>
      </w:pPr>
      <w:r w:rsidRPr="008D7017">
        <w:rPr>
          <w:rStyle w:val="FootnoteReference"/>
          <w:rFonts w:ascii="Times New Roman" w:hAnsi="Times New Roman"/>
        </w:rPr>
        <w:footnoteRef/>
      </w:r>
      <w:r w:rsidRPr="008D7017">
        <w:rPr>
          <w:rFonts w:ascii="Times New Roman" w:hAnsi="Times New Roman" w:cs="Times New Roman"/>
        </w:rPr>
        <w:t xml:space="preserve"> </w:t>
      </w:r>
      <w:r w:rsidRPr="001104FD">
        <w:rPr>
          <w:rFonts w:ascii="Times New Roman" w:hAnsi="Times New Roman" w:cs="Times New Roman"/>
          <w:lang w:val="en-US"/>
        </w:rPr>
        <w:t xml:space="preserve">From April </w:t>
      </w:r>
      <w:r>
        <w:rPr>
          <w:rFonts w:ascii="Times New Roman" w:hAnsi="Times New Roman" w:cs="Times New Roman"/>
          <w:lang w:val="en-US"/>
        </w:rPr>
        <w:t>0</w:t>
      </w:r>
      <w:r w:rsidRPr="001104FD">
        <w:rPr>
          <w:rFonts w:ascii="Times New Roman" w:hAnsi="Times New Roman" w:cs="Times New Roman"/>
          <w:lang w:val="en-US"/>
        </w:rPr>
        <w:t xml:space="preserve">1, 2022, the domestic gas price </w:t>
      </w:r>
      <w:r>
        <w:rPr>
          <w:rFonts w:ascii="Times New Roman" w:hAnsi="Times New Roman" w:cs="Times New Roman"/>
          <w:lang w:val="en-US"/>
        </w:rPr>
        <w:t>was</w:t>
      </w:r>
      <w:r w:rsidRPr="001104FD">
        <w:rPr>
          <w:rFonts w:ascii="Times New Roman" w:hAnsi="Times New Roman" w:cs="Times New Roman"/>
          <w:lang w:val="en-US"/>
        </w:rPr>
        <w:t xml:space="preserve"> adjusted to increase by 14,000 VND/bottle of 12 kg after the world gas price increased by 42.5 USD/ton.</w:t>
      </w:r>
    </w:p>
  </w:footnote>
  <w:footnote w:id="18">
    <w:p w14:paraId="591E975B" w14:textId="77777777" w:rsidR="0073737A" w:rsidRPr="008D7017" w:rsidRDefault="0073737A" w:rsidP="0073737A">
      <w:pPr>
        <w:pStyle w:val="FootnoteText"/>
        <w:ind w:left="198" w:hanging="198"/>
        <w:jc w:val="both"/>
        <w:rPr>
          <w:rFonts w:ascii="Times New Roman" w:hAnsi="Times New Roman" w:cs="Times New Roman"/>
          <w:lang w:val="en-US"/>
        </w:rPr>
      </w:pPr>
      <w:r w:rsidRPr="008D7017">
        <w:rPr>
          <w:rStyle w:val="FootnoteReference"/>
          <w:rFonts w:ascii="Times New Roman" w:hAnsi="Times New Roman"/>
        </w:rPr>
        <w:footnoteRef/>
      </w:r>
      <w:r w:rsidRPr="008D7017">
        <w:rPr>
          <w:rFonts w:ascii="Times New Roman" w:hAnsi="Times New Roman" w:cs="Times New Roman"/>
        </w:rPr>
        <w:t xml:space="preserve"> </w:t>
      </w:r>
      <w:r w:rsidRPr="001104FD">
        <w:rPr>
          <w:rFonts w:ascii="Times New Roman" w:hAnsi="Times New Roman" w:cs="Times New Roman"/>
          <w:lang w:val="en-US"/>
        </w:rPr>
        <w:t>The impact of price adjustments on April</w:t>
      </w:r>
      <w:r>
        <w:rPr>
          <w:rFonts w:ascii="Times New Roman" w:hAnsi="Times New Roman" w:cs="Times New Roman"/>
          <w:lang w:val="en-US"/>
        </w:rPr>
        <w:t xml:space="preserve"> 0</w:t>
      </w:r>
      <w:r w:rsidRPr="001104FD">
        <w:rPr>
          <w:rFonts w:ascii="Times New Roman" w:hAnsi="Times New Roman" w:cs="Times New Roman"/>
          <w:lang w:val="en-US"/>
        </w:rPr>
        <w:t>1, 2022</w:t>
      </w:r>
      <w:r>
        <w:rPr>
          <w:rFonts w:ascii="Times New Roman" w:hAnsi="Times New Roman" w:cs="Times New Roman"/>
          <w:lang w:val="en-US"/>
        </w:rPr>
        <w:t>;</w:t>
      </w:r>
      <w:r w:rsidRPr="001104FD">
        <w:rPr>
          <w:rFonts w:ascii="Times New Roman" w:hAnsi="Times New Roman" w:cs="Times New Roman"/>
          <w:lang w:val="en-US"/>
        </w:rPr>
        <w:t xml:space="preserve"> April 12, 2022 and April 21, 2022 made kerosene prices increase by 1,580 VND/liter.</w:t>
      </w:r>
    </w:p>
  </w:footnote>
  <w:footnote w:id="19">
    <w:p w14:paraId="05A15A39" w14:textId="77777777" w:rsidR="0073737A" w:rsidRPr="008D7017" w:rsidRDefault="0073737A" w:rsidP="0073737A">
      <w:pPr>
        <w:pStyle w:val="FootnoteText"/>
        <w:ind w:left="198" w:hanging="198"/>
        <w:jc w:val="both"/>
        <w:rPr>
          <w:rFonts w:ascii="Times New Roman" w:hAnsi="Times New Roman" w:cs="Times New Roman"/>
        </w:rPr>
      </w:pPr>
      <w:r w:rsidRPr="008D7017">
        <w:rPr>
          <w:rStyle w:val="FootnoteReference"/>
          <w:rFonts w:ascii="Times New Roman" w:hAnsi="Times New Roman"/>
        </w:rPr>
        <w:footnoteRef/>
      </w:r>
      <w:r w:rsidRPr="008D7017">
        <w:rPr>
          <w:rFonts w:ascii="Times New Roman" w:hAnsi="Times New Roman" w:cs="Times New Roman"/>
        </w:rPr>
        <w:t xml:space="preserve"> </w:t>
      </w:r>
      <w:r w:rsidRPr="001104FD">
        <w:rPr>
          <w:rFonts w:ascii="Times New Roman" w:hAnsi="Times New Roman" w:cs="Times New Roman"/>
        </w:rPr>
        <w:t xml:space="preserve">The domestic electricity price index in April 2022 </w:t>
      </w:r>
      <w:r>
        <w:rPr>
          <w:rFonts w:ascii="Times New Roman" w:hAnsi="Times New Roman" w:cs="Times New Roman"/>
        </w:rPr>
        <w:t>wa</w:t>
      </w:r>
      <w:r w:rsidRPr="001104FD">
        <w:rPr>
          <w:rFonts w:ascii="Times New Roman" w:hAnsi="Times New Roman" w:cs="Times New Roman"/>
        </w:rPr>
        <w:t xml:space="preserve">s calculated based on the revenue and output of electricity consumption from March </w:t>
      </w:r>
      <w:r>
        <w:rPr>
          <w:rFonts w:ascii="Times New Roman" w:hAnsi="Times New Roman" w:cs="Times New Roman"/>
        </w:rPr>
        <w:t>0</w:t>
      </w:r>
      <w:r w:rsidRPr="001104FD">
        <w:rPr>
          <w:rFonts w:ascii="Times New Roman" w:hAnsi="Times New Roman" w:cs="Times New Roman"/>
        </w:rPr>
        <w:t>1</w:t>
      </w:r>
      <w:r>
        <w:rPr>
          <w:rFonts w:ascii="Times New Roman" w:hAnsi="Times New Roman" w:cs="Times New Roman"/>
        </w:rPr>
        <w:t>,</w:t>
      </w:r>
      <w:r w:rsidRPr="002D60CD">
        <w:rPr>
          <w:rFonts w:ascii="Times New Roman" w:hAnsi="Times New Roman" w:cs="Times New Roman"/>
        </w:rPr>
        <w:t xml:space="preserve"> </w:t>
      </w:r>
      <w:r w:rsidRPr="001104FD">
        <w:rPr>
          <w:rFonts w:ascii="Times New Roman" w:hAnsi="Times New Roman" w:cs="Times New Roman"/>
        </w:rPr>
        <w:t xml:space="preserve">2022 to March </w:t>
      </w:r>
      <w:r>
        <w:rPr>
          <w:rFonts w:ascii="Times New Roman" w:hAnsi="Times New Roman" w:cs="Times New Roman"/>
        </w:rPr>
        <w:t xml:space="preserve"> </w:t>
      </w:r>
      <w:r w:rsidRPr="001104FD">
        <w:rPr>
          <w:rFonts w:ascii="Times New Roman" w:hAnsi="Times New Roman" w:cs="Times New Roman"/>
        </w:rPr>
        <w:t>31, 2022, thus reflecting fluctuations one month later than other commodities.</w:t>
      </w:r>
    </w:p>
  </w:footnote>
  <w:footnote w:id="20">
    <w:p w14:paraId="3221776E" w14:textId="77777777" w:rsidR="00650F61" w:rsidRPr="000B36C9" w:rsidRDefault="00650F61" w:rsidP="00650F61">
      <w:pPr>
        <w:pStyle w:val="FootnoteText"/>
        <w:ind w:left="198" w:hanging="198"/>
        <w:jc w:val="both"/>
        <w:rPr>
          <w:rFonts w:ascii="Times New Roman" w:hAnsi="Times New Roman" w:cs="Times New Roman"/>
          <w:lang w:val="en-US"/>
        </w:rPr>
      </w:pPr>
      <w:r w:rsidRPr="000B36C9">
        <w:rPr>
          <w:rStyle w:val="FootnoteReference"/>
          <w:rFonts w:ascii="Times New Roman" w:hAnsi="Times New Roman"/>
        </w:rPr>
        <w:footnoteRef/>
      </w:r>
      <w:r w:rsidRPr="000B36C9">
        <w:rPr>
          <w:rFonts w:ascii="Times New Roman" w:hAnsi="Times New Roman" w:cs="Times New Roman"/>
        </w:rPr>
        <w:t xml:space="preserve"> </w:t>
      </w:r>
      <w:r w:rsidRPr="001104FD">
        <w:rPr>
          <w:rFonts w:ascii="Times New Roman" w:hAnsi="Times New Roman" w:cs="Times New Roman"/>
          <w:lang w:val="en-US"/>
        </w:rPr>
        <w:t>The price of rice increased by 0.03% according to the price of export rice and the high price of fertilizer and input materials for production. In addition, the price of input materials and the increase in transportation costs affected the prices of other processed food products (the price of noodles, noodles, pho, instant porridge increased by 0.38% over the previous month; flour noodles increased by 0.77%; instant cereals increased by 0.45%; bread increased by 0.89%</w:t>
      </w:r>
      <w:r>
        <w:rPr>
          <w:rFonts w:ascii="Times New Roman" w:hAnsi="Times New Roman" w:cs="Times New Roman"/>
          <w:lang w:val="en-US"/>
        </w:rPr>
        <w:t>)</w:t>
      </w:r>
      <w:r w:rsidRPr="001104FD">
        <w:rPr>
          <w:rFonts w:ascii="Times New Roman" w:hAnsi="Times New Roman" w:cs="Times New Roman"/>
          <w:lang w:val="en-US"/>
        </w:rPr>
        <w:t>.</w:t>
      </w:r>
    </w:p>
  </w:footnote>
  <w:footnote w:id="21">
    <w:p w14:paraId="48EF7BBF" w14:textId="77777777" w:rsidR="00650F61" w:rsidRPr="000B36C9" w:rsidRDefault="00650F61" w:rsidP="00650F61">
      <w:pPr>
        <w:pStyle w:val="FootnoteText"/>
        <w:ind w:left="198" w:hanging="198"/>
        <w:jc w:val="both"/>
        <w:rPr>
          <w:rFonts w:ascii="Times New Roman" w:hAnsi="Times New Roman" w:cs="Times New Roman"/>
          <w:lang w:val="en-US"/>
        </w:rPr>
      </w:pPr>
      <w:r w:rsidRPr="000B36C9">
        <w:rPr>
          <w:rStyle w:val="FootnoteReference"/>
          <w:rFonts w:ascii="Times New Roman" w:hAnsi="Times New Roman"/>
        </w:rPr>
        <w:footnoteRef/>
      </w:r>
      <w:r w:rsidRPr="000B36C9">
        <w:rPr>
          <w:rFonts w:ascii="Times New Roman" w:hAnsi="Times New Roman" w:cs="Times New Roman"/>
        </w:rPr>
        <w:t xml:space="preserve"> </w:t>
      </w:r>
      <w:r w:rsidRPr="001104FD">
        <w:rPr>
          <w:rFonts w:ascii="Times New Roman" w:hAnsi="Times New Roman" w:cs="Times New Roman"/>
          <w:lang w:val="en-US"/>
        </w:rPr>
        <w:t xml:space="preserve">Pork price decreased by 1.03% (general CPI impact decreased by 0.04 percentage points) due to stable supply while demand remained stable (price of roast meat, pork belly decreased </w:t>
      </w:r>
      <w:r>
        <w:rPr>
          <w:rFonts w:ascii="Times New Roman" w:hAnsi="Times New Roman" w:cs="Times New Roman"/>
          <w:lang w:val="en-US"/>
        </w:rPr>
        <w:t>by 0.12%; animal fat decreased</w:t>
      </w:r>
      <w:r w:rsidRPr="001104FD">
        <w:rPr>
          <w:rFonts w:ascii="Times New Roman" w:hAnsi="Times New Roman" w:cs="Times New Roman"/>
          <w:lang w:val="en-US"/>
        </w:rPr>
        <w:t xml:space="preserve"> 1.56%); fresh, dried and processed vegetables decreased by 2.75%; fresh and processed fruit decreased by 1.19%. In the opposite direction, the price of fresh seafood increased by 0.16%; poultry meat increased by 0.61%; The price of input materials and transportation costs increased, so the price of vegetable oil increased by 3.2%.</w:t>
      </w:r>
    </w:p>
  </w:footnote>
  <w:footnote w:id="22">
    <w:p w14:paraId="266B1E7D" w14:textId="77777777" w:rsidR="00650F61" w:rsidRPr="001104FD" w:rsidRDefault="00650F61" w:rsidP="00650F61">
      <w:pPr>
        <w:pStyle w:val="FootnoteText"/>
        <w:ind w:left="198" w:hanging="198"/>
        <w:jc w:val="both"/>
        <w:rPr>
          <w:rFonts w:ascii="Times New Roman" w:hAnsi="Times New Roman" w:cs="Times New Roman"/>
        </w:rPr>
      </w:pPr>
      <w:r w:rsidRPr="000B36C9">
        <w:rPr>
          <w:rStyle w:val="FootnoteReference"/>
          <w:rFonts w:ascii="Times New Roman" w:hAnsi="Times New Roman"/>
        </w:rPr>
        <w:footnoteRef/>
      </w:r>
      <w:r w:rsidRPr="000B36C9">
        <w:rPr>
          <w:rFonts w:ascii="Times New Roman" w:hAnsi="Times New Roman" w:cs="Times New Roman"/>
        </w:rPr>
        <w:t xml:space="preserve"> </w:t>
      </w:r>
      <w:r w:rsidRPr="001104FD">
        <w:rPr>
          <w:rFonts w:ascii="Times New Roman" w:hAnsi="Times New Roman" w:cs="Times New Roman"/>
          <w:lang w:val="en-US"/>
        </w:rPr>
        <w:t xml:space="preserve">Gas prices, gasoline prices along with the prices of processed materials </w:t>
      </w:r>
      <w:r>
        <w:rPr>
          <w:rFonts w:ascii="Times New Roman" w:hAnsi="Times New Roman" w:cs="Times New Roman"/>
          <w:lang w:val="en-US"/>
        </w:rPr>
        <w:t>we</w:t>
      </w:r>
      <w:r w:rsidRPr="001104FD">
        <w:rPr>
          <w:rFonts w:ascii="Times New Roman" w:hAnsi="Times New Roman" w:cs="Times New Roman"/>
          <w:lang w:val="en-US"/>
        </w:rPr>
        <w:t>re at high levels. In which, the food price index outside the family increased by 0.55%; Out-of-home drinks increased by 0.46% and fast food to take away increased by 0.33%.</w:t>
      </w:r>
    </w:p>
  </w:footnote>
  <w:footnote w:id="23">
    <w:p w14:paraId="4F53A3E3" w14:textId="77777777" w:rsidR="009F74C0" w:rsidRPr="008D7017" w:rsidRDefault="009F74C0" w:rsidP="009F74C0">
      <w:pPr>
        <w:pStyle w:val="FootnoteText"/>
        <w:ind w:left="198" w:hanging="198"/>
        <w:jc w:val="both"/>
        <w:rPr>
          <w:rFonts w:ascii="Times New Roman" w:hAnsi="Times New Roman" w:cs="Times New Roman"/>
        </w:rPr>
      </w:pPr>
      <w:r w:rsidRPr="000B36C9">
        <w:rPr>
          <w:rStyle w:val="FootnoteReference"/>
          <w:rFonts w:ascii="Times New Roman" w:hAnsi="Times New Roman"/>
        </w:rPr>
        <w:footnoteRef/>
      </w:r>
      <w:r w:rsidRPr="000B36C9">
        <w:rPr>
          <w:rFonts w:ascii="Times New Roman" w:hAnsi="Times New Roman" w:cs="Times New Roman"/>
        </w:rPr>
        <w:t xml:space="preserve"> </w:t>
      </w:r>
      <w:r w:rsidRPr="001104FD">
        <w:rPr>
          <w:rFonts w:ascii="Times New Roman" w:hAnsi="Times New Roman" w:cs="Times New Roman"/>
        </w:rPr>
        <w:t>CPI after excluding food, fresh food, energy and goods managed by the State including health services and education.</w:t>
      </w:r>
    </w:p>
  </w:footnote>
  <w:footnote w:id="24">
    <w:p w14:paraId="0F0BB07B" w14:textId="42700330" w:rsidR="0065317F" w:rsidRPr="00F2371A" w:rsidRDefault="0065317F" w:rsidP="00CB588C">
      <w:pPr>
        <w:pStyle w:val="FootnoteText"/>
        <w:spacing w:before="40" w:after="40" w:line="264" w:lineRule="auto"/>
        <w:ind w:left="198" w:hanging="198"/>
        <w:jc w:val="both"/>
        <w:rPr>
          <w:rFonts w:ascii="Times New Roman" w:hAnsi="Times New Roman" w:cs="Times New Roman"/>
        </w:rPr>
      </w:pPr>
      <w:r w:rsidRPr="00F2371A">
        <w:rPr>
          <w:rStyle w:val="FootnoteReference"/>
          <w:rFonts w:ascii="Times New Roman" w:hAnsi="Times New Roman"/>
        </w:rPr>
        <w:footnoteRef/>
      </w:r>
      <w:r>
        <w:rPr>
          <w:rFonts w:ascii="Times New Roman" w:hAnsi="Times New Roman" w:cs="Times New Roman"/>
          <w:spacing w:val="2"/>
        </w:rPr>
        <w:t xml:space="preserve"> </w:t>
      </w:r>
      <w:r w:rsidR="00CB588C" w:rsidRPr="00CB588C">
        <w:rPr>
          <w:rFonts w:ascii="Times New Roman" w:hAnsi="Times New Roman" w:cs="Times New Roman"/>
          <w:spacing w:val="2"/>
        </w:rPr>
        <w:t>According to the report of the Border Gate Department, the Border Guard Command, the Ministry of National Defense and the Immigration Department.</w:t>
      </w:r>
    </w:p>
  </w:footnote>
  <w:footnote w:id="25">
    <w:p w14:paraId="4E7E2A6F" w14:textId="02B3BB0B" w:rsidR="0065317F" w:rsidRPr="00F2371A" w:rsidRDefault="0065317F" w:rsidP="00CB588C">
      <w:pPr>
        <w:pStyle w:val="FootnoteText"/>
        <w:ind w:left="198" w:hanging="198"/>
        <w:jc w:val="both"/>
        <w:rPr>
          <w:rFonts w:ascii="Times New Roman" w:hAnsi="Times New Roman" w:cs="Times New Roman"/>
        </w:rPr>
      </w:pPr>
      <w:r w:rsidRPr="00F2371A">
        <w:rPr>
          <w:rStyle w:val="FootnoteReference"/>
          <w:rFonts w:ascii="Times New Roman" w:hAnsi="Times New Roman"/>
        </w:rPr>
        <w:footnoteRef/>
      </w:r>
      <w:r>
        <w:rPr>
          <w:rFonts w:ascii="Times New Roman" w:hAnsi="Times New Roman" w:cs="Times New Roman"/>
        </w:rPr>
        <w:t xml:space="preserve"> </w:t>
      </w:r>
      <w:r w:rsidR="00CB588C" w:rsidRPr="00CB588C">
        <w:rPr>
          <w:rFonts w:ascii="Times New Roman" w:hAnsi="Times New Roman" w:cs="Times New Roman"/>
        </w:rPr>
        <w:t>The reporting period is from March 21, 2022 to April 20, 2022.</w:t>
      </w:r>
    </w:p>
  </w:footnote>
  <w:footnote w:id="26">
    <w:p w14:paraId="3A427D3B" w14:textId="13FEFFA6" w:rsidR="008B449A" w:rsidRPr="00CF6D82" w:rsidRDefault="008B449A" w:rsidP="008B449A">
      <w:pPr>
        <w:pStyle w:val="FootnoteText"/>
        <w:spacing w:before="20" w:after="20"/>
        <w:ind w:left="198" w:hanging="198"/>
        <w:jc w:val="both"/>
        <w:rPr>
          <w:rFonts w:ascii="Times New Roman" w:hAnsi="Times New Roman" w:cs="Times New Roman"/>
        </w:rPr>
      </w:pPr>
      <w:r w:rsidRPr="00687D00">
        <w:rPr>
          <w:rStyle w:val="FootnoteReference"/>
          <w:rFonts w:ascii="Times New Roman" w:hAnsi="Times New Roman"/>
        </w:rPr>
        <w:footnoteRef/>
      </w:r>
      <w:r w:rsidRPr="00687D00">
        <w:rPr>
          <w:rFonts w:ascii="Times New Roman" w:hAnsi="Times New Roman" w:cs="Times New Roman"/>
        </w:rPr>
        <w:t xml:space="preserve"> </w:t>
      </w:r>
      <w:r>
        <w:rPr>
          <w:rFonts w:ascii="Times New Roman" w:hAnsi="Times New Roman" w:cs="Times New Roman"/>
          <w:lang w:val="en-US"/>
        </w:rPr>
        <w:t>As of</w:t>
      </w:r>
      <w:r w:rsidRPr="00D2474C">
        <w:rPr>
          <w:rFonts w:ascii="Times New Roman" w:hAnsi="Times New Roman" w:cs="Times New Roman"/>
          <w:lang w:val="vi-VN"/>
        </w:rPr>
        <w:t xml:space="preserve"> </w:t>
      </w:r>
      <w:r w:rsidR="000922CA">
        <w:rPr>
          <w:rFonts w:ascii="Times New Roman" w:hAnsi="Times New Roman" w:cs="Times New Roman"/>
          <w:lang w:val="vi-VN"/>
        </w:rPr>
        <w:t>4</w:t>
      </w:r>
      <w:r>
        <w:rPr>
          <w:rFonts w:ascii="Times New Roman" w:hAnsi="Times New Roman" w:cs="Times New Roman"/>
          <w:lang w:val="en-US"/>
        </w:rPr>
        <w:t>:00 pm</w:t>
      </w:r>
      <w:r w:rsidRPr="00D2474C">
        <w:rPr>
          <w:rFonts w:ascii="Times New Roman" w:hAnsi="Times New Roman" w:cs="Times New Roman"/>
          <w:lang w:val="vi-VN"/>
        </w:rPr>
        <w:t xml:space="preserve"> </w:t>
      </w:r>
      <w:r>
        <w:rPr>
          <w:rFonts w:ascii="Times New Roman" w:hAnsi="Times New Roman" w:cs="Times New Roman"/>
          <w:lang w:val="en-US"/>
        </w:rPr>
        <w:t>on April 26</w:t>
      </w:r>
      <w:r>
        <w:rPr>
          <w:rFonts w:ascii="Times New Roman" w:hAnsi="Times New Roman" w:cs="Times New Roman"/>
          <w:vertAlign w:val="superscript"/>
          <w:lang w:val="en-US"/>
        </w:rPr>
        <w:t>th</w:t>
      </w:r>
      <w:r>
        <w:rPr>
          <w:rFonts w:ascii="Times New Roman" w:hAnsi="Times New Roman" w:cs="Times New Roman"/>
          <w:lang w:val="en-US"/>
        </w:rPr>
        <w:t xml:space="preserve"> 2022,</w:t>
      </w:r>
      <w:r w:rsidRPr="00687D00">
        <w:rPr>
          <w:rFonts w:ascii="Times New Roman" w:hAnsi="Times New Roman" w:cs="Times New Roman"/>
        </w:rPr>
        <w:t xml:space="preserve"> </w:t>
      </w:r>
      <w:r>
        <w:rPr>
          <w:rFonts w:ascii="Times New Roman" w:hAnsi="Times New Roman" w:cs="Times New Roman"/>
          <w:lang w:val="en-US"/>
        </w:rPr>
        <w:t>in the world, there were</w:t>
      </w:r>
      <w:r w:rsidRPr="00687D00">
        <w:rPr>
          <w:rFonts w:ascii="Times New Roman" w:hAnsi="Times New Roman" w:cs="Times New Roman"/>
        </w:rPr>
        <w:t xml:space="preserve"> </w:t>
      </w:r>
      <w:r>
        <w:rPr>
          <w:rFonts w:ascii="Times New Roman" w:hAnsi="Times New Roman" w:cs="Times New Roman"/>
          <w:lang w:val="en-US"/>
        </w:rPr>
        <w:t>510,138</w:t>
      </w:r>
      <w:r w:rsidRPr="00687D00">
        <w:rPr>
          <w:rFonts w:ascii="Times New Roman" w:hAnsi="Times New Roman" w:cs="Times New Roman"/>
        </w:rPr>
        <w:t xml:space="preserve"> </w:t>
      </w:r>
      <w:r w:rsidRPr="003D0818">
        <w:rPr>
          <w:rFonts w:ascii="Times New Roman" w:hAnsi="Times New Roman" w:cs="Times New Roman"/>
        </w:rPr>
        <w:t>thousand cases of Covid-19</w:t>
      </w:r>
      <w:r w:rsidRPr="00687D00">
        <w:rPr>
          <w:rFonts w:ascii="Times New Roman" w:hAnsi="Times New Roman" w:cs="Times New Roman"/>
        </w:rPr>
        <w:t xml:space="preserve"> (</w:t>
      </w:r>
      <w:r>
        <w:rPr>
          <w:rFonts w:ascii="Times New Roman" w:hAnsi="Times New Roman" w:cs="Times New Roman"/>
          <w:lang w:val="en-US"/>
        </w:rPr>
        <w:t>6,246</w:t>
      </w:r>
      <w:r w:rsidRPr="00687D00">
        <w:rPr>
          <w:rFonts w:ascii="Times New Roman" w:hAnsi="Times New Roman" w:cs="Times New Roman"/>
        </w:rPr>
        <w:t xml:space="preserve"> </w:t>
      </w:r>
      <w:r w:rsidRPr="003D0818">
        <w:rPr>
          <w:rFonts w:ascii="Times New Roman" w:hAnsi="Times New Roman" w:cs="Times New Roman"/>
        </w:rPr>
        <w:t>thousand deaths</w:t>
      </w:r>
      <w:r w:rsidRPr="00687D00">
        <w:rPr>
          <w:rFonts w:ascii="Times New Roman" w:hAnsi="Times New Roman" w:cs="Times New Roman"/>
        </w:rPr>
        <w:t>).</w:t>
      </w:r>
    </w:p>
  </w:footnote>
  <w:footnote w:id="27">
    <w:p w14:paraId="521E8813" w14:textId="77777777" w:rsidR="00065287" w:rsidRPr="00065287" w:rsidRDefault="00065287" w:rsidP="00065287">
      <w:pPr>
        <w:pStyle w:val="FootnoteText"/>
        <w:spacing w:before="20" w:after="20"/>
        <w:ind w:left="198" w:hanging="198"/>
        <w:jc w:val="both"/>
        <w:rPr>
          <w:rFonts w:ascii="Times New Roman" w:hAnsi="Times New Roman" w:cs="Times New Roman"/>
        </w:rPr>
      </w:pPr>
      <w:r w:rsidRPr="00065287">
        <w:rPr>
          <w:rStyle w:val="FootnoteReference"/>
          <w:rFonts w:ascii="Times New Roman" w:hAnsi="Times New Roman"/>
        </w:rPr>
        <w:footnoteRef/>
      </w:r>
      <w:bookmarkStart w:id="5" w:name="_Hlk103433290"/>
      <w:r w:rsidRPr="00065287">
        <w:rPr>
          <w:rFonts w:ascii="Times New Roman" w:hAnsi="Times New Roman" w:cs="Times New Roman"/>
        </w:rPr>
        <w:t>According to a quick report from the Office of the Ministry of Public Security and the Vietnam Maritime Administration (Ministry of Transport) from March 15, 2022 to April 14, 2022.</w:t>
      </w:r>
      <w:bookmarkEnd w:id="5"/>
    </w:p>
  </w:footnote>
  <w:footnote w:id="28">
    <w:p w14:paraId="29E1252F" w14:textId="77777777" w:rsidR="002A6FCC" w:rsidRPr="0042366A" w:rsidRDefault="002A6FCC" w:rsidP="002A6FCC">
      <w:pPr>
        <w:pStyle w:val="FootnoteText"/>
        <w:jc w:val="both"/>
        <w:rPr>
          <w:spacing w:val="-2"/>
        </w:rPr>
      </w:pPr>
      <w:r w:rsidRPr="00065287">
        <w:rPr>
          <w:rStyle w:val="FootnoteReference"/>
          <w:rFonts w:ascii="Times New Roman" w:hAnsi="Times New Roman"/>
          <w:spacing w:val="-2"/>
        </w:rPr>
        <w:footnoteRef/>
      </w:r>
      <w:r w:rsidRPr="00065287">
        <w:rPr>
          <w:rFonts w:ascii="Times New Roman" w:hAnsi="Times New Roman" w:cs="Times New Roman"/>
          <w:spacing w:val="-2"/>
        </w:rPr>
        <w:t xml:space="preserve"> Summary of reports from 63 Departments of Agriculture and Rural Development, reporting period from March </w:t>
      </w:r>
      <w:r w:rsidRPr="00065287">
        <w:rPr>
          <w:rFonts w:ascii="Times New Roman" w:hAnsi="Times New Roman" w:cs="Times New Roman"/>
          <w:spacing w:val="-2"/>
          <w:lang w:val="vi-VN"/>
        </w:rPr>
        <w:t>15</w:t>
      </w:r>
      <w:r w:rsidRPr="00065287">
        <w:rPr>
          <w:rFonts w:ascii="Times New Roman" w:hAnsi="Times New Roman" w:cs="Times New Roman"/>
          <w:spacing w:val="-2"/>
        </w:rPr>
        <w:t xml:space="preserve"> to April </w:t>
      </w:r>
      <w:r w:rsidRPr="00065287">
        <w:rPr>
          <w:rFonts w:ascii="Times New Roman" w:hAnsi="Times New Roman" w:cs="Times New Roman"/>
          <w:spacing w:val="-2"/>
          <w:lang w:val="vi-VN"/>
        </w:rPr>
        <w:t>14</w:t>
      </w:r>
      <w:r w:rsidRPr="00065287">
        <w:rPr>
          <w:rFonts w:ascii="Times New Roman" w:hAnsi="Times New Roman" w:cs="Times New Roman"/>
          <w:spacing w:val="-2"/>
        </w:rPr>
        <w:t>, 2022.</w:t>
      </w:r>
    </w:p>
  </w:footnote>
  <w:footnote w:id="29">
    <w:p w14:paraId="6F2CDA62" w14:textId="77777777" w:rsidR="006E1B8F" w:rsidRPr="00D2474C" w:rsidRDefault="006E1B8F" w:rsidP="006E1B8F">
      <w:pPr>
        <w:pStyle w:val="FootnoteText"/>
        <w:rPr>
          <w:rFonts w:ascii="Times New Roman" w:hAnsi="Times New Roman"/>
          <w:lang w:val="vi-VN"/>
        </w:rPr>
      </w:pPr>
      <w:r w:rsidRPr="004808B0">
        <w:rPr>
          <w:rStyle w:val="FootnoteReference"/>
        </w:rPr>
        <w:footnoteRef/>
      </w:r>
      <w:r w:rsidRPr="00D2474C">
        <w:rPr>
          <w:lang w:val="vi-VN"/>
        </w:rPr>
        <w:t xml:space="preserve"> </w:t>
      </w:r>
      <w:r w:rsidRPr="008C060A">
        <w:rPr>
          <w:rFonts w:ascii="Times New Roman" w:hAnsi="Times New Roman"/>
          <w:lang w:val="vi-VN"/>
        </w:rPr>
        <w:t>According to a quick report from the Ministry of Public Security on March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9A2" w14:textId="77777777" w:rsidR="0065317F" w:rsidRPr="004B65DF" w:rsidRDefault="00C11340" w:rsidP="006B1758">
    <w:pPr>
      <w:pStyle w:val="Header"/>
      <w:framePr w:wrap="auto" w:vAnchor="text" w:hAnchor="margin" w:xAlign="center" w:y="1"/>
      <w:rPr>
        <w:rStyle w:val="PageNumber"/>
        <w:rFonts w:ascii="Times New Roman" w:hAnsi="Times New Roman"/>
        <w:sz w:val="26"/>
        <w:szCs w:val="26"/>
      </w:rPr>
    </w:pPr>
    <w:r w:rsidRPr="004B65DF">
      <w:rPr>
        <w:rStyle w:val="PageNumber"/>
        <w:rFonts w:ascii="Times New Roman" w:hAnsi="Times New Roman"/>
        <w:sz w:val="26"/>
        <w:szCs w:val="26"/>
      </w:rPr>
      <w:fldChar w:fldCharType="begin"/>
    </w:r>
    <w:r w:rsidR="0065317F" w:rsidRPr="004B65DF">
      <w:rPr>
        <w:rStyle w:val="PageNumber"/>
        <w:rFonts w:ascii="Times New Roman" w:hAnsi="Times New Roman"/>
        <w:sz w:val="26"/>
        <w:szCs w:val="26"/>
      </w:rPr>
      <w:instrText xml:space="preserve">PAGE  </w:instrText>
    </w:r>
    <w:r w:rsidRPr="004B65DF">
      <w:rPr>
        <w:rStyle w:val="PageNumber"/>
        <w:rFonts w:ascii="Times New Roman" w:hAnsi="Times New Roman"/>
        <w:sz w:val="26"/>
        <w:szCs w:val="26"/>
      </w:rPr>
      <w:fldChar w:fldCharType="separate"/>
    </w:r>
    <w:r w:rsidR="00913AF6">
      <w:rPr>
        <w:rStyle w:val="PageNumber"/>
        <w:rFonts w:ascii="Times New Roman" w:hAnsi="Times New Roman"/>
        <w:noProof/>
        <w:sz w:val="26"/>
        <w:szCs w:val="26"/>
      </w:rPr>
      <w:t>28</w:t>
    </w:r>
    <w:r w:rsidRPr="004B65DF">
      <w:rPr>
        <w:rStyle w:val="PageNumber"/>
        <w:rFonts w:ascii="Times New Roman" w:hAnsi="Times New Roman"/>
        <w:sz w:val="26"/>
        <w:szCs w:val="26"/>
      </w:rPr>
      <w:fldChar w:fldCharType="end"/>
    </w:r>
  </w:p>
  <w:p w14:paraId="6B8FCFB2" w14:textId="77777777" w:rsidR="0065317F" w:rsidRDefault="0065317F">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2"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5"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8"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9"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1"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2"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6"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7"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86585859">
    <w:abstractNumId w:val="14"/>
  </w:num>
  <w:num w:numId="2" w16cid:durableId="1780486685">
    <w:abstractNumId w:val="24"/>
  </w:num>
  <w:num w:numId="3" w16cid:durableId="1461993418">
    <w:abstractNumId w:val="19"/>
  </w:num>
  <w:num w:numId="4" w16cid:durableId="1558860603">
    <w:abstractNumId w:val="2"/>
  </w:num>
  <w:num w:numId="5" w16cid:durableId="1846506151">
    <w:abstractNumId w:val="25"/>
  </w:num>
  <w:num w:numId="6" w16cid:durableId="349336680">
    <w:abstractNumId w:val="18"/>
  </w:num>
  <w:num w:numId="7" w16cid:durableId="496073620">
    <w:abstractNumId w:val="22"/>
  </w:num>
  <w:num w:numId="8" w16cid:durableId="1968123706">
    <w:abstractNumId w:val="9"/>
  </w:num>
  <w:num w:numId="9" w16cid:durableId="1040012891">
    <w:abstractNumId w:val="17"/>
  </w:num>
  <w:num w:numId="10" w16cid:durableId="913590664">
    <w:abstractNumId w:val="21"/>
  </w:num>
  <w:num w:numId="11" w16cid:durableId="706220769">
    <w:abstractNumId w:val="6"/>
  </w:num>
  <w:num w:numId="12" w16cid:durableId="540552333">
    <w:abstractNumId w:val="23"/>
  </w:num>
  <w:num w:numId="13" w16cid:durableId="96364454">
    <w:abstractNumId w:val="15"/>
  </w:num>
  <w:num w:numId="14" w16cid:durableId="2018533853">
    <w:abstractNumId w:val="0"/>
  </w:num>
  <w:num w:numId="15" w16cid:durableId="543059756">
    <w:abstractNumId w:val="1"/>
  </w:num>
  <w:num w:numId="16" w16cid:durableId="439178584">
    <w:abstractNumId w:val="3"/>
  </w:num>
  <w:num w:numId="17" w16cid:durableId="1117261781">
    <w:abstractNumId w:val="26"/>
  </w:num>
  <w:num w:numId="18" w16cid:durableId="92481014">
    <w:abstractNumId w:val="27"/>
  </w:num>
  <w:num w:numId="19" w16cid:durableId="1694267134">
    <w:abstractNumId w:val="10"/>
  </w:num>
  <w:num w:numId="20" w16cid:durableId="974334754">
    <w:abstractNumId w:val="12"/>
  </w:num>
  <w:num w:numId="21" w16cid:durableId="365566437">
    <w:abstractNumId w:val="11"/>
  </w:num>
  <w:num w:numId="22" w16cid:durableId="764301809">
    <w:abstractNumId w:val="20"/>
  </w:num>
  <w:num w:numId="23" w16cid:durableId="718092946">
    <w:abstractNumId w:val="13"/>
  </w:num>
  <w:num w:numId="24" w16cid:durableId="279344572">
    <w:abstractNumId w:val="16"/>
  </w:num>
  <w:num w:numId="25" w16cid:durableId="1366054678">
    <w:abstractNumId w:val="5"/>
  </w:num>
  <w:num w:numId="26" w16cid:durableId="394165174">
    <w:abstractNumId w:val="7"/>
  </w:num>
  <w:num w:numId="27" w16cid:durableId="1265916244">
    <w:abstractNumId w:val="8"/>
  </w:num>
  <w:num w:numId="28" w16cid:durableId="143620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84C"/>
    <w:rsid w:val="00002626"/>
    <w:rsid w:val="00003FCA"/>
    <w:rsid w:val="00004AAD"/>
    <w:rsid w:val="00004E18"/>
    <w:rsid w:val="0000502E"/>
    <w:rsid w:val="0000504B"/>
    <w:rsid w:val="0000550B"/>
    <w:rsid w:val="00005AE0"/>
    <w:rsid w:val="000076AF"/>
    <w:rsid w:val="0000795C"/>
    <w:rsid w:val="0001081E"/>
    <w:rsid w:val="00010A29"/>
    <w:rsid w:val="00010EAA"/>
    <w:rsid w:val="00010F94"/>
    <w:rsid w:val="00011373"/>
    <w:rsid w:val="0001162E"/>
    <w:rsid w:val="00011AA5"/>
    <w:rsid w:val="00012302"/>
    <w:rsid w:val="0001294E"/>
    <w:rsid w:val="00012A71"/>
    <w:rsid w:val="00012D5D"/>
    <w:rsid w:val="000132E9"/>
    <w:rsid w:val="00014131"/>
    <w:rsid w:val="000144AD"/>
    <w:rsid w:val="000159F1"/>
    <w:rsid w:val="00017401"/>
    <w:rsid w:val="00017707"/>
    <w:rsid w:val="00017BF9"/>
    <w:rsid w:val="00020492"/>
    <w:rsid w:val="000205E1"/>
    <w:rsid w:val="00022141"/>
    <w:rsid w:val="000223AC"/>
    <w:rsid w:val="00022670"/>
    <w:rsid w:val="00022947"/>
    <w:rsid w:val="00022FE7"/>
    <w:rsid w:val="000236F1"/>
    <w:rsid w:val="00023730"/>
    <w:rsid w:val="0002389F"/>
    <w:rsid w:val="00024476"/>
    <w:rsid w:val="00024ACA"/>
    <w:rsid w:val="000252D9"/>
    <w:rsid w:val="0002593B"/>
    <w:rsid w:val="00026230"/>
    <w:rsid w:val="00027320"/>
    <w:rsid w:val="0003064D"/>
    <w:rsid w:val="000327DD"/>
    <w:rsid w:val="00033485"/>
    <w:rsid w:val="0003374B"/>
    <w:rsid w:val="00033F75"/>
    <w:rsid w:val="000342CB"/>
    <w:rsid w:val="00034F2D"/>
    <w:rsid w:val="000376AE"/>
    <w:rsid w:val="00037921"/>
    <w:rsid w:val="00040D5E"/>
    <w:rsid w:val="00040FBA"/>
    <w:rsid w:val="000415F4"/>
    <w:rsid w:val="00041A93"/>
    <w:rsid w:val="000422B1"/>
    <w:rsid w:val="00042653"/>
    <w:rsid w:val="00042AB9"/>
    <w:rsid w:val="000430F7"/>
    <w:rsid w:val="00044564"/>
    <w:rsid w:val="00044FAF"/>
    <w:rsid w:val="0004556D"/>
    <w:rsid w:val="0004661A"/>
    <w:rsid w:val="00047DAD"/>
    <w:rsid w:val="000508FE"/>
    <w:rsid w:val="00051FAE"/>
    <w:rsid w:val="00052B49"/>
    <w:rsid w:val="0005324C"/>
    <w:rsid w:val="000538B3"/>
    <w:rsid w:val="000539D4"/>
    <w:rsid w:val="0005584C"/>
    <w:rsid w:val="00055A4D"/>
    <w:rsid w:val="00055D1A"/>
    <w:rsid w:val="000563F2"/>
    <w:rsid w:val="00057022"/>
    <w:rsid w:val="00057B90"/>
    <w:rsid w:val="00060952"/>
    <w:rsid w:val="00060D9D"/>
    <w:rsid w:val="0006119A"/>
    <w:rsid w:val="00061C5E"/>
    <w:rsid w:val="00062111"/>
    <w:rsid w:val="00062A21"/>
    <w:rsid w:val="000632D1"/>
    <w:rsid w:val="00063FD9"/>
    <w:rsid w:val="000642BC"/>
    <w:rsid w:val="00065287"/>
    <w:rsid w:val="0006543B"/>
    <w:rsid w:val="0006557E"/>
    <w:rsid w:val="000660B0"/>
    <w:rsid w:val="0006640F"/>
    <w:rsid w:val="000665EC"/>
    <w:rsid w:val="000673C8"/>
    <w:rsid w:val="00070388"/>
    <w:rsid w:val="00070AB9"/>
    <w:rsid w:val="00071060"/>
    <w:rsid w:val="000712BF"/>
    <w:rsid w:val="000716E7"/>
    <w:rsid w:val="00071ED2"/>
    <w:rsid w:val="00072F33"/>
    <w:rsid w:val="00073365"/>
    <w:rsid w:val="000741E8"/>
    <w:rsid w:val="00074F91"/>
    <w:rsid w:val="0007619B"/>
    <w:rsid w:val="00076329"/>
    <w:rsid w:val="00076A0D"/>
    <w:rsid w:val="00080058"/>
    <w:rsid w:val="0008105E"/>
    <w:rsid w:val="00081780"/>
    <w:rsid w:val="00081B16"/>
    <w:rsid w:val="00082942"/>
    <w:rsid w:val="000832C3"/>
    <w:rsid w:val="00084379"/>
    <w:rsid w:val="00084E44"/>
    <w:rsid w:val="000863F1"/>
    <w:rsid w:val="000866FF"/>
    <w:rsid w:val="000904C2"/>
    <w:rsid w:val="00090661"/>
    <w:rsid w:val="00090691"/>
    <w:rsid w:val="00091B4A"/>
    <w:rsid w:val="000922CA"/>
    <w:rsid w:val="00092CE5"/>
    <w:rsid w:val="00093A11"/>
    <w:rsid w:val="00093ED1"/>
    <w:rsid w:val="000944DE"/>
    <w:rsid w:val="00094CB9"/>
    <w:rsid w:val="000953DD"/>
    <w:rsid w:val="00096FBD"/>
    <w:rsid w:val="000A03DA"/>
    <w:rsid w:val="000A097A"/>
    <w:rsid w:val="000A0C71"/>
    <w:rsid w:val="000A1588"/>
    <w:rsid w:val="000A19BF"/>
    <w:rsid w:val="000A1B29"/>
    <w:rsid w:val="000A2996"/>
    <w:rsid w:val="000A334F"/>
    <w:rsid w:val="000A416C"/>
    <w:rsid w:val="000A4444"/>
    <w:rsid w:val="000A5431"/>
    <w:rsid w:val="000A5FFB"/>
    <w:rsid w:val="000A64D0"/>
    <w:rsid w:val="000A67CA"/>
    <w:rsid w:val="000A7237"/>
    <w:rsid w:val="000A79C2"/>
    <w:rsid w:val="000B07F8"/>
    <w:rsid w:val="000B10B4"/>
    <w:rsid w:val="000B1D2C"/>
    <w:rsid w:val="000B246F"/>
    <w:rsid w:val="000B2C37"/>
    <w:rsid w:val="000B31B6"/>
    <w:rsid w:val="000B3237"/>
    <w:rsid w:val="000B36C9"/>
    <w:rsid w:val="000B4860"/>
    <w:rsid w:val="000B4F11"/>
    <w:rsid w:val="000B6D06"/>
    <w:rsid w:val="000C016B"/>
    <w:rsid w:val="000C0824"/>
    <w:rsid w:val="000C19C2"/>
    <w:rsid w:val="000C22D5"/>
    <w:rsid w:val="000C3A72"/>
    <w:rsid w:val="000C3E73"/>
    <w:rsid w:val="000C7233"/>
    <w:rsid w:val="000D03CF"/>
    <w:rsid w:val="000D0F7C"/>
    <w:rsid w:val="000D11AB"/>
    <w:rsid w:val="000D20E8"/>
    <w:rsid w:val="000D3A9C"/>
    <w:rsid w:val="000D3ACB"/>
    <w:rsid w:val="000D48EC"/>
    <w:rsid w:val="000D55E2"/>
    <w:rsid w:val="000D592B"/>
    <w:rsid w:val="000D5C1F"/>
    <w:rsid w:val="000D5EAB"/>
    <w:rsid w:val="000D5EF6"/>
    <w:rsid w:val="000D7358"/>
    <w:rsid w:val="000D74CC"/>
    <w:rsid w:val="000D7CFE"/>
    <w:rsid w:val="000E0486"/>
    <w:rsid w:val="000E1825"/>
    <w:rsid w:val="000E224D"/>
    <w:rsid w:val="000E23CE"/>
    <w:rsid w:val="000E2B18"/>
    <w:rsid w:val="000E3272"/>
    <w:rsid w:val="000E382A"/>
    <w:rsid w:val="000E509D"/>
    <w:rsid w:val="000E5245"/>
    <w:rsid w:val="000E5549"/>
    <w:rsid w:val="000E55E5"/>
    <w:rsid w:val="000E572A"/>
    <w:rsid w:val="000E5ACC"/>
    <w:rsid w:val="000E5BA4"/>
    <w:rsid w:val="000E60E5"/>
    <w:rsid w:val="000E66D0"/>
    <w:rsid w:val="000E6C5C"/>
    <w:rsid w:val="000E6F85"/>
    <w:rsid w:val="000E703D"/>
    <w:rsid w:val="000E74CF"/>
    <w:rsid w:val="000E760C"/>
    <w:rsid w:val="000F032D"/>
    <w:rsid w:val="000F04AD"/>
    <w:rsid w:val="000F0710"/>
    <w:rsid w:val="000F0A1C"/>
    <w:rsid w:val="000F1187"/>
    <w:rsid w:val="000F13F0"/>
    <w:rsid w:val="000F143A"/>
    <w:rsid w:val="000F15AC"/>
    <w:rsid w:val="000F1EF8"/>
    <w:rsid w:val="000F2063"/>
    <w:rsid w:val="000F2094"/>
    <w:rsid w:val="000F2892"/>
    <w:rsid w:val="000F29A3"/>
    <w:rsid w:val="000F2D3B"/>
    <w:rsid w:val="000F2D60"/>
    <w:rsid w:val="000F3A9C"/>
    <w:rsid w:val="000F3D47"/>
    <w:rsid w:val="000F4009"/>
    <w:rsid w:val="000F4501"/>
    <w:rsid w:val="000F601D"/>
    <w:rsid w:val="000F655B"/>
    <w:rsid w:val="000F67CE"/>
    <w:rsid w:val="000F6C09"/>
    <w:rsid w:val="000F6D48"/>
    <w:rsid w:val="000F7640"/>
    <w:rsid w:val="000F7881"/>
    <w:rsid w:val="000F7A1D"/>
    <w:rsid w:val="00100058"/>
    <w:rsid w:val="0010083F"/>
    <w:rsid w:val="00100FBF"/>
    <w:rsid w:val="00102543"/>
    <w:rsid w:val="0010358D"/>
    <w:rsid w:val="00103C01"/>
    <w:rsid w:val="00103C4E"/>
    <w:rsid w:val="00103CD9"/>
    <w:rsid w:val="0010723D"/>
    <w:rsid w:val="00107863"/>
    <w:rsid w:val="00107D59"/>
    <w:rsid w:val="00111150"/>
    <w:rsid w:val="001117CD"/>
    <w:rsid w:val="001118C6"/>
    <w:rsid w:val="00112864"/>
    <w:rsid w:val="00113E61"/>
    <w:rsid w:val="00113FA6"/>
    <w:rsid w:val="00114E5F"/>
    <w:rsid w:val="001152BC"/>
    <w:rsid w:val="00115CB6"/>
    <w:rsid w:val="00116D01"/>
    <w:rsid w:val="00120E87"/>
    <w:rsid w:val="001217F3"/>
    <w:rsid w:val="001224C3"/>
    <w:rsid w:val="00122A89"/>
    <w:rsid w:val="00123365"/>
    <w:rsid w:val="0012361A"/>
    <w:rsid w:val="00125207"/>
    <w:rsid w:val="00125214"/>
    <w:rsid w:val="0012599F"/>
    <w:rsid w:val="0012693A"/>
    <w:rsid w:val="00127194"/>
    <w:rsid w:val="00127498"/>
    <w:rsid w:val="00131973"/>
    <w:rsid w:val="001319B0"/>
    <w:rsid w:val="001319BD"/>
    <w:rsid w:val="00131D2B"/>
    <w:rsid w:val="00131FB2"/>
    <w:rsid w:val="00133CB7"/>
    <w:rsid w:val="0013409C"/>
    <w:rsid w:val="001349FF"/>
    <w:rsid w:val="00134B4A"/>
    <w:rsid w:val="001363F7"/>
    <w:rsid w:val="001369B8"/>
    <w:rsid w:val="001370DD"/>
    <w:rsid w:val="001378E0"/>
    <w:rsid w:val="00140EF0"/>
    <w:rsid w:val="00140F6C"/>
    <w:rsid w:val="00141B87"/>
    <w:rsid w:val="00141CBF"/>
    <w:rsid w:val="001425FD"/>
    <w:rsid w:val="00142BE0"/>
    <w:rsid w:val="00142BE7"/>
    <w:rsid w:val="001433F3"/>
    <w:rsid w:val="00144A29"/>
    <w:rsid w:val="00145054"/>
    <w:rsid w:val="0014557B"/>
    <w:rsid w:val="00145790"/>
    <w:rsid w:val="00145E23"/>
    <w:rsid w:val="00146327"/>
    <w:rsid w:val="00146C04"/>
    <w:rsid w:val="00147106"/>
    <w:rsid w:val="00150A5E"/>
    <w:rsid w:val="00153CE9"/>
    <w:rsid w:val="001552F3"/>
    <w:rsid w:val="00155AD8"/>
    <w:rsid w:val="00155DC9"/>
    <w:rsid w:val="00156004"/>
    <w:rsid w:val="00156148"/>
    <w:rsid w:val="00157D7C"/>
    <w:rsid w:val="001600FD"/>
    <w:rsid w:val="001602EC"/>
    <w:rsid w:val="001608BD"/>
    <w:rsid w:val="001614AF"/>
    <w:rsid w:val="00161678"/>
    <w:rsid w:val="00161FEA"/>
    <w:rsid w:val="00162B6E"/>
    <w:rsid w:val="00162F67"/>
    <w:rsid w:val="0016319B"/>
    <w:rsid w:val="00164431"/>
    <w:rsid w:val="0016451A"/>
    <w:rsid w:val="00164EC6"/>
    <w:rsid w:val="001651D1"/>
    <w:rsid w:val="0016523D"/>
    <w:rsid w:val="00165BCA"/>
    <w:rsid w:val="00166DDD"/>
    <w:rsid w:val="00170081"/>
    <w:rsid w:val="00170222"/>
    <w:rsid w:val="001705F5"/>
    <w:rsid w:val="00170E22"/>
    <w:rsid w:val="00172868"/>
    <w:rsid w:val="00173EAE"/>
    <w:rsid w:val="00174075"/>
    <w:rsid w:val="00174F05"/>
    <w:rsid w:val="001757BA"/>
    <w:rsid w:val="001763AE"/>
    <w:rsid w:val="001763CF"/>
    <w:rsid w:val="001772E0"/>
    <w:rsid w:val="00182C73"/>
    <w:rsid w:val="00183934"/>
    <w:rsid w:val="00183D37"/>
    <w:rsid w:val="00184113"/>
    <w:rsid w:val="00187002"/>
    <w:rsid w:val="00190AD3"/>
    <w:rsid w:val="0019157A"/>
    <w:rsid w:val="0019386E"/>
    <w:rsid w:val="001939AE"/>
    <w:rsid w:val="001950AD"/>
    <w:rsid w:val="001952FF"/>
    <w:rsid w:val="00195D7B"/>
    <w:rsid w:val="0019702C"/>
    <w:rsid w:val="001A2231"/>
    <w:rsid w:val="001A2546"/>
    <w:rsid w:val="001A26D2"/>
    <w:rsid w:val="001A413C"/>
    <w:rsid w:val="001A51B7"/>
    <w:rsid w:val="001A5256"/>
    <w:rsid w:val="001A56C6"/>
    <w:rsid w:val="001A6B25"/>
    <w:rsid w:val="001A6BBA"/>
    <w:rsid w:val="001A719F"/>
    <w:rsid w:val="001A7FD2"/>
    <w:rsid w:val="001B02AB"/>
    <w:rsid w:val="001B0EEC"/>
    <w:rsid w:val="001B2179"/>
    <w:rsid w:val="001B3770"/>
    <w:rsid w:val="001B39E6"/>
    <w:rsid w:val="001B4A6F"/>
    <w:rsid w:val="001B5944"/>
    <w:rsid w:val="001B635E"/>
    <w:rsid w:val="001B6FE4"/>
    <w:rsid w:val="001B777A"/>
    <w:rsid w:val="001C08DB"/>
    <w:rsid w:val="001C09CE"/>
    <w:rsid w:val="001C2126"/>
    <w:rsid w:val="001C221D"/>
    <w:rsid w:val="001C34D3"/>
    <w:rsid w:val="001C3C0F"/>
    <w:rsid w:val="001C4BC1"/>
    <w:rsid w:val="001C666E"/>
    <w:rsid w:val="001D12BE"/>
    <w:rsid w:val="001D14E4"/>
    <w:rsid w:val="001D1D1E"/>
    <w:rsid w:val="001D2307"/>
    <w:rsid w:val="001D2402"/>
    <w:rsid w:val="001D2AA1"/>
    <w:rsid w:val="001D2EA0"/>
    <w:rsid w:val="001D4327"/>
    <w:rsid w:val="001D45A7"/>
    <w:rsid w:val="001D4A25"/>
    <w:rsid w:val="001D4B23"/>
    <w:rsid w:val="001D590F"/>
    <w:rsid w:val="001D792D"/>
    <w:rsid w:val="001E06B2"/>
    <w:rsid w:val="001E1534"/>
    <w:rsid w:val="001E1C5F"/>
    <w:rsid w:val="001E312E"/>
    <w:rsid w:val="001E3339"/>
    <w:rsid w:val="001E3562"/>
    <w:rsid w:val="001E3847"/>
    <w:rsid w:val="001E3877"/>
    <w:rsid w:val="001E40A3"/>
    <w:rsid w:val="001E4FAF"/>
    <w:rsid w:val="001E55EC"/>
    <w:rsid w:val="001E59C1"/>
    <w:rsid w:val="001E5A79"/>
    <w:rsid w:val="001E68FB"/>
    <w:rsid w:val="001E6971"/>
    <w:rsid w:val="001E6D38"/>
    <w:rsid w:val="001F013E"/>
    <w:rsid w:val="001F032E"/>
    <w:rsid w:val="001F0C70"/>
    <w:rsid w:val="001F2175"/>
    <w:rsid w:val="001F438E"/>
    <w:rsid w:val="001F43DA"/>
    <w:rsid w:val="001F527B"/>
    <w:rsid w:val="001F56C2"/>
    <w:rsid w:val="001F6B5F"/>
    <w:rsid w:val="001F7116"/>
    <w:rsid w:val="002007D0"/>
    <w:rsid w:val="002024A1"/>
    <w:rsid w:val="0020278F"/>
    <w:rsid w:val="002028A1"/>
    <w:rsid w:val="00203076"/>
    <w:rsid w:val="002037CC"/>
    <w:rsid w:val="002043A0"/>
    <w:rsid w:val="00204518"/>
    <w:rsid w:val="002050D7"/>
    <w:rsid w:val="00205BA9"/>
    <w:rsid w:val="00205EBD"/>
    <w:rsid w:val="0020670B"/>
    <w:rsid w:val="00210BD6"/>
    <w:rsid w:val="002124FC"/>
    <w:rsid w:val="00213994"/>
    <w:rsid w:val="00215AAC"/>
    <w:rsid w:val="0021612B"/>
    <w:rsid w:val="0021615D"/>
    <w:rsid w:val="002168BD"/>
    <w:rsid w:val="00217508"/>
    <w:rsid w:val="00217A65"/>
    <w:rsid w:val="00220C6E"/>
    <w:rsid w:val="00220CDE"/>
    <w:rsid w:val="00221119"/>
    <w:rsid w:val="00221ECD"/>
    <w:rsid w:val="00222D9D"/>
    <w:rsid w:val="00223415"/>
    <w:rsid w:val="002234F6"/>
    <w:rsid w:val="00223752"/>
    <w:rsid w:val="002237EA"/>
    <w:rsid w:val="00223B69"/>
    <w:rsid w:val="00223E69"/>
    <w:rsid w:val="0022480B"/>
    <w:rsid w:val="00224B84"/>
    <w:rsid w:val="00224BA2"/>
    <w:rsid w:val="00225391"/>
    <w:rsid w:val="0022589D"/>
    <w:rsid w:val="0022604E"/>
    <w:rsid w:val="00227769"/>
    <w:rsid w:val="00227909"/>
    <w:rsid w:val="00227ADE"/>
    <w:rsid w:val="00227C9B"/>
    <w:rsid w:val="00230ECD"/>
    <w:rsid w:val="00230FD7"/>
    <w:rsid w:val="00231692"/>
    <w:rsid w:val="00232376"/>
    <w:rsid w:val="00232CDC"/>
    <w:rsid w:val="00232DE7"/>
    <w:rsid w:val="002336D2"/>
    <w:rsid w:val="00233DC8"/>
    <w:rsid w:val="00233E12"/>
    <w:rsid w:val="002345EB"/>
    <w:rsid w:val="00234CEB"/>
    <w:rsid w:val="00234E46"/>
    <w:rsid w:val="00236D06"/>
    <w:rsid w:val="00237683"/>
    <w:rsid w:val="002402AA"/>
    <w:rsid w:val="002406A9"/>
    <w:rsid w:val="00241E04"/>
    <w:rsid w:val="00243B92"/>
    <w:rsid w:val="00245959"/>
    <w:rsid w:val="00245BDA"/>
    <w:rsid w:val="00245C51"/>
    <w:rsid w:val="00246F1D"/>
    <w:rsid w:val="00247264"/>
    <w:rsid w:val="00247D14"/>
    <w:rsid w:val="00247DCB"/>
    <w:rsid w:val="00247F17"/>
    <w:rsid w:val="00250604"/>
    <w:rsid w:val="002511C3"/>
    <w:rsid w:val="002512BE"/>
    <w:rsid w:val="00252C3B"/>
    <w:rsid w:val="00255187"/>
    <w:rsid w:val="00255688"/>
    <w:rsid w:val="0025628E"/>
    <w:rsid w:val="0025668B"/>
    <w:rsid w:val="002566FC"/>
    <w:rsid w:val="00256D83"/>
    <w:rsid w:val="00256E64"/>
    <w:rsid w:val="00256FAA"/>
    <w:rsid w:val="00257765"/>
    <w:rsid w:val="00257BED"/>
    <w:rsid w:val="00260F15"/>
    <w:rsid w:val="002633DB"/>
    <w:rsid w:val="00263487"/>
    <w:rsid w:val="00263B8C"/>
    <w:rsid w:val="00264B3A"/>
    <w:rsid w:val="00265574"/>
    <w:rsid w:val="002672AA"/>
    <w:rsid w:val="0026774E"/>
    <w:rsid w:val="00267A45"/>
    <w:rsid w:val="0027000D"/>
    <w:rsid w:val="002709DD"/>
    <w:rsid w:val="002715A4"/>
    <w:rsid w:val="002721D0"/>
    <w:rsid w:val="002721F9"/>
    <w:rsid w:val="0027267E"/>
    <w:rsid w:val="002736DB"/>
    <w:rsid w:val="00273C21"/>
    <w:rsid w:val="002747EE"/>
    <w:rsid w:val="00274EFE"/>
    <w:rsid w:val="002753CC"/>
    <w:rsid w:val="00276658"/>
    <w:rsid w:val="002767C0"/>
    <w:rsid w:val="002769C8"/>
    <w:rsid w:val="00276D4B"/>
    <w:rsid w:val="002775B3"/>
    <w:rsid w:val="00277DAB"/>
    <w:rsid w:val="002813C4"/>
    <w:rsid w:val="0028214B"/>
    <w:rsid w:val="002823AF"/>
    <w:rsid w:val="00282955"/>
    <w:rsid w:val="0028354E"/>
    <w:rsid w:val="00285B46"/>
    <w:rsid w:val="0028653A"/>
    <w:rsid w:val="00286828"/>
    <w:rsid w:val="00286B33"/>
    <w:rsid w:val="00290324"/>
    <w:rsid w:val="00292ECB"/>
    <w:rsid w:val="00293AA2"/>
    <w:rsid w:val="002946C3"/>
    <w:rsid w:val="0029518C"/>
    <w:rsid w:val="00295CC2"/>
    <w:rsid w:val="00296388"/>
    <w:rsid w:val="00296E8A"/>
    <w:rsid w:val="00297837"/>
    <w:rsid w:val="002978DF"/>
    <w:rsid w:val="00297C11"/>
    <w:rsid w:val="002A11F1"/>
    <w:rsid w:val="002A204D"/>
    <w:rsid w:val="002A248B"/>
    <w:rsid w:val="002A2CE9"/>
    <w:rsid w:val="002A3EEB"/>
    <w:rsid w:val="002A3F1F"/>
    <w:rsid w:val="002A42AF"/>
    <w:rsid w:val="002A444A"/>
    <w:rsid w:val="002A4D3B"/>
    <w:rsid w:val="002A60AC"/>
    <w:rsid w:val="002A6FCC"/>
    <w:rsid w:val="002A706E"/>
    <w:rsid w:val="002B19CA"/>
    <w:rsid w:val="002B2487"/>
    <w:rsid w:val="002B4590"/>
    <w:rsid w:val="002B4C6F"/>
    <w:rsid w:val="002B4DDB"/>
    <w:rsid w:val="002B4F83"/>
    <w:rsid w:val="002B50D6"/>
    <w:rsid w:val="002B7262"/>
    <w:rsid w:val="002B7FD0"/>
    <w:rsid w:val="002C0DD7"/>
    <w:rsid w:val="002C25FE"/>
    <w:rsid w:val="002C30A7"/>
    <w:rsid w:val="002C3C8F"/>
    <w:rsid w:val="002C42AE"/>
    <w:rsid w:val="002C4CA1"/>
    <w:rsid w:val="002C501E"/>
    <w:rsid w:val="002C5143"/>
    <w:rsid w:val="002C618B"/>
    <w:rsid w:val="002C6B73"/>
    <w:rsid w:val="002C791E"/>
    <w:rsid w:val="002C7E1A"/>
    <w:rsid w:val="002D03E7"/>
    <w:rsid w:val="002D0E70"/>
    <w:rsid w:val="002D185E"/>
    <w:rsid w:val="002D1F22"/>
    <w:rsid w:val="002D504D"/>
    <w:rsid w:val="002D626C"/>
    <w:rsid w:val="002D6842"/>
    <w:rsid w:val="002D6FCD"/>
    <w:rsid w:val="002E0C7E"/>
    <w:rsid w:val="002E0CDE"/>
    <w:rsid w:val="002E1E60"/>
    <w:rsid w:val="002E20C9"/>
    <w:rsid w:val="002E2455"/>
    <w:rsid w:val="002E36F6"/>
    <w:rsid w:val="002E372F"/>
    <w:rsid w:val="002E3813"/>
    <w:rsid w:val="002E47B7"/>
    <w:rsid w:val="002E5381"/>
    <w:rsid w:val="002E5B74"/>
    <w:rsid w:val="002E5C45"/>
    <w:rsid w:val="002E66DE"/>
    <w:rsid w:val="002E6D32"/>
    <w:rsid w:val="002E718B"/>
    <w:rsid w:val="002E752D"/>
    <w:rsid w:val="002F04D0"/>
    <w:rsid w:val="002F07E0"/>
    <w:rsid w:val="002F2245"/>
    <w:rsid w:val="002F23BB"/>
    <w:rsid w:val="002F2C69"/>
    <w:rsid w:val="002F3439"/>
    <w:rsid w:val="002F3550"/>
    <w:rsid w:val="002F3765"/>
    <w:rsid w:val="002F5369"/>
    <w:rsid w:val="002F58D0"/>
    <w:rsid w:val="002F6C41"/>
    <w:rsid w:val="002F71EF"/>
    <w:rsid w:val="002F76D1"/>
    <w:rsid w:val="002F77A9"/>
    <w:rsid w:val="002F7CB1"/>
    <w:rsid w:val="0030005C"/>
    <w:rsid w:val="00300215"/>
    <w:rsid w:val="00300287"/>
    <w:rsid w:val="00300297"/>
    <w:rsid w:val="00300469"/>
    <w:rsid w:val="00300571"/>
    <w:rsid w:val="00300912"/>
    <w:rsid w:val="00300B7B"/>
    <w:rsid w:val="003014CB"/>
    <w:rsid w:val="00301DA8"/>
    <w:rsid w:val="00301E9C"/>
    <w:rsid w:val="00302456"/>
    <w:rsid w:val="00303447"/>
    <w:rsid w:val="00303B6D"/>
    <w:rsid w:val="0030651C"/>
    <w:rsid w:val="0030710F"/>
    <w:rsid w:val="0031085F"/>
    <w:rsid w:val="0031135F"/>
    <w:rsid w:val="00311495"/>
    <w:rsid w:val="003124EC"/>
    <w:rsid w:val="00312FC1"/>
    <w:rsid w:val="0031346C"/>
    <w:rsid w:val="00313CF7"/>
    <w:rsid w:val="00314038"/>
    <w:rsid w:val="003144DB"/>
    <w:rsid w:val="003145AD"/>
    <w:rsid w:val="00314D97"/>
    <w:rsid w:val="00314DA2"/>
    <w:rsid w:val="00315349"/>
    <w:rsid w:val="00315B93"/>
    <w:rsid w:val="003168FF"/>
    <w:rsid w:val="0031696D"/>
    <w:rsid w:val="00317E23"/>
    <w:rsid w:val="00321481"/>
    <w:rsid w:val="00321E0F"/>
    <w:rsid w:val="003228A1"/>
    <w:rsid w:val="003248F6"/>
    <w:rsid w:val="003253E1"/>
    <w:rsid w:val="00326421"/>
    <w:rsid w:val="003265E5"/>
    <w:rsid w:val="003271B9"/>
    <w:rsid w:val="00327535"/>
    <w:rsid w:val="003279EA"/>
    <w:rsid w:val="00327C75"/>
    <w:rsid w:val="0033007C"/>
    <w:rsid w:val="00330497"/>
    <w:rsid w:val="00331F74"/>
    <w:rsid w:val="003349C9"/>
    <w:rsid w:val="0033517A"/>
    <w:rsid w:val="003360E9"/>
    <w:rsid w:val="00336C1F"/>
    <w:rsid w:val="003372AE"/>
    <w:rsid w:val="0033737E"/>
    <w:rsid w:val="003379A4"/>
    <w:rsid w:val="00341E59"/>
    <w:rsid w:val="00342092"/>
    <w:rsid w:val="00342A02"/>
    <w:rsid w:val="00343A35"/>
    <w:rsid w:val="00343BE2"/>
    <w:rsid w:val="00343DFE"/>
    <w:rsid w:val="003448D5"/>
    <w:rsid w:val="003450C8"/>
    <w:rsid w:val="00345FA3"/>
    <w:rsid w:val="0034654F"/>
    <w:rsid w:val="003466DB"/>
    <w:rsid w:val="00346E07"/>
    <w:rsid w:val="00346ED1"/>
    <w:rsid w:val="00351EFF"/>
    <w:rsid w:val="003545C3"/>
    <w:rsid w:val="003547D3"/>
    <w:rsid w:val="00354C9B"/>
    <w:rsid w:val="00356693"/>
    <w:rsid w:val="003571A5"/>
    <w:rsid w:val="00357FA8"/>
    <w:rsid w:val="00362246"/>
    <w:rsid w:val="003623CD"/>
    <w:rsid w:val="003628E0"/>
    <w:rsid w:val="00363077"/>
    <w:rsid w:val="00363ACA"/>
    <w:rsid w:val="00364895"/>
    <w:rsid w:val="003657FF"/>
    <w:rsid w:val="00365C64"/>
    <w:rsid w:val="00366079"/>
    <w:rsid w:val="00366D46"/>
    <w:rsid w:val="00366F0D"/>
    <w:rsid w:val="00367554"/>
    <w:rsid w:val="00370621"/>
    <w:rsid w:val="003708A2"/>
    <w:rsid w:val="00371940"/>
    <w:rsid w:val="003737CE"/>
    <w:rsid w:val="00374730"/>
    <w:rsid w:val="00374974"/>
    <w:rsid w:val="00374A5C"/>
    <w:rsid w:val="003754BE"/>
    <w:rsid w:val="003761E4"/>
    <w:rsid w:val="0037744A"/>
    <w:rsid w:val="003774AC"/>
    <w:rsid w:val="00377D92"/>
    <w:rsid w:val="003807CF"/>
    <w:rsid w:val="00380E0B"/>
    <w:rsid w:val="00381D0F"/>
    <w:rsid w:val="00381FDF"/>
    <w:rsid w:val="00382379"/>
    <w:rsid w:val="00382C18"/>
    <w:rsid w:val="00383816"/>
    <w:rsid w:val="00383ACA"/>
    <w:rsid w:val="00384762"/>
    <w:rsid w:val="0038484D"/>
    <w:rsid w:val="0038535E"/>
    <w:rsid w:val="00385A07"/>
    <w:rsid w:val="003865C6"/>
    <w:rsid w:val="003871F8"/>
    <w:rsid w:val="00390807"/>
    <w:rsid w:val="0039127E"/>
    <w:rsid w:val="00391C24"/>
    <w:rsid w:val="00391E3A"/>
    <w:rsid w:val="0039269D"/>
    <w:rsid w:val="00393E5A"/>
    <w:rsid w:val="00396FF6"/>
    <w:rsid w:val="0039777A"/>
    <w:rsid w:val="0039792D"/>
    <w:rsid w:val="00397AAE"/>
    <w:rsid w:val="003A0526"/>
    <w:rsid w:val="003A0BD6"/>
    <w:rsid w:val="003A1716"/>
    <w:rsid w:val="003A184C"/>
    <w:rsid w:val="003A271D"/>
    <w:rsid w:val="003A48EA"/>
    <w:rsid w:val="003A56F3"/>
    <w:rsid w:val="003A7335"/>
    <w:rsid w:val="003B1F80"/>
    <w:rsid w:val="003B29A2"/>
    <w:rsid w:val="003B37B5"/>
    <w:rsid w:val="003B388D"/>
    <w:rsid w:val="003B41D0"/>
    <w:rsid w:val="003B4802"/>
    <w:rsid w:val="003B73B8"/>
    <w:rsid w:val="003C11AE"/>
    <w:rsid w:val="003C1824"/>
    <w:rsid w:val="003C1968"/>
    <w:rsid w:val="003C24C9"/>
    <w:rsid w:val="003C2681"/>
    <w:rsid w:val="003C2FC1"/>
    <w:rsid w:val="003C3F05"/>
    <w:rsid w:val="003C4279"/>
    <w:rsid w:val="003C47BE"/>
    <w:rsid w:val="003C4A3B"/>
    <w:rsid w:val="003C4AC5"/>
    <w:rsid w:val="003C4ADA"/>
    <w:rsid w:val="003C4C80"/>
    <w:rsid w:val="003C5407"/>
    <w:rsid w:val="003C6241"/>
    <w:rsid w:val="003C6A88"/>
    <w:rsid w:val="003C6F35"/>
    <w:rsid w:val="003C6FA0"/>
    <w:rsid w:val="003D22B6"/>
    <w:rsid w:val="003D2349"/>
    <w:rsid w:val="003D2800"/>
    <w:rsid w:val="003D3D6A"/>
    <w:rsid w:val="003D3DBD"/>
    <w:rsid w:val="003D4629"/>
    <w:rsid w:val="003D49B5"/>
    <w:rsid w:val="003D4E98"/>
    <w:rsid w:val="003D5FDA"/>
    <w:rsid w:val="003D65C8"/>
    <w:rsid w:val="003D6869"/>
    <w:rsid w:val="003D7A6E"/>
    <w:rsid w:val="003E09AF"/>
    <w:rsid w:val="003E0A6F"/>
    <w:rsid w:val="003E393C"/>
    <w:rsid w:val="003E479C"/>
    <w:rsid w:val="003E5828"/>
    <w:rsid w:val="003E614E"/>
    <w:rsid w:val="003E6B3E"/>
    <w:rsid w:val="003E7736"/>
    <w:rsid w:val="003F0F7E"/>
    <w:rsid w:val="003F2789"/>
    <w:rsid w:val="003F3125"/>
    <w:rsid w:val="003F39B2"/>
    <w:rsid w:val="003F4A6A"/>
    <w:rsid w:val="003F4F1E"/>
    <w:rsid w:val="003F4F87"/>
    <w:rsid w:val="003F5217"/>
    <w:rsid w:val="003F63C2"/>
    <w:rsid w:val="004001B0"/>
    <w:rsid w:val="0040043F"/>
    <w:rsid w:val="004007F0"/>
    <w:rsid w:val="00401492"/>
    <w:rsid w:val="004014D0"/>
    <w:rsid w:val="00401E34"/>
    <w:rsid w:val="00402C1A"/>
    <w:rsid w:val="00402EDE"/>
    <w:rsid w:val="00403267"/>
    <w:rsid w:val="00404767"/>
    <w:rsid w:val="00404FEF"/>
    <w:rsid w:val="004058BC"/>
    <w:rsid w:val="00405AB5"/>
    <w:rsid w:val="00405F22"/>
    <w:rsid w:val="004068C4"/>
    <w:rsid w:val="00406BFC"/>
    <w:rsid w:val="00406E64"/>
    <w:rsid w:val="00406F4B"/>
    <w:rsid w:val="004078B3"/>
    <w:rsid w:val="00407C25"/>
    <w:rsid w:val="00410381"/>
    <w:rsid w:val="004103DF"/>
    <w:rsid w:val="004122C7"/>
    <w:rsid w:val="004127AA"/>
    <w:rsid w:val="0041325F"/>
    <w:rsid w:val="00413718"/>
    <w:rsid w:val="00414385"/>
    <w:rsid w:val="00414B36"/>
    <w:rsid w:val="00414D60"/>
    <w:rsid w:val="0041500E"/>
    <w:rsid w:val="00415926"/>
    <w:rsid w:val="00416AF9"/>
    <w:rsid w:val="004174BE"/>
    <w:rsid w:val="00417B11"/>
    <w:rsid w:val="00420112"/>
    <w:rsid w:val="004207FE"/>
    <w:rsid w:val="00420CD4"/>
    <w:rsid w:val="00420D19"/>
    <w:rsid w:val="0042245E"/>
    <w:rsid w:val="00424A87"/>
    <w:rsid w:val="00426213"/>
    <w:rsid w:val="004269C9"/>
    <w:rsid w:val="00426CB8"/>
    <w:rsid w:val="00427CDD"/>
    <w:rsid w:val="00430432"/>
    <w:rsid w:val="004304F4"/>
    <w:rsid w:val="0043069F"/>
    <w:rsid w:val="00432315"/>
    <w:rsid w:val="00432CB4"/>
    <w:rsid w:val="004330D3"/>
    <w:rsid w:val="004340AD"/>
    <w:rsid w:val="00434419"/>
    <w:rsid w:val="00434EF5"/>
    <w:rsid w:val="0043525C"/>
    <w:rsid w:val="00435E60"/>
    <w:rsid w:val="004367EF"/>
    <w:rsid w:val="00436D7D"/>
    <w:rsid w:val="0043770D"/>
    <w:rsid w:val="00437E71"/>
    <w:rsid w:val="004404A5"/>
    <w:rsid w:val="00440687"/>
    <w:rsid w:val="00441AD6"/>
    <w:rsid w:val="0044232C"/>
    <w:rsid w:val="00443057"/>
    <w:rsid w:val="004441B1"/>
    <w:rsid w:val="00445864"/>
    <w:rsid w:val="00446010"/>
    <w:rsid w:val="0044665F"/>
    <w:rsid w:val="004476B7"/>
    <w:rsid w:val="004479AC"/>
    <w:rsid w:val="00447B8A"/>
    <w:rsid w:val="00452AF5"/>
    <w:rsid w:val="004540DB"/>
    <w:rsid w:val="00454589"/>
    <w:rsid w:val="00455055"/>
    <w:rsid w:val="0045528C"/>
    <w:rsid w:val="004553B8"/>
    <w:rsid w:val="00455867"/>
    <w:rsid w:val="00455A8D"/>
    <w:rsid w:val="00456E2B"/>
    <w:rsid w:val="00457056"/>
    <w:rsid w:val="0046027A"/>
    <w:rsid w:val="004613E2"/>
    <w:rsid w:val="004615A6"/>
    <w:rsid w:val="0046202D"/>
    <w:rsid w:val="004628DE"/>
    <w:rsid w:val="00463EE0"/>
    <w:rsid w:val="00464862"/>
    <w:rsid w:val="00466B97"/>
    <w:rsid w:val="00470685"/>
    <w:rsid w:val="00471061"/>
    <w:rsid w:val="004712E0"/>
    <w:rsid w:val="00471953"/>
    <w:rsid w:val="00471E33"/>
    <w:rsid w:val="0047201E"/>
    <w:rsid w:val="004724BA"/>
    <w:rsid w:val="00472707"/>
    <w:rsid w:val="00472C40"/>
    <w:rsid w:val="00473292"/>
    <w:rsid w:val="004733CA"/>
    <w:rsid w:val="00474362"/>
    <w:rsid w:val="00474577"/>
    <w:rsid w:val="00474CFF"/>
    <w:rsid w:val="00475254"/>
    <w:rsid w:val="004753A2"/>
    <w:rsid w:val="00477032"/>
    <w:rsid w:val="0048087B"/>
    <w:rsid w:val="004808B0"/>
    <w:rsid w:val="0048160B"/>
    <w:rsid w:val="004819E2"/>
    <w:rsid w:val="004825C0"/>
    <w:rsid w:val="004827F8"/>
    <w:rsid w:val="004844D2"/>
    <w:rsid w:val="004846C1"/>
    <w:rsid w:val="00484C92"/>
    <w:rsid w:val="00485568"/>
    <w:rsid w:val="00485831"/>
    <w:rsid w:val="00485C1A"/>
    <w:rsid w:val="0048713E"/>
    <w:rsid w:val="00490C73"/>
    <w:rsid w:val="004919B5"/>
    <w:rsid w:val="004926BC"/>
    <w:rsid w:val="004937DB"/>
    <w:rsid w:val="00495EAD"/>
    <w:rsid w:val="004961B4"/>
    <w:rsid w:val="0049630C"/>
    <w:rsid w:val="00496453"/>
    <w:rsid w:val="00497173"/>
    <w:rsid w:val="00497623"/>
    <w:rsid w:val="00497DD3"/>
    <w:rsid w:val="00497FFD"/>
    <w:rsid w:val="004A3B5D"/>
    <w:rsid w:val="004A4011"/>
    <w:rsid w:val="004A4FC6"/>
    <w:rsid w:val="004A5473"/>
    <w:rsid w:val="004A58D7"/>
    <w:rsid w:val="004A6155"/>
    <w:rsid w:val="004B0F0D"/>
    <w:rsid w:val="004B1EAF"/>
    <w:rsid w:val="004B1FE8"/>
    <w:rsid w:val="004B2FCD"/>
    <w:rsid w:val="004B3059"/>
    <w:rsid w:val="004B32C4"/>
    <w:rsid w:val="004B3A84"/>
    <w:rsid w:val="004B495B"/>
    <w:rsid w:val="004B4A3E"/>
    <w:rsid w:val="004B4C52"/>
    <w:rsid w:val="004B5D43"/>
    <w:rsid w:val="004B5D4D"/>
    <w:rsid w:val="004B65DF"/>
    <w:rsid w:val="004B7281"/>
    <w:rsid w:val="004B76C0"/>
    <w:rsid w:val="004B7BAF"/>
    <w:rsid w:val="004C0B3B"/>
    <w:rsid w:val="004C1199"/>
    <w:rsid w:val="004C1363"/>
    <w:rsid w:val="004C2C36"/>
    <w:rsid w:val="004C2CFF"/>
    <w:rsid w:val="004C3431"/>
    <w:rsid w:val="004C44E0"/>
    <w:rsid w:val="004C6448"/>
    <w:rsid w:val="004C6ACA"/>
    <w:rsid w:val="004C6E0E"/>
    <w:rsid w:val="004C7C1F"/>
    <w:rsid w:val="004C7DDB"/>
    <w:rsid w:val="004C7F8A"/>
    <w:rsid w:val="004D0333"/>
    <w:rsid w:val="004D0CAE"/>
    <w:rsid w:val="004D10AF"/>
    <w:rsid w:val="004D2195"/>
    <w:rsid w:val="004D28C5"/>
    <w:rsid w:val="004D37F9"/>
    <w:rsid w:val="004D3C99"/>
    <w:rsid w:val="004D40C4"/>
    <w:rsid w:val="004D505F"/>
    <w:rsid w:val="004D5300"/>
    <w:rsid w:val="004D6269"/>
    <w:rsid w:val="004D6373"/>
    <w:rsid w:val="004D6757"/>
    <w:rsid w:val="004D6AFF"/>
    <w:rsid w:val="004D71A3"/>
    <w:rsid w:val="004D71B8"/>
    <w:rsid w:val="004E0F67"/>
    <w:rsid w:val="004E1ABA"/>
    <w:rsid w:val="004E1B3C"/>
    <w:rsid w:val="004E2405"/>
    <w:rsid w:val="004E26D1"/>
    <w:rsid w:val="004E2963"/>
    <w:rsid w:val="004E32FA"/>
    <w:rsid w:val="004E33FE"/>
    <w:rsid w:val="004E38D9"/>
    <w:rsid w:val="004E3E8C"/>
    <w:rsid w:val="004E43D7"/>
    <w:rsid w:val="004E4B9A"/>
    <w:rsid w:val="004E4BDB"/>
    <w:rsid w:val="004E5BDF"/>
    <w:rsid w:val="004E61AB"/>
    <w:rsid w:val="004E6905"/>
    <w:rsid w:val="004E739C"/>
    <w:rsid w:val="004F0CC7"/>
    <w:rsid w:val="004F15A9"/>
    <w:rsid w:val="004F189E"/>
    <w:rsid w:val="004F243E"/>
    <w:rsid w:val="004F2A6E"/>
    <w:rsid w:val="004F46B1"/>
    <w:rsid w:val="004F50E6"/>
    <w:rsid w:val="004F7350"/>
    <w:rsid w:val="004F7766"/>
    <w:rsid w:val="004F7F24"/>
    <w:rsid w:val="00500093"/>
    <w:rsid w:val="0050019F"/>
    <w:rsid w:val="005004D1"/>
    <w:rsid w:val="0050162B"/>
    <w:rsid w:val="0050194C"/>
    <w:rsid w:val="0050248A"/>
    <w:rsid w:val="00502832"/>
    <w:rsid w:val="00502EBF"/>
    <w:rsid w:val="00504AB5"/>
    <w:rsid w:val="00505ACC"/>
    <w:rsid w:val="00505E52"/>
    <w:rsid w:val="00507105"/>
    <w:rsid w:val="005073A0"/>
    <w:rsid w:val="00507C44"/>
    <w:rsid w:val="005101C5"/>
    <w:rsid w:val="00510430"/>
    <w:rsid w:val="00510851"/>
    <w:rsid w:val="005116BE"/>
    <w:rsid w:val="00514416"/>
    <w:rsid w:val="00514DE0"/>
    <w:rsid w:val="00515BAB"/>
    <w:rsid w:val="00516BB6"/>
    <w:rsid w:val="005172EF"/>
    <w:rsid w:val="005201C2"/>
    <w:rsid w:val="005204DB"/>
    <w:rsid w:val="00521278"/>
    <w:rsid w:val="00521404"/>
    <w:rsid w:val="0052141D"/>
    <w:rsid w:val="005216AB"/>
    <w:rsid w:val="00521AC9"/>
    <w:rsid w:val="005229C1"/>
    <w:rsid w:val="00522A82"/>
    <w:rsid w:val="00523645"/>
    <w:rsid w:val="00523AE0"/>
    <w:rsid w:val="00524A5E"/>
    <w:rsid w:val="005255E3"/>
    <w:rsid w:val="005257A4"/>
    <w:rsid w:val="005258EE"/>
    <w:rsid w:val="00526178"/>
    <w:rsid w:val="005268F6"/>
    <w:rsid w:val="00526C62"/>
    <w:rsid w:val="00527111"/>
    <w:rsid w:val="0052745A"/>
    <w:rsid w:val="005279E9"/>
    <w:rsid w:val="00527DF5"/>
    <w:rsid w:val="005301D4"/>
    <w:rsid w:val="005301DC"/>
    <w:rsid w:val="005307C9"/>
    <w:rsid w:val="00530904"/>
    <w:rsid w:val="00530B39"/>
    <w:rsid w:val="00531304"/>
    <w:rsid w:val="00531859"/>
    <w:rsid w:val="00531D07"/>
    <w:rsid w:val="00531F4B"/>
    <w:rsid w:val="00531FBE"/>
    <w:rsid w:val="00532E07"/>
    <w:rsid w:val="00534DEC"/>
    <w:rsid w:val="005352F7"/>
    <w:rsid w:val="00536AC3"/>
    <w:rsid w:val="00537FBB"/>
    <w:rsid w:val="00541797"/>
    <w:rsid w:val="005418C5"/>
    <w:rsid w:val="00543106"/>
    <w:rsid w:val="00543B52"/>
    <w:rsid w:val="00544C81"/>
    <w:rsid w:val="00545100"/>
    <w:rsid w:val="00545F03"/>
    <w:rsid w:val="00546F06"/>
    <w:rsid w:val="005473CD"/>
    <w:rsid w:val="00547D88"/>
    <w:rsid w:val="0055048F"/>
    <w:rsid w:val="00551694"/>
    <w:rsid w:val="00552D55"/>
    <w:rsid w:val="00552F22"/>
    <w:rsid w:val="005535AA"/>
    <w:rsid w:val="005535B7"/>
    <w:rsid w:val="005539C5"/>
    <w:rsid w:val="00553E5F"/>
    <w:rsid w:val="00555AB6"/>
    <w:rsid w:val="00555AC1"/>
    <w:rsid w:val="00555DAB"/>
    <w:rsid w:val="00556471"/>
    <w:rsid w:val="00556F3B"/>
    <w:rsid w:val="00557138"/>
    <w:rsid w:val="00560CE5"/>
    <w:rsid w:val="005613CC"/>
    <w:rsid w:val="005615CE"/>
    <w:rsid w:val="00562420"/>
    <w:rsid w:val="005628AE"/>
    <w:rsid w:val="00562B9A"/>
    <w:rsid w:val="0056325F"/>
    <w:rsid w:val="00563692"/>
    <w:rsid w:val="005636A7"/>
    <w:rsid w:val="00563D1D"/>
    <w:rsid w:val="00564A3D"/>
    <w:rsid w:val="005657A2"/>
    <w:rsid w:val="00565B33"/>
    <w:rsid w:val="00565DFA"/>
    <w:rsid w:val="00566010"/>
    <w:rsid w:val="005660E5"/>
    <w:rsid w:val="00566676"/>
    <w:rsid w:val="00566949"/>
    <w:rsid w:val="0057079F"/>
    <w:rsid w:val="00570927"/>
    <w:rsid w:val="00570B35"/>
    <w:rsid w:val="005739A5"/>
    <w:rsid w:val="005751D4"/>
    <w:rsid w:val="00575D99"/>
    <w:rsid w:val="005773FA"/>
    <w:rsid w:val="00580E19"/>
    <w:rsid w:val="00581B9C"/>
    <w:rsid w:val="0058238C"/>
    <w:rsid w:val="005834F9"/>
    <w:rsid w:val="00583C0E"/>
    <w:rsid w:val="00583D32"/>
    <w:rsid w:val="00583D46"/>
    <w:rsid w:val="0058458C"/>
    <w:rsid w:val="005856F3"/>
    <w:rsid w:val="00585F43"/>
    <w:rsid w:val="00587411"/>
    <w:rsid w:val="0058764F"/>
    <w:rsid w:val="005929D0"/>
    <w:rsid w:val="00595040"/>
    <w:rsid w:val="00595815"/>
    <w:rsid w:val="005967DA"/>
    <w:rsid w:val="00596AE8"/>
    <w:rsid w:val="00597E4D"/>
    <w:rsid w:val="005A0353"/>
    <w:rsid w:val="005A09EE"/>
    <w:rsid w:val="005A0FC0"/>
    <w:rsid w:val="005A2A1E"/>
    <w:rsid w:val="005A3829"/>
    <w:rsid w:val="005A4A07"/>
    <w:rsid w:val="005A4E46"/>
    <w:rsid w:val="005A515D"/>
    <w:rsid w:val="005A69D6"/>
    <w:rsid w:val="005A6C62"/>
    <w:rsid w:val="005A7CAD"/>
    <w:rsid w:val="005A7FF0"/>
    <w:rsid w:val="005B042B"/>
    <w:rsid w:val="005B095D"/>
    <w:rsid w:val="005B0D44"/>
    <w:rsid w:val="005B2C12"/>
    <w:rsid w:val="005B2EE8"/>
    <w:rsid w:val="005B33BA"/>
    <w:rsid w:val="005B3537"/>
    <w:rsid w:val="005B3D48"/>
    <w:rsid w:val="005B3E2F"/>
    <w:rsid w:val="005B457C"/>
    <w:rsid w:val="005B4899"/>
    <w:rsid w:val="005B4ABF"/>
    <w:rsid w:val="005B5552"/>
    <w:rsid w:val="005B641F"/>
    <w:rsid w:val="005B653A"/>
    <w:rsid w:val="005B6655"/>
    <w:rsid w:val="005B6991"/>
    <w:rsid w:val="005B6F0D"/>
    <w:rsid w:val="005B7235"/>
    <w:rsid w:val="005B7846"/>
    <w:rsid w:val="005C080E"/>
    <w:rsid w:val="005C0A9F"/>
    <w:rsid w:val="005C0C53"/>
    <w:rsid w:val="005C1B35"/>
    <w:rsid w:val="005C1B83"/>
    <w:rsid w:val="005C1F76"/>
    <w:rsid w:val="005C3C44"/>
    <w:rsid w:val="005C47F9"/>
    <w:rsid w:val="005C5055"/>
    <w:rsid w:val="005C50D6"/>
    <w:rsid w:val="005C5418"/>
    <w:rsid w:val="005C788C"/>
    <w:rsid w:val="005D19E6"/>
    <w:rsid w:val="005D1C47"/>
    <w:rsid w:val="005D20A5"/>
    <w:rsid w:val="005D225D"/>
    <w:rsid w:val="005D3729"/>
    <w:rsid w:val="005D465D"/>
    <w:rsid w:val="005D554F"/>
    <w:rsid w:val="005D5591"/>
    <w:rsid w:val="005D5AD6"/>
    <w:rsid w:val="005D5C93"/>
    <w:rsid w:val="005D5EAA"/>
    <w:rsid w:val="005D60EA"/>
    <w:rsid w:val="005D6653"/>
    <w:rsid w:val="005D67E6"/>
    <w:rsid w:val="005D7270"/>
    <w:rsid w:val="005D743D"/>
    <w:rsid w:val="005E08FA"/>
    <w:rsid w:val="005E1278"/>
    <w:rsid w:val="005E3225"/>
    <w:rsid w:val="005E4202"/>
    <w:rsid w:val="005E4E80"/>
    <w:rsid w:val="005E52D2"/>
    <w:rsid w:val="005E6FBE"/>
    <w:rsid w:val="005F16E3"/>
    <w:rsid w:val="005F1D81"/>
    <w:rsid w:val="005F1E94"/>
    <w:rsid w:val="005F28F9"/>
    <w:rsid w:val="005F2C5D"/>
    <w:rsid w:val="005F334F"/>
    <w:rsid w:val="005F35B0"/>
    <w:rsid w:val="005F4778"/>
    <w:rsid w:val="005F540D"/>
    <w:rsid w:val="005F5469"/>
    <w:rsid w:val="005F72B3"/>
    <w:rsid w:val="00600701"/>
    <w:rsid w:val="00600AD5"/>
    <w:rsid w:val="00602CCA"/>
    <w:rsid w:val="00603AA9"/>
    <w:rsid w:val="0060423E"/>
    <w:rsid w:val="00604944"/>
    <w:rsid w:val="006063BB"/>
    <w:rsid w:val="00606596"/>
    <w:rsid w:val="006065F4"/>
    <w:rsid w:val="00610880"/>
    <w:rsid w:val="00611A48"/>
    <w:rsid w:val="00612477"/>
    <w:rsid w:val="006125B0"/>
    <w:rsid w:val="00612F6A"/>
    <w:rsid w:val="006131D2"/>
    <w:rsid w:val="00615E21"/>
    <w:rsid w:val="00616E9F"/>
    <w:rsid w:val="006204D2"/>
    <w:rsid w:val="00621483"/>
    <w:rsid w:val="006220F7"/>
    <w:rsid w:val="0062288F"/>
    <w:rsid w:val="00623549"/>
    <w:rsid w:val="00623685"/>
    <w:rsid w:val="00623DA8"/>
    <w:rsid w:val="006242D3"/>
    <w:rsid w:val="0062613C"/>
    <w:rsid w:val="006267EB"/>
    <w:rsid w:val="006268A1"/>
    <w:rsid w:val="00627BDE"/>
    <w:rsid w:val="00627C93"/>
    <w:rsid w:val="00630C84"/>
    <w:rsid w:val="00630E71"/>
    <w:rsid w:val="00631D9B"/>
    <w:rsid w:val="00632378"/>
    <w:rsid w:val="006324F2"/>
    <w:rsid w:val="00634FF8"/>
    <w:rsid w:val="00635015"/>
    <w:rsid w:val="006353F5"/>
    <w:rsid w:val="00635AF4"/>
    <w:rsid w:val="00635D99"/>
    <w:rsid w:val="006361C4"/>
    <w:rsid w:val="00636F4B"/>
    <w:rsid w:val="00640666"/>
    <w:rsid w:val="00640B92"/>
    <w:rsid w:val="0064158F"/>
    <w:rsid w:val="00641F0C"/>
    <w:rsid w:val="00642696"/>
    <w:rsid w:val="00643182"/>
    <w:rsid w:val="0064327E"/>
    <w:rsid w:val="006435AC"/>
    <w:rsid w:val="006441D5"/>
    <w:rsid w:val="006444D5"/>
    <w:rsid w:val="00644D53"/>
    <w:rsid w:val="00645914"/>
    <w:rsid w:val="00645D91"/>
    <w:rsid w:val="00645EB0"/>
    <w:rsid w:val="00646643"/>
    <w:rsid w:val="00647301"/>
    <w:rsid w:val="006478CF"/>
    <w:rsid w:val="006500BA"/>
    <w:rsid w:val="006502F7"/>
    <w:rsid w:val="00650583"/>
    <w:rsid w:val="00650782"/>
    <w:rsid w:val="00650E8F"/>
    <w:rsid w:val="00650F61"/>
    <w:rsid w:val="00651450"/>
    <w:rsid w:val="0065292D"/>
    <w:rsid w:val="00652DE1"/>
    <w:rsid w:val="00652FCA"/>
    <w:rsid w:val="0065317F"/>
    <w:rsid w:val="006536FE"/>
    <w:rsid w:val="006544E1"/>
    <w:rsid w:val="00654691"/>
    <w:rsid w:val="00654B42"/>
    <w:rsid w:val="00656461"/>
    <w:rsid w:val="00656499"/>
    <w:rsid w:val="006568D7"/>
    <w:rsid w:val="00656F91"/>
    <w:rsid w:val="00660A9C"/>
    <w:rsid w:val="00661386"/>
    <w:rsid w:val="00662985"/>
    <w:rsid w:val="00662CD1"/>
    <w:rsid w:val="0066360F"/>
    <w:rsid w:val="006645A9"/>
    <w:rsid w:val="006657B8"/>
    <w:rsid w:val="00665BBA"/>
    <w:rsid w:val="00666E59"/>
    <w:rsid w:val="00666FBD"/>
    <w:rsid w:val="00667143"/>
    <w:rsid w:val="00671016"/>
    <w:rsid w:val="00671211"/>
    <w:rsid w:val="00671AA7"/>
    <w:rsid w:val="00671D5D"/>
    <w:rsid w:val="00671F4C"/>
    <w:rsid w:val="0067289A"/>
    <w:rsid w:val="00673DC9"/>
    <w:rsid w:val="006750CE"/>
    <w:rsid w:val="00675938"/>
    <w:rsid w:val="00677260"/>
    <w:rsid w:val="00680073"/>
    <w:rsid w:val="006802F1"/>
    <w:rsid w:val="00680317"/>
    <w:rsid w:val="00680334"/>
    <w:rsid w:val="00681ABC"/>
    <w:rsid w:val="0068310D"/>
    <w:rsid w:val="006832E5"/>
    <w:rsid w:val="00683E39"/>
    <w:rsid w:val="00683F03"/>
    <w:rsid w:val="00684B6C"/>
    <w:rsid w:val="0068551E"/>
    <w:rsid w:val="00685881"/>
    <w:rsid w:val="00685913"/>
    <w:rsid w:val="006859B0"/>
    <w:rsid w:val="00686921"/>
    <w:rsid w:val="00686E45"/>
    <w:rsid w:val="006870F8"/>
    <w:rsid w:val="00687CEB"/>
    <w:rsid w:val="00687D00"/>
    <w:rsid w:val="00690043"/>
    <w:rsid w:val="006903A5"/>
    <w:rsid w:val="00690CB6"/>
    <w:rsid w:val="00691CCE"/>
    <w:rsid w:val="00692155"/>
    <w:rsid w:val="006931A6"/>
    <w:rsid w:val="0069376F"/>
    <w:rsid w:val="00693A66"/>
    <w:rsid w:val="00693B9B"/>
    <w:rsid w:val="00695432"/>
    <w:rsid w:val="00697962"/>
    <w:rsid w:val="006A04B3"/>
    <w:rsid w:val="006A2342"/>
    <w:rsid w:val="006A2567"/>
    <w:rsid w:val="006A3C4D"/>
    <w:rsid w:val="006A50C0"/>
    <w:rsid w:val="006A53D0"/>
    <w:rsid w:val="006A6473"/>
    <w:rsid w:val="006A6DBC"/>
    <w:rsid w:val="006B0C6E"/>
    <w:rsid w:val="006B151C"/>
    <w:rsid w:val="006B172E"/>
    <w:rsid w:val="006B1758"/>
    <w:rsid w:val="006B1F89"/>
    <w:rsid w:val="006B24D6"/>
    <w:rsid w:val="006B2B1E"/>
    <w:rsid w:val="006B49AF"/>
    <w:rsid w:val="006B4A4C"/>
    <w:rsid w:val="006B5E9E"/>
    <w:rsid w:val="006B69A4"/>
    <w:rsid w:val="006B6BA4"/>
    <w:rsid w:val="006C27CA"/>
    <w:rsid w:val="006C3459"/>
    <w:rsid w:val="006C4921"/>
    <w:rsid w:val="006C52DD"/>
    <w:rsid w:val="006C5BEB"/>
    <w:rsid w:val="006C63C0"/>
    <w:rsid w:val="006C67D0"/>
    <w:rsid w:val="006C78F6"/>
    <w:rsid w:val="006D0131"/>
    <w:rsid w:val="006D0DAE"/>
    <w:rsid w:val="006D2052"/>
    <w:rsid w:val="006D2469"/>
    <w:rsid w:val="006D2F41"/>
    <w:rsid w:val="006D3B2C"/>
    <w:rsid w:val="006D4321"/>
    <w:rsid w:val="006D474B"/>
    <w:rsid w:val="006D588C"/>
    <w:rsid w:val="006D771B"/>
    <w:rsid w:val="006D7909"/>
    <w:rsid w:val="006E0621"/>
    <w:rsid w:val="006E1B8F"/>
    <w:rsid w:val="006E2F2C"/>
    <w:rsid w:val="006E4920"/>
    <w:rsid w:val="006E4D93"/>
    <w:rsid w:val="006E4E8A"/>
    <w:rsid w:val="006E7A70"/>
    <w:rsid w:val="006E7BDB"/>
    <w:rsid w:val="006E7ECD"/>
    <w:rsid w:val="006F07A6"/>
    <w:rsid w:val="006F0911"/>
    <w:rsid w:val="006F0E4C"/>
    <w:rsid w:val="006F0FCE"/>
    <w:rsid w:val="006F1038"/>
    <w:rsid w:val="006F2426"/>
    <w:rsid w:val="006F2441"/>
    <w:rsid w:val="006F2730"/>
    <w:rsid w:val="006F35EB"/>
    <w:rsid w:val="006F394D"/>
    <w:rsid w:val="006F4F27"/>
    <w:rsid w:val="006F5836"/>
    <w:rsid w:val="006F58F6"/>
    <w:rsid w:val="006F5A6F"/>
    <w:rsid w:val="006F6553"/>
    <w:rsid w:val="006F6835"/>
    <w:rsid w:val="006F7CB6"/>
    <w:rsid w:val="006F7F9B"/>
    <w:rsid w:val="00700976"/>
    <w:rsid w:val="00701106"/>
    <w:rsid w:val="00701757"/>
    <w:rsid w:val="007017DC"/>
    <w:rsid w:val="00701E42"/>
    <w:rsid w:val="00701EFA"/>
    <w:rsid w:val="00702EA7"/>
    <w:rsid w:val="007039AF"/>
    <w:rsid w:val="007043B6"/>
    <w:rsid w:val="00705BE2"/>
    <w:rsid w:val="00705D1C"/>
    <w:rsid w:val="00706194"/>
    <w:rsid w:val="007064E5"/>
    <w:rsid w:val="007076F3"/>
    <w:rsid w:val="007102AE"/>
    <w:rsid w:val="00710834"/>
    <w:rsid w:val="00711B85"/>
    <w:rsid w:val="00711FCA"/>
    <w:rsid w:val="00712339"/>
    <w:rsid w:val="00712CDD"/>
    <w:rsid w:val="00713EB7"/>
    <w:rsid w:val="007144BB"/>
    <w:rsid w:val="007147F8"/>
    <w:rsid w:val="007164A2"/>
    <w:rsid w:val="00716866"/>
    <w:rsid w:val="00716CFC"/>
    <w:rsid w:val="00720DBA"/>
    <w:rsid w:val="00720F59"/>
    <w:rsid w:val="00722C96"/>
    <w:rsid w:val="00722CDB"/>
    <w:rsid w:val="00723039"/>
    <w:rsid w:val="007237ED"/>
    <w:rsid w:val="00724996"/>
    <w:rsid w:val="00724C22"/>
    <w:rsid w:val="0072678B"/>
    <w:rsid w:val="0072730C"/>
    <w:rsid w:val="007303FC"/>
    <w:rsid w:val="00730C23"/>
    <w:rsid w:val="00730EB4"/>
    <w:rsid w:val="00731589"/>
    <w:rsid w:val="007326EA"/>
    <w:rsid w:val="00732C43"/>
    <w:rsid w:val="007339D7"/>
    <w:rsid w:val="007339F7"/>
    <w:rsid w:val="00733BA3"/>
    <w:rsid w:val="0073479A"/>
    <w:rsid w:val="00734FE1"/>
    <w:rsid w:val="00735F33"/>
    <w:rsid w:val="00736D12"/>
    <w:rsid w:val="00736FD8"/>
    <w:rsid w:val="0073737A"/>
    <w:rsid w:val="00741FF7"/>
    <w:rsid w:val="00742B21"/>
    <w:rsid w:val="00742BF8"/>
    <w:rsid w:val="007433CC"/>
    <w:rsid w:val="007455B7"/>
    <w:rsid w:val="00745B36"/>
    <w:rsid w:val="00747614"/>
    <w:rsid w:val="007508EC"/>
    <w:rsid w:val="00750A13"/>
    <w:rsid w:val="00751C04"/>
    <w:rsid w:val="007527FE"/>
    <w:rsid w:val="007529AD"/>
    <w:rsid w:val="007534BE"/>
    <w:rsid w:val="00753A42"/>
    <w:rsid w:val="00754649"/>
    <w:rsid w:val="00754BEF"/>
    <w:rsid w:val="00754C15"/>
    <w:rsid w:val="0075544C"/>
    <w:rsid w:val="00755C76"/>
    <w:rsid w:val="00755DD3"/>
    <w:rsid w:val="00756284"/>
    <w:rsid w:val="007565AD"/>
    <w:rsid w:val="007566D1"/>
    <w:rsid w:val="00756C32"/>
    <w:rsid w:val="0075731C"/>
    <w:rsid w:val="00760308"/>
    <w:rsid w:val="00760E91"/>
    <w:rsid w:val="007616FE"/>
    <w:rsid w:val="00762AC7"/>
    <w:rsid w:val="00762DF4"/>
    <w:rsid w:val="0076304F"/>
    <w:rsid w:val="007635A6"/>
    <w:rsid w:val="007637EE"/>
    <w:rsid w:val="00763B55"/>
    <w:rsid w:val="00763F7D"/>
    <w:rsid w:val="0076578F"/>
    <w:rsid w:val="00766414"/>
    <w:rsid w:val="007668E7"/>
    <w:rsid w:val="00767400"/>
    <w:rsid w:val="007703D4"/>
    <w:rsid w:val="00771E50"/>
    <w:rsid w:val="00773D79"/>
    <w:rsid w:val="007748CB"/>
    <w:rsid w:val="007750AA"/>
    <w:rsid w:val="00776679"/>
    <w:rsid w:val="00776811"/>
    <w:rsid w:val="007773CB"/>
    <w:rsid w:val="0078002C"/>
    <w:rsid w:val="00780F2F"/>
    <w:rsid w:val="00781454"/>
    <w:rsid w:val="00781CB8"/>
    <w:rsid w:val="00781DA4"/>
    <w:rsid w:val="00781FB6"/>
    <w:rsid w:val="00782084"/>
    <w:rsid w:val="007827B1"/>
    <w:rsid w:val="00783F2B"/>
    <w:rsid w:val="00785201"/>
    <w:rsid w:val="00785E0A"/>
    <w:rsid w:val="007869F7"/>
    <w:rsid w:val="00787600"/>
    <w:rsid w:val="00787E4E"/>
    <w:rsid w:val="00790B26"/>
    <w:rsid w:val="00790D41"/>
    <w:rsid w:val="007910D8"/>
    <w:rsid w:val="0079123B"/>
    <w:rsid w:val="00791870"/>
    <w:rsid w:val="00791D3A"/>
    <w:rsid w:val="00794F5B"/>
    <w:rsid w:val="007951AE"/>
    <w:rsid w:val="00795264"/>
    <w:rsid w:val="007957B1"/>
    <w:rsid w:val="00795FC2"/>
    <w:rsid w:val="007A0940"/>
    <w:rsid w:val="007A13B0"/>
    <w:rsid w:val="007A1443"/>
    <w:rsid w:val="007A2790"/>
    <w:rsid w:val="007A3579"/>
    <w:rsid w:val="007A3718"/>
    <w:rsid w:val="007A382E"/>
    <w:rsid w:val="007A4D7F"/>
    <w:rsid w:val="007A5D30"/>
    <w:rsid w:val="007A6481"/>
    <w:rsid w:val="007A6BE3"/>
    <w:rsid w:val="007A6BF0"/>
    <w:rsid w:val="007A6E64"/>
    <w:rsid w:val="007A6F1A"/>
    <w:rsid w:val="007A744D"/>
    <w:rsid w:val="007A75FE"/>
    <w:rsid w:val="007B0EFD"/>
    <w:rsid w:val="007B1884"/>
    <w:rsid w:val="007B229F"/>
    <w:rsid w:val="007B2844"/>
    <w:rsid w:val="007B2C96"/>
    <w:rsid w:val="007B3470"/>
    <w:rsid w:val="007B36FE"/>
    <w:rsid w:val="007B3A8F"/>
    <w:rsid w:val="007B3F08"/>
    <w:rsid w:val="007B4485"/>
    <w:rsid w:val="007B5305"/>
    <w:rsid w:val="007B54F8"/>
    <w:rsid w:val="007B566A"/>
    <w:rsid w:val="007B56FA"/>
    <w:rsid w:val="007B5AF4"/>
    <w:rsid w:val="007B5B09"/>
    <w:rsid w:val="007B615C"/>
    <w:rsid w:val="007B6D60"/>
    <w:rsid w:val="007C0DF3"/>
    <w:rsid w:val="007C1C54"/>
    <w:rsid w:val="007C2778"/>
    <w:rsid w:val="007C3156"/>
    <w:rsid w:val="007C38C9"/>
    <w:rsid w:val="007C3F13"/>
    <w:rsid w:val="007C5528"/>
    <w:rsid w:val="007C5AC5"/>
    <w:rsid w:val="007C633C"/>
    <w:rsid w:val="007C72F6"/>
    <w:rsid w:val="007C7EA8"/>
    <w:rsid w:val="007D00CC"/>
    <w:rsid w:val="007D02A1"/>
    <w:rsid w:val="007D03C0"/>
    <w:rsid w:val="007D09F8"/>
    <w:rsid w:val="007D0F98"/>
    <w:rsid w:val="007D1DA8"/>
    <w:rsid w:val="007D22AE"/>
    <w:rsid w:val="007D2509"/>
    <w:rsid w:val="007D3569"/>
    <w:rsid w:val="007D39EB"/>
    <w:rsid w:val="007D3AFD"/>
    <w:rsid w:val="007D68B4"/>
    <w:rsid w:val="007D6B6A"/>
    <w:rsid w:val="007D701C"/>
    <w:rsid w:val="007D715A"/>
    <w:rsid w:val="007E1DD6"/>
    <w:rsid w:val="007E2044"/>
    <w:rsid w:val="007E28D4"/>
    <w:rsid w:val="007E2A7C"/>
    <w:rsid w:val="007E3099"/>
    <w:rsid w:val="007E319E"/>
    <w:rsid w:val="007E3FC6"/>
    <w:rsid w:val="007E5799"/>
    <w:rsid w:val="007E7933"/>
    <w:rsid w:val="007F06EA"/>
    <w:rsid w:val="007F1DD3"/>
    <w:rsid w:val="007F2858"/>
    <w:rsid w:val="007F2C72"/>
    <w:rsid w:val="007F3F3B"/>
    <w:rsid w:val="007F41E4"/>
    <w:rsid w:val="007F4CB4"/>
    <w:rsid w:val="007F4E90"/>
    <w:rsid w:val="007F4F9E"/>
    <w:rsid w:val="007F5815"/>
    <w:rsid w:val="007F5B81"/>
    <w:rsid w:val="007F66D7"/>
    <w:rsid w:val="007F6811"/>
    <w:rsid w:val="007F73BC"/>
    <w:rsid w:val="008006A3"/>
    <w:rsid w:val="00800E91"/>
    <w:rsid w:val="00801A68"/>
    <w:rsid w:val="0080313C"/>
    <w:rsid w:val="0080398A"/>
    <w:rsid w:val="00803BA5"/>
    <w:rsid w:val="008040B7"/>
    <w:rsid w:val="00804602"/>
    <w:rsid w:val="00804E9C"/>
    <w:rsid w:val="008059D6"/>
    <w:rsid w:val="00805B4D"/>
    <w:rsid w:val="00805B53"/>
    <w:rsid w:val="00805DC7"/>
    <w:rsid w:val="00807A57"/>
    <w:rsid w:val="0081073E"/>
    <w:rsid w:val="00811783"/>
    <w:rsid w:val="008118BD"/>
    <w:rsid w:val="008120C3"/>
    <w:rsid w:val="00813488"/>
    <w:rsid w:val="00813D52"/>
    <w:rsid w:val="008158C5"/>
    <w:rsid w:val="0081616E"/>
    <w:rsid w:val="0081625C"/>
    <w:rsid w:val="008167F4"/>
    <w:rsid w:val="0081700E"/>
    <w:rsid w:val="008174B2"/>
    <w:rsid w:val="0081752A"/>
    <w:rsid w:val="00817AB1"/>
    <w:rsid w:val="00820494"/>
    <w:rsid w:val="008207ED"/>
    <w:rsid w:val="00820C29"/>
    <w:rsid w:val="00820DF5"/>
    <w:rsid w:val="0082146E"/>
    <w:rsid w:val="008217CC"/>
    <w:rsid w:val="00821CC7"/>
    <w:rsid w:val="0082206A"/>
    <w:rsid w:val="0082299E"/>
    <w:rsid w:val="0082368B"/>
    <w:rsid w:val="00823946"/>
    <w:rsid w:val="00823EC9"/>
    <w:rsid w:val="00824022"/>
    <w:rsid w:val="00824AED"/>
    <w:rsid w:val="008262F8"/>
    <w:rsid w:val="00826690"/>
    <w:rsid w:val="00826A03"/>
    <w:rsid w:val="0082746F"/>
    <w:rsid w:val="0083042B"/>
    <w:rsid w:val="00830BA4"/>
    <w:rsid w:val="00831604"/>
    <w:rsid w:val="00831E2A"/>
    <w:rsid w:val="00831E77"/>
    <w:rsid w:val="0083270B"/>
    <w:rsid w:val="00833CF8"/>
    <w:rsid w:val="008342B2"/>
    <w:rsid w:val="0083548A"/>
    <w:rsid w:val="00835F1C"/>
    <w:rsid w:val="008363F4"/>
    <w:rsid w:val="00836A6C"/>
    <w:rsid w:val="00836C8E"/>
    <w:rsid w:val="00837359"/>
    <w:rsid w:val="00837831"/>
    <w:rsid w:val="00837932"/>
    <w:rsid w:val="00840503"/>
    <w:rsid w:val="00840C77"/>
    <w:rsid w:val="008417A6"/>
    <w:rsid w:val="00843612"/>
    <w:rsid w:val="00843FF0"/>
    <w:rsid w:val="0084474C"/>
    <w:rsid w:val="00845357"/>
    <w:rsid w:val="008453DB"/>
    <w:rsid w:val="0084693C"/>
    <w:rsid w:val="008476BC"/>
    <w:rsid w:val="00847FCE"/>
    <w:rsid w:val="00851429"/>
    <w:rsid w:val="00851A0E"/>
    <w:rsid w:val="00852FD5"/>
    <w:rsid w:val="00853167"/>
    <w:rsid w:val="00853542"/>
    <w:rsid w:val="00854849"/>
    <w:rsid w:val="00854D8A"/>
    <w:rsid w:val="008551D7"/>
    <w:rsid w:val="008579A6"/>
    <w:rsid w:val="00857D32"/>
    <w:rsid w:val="00857E4F"/>
    <w:rsid w:val="00860D8B"/>
    <w:rsid w:val="0086117A"/>
    <w:rsid w:val="008618F6"/>
    <w:rsid w:val="00862D0D"/>
    <w:rsid w:val="00863611"/>
    <w:rsid w:val="00864057"/>
    <w:rsid w:val="0086505A"/>
    <w:rsid w:val="00865FC3"/>
    <w:rsid w:val="0086678B"/>
    <w:rsid w:val="00866B4A"/>
    <w:rsid w:val="00866C5D"/>
    <w:rsid w:val="008677C3"/>
    <w:rsid w:val="00867E59"/>
    <w:rsid w:val="00867F50"/>
    <w:rsid w:val="00867F76"/>
    <w:rsid w:val="00870C67"/>
    <w:rsid w:val="00871430"/>
    <w:rsid w:val="008719BB"/>
    <w:rsid w:val="00871BB8"/>
    <w:rsid w:val="00871C84"/>
    <w:rsid w:val="008721D5"/>
    <w:rsid w:val="00872460"/>
    <w:rsid w:val="00872B2A"/>
    <w:rsid w:val="00873B28"/>
    <w:rsid w:val="008742A1"/>
    <w:rsid w:val="008745F5"/>
    <w:rsid w:val="00874BC8"/>
    <w:rsid w:val="00874CCC"/>
    <w:rsid w:val="00875CA7"/>
    <w:rsid w:val="0087632A"/>
    <w:rsid w:val="00876375"/>
    <w:rsid w:val="00876CF4"/>
    <w:rsid w:val="00877D18"/>
    <w:rsid w:val="00880204"/>
    <w:rsid w:val="00880703"/>
    <w:rsid w:val="00880F1C"/>
    <w:rsid w:val="008831B1"/>
    <w:rsid w:val="00883B8B"/>
    <w:rsid w:val="00883C59"/>
    <w:rsid w:val="00884414"/>
    <w:rsid w:val="00884A53"/>
    <w:rsid w:val="0088568D"/>
    <w:rsid w:val="00885FDD"/>
    <w:rsid w:val="00887E45"/>
    <w:rsid w:val="00890590"/>
    <w:rsid w:val="00890CAA"/>
    <w:rsid w:val="00891C04"/>
    <w:rsid w:val="00892453"/>
    <w:rsid w:val="00892A44"/>
    <w:rsid w:val="00894F9F"/>
    <w:rsid w:val="008963C6"/>
    <w:rsid w:val="00896576"/>
    <w:rsid w:val="008966C4"/>
    <w:rsid w:val="00896799"/>
    <w:rsid w:val="0089690A"/>
    <w:rsid w:val="00897848"/>
    <w:rsid w:val="008A0545"/>
    <w:rsid w:val="008A2835"/>
    <w:rsid w:val="008A30AF"/>
    <w:rsid w:val="008A3305"/>
    <w:rsid w:val="008A407B"/>
    <w:rsid w:val="008A40E4"/>
    <w:rsid w:val="008A440C"/>
    <w:rsid w:val="008A4680"/>
    <w:rsid w:val="008A518D"/>
    <w:rsid w:val="008A53B7"/>
    <w:rsid w:val="008A7AEA"/>
    <w:rsid w:val="008A7EF7"/>
    <w:rsid w:val="008B1532"/>
    <w:rsid w:val="008B1D2F"/>
    <w:rsid w:val="008B3769"/>
    <w:rsid w:val="008B4062"/>
    <w:rsid w:val="008B425E"/>
    <w:rsid w:val="008B449A"/>
    <w:rsid w:val="008B468E"/>
    <w:rsid w:val="008B4852"/>
    <w:rsid w:val="008B4A89"/>
    <w:rsid w:val="008B6FAA"/>
    <w:rsid w:val="008B7987"/>
    <w:rsid w:val="008B7E04"/>
    <w:rsid w:val="008C253F"/>
    <w:rsid w:val="008C259B"/>
    <w:rsid w:val="008C27B3"/>
    <w:rsid w:val="008C286B"/>
    <w:rsid w:val="008C2C51"/>
    <w:rsid w:val="008C3BB4"/>
    <w:rsid w:val="008C47CA"/>
    <w:rsid w:val="008C540D"/>
    <w:rsid w:val="008C55AE"/>
    <w:rsid w:val="008C5A63"/>
    <w:rsid w:val="008C5A96"/>
    <w:rsid w:val="008C5D44"/>
    <w:rsid w:val="008C60FA"/>
    <w:rsid w:val="008C7DDE"/>
    <w:rsid w:val="008D0DC9"/>
    <w:rsid w:val="008D1577"/>
    <w:rsid w:val="008D27B8"/>
    <w:rsid w:val="008D33EB"/>
    <w:rsid w:val="008D3819"/>
    <w:rsid w:val="008D3D31"/>
    <w:rsid w:val="008D4E49"/>
    <w:rsid w:val="008D4F94"/>
    <w:rsid w:val="008D50AE"/>
    <w:rsid w:val="008D6B75"/>
    <w:rsid w:val="008E01C2"/>
    <w:rsid w:val="008E09DC"/>
    <w:rsid w:val="008E5021"/>
    <w:rsid w:val="008E55F3"/>
    <w:rsid w:val="008E6869"/>
    <w:rsid w:val="008E6A69"/>
    <w:rsid w:val="008E756A"/>
    <w:rsid w:val="008E7781"/>
    <w:rsid w:val="008E77C8"/>
    <w:rsid w:val="008E7CB3"/>
    <w:rsid w:val="008F2163"/>
    <w:rsid w:val="008F3F03"/>
    <w:rsid w:val="008F4B26"/>
    <w:rsid w:val="008F4CCB"/>
    <w:rsid w:val="008F6AB3"/>
    <w:rsid w:val="008F6EA1"/>
    <w:rsid w:val="009007E1"/>
    <w:rsid w:val="00900DDB"/>
    <w:rsid w:val="00900EDA"/>
    <w:rsid w:val="00902A4E"/>
    <w:rsid w:val="00903365"/>
    <w:rsid w:val="009037E1"/>
    <w:rsid w:val="00904B34"/>
    <w:rsid w:val="00904D9C"/>
    <w:rsid w:val="00905044"/>
    <w:rsid w:val="00905320"/>
    <w:rsid w:val="0090534A"/>
    <w:rsid w:val="0090588D"/>
    <w:rsid w:val="00905A8A"/>
    <w:rsid w:val="00906B80"/>
    <w:rsid w:val="009112FA"/>
    <w:rsid w:val="00912160"/>
    <w:rsid w:val="009126E5"/>
    <w:rsid w:val="00912A8D"/>
    <w:rsid w:val="00912BCA"/>
    <w:rsid w:val="0091384F"/>
    <w:rsid w:val="009138BF"/>
    <w:rsid w:val="00913AF6"/>
    <w:rsid w:val="00913B48"/>
    <w:rsid w:val="0091405F"/>
    <w:rsid w:val="00914398"/>
    <w:rsid w:val="009144F4"/>
    <w:rsid w:val="0091472C"/>
    <w:rsid w:val="009152B8"/>
    <w:rsid w:val="00915920"/>
    <w:rsid w:val="00915D10"/>
    <w:rsid w:val="0091648A"/>
    <w:rsid w:val="0091733B"/>
    <w:rsid w:val="00917D97"/>
    <w:rsid w:val="00917E3D"/>
    <w:rsid w:val="00921204"/>
    <w:rsid w:val="009223E5"/>
    <w:rsid w:val="009224E0"/>
    <w:rsid w:val="00922BCF"/>
    <w:rsid w:val="00922CB0"/>
    <w:rsid w:val="009244AF"/>
    <w:rsid w:val="00924879"/>
    <w:rsid w:val="00924CFD"/>
    <w:rsid w:val="00926155"/>
    <w:rsid w:val="009267DB"/>
    <w:rsid w:val="00926DF8"/>
    <w:rsid w:val="009271A6"/>
    <w:rsid w:val="00927578"/>
    <w:rsid w:val="009276E1"/>
    <w:rsid w:val="0092794E"/>
    <w:rsid w:val="0093326C"/>
    <w:rsid w:val="00933A5D"/>
    <w:rsid w:val="0093449C"/>
    <w:rsid w:val="00934B71"/>
    <w:rsid w:val="00935C5E"/>
    <w:rsid w:val="00935D68"/>
    <w:rsid w:val="009368EF"/>
    <w:rsid w:val="009369D0"/>
    <w:rsid w:val="00936DEE"/>
    <w:rsid w:val="00937235"/>
    <w:rsid w:val="009375F2"/>
    <w:rsid w:val="009400E0"/>
    <w:rsid w:val="0094020D"/>
    <w:rsid w:val="00940E5D"/>
    <w:rsid w:val="0094309D"/>
    <w:rsid w:val="0094314B"/>
    <w:rsid w:val="00943269"/>
    <w:rsid w:val="00943B28"/>
    <w:rsid w:val="00945571"/>
    <w:rsid w:val="0094559D"/>
    <w:rsid w:val="00945815"/>
    <w:rsid w:val="00946059"/>
    <w:rsid w:val="0095231C"/>
    <w:rsid w:val="009527F8"/>
    <w:rsid w:val="00952B76"/>
    <w:rsid w:val="00953C69"/>
    <w:rsid w:val="00954801"/>
    <w:rsid w:val="00954DE6"/>
    <w:rsid w:val="00955091"/>
    <w:rsid w:val="0095555A"/>
    <w:rsid w:val="0095590D"/>
    <w:rsid w:val="00955913"/>
    <w:rsid w:val="00955DCA"/>
    <w:rsid w:val="00955EED"/>
    <w:rsid w:val="009563D4"/>
    <w:rsid w:val="00956B60"/>
    <w:rsid w:val="0095734B"/>
    <w:rsid w:val="00960D1E"/>
    <w:rsid w:val="00960E83"/>
    <w:rsid w:val="0096213A"/>
    <w:rsid w:val="009626E4"/>
    <w:rsid w:val="00962D33"/>
    <w:rsid w:val="009632E7"/>
    <w:rsid w:val="00963E0D"/>
    <w:rsid w:val="00963F00"/>
    <w:rsid w:val="009644D5"/>
    <w:rsid w:val="0096532D"/>
    <w:rsid w:val="009654D1"/>
    <w:rsid w:val="00965F68"/>
    <w:rsid w:val="009676D3"/>
    <w:rsid w:val="0097152A"/>
    <w:rsid w:val="00971894"/>
    <w:rsid w:val="0097201D"/>
    <w:rsid w:val="00972884"/>
    <w:rsid w:val="00972C34"/>
    <w:rsid w:val="00974728"/>
    <w:rsid w:val="00974D6B"/>
    <w:rsid w:val="00976D60"/>
    <w:rsid w:val="00976F57"/>
    <w:rsid w:val="00977A9F"/>
    <w:rsid w:val="00977EC2"/>
    <w:rsid w:val="00980447"/>
    <w:rsid w:val="00980B33"/>
    <w:rsid w:val="00980BFD"/>
    <w:rsid w:val="00980EC2"/>
    <w:rsid w:val="00980FDB"/>
    <w:rsid w:val="00981B36"/>
    <w:rsid w:val="00981BC4"/>
    <w:rsid w:val="00982124"/>
    <w:rsid w:val="00982B12"/>
    <w:rsid w:val="00982B9F"/>
    <w:rsid w:val="00982BF6"/>
    <w:rsid w:val="00982EE2"/>
    <w:rsid w:val="0098364F"/>
    <w:rsid w:val="009837C3"/>
    <w:rsid w:val="00984745"/>
    <w:rsid w:val="009847E4"/>
    <w:rsid w:val="00986AA2"/>
    <w:rsid w:val="009902E2"/>
    <w:rsid w:val="00990F9A"/>
    <w:rsid w:val="00991024"/>
    <w:rsid w:val="009910CB"/>
    <w:rsid w:val="00991B13"/>
    <w:rsid w:val="00991E22"/>
    <w:rsid w:val="00991EB3"/>
    <w:rsid w:val="0099256B"/>
    <w:rsid w:val="00992F2D"/>
    <w:rsid w:val="0099381B"/>
    <w:rsid w:val="00995214"/>
    <w:rsid w:val="00995644"/>
    <w:rsid w:val="009957EA"/>
    <w:rsid w:val="0099590F"/>
    <w:rsid w:val="00996470"/>
    <w:rsid w:val="00997A3E"/>
    <w:rsid w:val="009A0535"/>
    <w:rsid w:val="009A0DF0"/>
    <w:rsid w:val="009A1C8D"/>
    <w:rsid w:val="009A338B"/>
    <w:rsid w:val="009A34E9"/>
    <w:rsid w:val="009A34F6"/>
    <w:rsid w:val="009A358F"/>
    <w:rsid w:val="009A3C21"/>
    <w:rsid w:val="009A468F"/>
    <w:rsid w:val="009A4D85"/>
    <w:rsid w:val="009A4DEE"/>
    <w:rsid w:val="009A596C"/>
    <w:rsid w:val="009A7676"/>
    <w:rsid w:val="009A7804"/>
    <w:rsid w:val="009B0321"/>
    <w:rsid w:val="009B175B"/>
    <w:rsid w:val="009B2E06"/>
    <w:rsid w:val="009B321C"/>
    <w:rsid w:val="009B3481"/>
    <w:rsid w:val="009B34C3"/>
    <w:rsid w:val="009B5631"/>
    <w:rsid w:val="009B5A9B"/>
    <w:rsid w:val="009B61DF"/>
    <w:rsid w:val="009B6CC2"/>
    <w:rsid w:val="009B6F24"/>
    <w:rsid w:val="009B79CF"/>
    <w:rsid w:val="009C03C1"/>
    <w:rsid w:val="009C0B5D"/>
    <w:rsid w:val="009C0CA6"/>
    <w:rsid w:val="009C1DA6"/>
    <w:rsid w:val="009C2BF7"/>
    <w:rsid w:val="009C2DED"/>
    <w:rsid w:val="009C2E1F"/>
    <w:rsid w:val="009C2E77"/>
    <w:rsid w:val="009C2FF0"/>
    <w:rsid w:val="009C36D2"/>
    <w:rsid w:val="009C39D5"/>
    <w:rsid w:val="009C44DE"/>
    <w:rsid w:val="009C58A8"/>
    <w:rsid w:val="009C76B6"/>
    <w:rsid w:val="009C7943"/>
    <w:rsid w:val="009C7F3D"/>
    <w:rsid w:val="009C7F3E"/>
    <w:rsid w:val="009D1CA1"/>
    <w:rsid w:val="009D269C"/>
    <w:rsid w:val="009D4196"/>
    <w:rsid w:val="009D5616"/>
    <w:rsid w:val="009D649B"/>
    <w:rsid w:val="009D72B4"/>
    <w:rsid w:val="009D7EB0"/>
    <w:rsid w:val="009E2C9D"/>
    <w:rsid w:val="009E2EE3"/>
    <w:rsid w:val="009E2F0E"/>
    <w:rsid w:val="009E2FFF"/>
    <w:rsid w:val="009E48AB"/>
    <w:rsid w:val="009E4DEF"/>
    <w:rsid w:val="009E5E7C"/>
    <w:rsid w:val="009E70D7"/>
    <w:rsid w:val="009E7230"/>
    <w:rsid w:val="009E7532"/>
    <w:rsid w:val="009E7C81"/>
    <w:rsid w:val="009E7EF2"/>
    <w:rsid w:val="009F167A"/>
    <w:rsid w:val="009F18B1"/>
    <w:rsid w:val="009F2030"/>
    <w:rsid w:val="009F2A15"/>
    <w:rsid w:val="009F3071"/>
    <w:rsid w:val="009F45A4"/>
    <w:rsid w:val="009F47FF"/>
    <w:rsid w:val="009F548B"/>
    <w:rsid w:val="009F551B"/>
    <w:rsid w:val="009F624B"/>
    <w:rsid w:val="009F6FC1"/>
    <w:rsid w:val="009F74C0"/>
    <w:rsid w:val="00A0071A"/>
    <w:rsid w:val="00A01073"/>
    <w:rsid w:val="00A025F2"/>
    <w:rsid w:val="00A0261E"/>
    <w:rsid w:val="00A02A5E"/>
    <w:rsid w:val="00A02BDC"/>
    <w:rsid w:val="00A02C79"/>
    <w:rsid w:val="00A03912"/>
    <w:rsid w:val="00A063B4"/>
    <w:rsid w:val="00A0691B"/>
    <w:rsid w:val="00A06A6B"/>
    <w:rsid w:val="00A06E58"/>
    <w:rsid w:val="00A11978"/>
    <w:rsid w:val="00A128DE"/>
    <w:rsid w:val="00A12CA6"/>
    <w:rsid w:val="00A13529"/>
    <w:rsid w:val="00A137A7"/>
    <w:rsid w:val="00A15918"/>
    <w:rsid w:val="00A15F8A"/>
    <w:rsid w:val="00A17EE5"/>
    <w:rsid w:val="00A213E0"/>
    <w:rsid w:val="00A215A2"/>
    <w:rsid w:val="00A21698"/>
    <w:rsid w:val="00A21AB0"/>
    <w:rsid w:val="00A21D3F"/>
    <w:rsid w:val="00A23C51"/>
    <w:rsid w:val="00A2625C"/>
    <w:rsid w:val="00A264CD"/>
    <w:rsid w:val="00A2725C"/>
    <w:rsid w:val="00A27260"/>
    <w:rsid w:val="00A30884"/>
    <w:rsid w:val="00A30BEB"/>
    <w:rsid w:val="00A31D01"/>
    <w:rsid w:val="00A31DB2"/>
    <w:rsid w:val="00A31EA7"/>
    <w:rsid w:val="00A32FD8"/>
    <w:rsid w:val="00A33BCD"/>
    <w:rsid w:val="00A33E5F"/>
    <w:rsid w:val="00A34A99"/>
    <w:rsid w:val="00A35308"/>
    <w:rsid w:val="00A353BE"/>
    <w:rsid w:val="00A36DEE"/>
    <w:rsid w:val="00A37051"/>
    <w:rsid w:val="00A3788A"/>
    <w:rsid w:val="00A4015A"/>
    <w:rsid w:val="00A40448"/>
    <w:rsid w:val="00A4088C"/>
    <w:rsid w:val="00A41669"/>
    <w:rsid w:val="00A41BB5"/>
    <w:rsid w:val="00A4228D"/>
    <w:rsid w:val="00A436DB"/>
    <w:rsid w:val="00A43749"/>
    <w:rsid w:val="00A44184"/>
    <w:rsid w:val="00A44418"/>
    <w:rsid w:val="00A4743F"/>
    <w:rsid w:val="00A47556"/>
    <w:rsid w:val="00A50F21"/>
    <w:rsid w:val="00A535D2"/>
    <w:rsid w:val="00A548AF"/>
    <w:rsid w:val="00A56AB4"/>
    <w:rsid w:val="00A56EAE"/>
    <w:rsid w:val="00A571CE"/>
    <w:rsid w:val="00A60A92"/>
    <w:rsid w:val="00A63D01"/>
    <w:rsid w:val="00A6574D"/>
    <w:rsid w:val="00A65766"/>
    <w:rsid w:val="00A66435"/>
    <w:rsid w:val="00A6679E"/>
    <w:rsid w:val="00A673C4"/>
    <w:rsid w:val="00A70A9F"/>
    <w:rsid w:val="00A7390A"/>
    <w:rsid w:val="00A74A12"/>
    <w:rsid w:val="00A74CE2"/>
    <w:rsid w:val="00A74D3D"/>
    <w:rsid w:val="00A75735"/>
    <w:rsid w:val="00A762A4"/>
    <w:rsid w:val="00A77182"/>
    <w:rsid w:val="00A81947"/>
    <w:rsid w:val="00A82372"/>
    <w:rsid w:val="00A82720"/>
    <w:rsid w:val="00A83800"/>
    <w:rsid w:val="00A85177"/>
    <w:rsid w:val="00A85635"/>
    <w:rsid w:val="00A8617A"/>
    <w:rsid w:val="00A86E04"/>
    <w:rsid w:val="00A86F3E"/>
    <w:rsid w:val="00A907EC"/>
    <w:rsid w:val="00A92BFE"/>
    <w:rsid w:val="00A92E1E"/>
    <w:rsid w:val="00A9463E"/>
    <w:rsid w:val="00A9508F"/>
    <w:rsid w:val="00A95473"/>
    <w:rsid w:val="00A959AA"/>
    <w:rsid w:val="00A96A90"/>
    <w:rsid w:val="00AA05BA"/>
    <w:rsid w:val="00AA0B9D"/>
    <w:rsid w:val="00AA1E2B"/>
    <w:rsid w:val="00AA1ECF"/>
    <w:rsid w:val="00AA39C8"/>
    <w:rsid w:val="00AA5094"/>
    <w:rsid w:val="00AA5321"/>
    <w:rsid w:val="00AA53C1"/>
    <w:rsid w:val="00AA5AD0"/>
    <w:rsid w:val="00AA5F9E"/>
    <w:rsid w:val="00AA6DB1"/>
    <w:rsid w:val="00AA6FDA"/>
    <w:rsid w:val="00AB07FD"/>
    <w:rsid w:val="00AB188B"/>
    <w:rsid w:val="00AB23A0"/>
    <w:rsid w:val="00AB5E8D"/>
    <w:rsid w:val="00AC0616"/>
    <w:rsid w:val="00AC0CC7"/>
    <w:rsid w:val="00AC10F4"/>
    <w:rsid w:val="00AC19C7"/>
    <w:rsid w:val="00AC2167"/>
    <w:rsid w:val="00AC250C"/>
    <w:rsid w:val="00AC2773"/>
    <w:rsid w:val="00AC3C93"/>
    <w:rsid w:val="00AC5F97"/>
    <w:rsid w:val="00AC61AC"/>
    <w:rsid w:val="00AC61D8"/>
    <w:rsid w:val="00AC65AC"/>
    <w:rsid w:val="00AC6FB7"/>
    <w:rsid w:val="00AC7272"/>
    <w:rsid w:val="00AC7BF7"/>
    <w:rsid w:val="00AC7CBE"/>
    <w:rsid w:val="00AD015E"/>
    <w:rsid w:val="00AD0932"/>
    <w:rsid w:val="00AD187C"/>
    <w:rsid w:val="00AD1E7A"/>
    <w:rsid w:val="00AD21C7"/>
    <w:rsid w:val="00AD26FC"/>
    <w:rsid w:val="00AD2BB4"/>
    <w:rsid w:val="00AD3499"/>
    <w:rsid w:val="00AD38D0"/>
    <w:rsid w:val="00AD3B37"/>
    <w:rsid w:val="00AD3EC9"/>
    <w:rsid w:val="00AD3FE1"/>
    <w:rsid w:val="00AD447D"/>
    <w:rsid w:val="00AD4F1A"/>
    <w:rsid w:val="00AD5C84"/>
    <w:rsid w:val="00AD78BD"/>
    <w:rsid w:val="00AE049B"/>
    <w:rsid w:val="00AE086F"/>
    <w:rsid w:val="00AE1052"/>
    <w:rsid w:val="00AE17E1"/>
    <w:rsid w:val="00AE2612"/>
    <w:rsid w:val="00AE2736"/>
    <w:rsid w:val="00AE3417"/>
    <w:rsid w:val="00AE3D67"/>
    <w:rsid w:val="00AE4D77"/>
    <w:rsid w:val="00AE670C"/>
    <w:rsid w:val="00AE6C07"/>
    <w:rsid w:val="00AF034B"/>
    <w:rsid w:val="00AF0410"/>
    <w:rsid w:val="00AF0678"/>
    <w:rsid w:val="00AF0D2A"/>
    <w:rsid w:val="00AF0DD5"/>
    <w:rsid w:val="00AF289B"/>
    <w:rsid w:val="00AF2F99"/>
    <w:rsid w:val="00AF36BC"/>
    <w:rsid w:val="00AF3A71"/>
    <w:rsid w:val="00AF3E7F"/>
    <w:rsid w:val="00AF3F2A"/>
    <w:rsid w:val="00AF40D0"/>
    <w:rsid w:val="00AF44BE"/>
    <w:rsid w:val="00AF572A"/>
    <w:rsid w:val="00AF63B7"/>
    <w:rsid w:val="00AF699E"/>
    <w:rsid w:val="00AF716C"/>
    <w:rsid w:val="00AF7630"/>
    <w:rsid w:val="00B00113"/>
    <w:rsid w:val="00B00454"/>
    <w:rsid w:val="00B00BBF"/>
    <w:rsid w:val="00B016A4"/>
    <w:rsid w:val="00B01931"/>
    <w:rsid w:val="00B02B41"/>
    <w:rsid w:val="00B044A8"/>
    <w:rsid w:val="00B04B9E"/>
    <w:rsid w:val="00B06221"/>
    <w:rsid w:val="00B064F2"/>
    <w:rsid w:val="00B07F69"/>
    <w:rsid w:val="00B10C54"/>
    <w:rsid w:val="00B11AA3"/>
    <w:rsid w:val="00B138CD"/>
    <w:rsid w:val="00B1418D"/>
    <w:rsid w:val="00B1453A"/>
    <w:rsid w:val="00B14D48"/>
    <w:rsid w:val="00B16396"/>
    <w:rsid w:val="00B16AB3"/>
    <w:rsid w:val="00B16EB4"/>
    <w:rsid w:val="00B1779D"/>
    <w:rsid w:val="00B17ECE"/>
    <w:rsid w:val="00B201D1"/>
    <w:rsid w:val="00B2146A"/>
    <w:rsid w:val="00B21F8C"/>
    <w:rsid w:val="00B22843"/>
    <w:rsid w:val="00B238D1"/>
    <w:rsid w:val="00B23F58"/>
    <w:rsid w:val="00B24163"/>
    <w:rsid w:val="00B255AA"/>
    <w:rsid w:val="00B2662E"/>
    <w:rsid w:val="00B26851"/>
    <w:rsid w:val="00B274BA"/>
    <w:rsid w:val="00B27B6F"/>
    <w:rsid w:val="00B27E06"/>
    <w:rsid w:val="00B3085E"/>
    <w:rsid w:val="00B30DCB"/>
    <w:rsid w:val="00B31A7B"/>
    <w:rsid w:val="00B327C2"/>
    <w:rsid w:val="00B33383"/>
    <w:rsid w:val="00B337F8"/>
    <w:rsid w:val="00B338E0"/>
    <w:rsid w:val="00B33C82"/>
    <w:rsid w:val="00B33C90"/>
    <w:rsid w:val="00B3415B"/>
    <w:rsid w:val="00B34A68"/>
    <w:rsid w:val="00B34C76"/>
    <w:rsid w:val="00B351D1"/>
    <w:rsid w:val="00B359B9"/>
    <w:rsid w:val="00B35E71"/>
    <w:rsid w:val="00B361E2"/>
    <w:rsid w:val="00B36B28"/>
    <w:rsid w:val="00B37138"/>
    <w:rsid w:val="00B37F20"/>
    <w:rsid w:val="00B41389"/>
    <w:rsid w:val="00B41696"/>
    <w:rsid w:val="00B43390"/>
    <w:rsid w:val="00B435E7"/>
    <w:rsid w:val="00B4388C"/>
    <w:rsid w:val="00B44517"/>
    <w:rsid w:val="00B45270"/>
    <w:rsid w:val="00B454DC"/>
    <w:rsid w:val="00B459DF"/>
    <w:rsid w:val="00B4669C"/>
    <w:rsid w:val="00B46889"/>
    <w:rsid w:val="00B473A7"/>
    <w:rsid w:val="00B5043E"/>
    <w:rsid w:val="00B504F1"/>
    <w:rsid w:val="00B511B7"/>
    <w:rsid w:val="00B52FA9"/>
    <w:rsid w:val="00B53260"/>
    <w:rsid w:val="00B5382F"/>
    <w:rsid w:val="00B53AFF"/>
    <w:rsid w:val="00B54309"/>
    <w:rsid w:val="00B543B9"/>
    <w:rsid w:val="00B54401"/>
    <w:rsid w:val="00B54960"/>
    <w:rsid w:val="00B55E64"/>
    <w:rsid w:val="00B5671A"/>
    <w:rsid w:val="00B573A8"/>
    <w:rsid w:val="00B57EFC"/>
    <w:rsid w:val="00B6010F"/>
    <w:rsid w:val="00B6038D"/>
    <w:rsid w:val="00B61DCB"/>
    <w:rsid w:val="00B620E6"/>
    <w:rsid w:val="00B628FB"/>
    <w:rsid w:val="00B63DEB"/>
    <w:rsid w:val="00B63E99"/>
    <w:rsid w:val="00B64B97"/>
    <w:rsid w:val="00B66449"/>
    <w:rsid w:val="00B67C52"/>
    <w:rsid w:val="00B710D0"/>
    <w:rsid w:val="00B714DE"/>
    <w:rsid w:val="00B71F4F"/>
    <w:rsid w:val="00B72920"/>
    <w:rsid w:val="00B7483A"/>
    <w:rsid w:val="00B74B81"/>
    <w:rsid w:val="00B758E1"/>
    <w:rsid w:val="00B761CD"/>
    <w:rsid w:val="00B808DD"/>
    <w:rsid w:val="00B81B25"/>
    <w:rsid w:val="00B81DA7"/>
    <w:rsid w:val="00B8225E"/>
    <w:rsid w:val="00B82B33"/>
    <w:rsid w:val="00B82BD3"/>
    <w:rsid w:val="00B830C7"/>
    <w:rsid w:val="00B842D7"/>
    <w:rsid w:val="00B8568B"/>
    <w:rsid w:val="00B85ED2"/>
    <w:rsid w:val="00B86087"/>
    <w:rsid w:val="00B8676F"/>
    <w:rsid w:val="00B87583"/>
    <w:rsid w:val="00B92292"/>
    <w:rsid w:val="00B92EDD"/>
    <w:rsid w:val="00B92FA5"/>
    <w:rsid w:val="00B930BC"/>
    <w:rsid w:val="00B9315C"/>
    <w:rsid w:val="00B93F0F"/>
    <w:rsid w:val="00B9423B"/>
    <w:rsid w:val="00B96E42"/>
    <w:rsid w:val="00B96EAF"/>
    <w:rsid w:val="00B96EFC"/>
    <w:rsid w:val="00B97941"/>
    <w:rsid w:val="00BA1D50"/>
    <w:rsid w:val="00BA1FC4"/>
    <w:rsid w:val="00BA280B"/>
    <w:rsid w:val="00BA3448"/>
    <w:rsid w:val="00BA3B57"/>
    <w:rsid w:val="00BA44FA"/>
    <w:rsid w:val="00BA5325"/>
    <w:rsid w:val="00BA5382"/>
    <w:rsid w:val="00BA5EDB"/>
    <w:rsid w:val="00BA619B"/>
    <w:rsid w:val="00BA6578"/>
    <w:rsid w:val="00BA68ED"/>
    <w:rsid w:val="00BA6CC6"/>
    <w:rsid w:val="00BA7C97"/>
    <w:rsid w:val="00BB0E9D"/>
    <w:rsid w:val="00BB0ED3"/>
    <w:rsid w:val="00BB148D"/>
    <w:rsid w:val="00BB177F"/>
    <w:rsid w:val="00BB3188"/>
    <w:rsid w:val="00BB324B"/>
    <w:rsid w:val="00BB355F"/>
    <w:rsid w:val="00BB4065"/>
    <w:rsid w:val="00BB4666"/>
    <w:rsid w:val="00BB604A"/>
    <w:rsid w:val="00BB6D64"/>
    <w:rsid w:val="00BB743C"/>
    <w:rsid w:val="00BB7F61"/>
    <w:rsid w:val="00BC0A51"/>
    <w:rsid w:val="00BC0C86"/>
    <w:rsid w:val="00BC2098"/>
    <w:rsid w:val="00BC20E0"/>
    <w:rsid w:val="00BC3355"/>
    <w:rsid w:val="00BC3587"/>
    <w:rsid w:val="00BC3F4E"/>
    <w:rsid w:val="00BC4567"/>
    <w:rsid w:val="00BC49D4"/>
    <w:rsid w:val="00BC4B11"/>
    <w:rsid w:val="00BC51D5"/>
    <w:rsid w:val="00BC5678"/>
    <w:rsid w:val="00BC5946"/>
    <w:rsid w:val="00BC6BA0"/>
    <w:rsid w:val="00BC6C39"/>
    <w:rsid w:val="00BC6C89"/>
    <w:rsid w:val="00BC70AB"/>
    <w:rsid w:val="00BC79F4"/>
    <w:rsid w:val="00BD09BB"/>
    <w:rsid w:val="00BD120D"/>
    <w:rsid w:val="00BD3104"/>
    <w:rsid w:val="00BD3435"/>
    <w:rsid w:val="00BD39DE"/>
    <w:rsid w:val="00BD5688"/>
    <w:rsid w:val="00BD56C7"/>
    <w:rsid w:val="00BD5AA3"/>
    <w:rsid w:val="00BD6C0F"/>
    <w:rsid w:val="00BD711F"/>
    <w:rsid w:val="00BE0608"/>
    <w:rsid w:val="00BE14DB"/>
    <w:rsid w:val="00BE2280"/>
    <w:rsid w:val="00BE3EED"/>
    <w:rsid w:val="00BE4A58"/>
    <w:rsid w:val="00BE4EB7"/>
    <w:rsid w:val="00BE5944"/>
    <w:rsid w:val="00BE6F0C"/>
    <w:rsid w:val="00BE705F"/>
    <w:rsid w:val="00BE785B"/>
    <w:rsid w:val="00BF01B1"/>
    <w:rsid w:val="00BF039A"/>
    <w:rsid w:val="00BF08BE"/>
    <w:rsid w:val="00BF0CF3"/>
    <w:rsid w:val="00BF119B"/>
    <w:rsid w:val="00BF138D"/>
    <w:rsid w:val="00BF197F"/>
    <w:rsid w:val="00BF1B76"/>
    <w:rsid w:val="00BF1F31"/>
    <w:rsid w:val="00BF4ED0"/>
    <w:rsid w:val="00BF4F43"/>
    <w:rsid w:val="00BF537A"/>
    <w:rsid w:val="00BF555D"/>
    <w:rsid w:val="00BF5E2E"/>
    <w:rsid w:val="00BF66C6"/>
    <w:rsid w:val="00BF689F"/>
    <w:rsid w:val="00BF73EB"/>
    <w:rsid w:val="00BF7EEA"/>
    <w:rsid w:val="00C007E5"/>
    <w:rsid w:val="00C013FB"/>
    <w:rsid w:val="00C016D1"/>
    <w:rsid w:val="00C0187E"/>
    <w:rsid w:val="00C01D35"/>
    <w:rsid w:val="00C03763"/>
    <w:rsid w:val="00C0404A"/>
    <w:rsid w:val="00C041D0"/>
    <w:rsid w:val="00C0464B"/>
    <w:rsid w:val="00C0469C"/>
    <w:rsid w:val="00C05110"/>
    <w:rsid w:val="00C05833"/>
    <w:rsid w:val="00C05E98"/>
    <w:rsid w:val="00C06F56"/>
    <w:rsid w:val="00C07A18"/>
    <w:rsid w:val="00C10152"/>
    <w:rsid w:val="00C11340"/>
    <w:rsid w:val="00C119E6"/>
    <w:rsid w:val="00C11C1E"/>
    <w:rsid w:val="00C12177"/>
    <w:rsid w:val="00C12198"/>
    <w:rsid w:val="00C12DE5"/>
    <w:rsid w:val="00C137E9"/>
    <w:rsid w:val="00C14E4E"/>
    <w:rsid w:val="00C168ED"/>
    <w:rsid w:val="00C16FA7"/>
    <w:rsid w:val="00C17057"/>
    <w:rsid w:val="00C17480"/>
    <w:rsid w:val="00C17B68"/>
    <w:rsid w:val="00C17C21"/>
    <w:rsid w:val="00C22073"/>
    <w:rsid w:val="00C22D3A"/>
    <w:rsid w:val="00C2338F"/>
    <w:rsid w:val="00C23A59"/>
    <w:rsid w:val="00C23F20"/>
    <w:rsid w:val="00C241C5"/>
    <w:rsid w:val="00C247AF"/>
    <w:rsid w:val="00C250D5"/>
    <w:rsid w:val="00C26690"/>
    <w:rsid w:val="00C2678C"/>
    <w:rsid w:val="00C27CE9"/>
    <w:rsid w:val="00C27E2E"/>
    <w:rsid w:val="00C304C9"/>
    <w:rsid w:val="00C30A03"/>
    <w:rsid w:val="00C30D61"/>
    <w:rsid w:val="00C30E50"/>
    <w:rsid w:val="00C31D5D"/>
    <w:rsid w:val="00C31F07"/>
    <w:rsid w:val="00C3208C"/>
    <w:rsid w:val="00C321FC"/>
    <w:rsid w:val="00C322B6"/>
    <w:rsid w:val="00C32AA2"/>
    <w:rsid w:val="00C3427C"/>
    <w:rsid w:val="00C34939"/>
    <w:rsid w:val="00C35DBA"/>
    <w:rsid w:val="00C40545"/>
    <w:rsid w:val="00C40891"/>
    <w:rsid w:val="00C41E44"/>
    <w:rsid w:val="00C435D4"/>
    <w:rsid w:val="00C4499B"/>
    <w:rsid w:val="00C44E0D"/>
    <w:rsid w:val="00C44F6C"/>
    <w:rsid w:val="00C45716"/>
    <w:rsid w:val="00C46C29"/>
    <w:rsid w:val="00C46D29"/>
    <w:rsid w:val="00C47117"/>
    <w:rsid w:val="00C47465"/>
    <w:rsid w:val="00C47D7E"/>
    <w:rsid w:val="00C50119"/>
    <w:rsid w:val="00C51627"/>
    <w:rsid w:val="00C520A6"/>
    <w:rsid w:val="00C53D9A"/>
    <w:rsid w:val="00C54626"/>
    <w:rsid w:val="00C55134"/>
    <w:rsid w:val="00C5615F"/>
    <w:rsid w:val="00C56286"/>
    <w:rsid w:val="00C567C5"/>
    <w:rsid w:val="00C572A5"/>
    <w:rsid w:val="00C612FF"/>
    <w:rsid w:val="00C616A7"/>
    <w:rsid w:val="00C616B4"/>
    <w:rsid w:val="00C61C3D"/>
    <w:rsid w:val="00C626E7"/>
    <w:rsid w:val="00C62AF3"/>
    <w:rsid w:val="00C6374F"/>
    <w:rsid w:val="00C63B7E"/>
    <w:rsid w:val="00C646E1"/>
    <w:rsid w:val="00C65D89"/>
    <w:rsid w:val="00C65D8A"/>
    <w:rsid w:val="00C65F9D"/>
    <w:rsid w:val="00C66A50"/>
    <w:rsid w:val="00C6725A"/>
    <w:rsid w:val="00C67890"/>
    <w:rsid w:val="00C7033A"/>
    <w:rsid w:val="00C709A5"/>
    <w:rsid w:val="00C721B0"/>
    <w:rsid w:val="00C72AC9"/>
    <w:rsid w:val="00C73150"/>
    <w:rsid w:val="00C73F81"/>
    <w:rsid w:val="00C74A39"/>
    <w:rsid w:val="00C76139"/>
    <w:rsid w:val="00C76E20"/>
    <w:rsid w:val="00C7713B"/>
    <w:rsid w:val="00C77C3E"/>
    <w:rsid w:val="00C77E95"/>
    <w:rsid w:val="00C80905"/>
    <w:rsid w:val="00C81582"/>
    <w:rsid w:val="00C815B2"/>
    <w:rsid w:val="00C81BB0"/>
    <w:rsid w:val="00C8232F"/>
    <w:rsid w:val="00C8237F"/>
    <w:rsid w:val="00C823BD"/>
    <w:rsid w:val="00C82E3A"/>
    <w:rsid w:val="00C83F88"/>
    <w:rsid w:val="00C846D0"/>
    <w:rsid w:val="00C84970"/>
    <w:rsid w:val="00C855E7"/>
    <w:rsid w:val="00C868E3"/>
    <w:rsid w:val="00C86C30"/>
    <w:rsid w:val="00C86E0C"/>
    <w:rsid w:val="00C86F1F"/>
    <w:rsid w:val="00C87093"/>
    <w:rsid w:val="00C876D2"/>
    <w:rsid w:val="00C87815"/>
    <w:rsid w:val="00C906C6"/>
    <w:rsid w:val="00C917E0"/>
    <w:rsid w:val="00C91DAA"/>
    <w:rsid w:val="00C92DCF"/>
    <w:rsid w:val="00C93278"/>
    <w:rsid w:val="00C9484A"/>
    <w:rsid w:val="00C9571A"/>
    <w:rsid w:val="00C9632E"/>
    <w:rsid w:val="00C9727A"/>
    <w:rsid w:val="00C976C3"/>
    <w:rsid w:val="00C97977"/>
    <w:rsid w:val="00C97EA5"/>
    <w:rsid w:val="00CA0578"/>
    <w:rsid w:val="00CA08D9"/>
    <w:rsid w:val="00CA1000"/>
    <w:rsid w:val="00CA2A27"/>
    <w:rsid w:val="00CA43BC"/>
    <w:rsid w:val="00CA4664"/>
    <w:rsid w:val="00CA4BE5"/>
    <w:rsid w:val="00CA5470"/>
    <w:rsid w:val="00CA54D6"/>
    <w:rsid w:val="00CA6A0D"/>
    <w:rsid w:val="00CA74BF"/>
    <w:rsid w:val="00CA76EB"/>
    <w:rsid w:val="00CA7A79"/>
    <w:rsid w:val="00CB0A0F"/>
    <w:rsid w:val="00CB23D1"/>
    <w:rsid w:val="00CB3041"/>
    <w:rsid w:val="00CB44A9"/>
    <w:rsid w:val="00CB4BB1"/>
    <w:rsid w:val="00CB588C"/>
    <w:rsid w:val="00CB7ECC"/>
    <w:rsid w:val="00CC00BC"/>
    <w:rsid w:val="00CC0B76"/>
    <w:rsid w:val="00CC0D93"/>
    <w:rsid w:val="00CC1C35"/>
    <w:rsid w:val="00CC1D1A"/>
    <w:rsid w:val="00CC35CD"/>
    <w:rsid w:val="00CC35E1"/>
    <w:rsid w:val="00CC3BAF"/>
    <w:rsid w:val="00CC500F"/>
    <w:rsid w:val="00CC5321"/>
    <w:rsid w:val="00CC68BD"/>
    <w:rsid w:val="00CC6F25"/>
    <w:rsid w:val="00CC77ED"/>
    <w:rsid w:val="00CD0961"/>
    <w:rsid w:val="00CD0BFF"/>
    <w:rsid w:val="00CD1B1D"/>
    <w:rsid w:val="00CD2E13"/>
    <w:rsid w:val="00CD2E40"/>
    <w:rsid w:val="00CD304A"/>
    <w:rsid w:val="00CD3CDA"/>
    <w:rsid w:val="00CD425F"/>
    <w:rsid w:val="00CD463D"/>
    <w:rsid w:val="00CD59A2"/>
    <w:rsid w:val="00CD650B"/>
    <w:rsid w:val="00CD6B60"/>
    <w:rsid w:val="00CD6B8A"/>
    <w:rsid w:val="00CE0A4E"/>
    <w:rsid w:val="00CE3E30"/>
    <w:rsid w:val="00CE4C4C"/>
    <w:rsid w:val="00CE5060"/>
    <w:rsid w:val="00CE61D0"/>
    <w:rsid w:val="00CF0334"/>
    <w:rsid w:val="00CF0C8C"/>
    <w:rsid w:val="00CF0FE8"/>
    <w:rsid w:val="00CF129C"/>
    <w:rsid w:val="00CF2075"/>
    <w:rsid w:val="00CF2B3A"/>
    <w:rsid w:val="00CF3A90"/>
    <w:rsid w:val="00CF4192"/>
    <w:rsid w:val="00CF4DD3"/>
    <w:rsid w:val="00CF5E12"/>
    <w:rsid w:val="00CF6810"/>
    <w:rsid w:val="00CF6D82"/>
    <w:rsid w:val="00CF76FE"/>
    <w:rsid w:val="00CF7BE1"/>
    <w:rsid w:val="00CF7D47"/>
    <w:rsid w:val="00D005DF"/>
    <w:rsid w:val="00D00B3F"/>
    <w:rsid w:val="00D01238"/>
    <w:rsid w:val="00D01AF0"/>
    <w:rsid w:val="00D038DF"/>
    <w:rsid w:val="00D0472E"/>
    <w:rsid w:val="00D049C9"/>
    <w:rsid w:val="00D04D2B"/>
    <w:rsid w:val="00D0550D"/>
    <w:rsid w:val="00D06B6F"/>
    <w:rsid w:val="00D073B8"/>
    <w:rsid w:val="00D10CDC"/>
    <w:rsid w:val="00D1117B"/>
    <w:rsid w:val="00D11743"/>
    <w:rsid w:val="00D12BED"/>
    <w:rsid w:val="00D145F6"/>
    <w:rsid w:val="00D14E61"/>
    <w:rsid w:val="00D16549"/>
    <w:rsid w:val="00D1677E"/>
    <w:rsid w:val="00D16BBD"/>
    <w:rsid w:val="00D173F0"/>
    <w:rsid w:val="00D177AD"/>
    <w:rsid w:val="00D1783A"/>
    <w:rsid w:val="00D17A24"/>
    <w:rsid w:val="00D229AE"/>
    <w:rsid w:val="00D22CCE"/>
    <w:rsid w:val="00D23006"/>
    <w:rsid w:val="00D237F1"/>
    <w:rsid w:val="00D24515"/>
    <w:rsid w:val="00D2573C"/>
    <w:rsid w:val="00D2574C"/>
    <w:rsid w:val="00D25764"/>
    <w:rsid w:val="00D25FCF"/>
    <w:rsid w:val="00D26100"/>
    <w:rsid w:val="00D265D9"/>
    <w:rsid w:val="00D26B80"/>
    <w:rsid w:val="00D27FEB"/>
    <w:rsid w:val="00D30317"/>
    <w:rsid w:val="00D304D4"/>
    <w:rsid w:val="00D320CF"/>
    <w:rsid w:val="00D32C06"/>
    <w:rsid w:val="00D3330C"/>
    <w:rsid w:val="00D33311"/>
    <w:rsid w:val="00D34D0E"/>
    <w:rsid w:val="00D34DDC"/>
    <w:rsid w:val="00D35327"/>
    <w:rsid w:val="00D35DBC"/>
    <w:rsid w:val="00D360FE"/>
    <w:rsid w:val="00D36799"/>
    <w:rsid w:val="00D36B53"/>
    <w:rsid w:val="00D37060"/>
    <w:rsid w:val="00D371BE"/>
    <w:rsid w:val="00D37719"/>
    <w:rsid w:val="00D37B35"/>
    <w:rsid w:val="00D37DE2"/>
    <w:rsid w:val="00D4106A"/>
    <w:rsid w:val="00D41E4C"/>
    <w:rsid w:val="00D42BA5"/>
    <w:rsid w:val="00D42F18"/>
    <w:rsid w:val="00D43EAC"/>
    <w:rsid w:val="00D44E64"/>
    <w:rsid w:val="00D4505C"/>
    <w:rsid w:val="00D47331"/>
    <w:rsid w:val="00D47A59"/>
    <w:rsid w:val="00D50AC3"/>
    <w:rsid w:val="00D51204"/>
    <w:rsid w:val="00D522EE"/>
    <w:rsid w:val="00D55D29"/>
    <w:rsid w:val="00D57728"/>
    <w:rsid w:val="00D5792D"/>
    <w:rsid w:val="00D57B92"/>
    <w:rsid w:val="00D6003B"/>
    <w:rsid w:val="00D604AA"/>
    <w:rsid w:val="00D606B0"/>
    <w:rsid w:val="00D61817"/>
    <w:rsid w:val="00D6243A"/>
    <w:rsid w:val="00D63EBE"/>
    <w:rsid w:val="00D645B6"/>
    <w:rsid w:val="00D6529C"/>
    <w:rsid w:val="00D673C1"/>
    <w:rsid w:val="00D7082C"/>
    <w:rsid w:val="00D71817"/>
    <w:rsid w:val="00D71DC0"/>
    <w:rsid w:val="00D720AB"/>
    <w:rsid w:val="00D7244D"/>
    <w:rsid w:val="00D728DC"/>
    <w:rsid w:val="00D72B0E"/>
    <w:rsid w:val="00D73931"/>
    <w:rsid w:val="00D73DD5"/>
    <w:rsid w:val="00D746A1"/>
    <w:rsid w:val="00D74A84"/>
    <w:rsid w:val="00D75275"/>
    <w:rsid w:val="00D76763"/>
    <w:rsid w:val="00D777A8"/>
    <w:rsid w:val="00D77A68"/>
    <w:rsid w:val="00D811C2"/>
    <w:rsid w:val="00D81EC1"/>
    <w:rsid w:val="00D824C0"/>
    <w:rsid w:val="00D82A9F"/>
    <w:rsid w:val="00D8340B"/>
    <w:rsid w:val="00D83BD7"/>
    <w:rsid w:val="00D85F45"/>
    <w:rsid w:val="00D86754"/>
    <w:rsid w:val="00D868A4"/>
    <w:rsid w:val="00D86C3A"/>
    <w:rsid w:val="00D86DAA"/>
    <w:rsid w:val="00D919CC"/>
    <w:rsid w:val="00D919EB"/>
    <w:rsid w:val="00D91A1F"/>
    <w:rsid w:val="00D92EA2"/>
    <w:rsid w:val="00D94400"/>
    <w:rsid w:val="00D94784"/>
    <w:rsid w:val="00D94A86"/>
    <w:rsid w:val="00D96BDA"/>
    <w:rsid w:val="00D96DF0"/>
    <w:rsid w:val="00D97CDA"/>
    <w:rsid w:val="00DA03A4"/>
    <w:rsid w:val="00DA0731"/>
    <w:rsid w:val="00DA110C"/>
    <w:rsid w:val="00DA1640"/>
    <w:rsid w:val="00DA1B3C"/>
    <w:rsid w:val="00DA2C01"/>
    <w:rsid w:val="00DA4444"/>
    <w:rsid w:val="00DA4D21"/>
    <w:rsid w:val="00DA566D"/>
    <w:rsid w:val="00DA58BA"/>
    <w:rsid w:val="00DA5975"/>
    <w:rsid w:val="00DA736D"/>
    <w:rsid w:val="00DA7EC6"/>
    <w:rsid w:val="00DB1A65"/>
    <w:rsid w:val="00DB36B9"/>
    <w:rsid w:val="00DB375B"/>
    <w:rsid w:val="00DB3C3D"/>
    <w:rsid w:val="00DB3F79"/>
    <w:rsid w:val="00DB4990"/>
    <w:rsid w:val="00DB5DF6"/>
    <w:rsid w:val="00DB642D"/>
    <w:rsid w:val="00DB7AA4"/>
    <w:rsid w:val="00DC06EA"/>
    <w:rsid w:val="00DC212D"/>
    <w:rsid w:val="00DC28B2"/>
    <w:rsid w:val="00DC475A"/>
    <w:rsid w:val="00DC515F"/>
    <w:rsid w:val="00DC70FF"/>
    <w:rsid w:val="00DC7311"/>
    <w:rsid w:val="00DC7917"/>
    <w:rsid w:val="00DD01DD"/>
    <w:rsid w:val="00DD042E"/>
    <w:rsid w:val="00DD0A79"/>
    <w:rsid w:val="00DD11EE"/>
    <w:rsid w:val="00DD28DA"/>
    <w:rsid w:val="00DD2939"/>
    <w:rsid w:val="00DD2CA0"/>
    <w:rsid w:val="00DD45BC"/>
    <w:rsid w:val="00DD5259"/>
    <w:rsid w:val="00DD5D6D"/>
    <w:rsid w:val="00DD6B33"/>
    <w:rsid w:val="00DD724E"/>
    <w:rsid w:val="00DD742A"/>
    <w:rsid w:val="00DD749F"/>
    <w:rsid w:val="00DD7902"/>
    <w:rsid w:val="00DD7B86"/>
    <w:rsid w:val="00DE0FAA"/>
    <w:rsid w:val="00DE1391"/>
    <w:rsid w:val="00DE1804"/>
    <w:rsid w:val="00DE2030"/>
    <w:rsid w:val="00DE2717"/>
    <w:rsid w:val="00DE29CD"/>
    <w:rsid w:val="00DE3FB7"/>
    <w:rsid w:val="00DE44C5"/>
    <w:rsid w:val="00DE453F"/>
    <w:rsid w:val="00DE4E1F"/>
    <w:rsid w:val="00DE4E58"/>
    <w:rsid w:val="00DE7B37"/>
    <w:rsid w:val="00DF0A8F"/>
    <w:rsid w:val="00DF1D80"/>
    <w:rsid w:val="00DF2618"/>
    <w:rsid w:val="00DF2C27"/>
    <w:rsid w:val="00DF32CA"/>
    <w:rsid w:val="00DF3BB8"/>
    <w:rsid w:val="00DF449C"/>
    <w:rsid w:val="00DF4B08"/>
    <w:rsid w:val="00DF68AB"/>
    <w:rsid w:val="00E0080C"/>
    <w:rsid w:val="00E01779"/>
    <w:rsid w:val="00E0194E"/>
    <w:rsid w:val="00E0239E"/>
    <w:rsid w:val="00E02D2D"/>
    <w:rsid w:val="00E031DE"/>
    <w:rsid w:val="00E0342E"/>
    <w:rsid w:val="00E03B88"/>
    <w:rsid w:val="00E0470D"/>
    <w:rsid w:val="00E052A9"/>
    <w:rsid w:val="00E0650A"/>
    <w:rsid w:val="00E06EDD"/>
    <w:rsid w:val="00E0732F"/>
    <w:rsid w:val="00E1188C"/>
    <w:rsid w:val="00E11E59"/>
    <w:rsid w:val="00E11FB0"/>
    <w:rsid w:val="00E127B5"/>
    <w:rsid w:val="00E128FE"/>
    <w:rsid w:val="00E1341E"/>
    <w:rsid w:val="00E151E6"/>
    <w:rsid w:val="00E162FA"/>
    <w:rsid w:val="00E17165"/>
    <w:rsid w:val="00E1725F"/>
    <w:rsid w:val="00E174D1"/>
    <w:rsid w:val="00E174F2"/>
    <w:rsid w:val="00E17B98"/>
    <w:rsid w:val="00E20758"/>
    <w:rsid w:val="00E20A7A"/>
    <w:rsid w:val="00E2132D"/>
    <w:rsid w:val="00E2288D"/>
    <w:rsid w:val="00E22BC0"/>
    <w:rsid w:val="00E22DB7"/>
    <w:rsid w:val="00E2329C"/>
    <w:rsid w:val="00E233C5"/>
    <w:rsid w:val="00E24B7E"/>
    <w:rsid w:val="00E25B83"/>
    <w:rsid w:val="00E26394"/>
    <w:rsid w:val="00E26509"/>
    <w:rsid w:val="00E26B91"/>
    <w:rsid w:val="00E3088C"/>
    <w:rsid w:val="00E30C4C"/>
    <w:rsid w:val="00E31181"/>
    <w:rsid w:val="00E31333"/>
    <w:rsid w:val="00E31C05"/>
    <w:rsid w:val="00E328AD"/>
    <w:rsid w:val="00E330CF"/>
    <w:rsid w:val="00E3597C"/>
    <w:rsid w:val="00E35ADC"/>
    <w:rsid w:val="00E3737A"/>
    <w:rsid w:val="00E37CF4"/>
    <w:rsid w:val="00E40813"/>
    <w:rsid w:val="00E4085C"/>
    <w:rsid w:val="00E426FF"/>
    <w:rsid w:val="00E43FB7"/>
    <w:rsid w:val="00E44349"/>
    <w:rsid w:val="00E45499"/>
    <w:rsid w:val="00E45732"/>
    <w:rsid w:val="00E46396"/>
    <w:rsid w:val="00E46EE2"/>
    <w:rsid w:val="00E47DAB"/>
    <w:rsid w:val="00E47E31"/>
    <w:rsid w:val="00E51355"/>
    <w:rsid w:val="00E529E7"/>
    <w:rsid w:val="00E52A00"/>
    <w:rsid w:val="00E53127"/>
    <w:rsid w:val="00E53407"/>
    <w:rsid w:val="00E5425E"/>
    <w:rsid w:val="00E546C9"/>
    <w:rsid w:val="00E560FC"/>
    <w:rsid w:val="00E5668B"/>
    <w:rsid w:val="00E56CD7"/>
    <w:rsid w:val="00E5744F"/>
    <w:rsid w:val="00E5779A"/>
    <w:rsid w:val="00E57A80"/>
    <w:rsid w:val="00E61282"/>
    <w:rsid w:val="00E61A87"/>
    <w:rsid w:val="00E61B12"/>
    <w:rsid w:val="00E61E7F"/>
    <w:rsid w:val="00E62064"/>
    <w:rsid w:val="00E6348B"/>
    <w:rsid w:val="00E635AE"/>
    <w:rsid w:val="00E63CAB"/>
    <w:rsid w:val="00E63D0B"/>
    <w:rsid w:val="00E649D8"/>
    <w:rsid w:val="00E6544E"/>
    <w:rsid w:val="00E70100"/>
    <w:rsid w:val="00E70D71"/>
    <w:rsid w:val="00E717D8"/>
    <w:rsid w:val="00E71B5A"/>
    <w:rsid w:val="00E71BB2"/>
    <w:rsid w:val="00E71DAC"/>
    <w:rsid w:val="00E72A61"/>
    <w:rsid w:val="00E73CE5"/>
    <w:rsid w:val="00E73EA2"/>
    <w:rsid w:val="00E74206"/>
    <w:rsid w:val="00E74802"/>
    <w:rsid w:val="00E74B5E"/>
    <w:rsid w:val="00E7536D"/>
    <w:rsid w:val="00E75F41"/>
    <w:rsid w:val="00E7669B"/>
    <w:rsid w:val="00E77167"/>
    <w:rsid w:val="00E77B44"/>
    <w:rsid w:val="00E8001C"/>
    <w:rsid w:val="00E806CA"/>
    <w:rsid w:val="00E81D1E"/>
    <w:rsid w:val="00E8353F"/>
    <w:rsid w:val="00E83686"/>
    <w:rsid w:val="00E83E3C"/>
    <w:rsid w:val="00E84048"/>
    <w:rsid w:val="00E84606"/>
    <w:rsid w:val="00E84951"/>
    <w:rsid w:val="00E84A99"/>
    <w:rsid w:val="00E84AD6"/>
    <w:rsid w:val="00E8508D"/>
    <w:rsid w:val="00E85A04"/>
    <w:rsid w:val="00E86F41"/>
    <w:rsid w:val="00E91D16"/>
    <w:rsid w:val="00E92F9F"/>
    <w:rsid w:val="00E931BA"/>
    <w:rsid w:val="00E934B6"/>
    <w:rsid w:val="00E93D4E"/>
    <w:rsid w:val="00E944C8"/>
    <w:rsid w:val="00E94B16"/>
    <w:rsid w:val="00E9595A"/>
    <w:rsid w:val="00E961E2"/>
    <w:rsid w:val="00E96F49"/>
    <w:rsid w:val="00E97343"/>
    <w:rsid w:val="00E97E61"/>
    <w:rsid w:val="00EA00D0"/>
    <w:rsid w:val="00EA0AAF"/>
    <w:rsid w:val="00EA10A7"/>
    <w:rsid w:val="00EA1276"/>
    <w:rsid w:val="00EA250A"/>
    <w:rsid w:val="00EA5036"/>
    <w:rsid w:val="00EA52F4"/>
    <w:rsid w:val="00EA5F2B"/>
    <w:rsid w:val="00EA6583"/>
    <w:rsid w:val="00EA6789"/>
    <w:rsid w:val="00EA7A38"/>
    <w:rsid w:val="00EB0367"/>
    <w:rsid w:val="00EB14B2"/>
    <w:rsid w:val="00EB1910"/>
    <w:rsid w:val="00EB49E0"/>
    <w:rsid w:val="00EB57BF"/>
    <w:rsid w:val="00EB57CA"/>
    <w:rsid w:val="00EB5901"/>
    <w:rsid w:val="00EB6DAF"/>
    <w:rsid w:val="00EB6F74"/>
    <w:rsid w:val="00EB77F6"/>
    <w:rsid w:val="00EC0770"/>
    <w:rsid w:val="00EC1415"/>
    <w:rsid w:val="00EC1A9E"/>
    <w:rsid w:val="00EC21C8"/>
    <w:rsid w:val="00EC3A4F"/>
    <w:rsid w:val="00EC3F37"/>
    <w:rsid w:val="00EC526D"/>
    <w:rsid w:val="00EC6F2B"/>
    <w:rsid w:val="00EC7C88"/>
    <w:rsid w:val="00ED00B3"/>
    <w:rsid w:val="00ED0464"/>
    <w:rsid w:val="00ED079A"/>
    <w:rsid w:val="00ED0F38"/>
    <w:rsid w:val="00ED11DB"/>
    <w:rsid w:val="00ED1D6E"/>
    <w:rsid w:val="00ED3320"/>
    <w:rsid w:val="00ED46B5"/>
    <w:rsid w:val="00ED58E1"/>
    <w:rsid w:val="00ED74B5"/>
    <w:rsid w:val="00ED7C85"/>
    <w:rsid w:val="00EE09A0"/>
    <w:rsid w:val="00EE0A06"/>
    <w:rsid w:val="00EE133F"/>
    <w:rsid w:val="00EE168A"/>
    <w:rsid w:val="00EE1C46"/>
    <w:rsid w:val="00EE211F"/>
    <w:rsid w:val="00EE2502"/>
    <w:rsid w:val="00EE3CA9"/>
    <w:rsid w:val="00EE5A93"/>
    <w:rsid w:val="00EE5ABA"/>
    <w:rsid w:val="00EE6AD5"/>
    <w:rsid w:val="00EE70FA"/>
    <w:rsid w:val="00EF029E"/>
    <w:rsid w:val="00EF054D"/>
    <w:rsid w:val="00EF0B27"/>
    <w:rsid w:val="00EF0C4B"/>
    <w:rsid w:val="00EF195E"/>
    <w:rsid w:val="00EF581E"/>
    <w:rsid w:val="00EF5CD1"/>
    <w:rsid w:val="00EF5EAA"/>
    <w:rsid w:val="00EF5F7D"/>
    <w:rsid w:val="00EF66C5"/>
    <w:rsid w:val="00EF6B50"/>
    <w:rsid w:val="00EF72A7"/>
    <w:rsid w:val="00EF7785"/>
    <w:rsid w:val="00EF7E91"/>
    <w:rsid w:val="00F0002D"/>
    <w:rsid w:val="00F00619"/>
    <w:rsid w:val="00F00BC5"/>
    <w:rsid w:val="00F010B7"/>
    <w:rsid w:val="00F01349"/>
    <w:rsid w:val="00F01791"/>
    <w:rsid w:val="00F017C8"/>
    <w:rsid w:val="00F0197B"/>
    <w:rsid w:val="00F01E8D"/>
    <w:rsid w:val="00F022C6"/>
    <w:rsid w:val="00F047C9"/>
    <w:rsid w:val="00F05F43"/>
    <w:rsid w:val="00F06494"/>
    <w:rsid w:val="00F06FD6"/>
    <w:rsid w:val="00F10CF7"/>
    <w:rsid w:val="00F115F3"/>
    <w:rsid w:val="00F121AF"/>
    <w:rsid w:val="00F136AC"/>
    <w:rsid w:val="00F13BC1"/>
    <w:rsid w:val="00F1480B"/>
    <w:rsid w:val="00F14D1F"/>
    <w:rsid w:val="00F15246"/>
    <w:rsid w:val="00F15EBE"/>
    <w:rsid w:val="00F17373"/>
    <w:rsid w:val="00F175CF"/>
    <w:rsid w:val="00F17B7A"/>
    <w:rsid w:val="00F17E52"/>
    <w:rsid w:val="00F2258E"/>
    <w:rsid w:val="00F225CD"/>
    <w:rsid w:val="00F2357B"/>
    <w:rsid w:val="00F23E67"/>
    <w:rsid w:val="00F249D3"/>
    <w:rsid w:val="00F266B1"/>
    <w:rsid w:val="00F2670E"/>
    <w:rsid w:val="00F30113"/>
    <w:rsid w:val="00F30E27"/>
    <w:rsid w:val="00F3155E"/>
    <w:rsid w:val="00F33FC1"/>
    <w:rsid w:val="00F34282"/>
    <w:rsid w:val="00F35323"/>
    <w:rsid w:val="00F355E8"/>
    <w:rsid w:val="00F35AC4"/>
    <w:rsid w:val="00F35BD0"/>
    <w:rsid w:val="00F40D48"/>
    <w:rsid w:val="00F41C1C"/>
    <w:rsid w:val="00F42166"/>
    <w:rsid w:val="00F4396A"/>
    <w:rsid w:val="00F4462B"/>
    <w:rsid w:val="00F44C86"/>
    <w:rsid w:val="00F44E9C"/>
    <w:rsid w:val="00F451C1"/>
    <w:rsid w:val="00F459B3"/>
    <w:rsid w:val="00F4661E"/>
    <w:rsid w:val="00F476DF"/>
    <w:rsid w:val="00F509EE"/>
    <w:rsid w:val="00F512B3"/>
    <w:rsid w:val="00F519A0"/>
    <w:rsid w:val="00F51B3E"/>
    <w:rsid w:val="00F51F9C"/>
    <w:rsid w:val="00F52233"/>
    <w:rsid w:val="00F5242C"/>
    <w:rsid w:val="00F52C88"/>
    <w:rsid w:val="00F53B92"/>
    <w:rsid w:val="00F543A5"/>
    <w:rsid w:val="00F545BD"/>
    <w:rsid w:val="00F55450"/>
    <w:rsid w:val="00F5551B"/>
    <w:rsid w:val="00F5582E"/>
    <w:rsid w:val="00F558F9"/>
    <w:rsid w:val="00F56165"/>
    <w:rsid w:val="00F561F8"/>
    <w:rsid w:val="00F56402"/>
    <w:rsid w:val="00F56527"/>
    <w:rsid w:val="00F56A8C"/>
    <w:rsid w:val="00F57709"/>
    <w:rsid w:val="00F57D5C"/>
    <w:rsid w:val="00F604EA"/>
    <w:rsid w:val="00F616EF"/>
    <w:rsid w:val="00F6178A"/>
    <w:rsid w:val="00F61EE1"/>
    <w:rsid w:val="00F62172"/>
    <w:rsid w:val="00F6449A"/>
    <w:rsid w:val="00F6580D"/>
    <w:rsid w:val="00F666BF"/>
    <w:rsid w:val="00F66BAA"/>
    <w:rsid w:val="00F66E63"/>
    <w:rsid w:val="00F66FB8"/>
    <w:rsid w:val="00F674A8"/>
    <w:rsid w:val="00F67C6A"/>
    <w:rsid w:val="00F70271"/>
    <w:rsid w:val="00F702BD"/>
    <w:rsid w:val="00F7054A"/>
    <w:rsid w:val="00F70BB1"/>
    <w:rsid w:val="00F71B68"/>
    <w:rsid w:val="00F737D6"/>
    <w:rsid w:val="00F73F74"/>
    <w:rsid w:val="00F758B4"/>
    <w:rsid w:val="00F76E5F"/>
    <w:rsid w:val="00F777C5"/>
    <w:rsid w:val="00F80A5B"/>
    <w:rsid w:val="00F80C1F"/>
    <w:rsid w:val="00F81D94"/>
    <w:rsid w:val="00F82102"/>
    <w:rsid w:val="00F82A26"/>
    <w:rsid w:val="00F83C55"/>
    <w:rsid w:val="00F841C6"/>
    <w:rsid w:val="00F85163"/>
    <w:rsid w:val="00F87498"/>
    <w:rsid w:val="00F8756A"/>
    <w:rsid w:val="00F87675"/>
    <w:rsid w:val="00F9131E"/>
    <w:rsid w:val="00F91AA7"/>
    <w:rsid w:val="00F9244A"/>
    <w:rsid w:val="00F934AA"/>
    <w:rsid w:val="00F93C53"/>
    <w:rsid w:val="00F94431"/>
    <w:rsid w:val="00F95920"/>
    <w:rsid w:val="00F95D7A"/>
    <w:rsid w:val="00F96C1C"/>
    <w:rsid w:val="00FA024C"/>
    <w:rsid w:val="00FA031A"/>
    <w:rsid w:val="00FA08AF"/>
    <w:rsid w:val="00FA0E48"/>
    <w:rsid w:val="00FA3382"/>
    <w:rsid w:val="00FA40DC"/>
    <w:rsid w:val="00FB0934"/>
    <w:rsid w:val="00FB1713"/>
    <w:rsid w:val="00FB1D18"/>
    <w:rsid w:val="00FB2709"/>
    <w:rsid w:val="00FB2AFA"/>
    <w:rsid w:val="00FB39F4"/>
    <w:rsid w:val="00FB5445"/>
    <w:rsid w:val="00FB65CE"/>
    <w:rsid w:val="00FB6682"/>
    <w:rsid w:val="00FB6A9B"/>
    <w:rsid w:val="00FB6EA7"/>
    <w:rsid w:val="00FB735B"/>
    <w:rsid w:val="00FC127C"/>
    <w:rsid w:val="00FC12A5"/>
    <w:rsid w:val="00FC2C82"/>
    <w:rsid w:val="00FC4288"/>
    <w:rsid w:val="00FC4B69"/>
    <w:rsid w:val="00FC4E9E"/>
    <w:rsid w:val="00FC4FB1"/>
    <w:rsid w:val="00FC61B7"/>
    <w:rsid w:val="00FC6439"/>
    <w:rsid w:val="00FC75B3"/>
    <w:rsid w:val="00FC79EB"/>
    <w:rsid w:val="00FC7E33"/>
    <w:rsid w:val="00FD135B"/>
    <w:rsid w:val="00FD1438"/>
    <w:rsid w:val="00FD1C00"/>
    <w:rsid w:val="00FD1E1B"/>
    <w:rsid w:val="00FD3BAB"/>
    <w:rsid w:val="00FD3E27"/>
    <w:rsid w:val="00FD5777"/>
    <w:rsid w:val="00FD605A"/>
    <w:rsid w:val="00FD76DD"/>
    <w:rsid w:val="00FE05DE"/>
    <w:rsid w:val="00FE0B4A"/>
    <w:rsid w:val="00FE1CDF"/>
    <w:rsid w:val="00FE2513"/>
    <w:rsid w:val="00FE2F39"/>
    <w:rsid w:val="00FE347E"/>
    <w:rsid w:val="00FE38BD"/>
    <w:rsid w:val="00FE3C69"/>
    <w:rsid w:val="00FE4BC2"/>
    <w:rsid w:val="00FE4BC6"/>
    <w:rsid w:val="00FE5D2F"/>
    <w:rsid w:val="00FE6363"/>
    <w:rsid w:val="00FE6567"/>
    <w:rsid w:val="00FF192D"/>
    <w:rsid w:val="00FF2537"/>
    <w:rsid w:val="00FF2CDA"/>
    <w:rsid w:val="00FF2F66"/>
    <w:rsid w:val="00FF3095"/>
    <w:rsid w:val="00FF4425"/>
    <w:rsid w:val="00FF5889"/>
    <w:rsid w:val="00FF6B98"/>
    <w:rsid w:val="00FF6BF1"/>
    <w:rsid w:val="00FF705E"/>
    <w:rsid w:val="00FF70B0"/>
    <w:rsid w:val="00FF76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rules v:ext="edit">
        <o:r id="V:Rule1" type="connector" idref="#AutoShape 4"/>
      </o:rules>
    </o:shapelayout>
  </w:shapeDefaults>
  <w:decimalSymbol w:val=","/>
  <w:listSeparator w:val=","/>
  <w14:docId w14:val="52BF24F5"/>
  <w15:docId w15:val="{CA9483FA-AF25-4876-8D6B-1B5D5F7F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3C2681"/>
    <w:rPr>
      <w:rFonts w:ascii="Times New Roman" w:hAnsi="Times New Roman"/>
      <w:color w:val="000000"/>
      <w:sz w:val="28"/>
    </w:rPr>
  </w:style>
  <w:style w:type="character" w:styleId="IntenseEmphasis">
    <w:name w:val="Intense Emphasis"/>
    <w:basedOn w:val="DefaultParagraphFont"/>
    <w:uiPriority w:val="21"/>
    <w:qFormat/>
    <w:rsid w:val="008B3769"/>
    <w:rPr>
      <w:i/>
      <w:iCs/>
      <w:color w:val="4F81BD" w:themeColor="accent1"/>
    </w:rPr>
  </w:style>
  <w:style w:type="paragraph" w:styleId="HTMLPreformatted">
    <w:name w:val="HTML Preformatted"/>
    <w:basedOn w:val="Normal"/>
    <w:link w:val="HTMLPreformattedChar"/>
    <w:uiPriority w:val="99"/>
    <w:unhideWhenUsed/>
    <w:rsid w:val="001E5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E59C1"/>
    <w:rPr>
      <w:rFonts w:ascii="Courier New" w:hAnsi="Courier New" w:cs="Courier New"/>
      <w:sz w:val="20"/>
      <w:szCs w:val="20"/>
    </w:rPr>
  </w:style>
  <w:style w:type="character" w:customStyle="1" w:styleId="y2iqfc">
    <w:name w:val="y2iqfc"/>
    <w:basedOn w:val="DefaultParagraphFont"/>
    <w:rsid w:val="001E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19796">
      <w:bodyDiv w:val="1"/>
      <w:marLeft w:val="0"/>
      <w:marRight w:val="0"/>
      <w:marTop w:val="0"/>
      <w:marBottom w:val="0"/>
      <w:divBdr>
        <w:top w:val="none" w:sz="0" w:space="0" w:color="auto"/>
        <w:left w:val="none" w:sz="0" w:space="0" w:color="auto"/>
        <w:bottom w:val="none" w:sz="0" w:space="0" w:color="auto"/>
        <w:right w:val="none" w:sz="0" w:space="0" w:color="auto"/>
      </w:divBdr>
    </w:div>
    <w:div w:id="609896903">
      <w:bodyDiv w:val="1"/>
      <w:marLeft w:val="0"/>
      <w:marRight w:val="0"/>
      <w:marTop w:val="0"/>
      <w:marBottom w:val="0"/>
      <w:divBdr>
        <w:top w:val="none" w:sz="0" w:space="0" w:color="auto"/>
        <w:left w:val="none" w:sz="0" w:space="0" w:color="auto"/>
        <w:bottom w:val="none" w:sz="0" w:space="0" w:color="auto"/>
        <w:right w:val="none" w:sz="0" w:space="0" w:color="auto"/>
      </w:divBdr>
    </w:div>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10.sv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w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1.wmf"/><Relationship Id="rId27" Type="http://schemas.openxmlformats.org/officeDocument/2006/relationships/image" Target="media/image13.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huysanvietnam.com.vn/gia-tom-nguyen-lieu-tuan-11-17-04-202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51.102\tkth02\01%20Bao%20cao%20thang\2022\Thang%2004\C&#225;c%20V&#7909;\CNXD\1.%20Bao%20cao%20CN%20thang%204%202022%20(g&#244;&#769;c).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tphuong\Desktop\BCT%202022\Nha\01.%20S&#7889;%20li&#7879;u%20&#272;TNN%20th&#225;ng%2004.2022%20(25-4-2022)%2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192.168.151.102\tkth02\Phuong\FDI%20th&#225;ng%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192.168.151.102\tkth02\01%20Bao%20cao%20thang\2022\Thang%2003\Chuy&#234;n%20vi&#234;n\&#272;&#244;&#768;%20thi&#803;%20t&#244;&#777;ng%20m&#432;&#769;c%203.2022.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2\THANG4.2022\V&#7909;%20TH\Bi&#7875;u%20&#273;&#7891;%20XNK%20T4.2022.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D:\02%20BAO%20CAO\NAM2022\THANG4.2022\V&#7909;%20TH\Bi&#7875;u%20&#273;&#7891;%20XNK%20T4.2022.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D:\GIANG\BA&#769;O%20CA&#769;O%20THA&#769;NG%20CPI\2022\Th&#225;ng%204\CSG-Qu&#253;-I-g&#7917;i-H&#432;&#417;ng%20(m&#417;&#769;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10 provinces</a:t>
            </a:r>
            <a:r>
              <a:rPr lang="en-US" sz="900" b="1" baseline="0">
                <a:solidFill>
                  <a:schemeClr val="tx1"/>
                </a:solidFill>
                <a:latin typeface="Arial" panose="020B0604020202020204" pitchFamily="34" charset="0"/>
                <a:cs typeface="Arial" panose="020B0604020202020204" pitchFamily="34" charset="0"/>
              </a:rPr>
              <a:t> with highest IIP growth rate </a:t>
            </a:r>
            <a:endParaRPr lang="en-US" sz="9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053646997828975E-2"/>
          <c:y val="0.11776515151515153"/>
          <c:w val="0.82920558843188075"/>
          <c:h val="0.66523443092340728"/>
        </c:manualLayout>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tinh'!$L$7:$L$16</c:f>
              <c:strCache>
                <c:ptCount val="10"/>
                <c:pt idx="0">
                  <c:v>Ha Giang</c:v>
                </c:pt>
                <c:pt idx="1">
                  <c:v>Bac Giang</c:v>
                </c:pt>
                <c:pt idx="2">
                  <c:v> Kon Tum</c:v>
                </c:pt>
                <c:pt idx="3">
                  <c:v>Lai Chau</c:v>
                </c:pt>
                <c:pt idx="4">
                  <c:v>Binh Phuoc</c:v>
                </c:pt>
                <c:pt idx="5">
                  <c:v>Hai Duong</c:v>
                </c:pt>
                <c:pt idx="6">
                  <c:v>Quang Nam</c:v>
                </c:pt>
                <c:pt idx="7">
                  <c:v>Dak Lak</c:v>
                </c:pt>
                <c:pt idx="8">
                  <c:v>Bac Lieu</c:v>
                </c:pt>
                <c:pt idx="9">
                  <c:v>Lam Dong</c:v>
                </c:pt>
              </c:strCache>
            </c:strRef>
          </c:cat>
          <c:val>
            <c:numRef>
              <c:f>'IIP tinh'!$M$7:$M$16</c:f>
              <c:numCache>
                <c:formatCode>0.0</c:formatCode>
                <c:ptCount val="10"/>
                <c:pt idx="0">
                  <c:v>33.22</c:v>
                </c:pt>
                <c:pt idx="1">
                  <c:v>32.080000000000013</c:v>
                </c:pt>
                <c:pt idx="2">
                  <c:v>24.33</c:v>
                </c:pt>
                <c:pt idx="3">
                  <c:v>24.150000000000006</c:v>
                </c:pt>
                <c:pt idx="4">
                  <c:v>20.599999999999994</c:v>
                </c:pt>
                <c:pt idx="5">
                  <c:v>20.420000000000002</c:v>
                </c:pt>
                <c:pt idx="6">
                  <c:v>20.189999999999998</c:v>
                </c:pt>
                <c:pt idx="7">
                  <c:v>19.64</c:v>
                </c:pt>
                <c:pt idx="8">
                  <c:v>19.319999999999993</c:v>
                </c:pt>
                <c:pt idx="9">
                  <c:v>18.549999999999997</c:v>
                </c:pt>
              </c:numCache>
            </c:numRef>
          </c:val>
          <c:extLst>
            <c:ext xmlns:c16="http://schemas.microsoft.com/office/drawing/2014/chart" uri="{C3380CC4-5D6E-409C-BE32-E72D297353CC}">
              <c16:uniqueId val="{00000000-97A5-466A-A961-806E6D53B1EE}"/>
            </c:ext>
          </c:extLst>
        </c:ser>
        <c:dLbls>
          <c:showLegendKey val="0"/>
          <c:showVal val="0"/>
          <c:showCatName val="0"/>
          <c:showSerName val="0"/>
          <c:showPercent val="0"/>
          <c:showBubbleSize val="0"/>
        </c:dLbls>
        <c:gapWidth val="219"/>
        <c:overlap val="-27"/>
        <c:axId val="1551589056"/>
        <c:axId val="1551602112"/>
      </c:barChart>
      <c:catAx>
        <c:axId val="155158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crossAx val="1551602112"/>
        <c:crosses val="autoZero"/>
        <c:auto val="1"/>
        <c:lblAlgn val="ctr"/>
        <c:lblOffset val="100"/>
        <c:noMultiLvlLbl val="0"/>
      </c:catAx>
      <c:valAx>
        <c:axId val="15516021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158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10 provinces with</a:t>
            </a:r>
            <a:r>
              <a:rPr lang="en-US" sz="900" b="1" baseline="0">
                <a:solidFill>
                  <a:schemeClr val="tx1"/>
                </a:solidFill>
                <a:latin typeface="Arial" panose="020B0604020202020204" pitchFamily="34" charset="0"/>
                <a:cs typeface="Arial" panose="020B0604020202020204" pitchFamily="34" charset="0"/>
              </a:rPr>
              <a:t> lowest IIP growth rate</a:t>
            </a:r>
            <a:endParaRPr lang="en-US" sz="9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8810553305114314E-2"/>
          <c:y val="0.17823161941374338"/>
          <c:w val="0.90801814513070256"/>
          <c:h val="0.66415924505163348"/>
        </c:manualLayout>
      </c:layout>
      <c:barChart>
        <c:barDir val="col"/>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tinh'!$L$60:$L$69</c:f>
              <c:strCache>
                <c:ptCount val="10"/>
                <c:pt idx="0">
                  <c:v>Ba Ria - Vung Tau</c:v>
                </c:pt>
                <c:pt idx="1">
                  <c:v>Lao Cai</c:v>
                </c:pt>
                <c:pt idx="2">
                  <c:v>Tien Giang</c:v>
                </c:pt>
                <c:pt idx="3">
                  <c:v>Bac Kan</c:v>
                </c:pt>
                <c:pt idx="4">
                  <c:v>Binh Thuan</c:v>
                </c:pt>
                <c:pt idx="5">
                  <c:v>Ninh Binh</c:v>
                </c:pt>
                <c:pt idx="6">
                  <c:v>Ho Chi Minh City</c:v>
                </c:pt>
                <c:pt idx="7">
                  <c:v>Da Nang</c:v>
                </c:pt>
                <c:pt idx="8">
                  <c:v>Ha Tinh</c:v>
                </c:pt>
                <c:pt idx="9">
                  <c:v>Tra Vinh</c:v>
                </c:pt>
              </c:strCache>
            </c:strRef>
          </c:cat>
          <c:val>
            <c:numRef>
              <c:f>'IIP tinh'!$M$60:$M$69</c:f>
              <c:numCache>
                <c:formatCode>0.0</c:formatCode>
                <c:ptCount val="10"/>
                <c:pt idx="0">
                  <c:v>5.2800000000000011</c:v>
                </c:pt>
                <c:pt idx="1">
                  <c:v>4.769999999999996</c:v>
                </c:pt>
                <c:pt idx="2">
                  <c:v>3.6599999999999966</c:v>
                </c:pt>
                <c:pt idx="3">
                  <c:v>3.5100000000000051</c:v>
                </c:pt>
                <c:pt idx="4">
                  <c:v>2.519999999999996</c:v>
                </c:pt>
                <c:pt idx="5">
                  <c:v>2.4899999999999949</c:v>
                </c:pt>
                <c:pt idx="6">
                  <c:v>2.480000000000004</c:v>
                </c:pt>
                <c:pt idx="7">
                  <c:v>2.4</c:v>
                </c:pt>
                <c:pt idx="8">
                  <c:v>-7.9399999999999977</c:v>
                </c:pt>
                <c:pt idx="9">
                  <c:v>-19.700000000000003</c:v>
                </c:pt>
              </c:numCache>
            </c:numRef>
          </c:val>
          <c:extLst>
            <c:ext xmlns:c16="http://schemas.microsoft.com/office/drawing/2014/chart" uri="{C3380CC4-5D6E-409C-BE32-E72D297353CC}">
              <c16:uniqueId val="{00000000-24A7-4F0F-8EF0-AA85F72BC82B}"/>
            </c:ext>
          </c:extLst>
        </c:ser>
        <c:dLbls>
          <c:showLegendKey val="0"/>
          <c:showVal val="0"/>
          <c:showCatName val="0"/>
          <c:showSerName val="0"/>
          <c:showPercent val="0"/>
          <c:showBubbleSize val="0"/>
        </c:dLbls>
        <c:gapWidth val="219"/>
        <c:overlap val="-27"/>
        <c:axId val="1551598848"/>
        <c:axId val="1551602656"/>
      </c:barChart>
      <c:catAx>
        <c:axId val="15515988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crossAx val="1551602656"/>
        <c:crosses val="autoZero"/>
        <c:auto val="1"/>
        <c:lblAlgn val="ctr"/>
        <c:lblOffset val="100"/>
        <c:noMultiLvlLbl val="0"/>
      </c:catAx>
      <c:valAx>
        <c:axId val="15516026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159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'04. FDI SO SANH '!$A$16</c:f>
              <c:strCache>
                <c:ptCount val="1"/>
                <c:pt idx="0">
                  <c:v>Newly registered capital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3.5538356743600001</c:v>
                </c:pt>
                <c:pt idx="1">
                  <c:v>5.3450146209999998</c:v>
                </c:pt>
                <c:pt idx="2">
                  <c:v>6.780204995000001</c:v>
                </c:pt>
                <c:pt idx="3">
                  <c:v>8.4561690810000023</c:v>
                </c:pt>
                <c:pt idx="4">
                  <c:v>3.69718795585</c:v>
                </c:pt>
              </c:numCache>
            </c:numRef>
          </c:val>
          <c:extLst>
            <c:ext xmlns:c16="http://schemas.microsoft.com/office/drawing/2014/chart" uri="{C3380CC4-5D6E-409C-BE32-E72D297353CC}">
              <c16:uniqueId val="{00000000-DCDA-422A-B8C9-D76E1437C960}"/>
            </c:ext>
          </c:extLst>
        </c:ser>
        <c:ser>
          <c:idx val="1"/>
          <c:order val="1"/>
          <c:tx>
            <c:strRef>
              <c:f>'04. FDI SO SANH '!$A$17</c:f>
              <c:strCache>
                <c:ptCount val="1"/>
                <c:pt idx="0">
                  <c:v>Adjust registered capital </c:v>
                </c:pt>
              </c:strCache>
            </c:strRef>
          </c:tx>
          <c:invertIfNegative val="0"/>
          <c:dLbls>
            <c:dLbl>
              <c:idx val="3"/>
              <c:tx>
                <c:rich>
                  <a:bodyPr/>
                  <a:lstStyle/>
                  <a:p>
                    <a:r>
                      <a:rPr lang="en-US"/>
                      <a:t>2.74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CDA-422A-B8C9-D76E1437C96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2.2447936588712509</c:v>
                </c:pt>
                <c:pt idx="1">
                  <c:v>2.1105626224700003</c:v>
                </c:pt>
                <c:pt idx="2">
                  <c:v>3.0736828959999998</c:v>
                </c:pt>
                <c:pt idx="3">
                  <c:v>2.7477871092812496</c:v>
                </c:pt>
                <c:pt idx="4">
                  <c:v>5.2890776313113248</c:v>
                </c:pt>
              </c:numCache>
            </c:numRef>
          </c:val>
          <c:extLst>
            <c:ext xmlns:c16="http://schemas.microsoft.com/office/drawing/2014/chart" uri="{C3380CC4-5D6E-409C-BE32-E72D297353CC}">
              <c16:uniqueId val="{00000002-DCDA-422A-B8C9-D76E1437C960}"/>
            </c:ext>
          </c:extLst>
        </c:ser>
        <c:ser>
          <c:idx val="2"/>
          <c:order val="2"/>
          <c:tx>
            <c:strRef>
              <c:f>'04. FDI SO SANH '!$A$18</c:f>
              <c:strCache>
                <c:ptCount val="1"/>
                <c:pt idx="0">
                  <c:v>Total value of capital contribution and share purchases of foreign investors </c:v>
                </c:pt>
              </c:strCache>
            </c:strRef>
          </c:tx>
          <c:invertIfNegative val="0"/>
          <c:dLbls>
            <c:dLbl>
              <c:idx val="0"/>
              <c:tx>
                <c:rich>
                  <a:bodyPr/>
                  <a:lstStyle/>
                  <a:p>
                    <a:r>
                      <a:rPr lang="en-US"/>
                      <a:t>2.27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CDA-422A-B8C9-D76E1437C960}"/>
                </c:ext>
              </c:extLst>
            </c:dLbl>
            <c:dLbl>
              <c:idx val="1"/>
              <c:tx>
                <c:rich>
                  <a:bodyPr/>
                  <a:lstStyle/>
                  <a:p>
                    <a:r>
                      <a:rPr lang="en-US"/>
                      <a:t>7.13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CDA-422A-B8C9-D76E1437C960}"/>
                </c:ext>
              </c:extLst>
            </c:dLbl>
            <c:dLbl>
              <c:idx val="4"/>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CDA-422A-B8C9-D76E1437C96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2.2628542386837869</c:v>
                </c:pt>
                <c:pt idx="1">
                  <c:v>7.1357886050338735</c:v>
                </c:pt>
                <c:pt idx="2">
                  <c:v>2.4786096414807495</c:v>
                </c:pt>
                <c:pt idx="3">
                  <c:v>1.0471568693786613</c:v>
                </c:pt>
                <c:pt idx="4">
                  <c:v>1.8274167558199996</c:v>
                </c:pt>
              </c:numCache>
            </c:numRef>
          </c:val>
          <c:extLst>
            <c:ext xmlns:c16="http://schemas.microsoft.com/office/drawing/2014/chart" uri="{C3380CC4-5D6E-409C-BE32-E72D297353CC}">
              <c16:uniqueId val="{00000006-DCDA-422A-B8C9-D76E1437C960}"/>
            </c:ext>
          </c:extLst>
        </c:ser>
        <c:dLbls>
          <c:showLegendKey val="0"/>
          <c:showVal val="0"/>
          <c:showCatName val="0"/>
          <c:showSerName val="0"/>
          <c:showPercent val="0"/>
          <c:showBubbleSize val="0"/>
        </c:dLbls>
        <c:gapWidth val="150"/>
        <c:overlap val="100"/>
        <c:axId val="100733312"/>
        <c:axId val="101180544"/>
      </c:barChart>
      <c:catAx>
        <c:axId val="100733312"/>
        <c:scaling>
          <c:orientation val="minMax"/>
        </c:scaling>
        <c:delete val="0"/>
        <c:axPos val="l"/>
        <c:numFmt formatCode="General" sourceLinked="1"/>
        <c:majorTickMark val="out"/>
        <c:minorTickMark val="none"/>
        <c:tickLblPos val="nextTo"/>
        <c:crossAx val="101180544"/>
        <c:crosses val="autoZero"/>
        <c:auto val="1"/>
        <c:lblAlgn val="ctr"/>
        <c:lblOffset val="100"/>
        <c:noMultiLvlLbl val="0"/>
      </c:catAx>
      <c:valAx>
        <c:axId val="101180544"/>
        <c:scaling>
          <c:orientation val="minMax"/>
        </c:scaling>
        <c:delete val="0"/>
        <c:axPos val="b"/>
        <c:majorGridlines/>
        <c:numFmt formatCode="0.00" sourceLinked="1"/>
        <c:majorTickMark val="out"/>
        <c:minorTickMark val="none"/>
        <c:tickLblPos val="nextTo"/>
        <c:crossAx val="100733312"/>
        <c:crosses val="autoZero"/>
        <c:crossBetween val="between"/>
      </c:valAx>
    </c:plotArea>
    <c:legend>
      <c:legendPos val="b"/>
      <c:overlay val="0"/>
    </c:legend>
    <c:plotVisOnly val="1"/>
    <c:dispBlanksAs val="gap"/>
    <c:showDLblsOverMax val="0"/>
  </c:chart>
  <c:txPr>
    <a:bodyPr/>
    <a:lstStyle/>
    <a:p>
      <a:pPr>
        <a:defRPr sz="800">
          <a:latin typeface="Arial" pitchFamily="34" charset="0"/>
          <a:cs typeface="Arial" pitchFamily="34"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2018</c:v>
                </c:pt>
                <c:pt idx="1">
                  <c:v>2019</c:v>
                </c:pt>
                <c:pt idx="2">
                  <c:v>2020</c:v>
                </c:pt>
                <c:pt idx="3">
                  <c:v>2021</c:v>
                </c:pt>
                <c:pt idx="4">
                  <c:v>2022</c:v>
                </c:pt>
              </c:numCache>
            </c:numRef>
          </c:cat>
          <c:val>
            <c:numRef>
              <c:f>Sheet1!$B$5:$F$5</c:f>
              <c:numCache>
                <c:formatCode>0.00</c:formatCode>
                <c:ptCount val="5"/>
                <c:pt idx="0">
                  <c:v>5.3</c:v>
                </c:pt>
                <c:pt idx="1">
                  <c:v>5.7</c:v>
                </c:pt>
                <c:pt idx="2">
                  <c:v>5.1499999999999995</c:v>
                </c:pt>
                <c:pt idx="3">
                  <c:v>5.5</c:v>
                </c:pt>
                <c:pt idx="4">
                  <c:v>5.92</c:v>
                </c:pt>
              </c:numCache>
            </c:numRef>
          </c:val>
          <c:extLst>
            <c:ext xmlns:c16="http://schemas.microsoft.com/office/drawing/2014/chart" uri="{C3380CC4-5D6E-409C-BE32-E72D297353CC}">
              <c16:uniqueId val="{00000000-8D0D-4B62-9194-7EB35A0DEBA8}"/>
            </c:ext>
          </c:extLst>
        </c:ser>
        <c:dLbls>
          <c:showLegendKey val="0"/>
          <c:showVal val="0"/>
          <c:showCatName val="0"/>
          <c:showSerName val="0"/>
          <c:showPercent val="0"/>
          <c:showBubbleSize val="0"/>
        </c:dLbls>
        <c:gapWidth val="219"/>
        <c:overlap val="-27"/>
        <c:axId val="124915712"/>
        <c:axId val="124917248"/>
      </c:barChart>
      <c:catAx>
        <c:axId val="1249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4917248"/>
        <c:crosses val="autoZero"/>
        <c:auto val="1"/>
        <c:lblAlgn val="ctr"/>
        <c:lblOffset val="100"/>
        <c:noMultiLvlLbl val="0"/>
      </c:catAx>
      <c:valAx>
        <c:axId val="124917248"/>
        <c:scaling>
          <c:orientation val="minMax"/>
        </c:scaling>
        <c:delete val="1"/>
        <c:axPos val="l"/>
        <c:numFmt formatCode="0.00" sourceLinked="1"/>
        <c:majorTickMark val="none"/>
        <c:minorTickMark val="none"/>
        <c:tickLblPos val="none"/>
        <c:crossAx val="12491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7104111986002"/>
          <c:y val="0.13502109704641349"/>
          <c:w val="0.76368547681539833"/>
          <c:h val="0.63832585800192709"/>
        </c:manualLayout>
      </c:layout>
      <c:barChart>
        <c:barDir val="col"/>
        <c:grouping val="clustered"/>
        <c:varyColors val="0"/>
        <c:ser>
          <c:idx val="0"/>
          <c:order val="0"/>
          <c:tx>
            <c:strRef>
              <c:f>ĐT!$A$4</c:f>
              <c:strCache>
                <c:ptCount val="1"/>
                <c:pt idx="0">
                  <c:v>Total (Trillion dongs)</c:v>
                </c:pt>
              </c:strCache>
            </c:strRef>
          </c:tx>
          <c:spPr>
            <a:solidFill>
              <a:schemeClr val="accent6"/>
            </a:solidFill>
            <a:ln>
              <a:solidFill>
                <a:schemeClr val="accent3">
                  <a:lumMod val="50000"/>
                </a:schemeClr>
              </a:solidFill>
            </a:ln>
            <a:effectLst/>
          </c:spPr>
          <c:invertIfNegative val="0"/>
          <c:dLbls>
            <c:dLbl>
              <c:idx val="1"/>
              <c:layout>
                <c:manualLayout>
                  <c:x val="5.5555555555555558E-3"/>
                  <c:y val="-5.3622047244094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23-4E76-8C73-5CADCC8BB4A1}"/>
                </c:ext>
              </c:extLst>
            </c:dLbl>
            <c:dLbl>
              <c:idx val="2"/>
              <c:layout>
                <c:manualLayout>
                  <c:x val="2.7777777777777796E-3"/>
                  <c:y val="3.692149240838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23-4E76-8C73-5CADCC8BB4A1}"/>
                </c:ext>
              </c:extLst>
            </c:dLbl>
            <c:dLbl>
              <c:idx val="3"/>
              <c:layout>
                <c:manualLayout>
                  <c:x val="0"/>
                  <c:y val="1.2658227848101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23-4E76-8C73-5CADCC8BB4A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ĐT!$B$4:$F$4</c:f>
              <c:numCache>
                <c:formatCode>0.0</c:formatCode>
                <c:ptCount val="5"/>
                <c:pt idx="0">
                  <c:v>1413.1991398900359</c:v>
                </c:pt>
                <c:pt idx="1">
                  <c:v>1545.3279828098453</c:v>
                </c:pt>
                <c:pt idx="2">
                  <c:v>1541.2408268747697</c:v>
                </c:pt>
                <c:pt idx="3">
                  <c:v>1668.2633479291742</c:v>
                </c:pt>
                <c:pt idx="4">
                  <c:v>1777.4342347870211</c:v>
                </c:pt>
              </c:numCache>
            </c:numRef>
          </c:val>
          <c:extLst>
            <c:ext xmlns:c16="http://schemas.microsoft.com/office/drawing/2014/chart" uri="{C3380CC4-5D6E-409C-BE32-E72D297353CC}">
              <c16:uniqueId val="{00000003-5823-4E76-8C73-5CADCC8BB4A1}"/>
            </c:ext>
          </c:extLst>
        </c:ser>
        <c:dLbls>
          <c:showLegendKey val="0"/>
          <c:showVal val="0"/>
          <c:showCatName val="0"/>
          <c:showSerName val="0"/>
          <c:showPercent val="0"/>
          <c:showBubbleSize val="0"/>
        </c:dLbls>
        <c:gapWidth val="120"/>
        <c:overlap val="-27"/>
        <c:axId val="103989248"/>
        <c:axId val="103990784"/>
      </c:barChart>
      <c:lineChart>
        <c:grouping val="stacked"/>
        <c:varyColors val="0"/>
        <c:ser>
          <c:idx val="1"/>
          <c:order val="1"/>
          <c:tx>
            <c:strRef>
              <c:f>ĐT!$A$5</c:f>
              <c:strCache>
                <c:ptCount val="1"/>
                <c:pt idx="0">
                  <c:v>Growth rate compared to the previous year (%)</c:v>
                </c:pt>
              </c:strCache>
            </c:strRef>
          </c:tx>
          <c:spPr>
            <a:ln w="28575" cap="rnd">
              <a:solidFill>
                <a:schemeClr val="accent3">
                  <a:lumMod val="50000"/>
                </a:schemeClr>
              </a:solidFill>
              <a:round/>
            </a:ln>
            <a:effectLst/>
          </c:spPr>
          <c:marker>
            <c:symbol val="circle"/>
            <c:size val="5"/>
            <c:spPr>
              <a:solidFill>
                <a:schemeClr val="accent4">
                  <a:lumMod val="60000"/>
                  <a:lumOff val="40000"/>
                </a:schemeClr>
              </a:solidFill>
              <a:ln w="9525">
                <a:solidFill>
                  <a:schemeClr val="accent6">
                    <a:lumMod val="75000"/>
                  </a:schemeClr>
                </a:solidFill>
              </a:ln>
              <a:effectLst/>
            </c:spPr>
          </c:marker>
          <c:dLbls>
            <c:dLbl>
              <c:idx val="0"/>
              <c:layout>
                <c:manualLayout>
                  <c:x val="-5.2777777777777785E-2"/>
                  <c:y val="-6.5166284594172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23-4E76-8C73-5CADCC8BB4A1}"/>
                </c:ext>
              </c:extLst>
            </c:dLbl>
            <c:dLbl>
              <c:idx val="1"/>
              <c:layout>
                <c:manualLayout>
                  <c:x val="-5.2777777777777785E-2"/>
                  <c:y val="8.5032725339712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23-4E76-8C73-5CADCC8BB4A1}"/>
                </c:ext>
              </c:extLst>
            </c:dLbl>
            <c:dLbl>
              <c:idx val="2"/>
              <c:layout>
                <c:manualLayout>
                  <c:x val="2.8129639823390788E-2"/>
                  <c:y val="3.2641948237482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23-4E76-8C73-5CADCC8BB4A1}"/>
                </c:ext>
              </c:extLst>
            </c:dLbl>
            <c:dLbl>
              <c:idx val="3"/>
              <c:layout>
                <c:manualLayout>
                  <c:x val="-2.5379983530427572E-2"/>
                  <c:y val="8.0168776371308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23-4E76-8C73-5CADCC8BB4A1}"/>
                </c:ext>
              </c:extLst>
            </c:dLbl>
            <c:dLbl>
              <c:idx val="4"/>
              <c:layout>
                <c:manualLayout>
                  <c:x val="-3.333333333333334E-2"/>
                  <c:y val="-7.1729957805907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23-4E76-8C73-5CADCC8BB4A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ĐT!$B$5:$F$5</c:f>
              <c:numCache>
                <c:formatCode>0.0</c:formatCode>
                <c:ptCount val="5"/>
                <c:pt idx="0">
                  <c:v>10.445012165820145</c:v>
                </c:pt>
                <c:pt idx="1">
                  <c:v>9.3496266159693722</c:v>
                </c:pt>
                <c:pt idx="2">
                  <c:v>-0.26448469066380664</c:v>
                </c:pt>
                <c:pt idx="3">
                  <c:v>8.2415751542199001</c:v>
                </c:pt>
                <c:pt idx="4">
                  <c:v>6.5439840174731216</c:v>
                </c:pt>
              </c:numCache>
            </c:numRef>
          </c:val>
          <c:smooth val="0"/>
          <c:extLst>
            <c:ext xmlns:c16="http://schemas.microsoft.com/office/drawing/2014/chart" uri="{C3380CC4-5D6E-409C-BE32-E72D297353CC}">
              <c16:uniqueId val="{00000009-5823-4E76-8C73-5CADCC8BB4A1}"/>
            </c:ext>
          </c:extLst>
        </c:ser>
        <c:dLbls>
          <c:showLegendKey val="0"/>
          <c:showVal val="0"/>
          <c:showCatName val="0"/>
          <c:showSerName val="0"/>
          <c:showPercent val="0"/>
          <c:showBubbleSize val="0"/>
        </c:dLbls>
        <c:marker val="1"/>
        <c:smooth val="0"/>
        <c:axId val="76153600"/>
        <c:axId val="103992320"/>
      </c:lineChart>
      <c:catAx>
        <c:axId val="10398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3990784"/>
        <c:crosses val="autoZero"/>
        <c:auto val="1"/>
        <c:lblAlgn val="ctr"/>
        <c:lblOffset val="100"/>
        <c:noMultiLvlLbl val="0"/>
      </c:catAx>
      <c:valAx>
        <c:axId val="103990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rgbClr val="AC3639"/>
            </a:solid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03989248"/>
        <c:crosses val="autoZero"/>
        <c:crossBetween val="between"/>
      </c:valAx>
      <c:valAx>
        <c:axId val="10399232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76153600"/>
        <c:crosses val="max"/>
        <c:crossBetween val="between"/>
      </c:valAx>
      <c:catAx>
        <c:axId val="76153600"/>
        <c:scaling>
          <c:orientation val="minMax"/>
        </c:scaling>
        <c:delete val="1"/>
        <c:axPos val="b"/>
        <c:numFmt formatCode="General" sourceLinked="1"/>
        <c:majorTickMark val="out"/>
        <c:minorTickMark val="none"/>
        <c:tickLblPos val="nextTo"/>
        <c:crossAx val="1039923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19.100000000000001</c:v>
                </c:pt>
                <c:pt idx="1">
                  <c:v>35.700000000000003</c:v>
                </c:pt>
                <c:pt idx="2" formatCode="General">
                  <c:v>8.6</c:v>
                </c:pt>
                <c:pt idx="3" formatCode="General">
                  <c:v>11.1</c:v>
                </c:pt>
                <c:pt idx="4" formatCode="General">
                  <c:v>15.7</c:v>
                </c:pt>
                <c:pt idx="5" formatCode="General">
                  <c:v>7.4</c:v>
                </c:pt>
              </c:numCache>
            </c:numRef>
          </c:val>
          <c:extLst>
            <c:ext xmlns:c16="http://schemas.microsoft.com/office/drawing/2014/chart" uri="{C3380CC4-5D6E-409C-BE32-E72D297353CC}">
              <c16:uniqueId val="{00000000-6E51-4427-8EE8-9761E448E3DC}"/>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0"/>
                  <c:y val="-9.060127026106935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51-4427-8EE8-9761E448E3D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General</c:formatCode>
                <c:ptCount val="6"/>
                <c:pt idx="0">
                  <c:v>37.1</c:v>
                </c:pt>
                <c:pt idx="1">
                  <c:v>4.8</c:v>
                </c:pt>
                <c:pt idx="2">
                  <c:v>23.8</c:v>
                </c:pt>
                <c:pt idx="3">
                  <c:v>16.899999999999999</c:v>
                </c:pt>
                <c:pt idx="4">
                  <c:v>5.3</c:v>
                </c:pt>
                <c:pt idx="5">
                  <c:v>8.1999999999999993</c:v>
                </c:pt>
              </c:numCache>
            </c:numRef>
          </c:val>
          <c:extLst>
            <c:ext xmlns:c16="http://schemas.microsoft.com/office/drawing/2014/chart" uri="{C3380CC4-5D6E-409C-BE32-E72D297353CC}">
              <c16:uniqueId val="{00000002-6E51-4427-8EE8-9761E448E3DC}"/>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3"/>
              <c:layout>
                <c:manualLayout>
                  <c:x val="4.3459365493263005E-3"/>
                  <c:y val="-3.053435114503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59-42A7-80CD-A06E6FCD1EFC}"/>
                </c:ext>
              </c:extLst>
            </c:dLbl>
            <c:dLbl>
              <c:idx val="4"/>
              <c:layout>
                <c:manualLayout>
                  <c:x val="1.303780964797906E-2"/>
                  <c:y val="-1.0178117048346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59-42A7-80CD-A06E6FCD1EFC}"/>
                </c:ext>
              </c:extLst>
            </c:dLbl>
            <c:dLbl>
              <c:idx val="5"/>
              <c:layout>
                <c:manualLayout>
                  <c:x val="-1.30378096479793E-2"/>
                  <c:y val="-9.32983284862533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59-42A7-80CD-A06E6FCD1EF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0.17199999999999999</c:v>
                </c:pt>
                <c:pt idx="1">
                  <c:v>0.192</c:v>
                </c:pt>
                <c:pt idx="2">
                  <c:v>0.224</c:v>
                </c:pt>
                <c:pt idx="3">
                  <c:v>0.21299999999999999</c:v>
                </c:pt>
                <c:pt idx="4">
                  <c:v>0.21099999999999999</c:v>
                </c:pt>
                <c:pt idx="5">
                  <c:v>0.122</c:v>
                </c:pt>
              </c:numCache>
            </c:numRef>
          </c:val>
          <c:extLst>
            <c:ext xmlns:c16="http://schemas.microsoft.com/office/drawing/2014/chart" uri="{C3380CC4-5D6E-409C-BE32-E72D297353CC}">
              <c16:uniqueId val="{00000003-C759-42A7-80CD-A06E6FCD1EFC}"/>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1.30378096479791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59-42A7-80CD-A06E6FCD1EFC}"/>
                </c:ext>
              </c:extLst>
            </c:dLbl>
            <c:dLbl>
              <c:idx val="1"/>
              <c:layout>
                <c:manualLayout>
                  <c:x val="1.3761562073319715E-2"/>
                  <c:y val="0.165481356815130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59-42A7-80CD-A06E6FCD1EFC}"/>
                </c:ext>
              </c:extLst>
            </c:dLbl>
            <c:dLbl>
              <c:idx val="3"/>
              <c:layout>
                <c:manualLayout>
                  <c:x val="1.3037809647979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59-42A7-80CD-A06E6FCD1EFC}"/>
                </c:ext>
              </c:extLst>
            </c:dLbl>
            <c:dLbl>
              <c:idx val="4"/>
              <c:layout>
                <c:manualLayout>
                  <c:x val="1.7383746197305362E-2"/>
                  <c:y val="7.5873855462723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59-42A7-80CD-A06E6FCD1EFC}"/>
                </c:ext>
              </c:extLst>
            </c:dLbl>
            <c:dLbl>
              <c:idx val="5"/>
              <c:layout>
                <c:manualLayout>
                  <c:x val="0"/>
                  <c:y val="-1.52671755725191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59-42A7-80CD-A06E6FCD1EF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9.2999999999999999E-2</c:v>
                </c:pt>
                <c:pt idx="1">
                  <c:v>-6.2E-2</c:v>
                </c:pt>
                <c:pt idx="2">
                  <c:v>0.43099999999999999</c:v>
                </c:pt>
                <c:pt idx="3">
                  <c:v>0.192</c:v>
                </c:pt>
                <c:pt idx="4">
                  <c:v>-2E-3</c:v>
                </c:pt>
                <c:pt idx="5">
                  <c:v>0.154</c:v>
                </c:pt>
              </c:numCache>
            </c:numRef>
          </c:val>
          <c:extLst>
            <c:ext xmlns:c16="http://schemas.microsoft.com/office/drawing/2014/chart" uri="{C3380CC4-5D6E-409C-BE32-E72D297353CC}">
              <c16:uniqueId val="{00000009-C759-42A7-80CD-A06E6FCD1EFC}"/>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67147856517936E-2"/>
          <c:y val="0.12078703703703704"/>
          <c:w val="0.90787729658792649"/>
          <c:h val="0.58754410906969967"/>
        </c:manualLayout>
      </c:layout>
      <c:lineChart>
        <c:grouping val="standard"/>
        <c:varyColors val="0"/>
        <c:ser>
          <c:idx val="0"/>
          <c:order val="0"/>
          <c:tx>
            <c:strRef>
              <c:f>Sheet4!$A$4</c:f>
              <c:strCache>
                <c:ptCount val="1"/>
                <c:pt idx="0">
                  <c:v>April compared to the previous month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7758719268153226E-2"/>
                  <c:y val="-2.22222222222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46-4B00-9F6F-03266A59AF98}"/>
                </c:ext>
              </c:extLst>
            </c:dLbl>
            <c:dLbl>
              <c:idx val="1"/>
              <c:layout>
                <c:manualLayout>
                  <c:x val="-6.1749571183533448E-2"/>
                  <c:y val="3.7037037037036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46-4B00-9F6F-03266A59AF98}"/>
                </c:ext>
              </c:extLst>
            </c:dLbl>
            <c:dLbl>
              <c:idx val="2"/>
              <c:layout>
                <c:manualLayout>
                  <c:x val="-3.5700870598276271E-2"/>
                  <c:y val="3.0718946343742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46-4B00-9F6F-03266A59AF98}"/>
                </c:ext>
              </c:extLst>
            </c:dLbl>
            <c:dLbl>
              <c:idx val="3"/>
              <c:layout>
                <c:manualLayout>
                  <c:x val="-4.1282645008853591E-2"/>
                  <c:y val="4.7930356664516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46-4B00-9F6F-03266A59AF98}"/>
                </c:ext>
              </c:extLst>
            </c:dLbl>
            <c:dLbl>
              <c:idx val="4"/>
              <c:layout>
                <c:manualLayout>
                  <c:x val="-3.430531732418525E-2"/>
                  <c:y val="7.4074074074073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46-4B00-9F6F-03266A59A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0.00</c:formatCode>
                <c:ptCount val="5"/>
                <c:pt idx="0">
                  <c:v>7.9999999999998295E-2</c:v>
                </c:pt>
                <c:pt idx="1">
                  <c:v>0.31000000000000227</c:v>
                </c:pt>
                <c:pt idx="2">
                  <c:v>-1.5400000000000063</c:v>
                </c:pt>
                <c:pt idx="3">
                  <c:v>-3.8300000000006662E-2</c:v>
                </c:pt>
                <c:pt idx="4">
                  <c:v>0.18439999999999657</c:v>
                </c:pt>
              </c:numCache>
            </c:numRef>
          </c:val>
          <c:smooth val="0"/>
          <c:extLst>
            <c:ext xmlns:c16="http://schemas.microsoft.com/office/drawing/2014/chart" uri="{C3380CC4-5D6E-409C-BE32-E72D297353CC}">
              <c16:uniqueId val="{00000005-A946-4B00-9F6F-03266A59AF98}"/>
            </c:ext>
          </c:extLst>
        </c:ser>
        <c:ser>
          <c:idx val="1"/>
          <c:order val="1"/>
          <c:tx>
            <c:strRef>
              <c:f>Sheet4!$A$5</c:f>
              <c:strCache>
                <c:ptCount val="1"/>
                <c:pt idx="0">
                  <c:v>Average of 4 months compared to the same period last year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5157232704402517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46-4B00-9F6F-03266A59AF98}"/>
                </c:ext>
              </c:extLst>
            </c:dLbl>
            <c:dLbl>
              <c:idx val="1"/>
              <c:layout>
                <c:manualLayout>
                  <c:x val="-5.0314465408805034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46-4B00-9F6F-03266A59AF98}"/>
                </c:ext>
              </c:extLst>
            </c:dLbl>
            <c:dLbl>
              <c:idx val="4"/>
              <c:layout>
                <c:manualLayout>
                  <c:x val="0"/>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46-4B00-9F6F-03266A59A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0.00</c:formatCode>
                <c:ptCount val="5"/>
                <c:pt idx="0">
                  <c:v>2.7999999999999972</c:v>
                </c:pt>
                <c:pt idx="1">
                  <c:v>2.7099999999999937</c:v>
                </c:pt>
                <c:pt idx="2">
                  <c:v>4.9000000000000057</c:v>
                </c:pt>
                <c:pt idx="3">
                  <c:v>0.88829081367954643</c:v>
                </c:pt>
                <c:pt idx="4">
                  <c:v>2.1023394748891064</c:v>
                </c:pt>
              </c:numCache>
            </c:numRef>
          </c:val>
          <c:smooth val="0"/>
          <c:extLst>
            <c:ext xmlns:c16="http://schemas.microsoft.com/office/drawing/2014/chart" uri="{C3380CC4-5D6E-409C-BE32-E72D297353CC}">
              <c16:uniqueId val="{00000009-A946-4B00-9F6F-03266A59AF98}"/>
            </c:ext>
          </c:extLst>
        </c:ser>
        <c:ser>
          <c:idx val="2"/>
          <c:order val="2"/>
          <c:tx>
            <c:strRef>
              <c:f>Sheet4!$A$6</c:f>
              <c:strCache>
                <c:ptCount val="1"/>
                <c:pt idx="0">
                  <c:v>April compared to December of the previous year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547169811320753E-2"/>
                  <c:y val="-2.5925925925925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46-4B00-9F6F-03266A59AF98}"/>
                </c:ext>
              </c:extLst>
            </c:dLbl>
            <c:dLbl>
              <c:idx val="1"/>
              <c:layout>
                <c:manualLayout>
                  <c:x val="-4.8027444253859304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46-4B00-9F6F-03266A59AF98}"/>
                </c:ext>
              </c:extLst>
            </c:dLbl>
            <c:dLbl>
              <c:idx val="2"/>
              <c:layout>
                <c:manualLayout>
                  <c:x val="-4.1166380789022301E-2"/>
                  <c:y val="-5.5555555555555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946-4B00-9F6F-03266A59AF98}"/>
                </c:ext>
              </c:extLst>
            </c:dLbl>
            <c:dLbl>
              <c:idx val="3"/>
              <c:layout>
                <c:manualLayout>
                  <c:x val="1.8296169239565466E-2"/>
                  <c:y val="-7.7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946-4B00-9F6F-03266A59AF98}"/>
                </c:ext>
              </c:extLst>
            </c:dLbl>
            <c:dLbl>
              <c:idx val="4"/>
              <c:layout>
                <c:manualLayout>
                  <c:x val="-1.3722126929674099E-2"/>
                  <c:y val="5.9259259259259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946-4B00-9F6F-03266A59A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0.00</c:formatCode>
                <c:ptCount val="5"/>
                <c:pt idx="0">
                  <c:v>1.0499999999999972</c:v>
                </c:pt>
                <c:pt idx="1">
                  <c:v>1</c:v>
                </c:pt>
                <c:pt idx="2">
                  <c:v>-1.2099999999999937</c:v>
                </c:pt>
                <c:pt idx="3">
                  <c:v>1.2707122162228188</c:v>
                </c:pt>
                <c:pt idx="4">
                  <c:v>2.093927060055222</c:v>
                </c:pt>
              </c:numCache>
            </c:numRef>
          </c:val>
          <c:smooth val="0"/>
          <c:extLst>
            <c:ext xmlns:c16="http://schemas.microsoft.com/office/drawing/2014/chart" uri="{C3380CC4-5D6E-409C-BE32-E72D297353CC}">
              <c16:uniqueId val="{0000000F-A946-4B00-9F6F-03266A59AF98}"/>
            </c:ext>
          </c:extLst>
        </c:ser>
        <c:ser>
          <c:idx val="3"/>
          <c:order val="3"/>
          <c:tx>
            <c:strRef>
              <c:f>Sheet4!$A$7</c:f>
              <c:strCache>
                <c:ptCount val="1"/>
                <c:pt idx="0">
                  <c:v>April compared to the same period last year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1166380789022301E-2"/>
                  <c:y val="3.3333333333333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946-4B00-9F6F-03266A59AF98}"/>
                </c:ext>
              </c:extLst>
            </c:dLbl>
            <c:dLbl>
              <c:idx val="1"/>
              <c:layout>
                <c:manualLayout>
                  <c:x val="-4.1166380789022301E-2"/>
                  <c:y val="5.185185185185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946-4B00-9F6F-03266A59AF98}"/>
                </c:ext>
              </c:extLst>
            </c:dLbl>
            <c:dLbl>
              <c:idx val="2"/>
              <c:layout>
                <c:manualLayout>
                  <c:x val="-3.8879359634076613E-2"/>
                  <c:y val="9.9999999999999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946-4B00-9F6F-03266A59AF98}"/>
                </c:ext>
              </c:extLst>
            </c:dLbl>
            <c:dLbl>
              <c:idx val="3"/>
              <c:layout>
                <c:manualLayout>
                  <c:x val="-4.1166380789022385E-2"/>
                  <c:y val="-8.888888888888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946-4B00-9F6F-03266A59AF98}"/>
                </c:ext>
              </c:extLst>
            </c:dLbl>
            <c:dLbl>
              <c:idx val="4"/>
              <c:layout>
                <c:manualLayout>
                  <c:x val="-2.9731275014293884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946-4B00-9F6F-03266A59A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c:v>2.75</c:v>
                </c:pt>
                <c:pt idx="1">
                  <c:v>2.9300000000000068</c:v>
                </c:pt>
                <c:pt idx="2">
                  <c:v>2.9300000000000068</c:v>
                </c:pt>
                <c:pt idx="3">
                  <c:v>2.7020135917351666</c:v>
                </c:pt>
                <c:pt idx="4">
                  <c:v>2.6379764651902207</c:v>
                </c:pt>
              </c:numCache>
            </c:numRef>
          </c:val>
          <c:smooth val="0"/>
          <c:extLst>
            <c:ext xmlns:c16="http://schemas.microsoft.com/office/drawing/2014/chart" uri="{C3380CC4-5D6E-409C-BE32-E72D297353CC}">
              <c16:uniqueId val="{00000015-A946-4B00-9F6F-03266A59AF98}"/>
            </c:ext>
          </c:extLst>
        </c:ser>
        <c:dLbls>
          <c:showLegendKey val="0"/>
          <c:showVal val="0"/>
          <c:showCatName val="0"/>
          <c:showSerName val="0"/>
          <c:showPercent val="0"/>
          <c:showBubbleSize val="0"/>
        </c:dLbls>
        <c:marker val="1"/>
        <c:smooth val="0"/>
        <c:axId val="2052750608"/>
        <c:axId val="2052751024"/>
      </c:lineChart>
      <c:catAx>
        <c:axId val="20527506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2751024"/>
        <c:crosses val="autoZero"/>
        <c:auto val="1"/>
        <c:lblAlgn val="ctr"/>
        <c:lblOffset val="100"/>
        <c:noMultiLvlLbl val="0"/>
      </c:catAx>
      <c:valAx>
        <c:axId val="2052751024"/>
        <c:scaling>
          <c:orientation val="minMax"/>
          <c:max val="5"/>
          <c:min val="-2.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750608"/>
        <c:crosses val="autoZero"/>
        <c:crossBetween val="between"/>
      </c:valAx>
      <c:spPr>
        <a:noFill/>
        <a:ln>
          <a:noFill/>
        </a:ln>
        <a:effectLst/>
      </c:spPr>
    </c:plotArea>
    <c:legend>
      <c:legendPos val="b"/>
      <c:layout>
        <c:manualLayout>
          <c:xMode val="edge"/>
          <c:yMode val="edge"/>
          <c:x val="7.1639567818877675E-2"/>
          <c:y val="0.83134913291924095"/>
          <c:w val="0.69905826042497643"/>
          <c:h val="0.16662836910380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7.png"/></Relationships>
</file>

<file path=word/drawings/drawing1.xml><?xml version="1.0" encoding="utf-8"?>
<c:userShapes xmlns:c="http://schemas.openxmlformats.org/drawingml/2006/chart">
  <cdr:relSizeAnchor xmlns:cdr="http://schemas.openxmlformats.org/drawingml/2006/chartDrawing">
    <cdr:from>
      <cdr:x>0</cdr:x>
      <cdr:y>0</cdr:y>
    </cdr:from>
    <cdr:to>
      <cdr:x>0.00533</cdr:x>
      <cdr:y>0.00889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0.66187</cdr:x>
      <cdr:y>0.06475</cdr:y>
    </cdr:from>
    <cdr:to>
      <cdr:x>0.7827</cdr:x>
      <cdr:y>0.15551</cdr:y>
    </cdr:to>
    <cdr:sp macro="" textlink="">
      <cdr:nvSpPr>
        <cdr:cNvPr id="8" name="Text Box 2"/>
        <cdr:cNvSpPr txBox="1">
          <a:spLocks xmlns:a="http://schemas.openxmlformats.org/drawingml/2006/main" noChangeArrowheads="1"/>
        </cdr:cNvSpPr>
      </cdr:nvSpPr>
      <cdr:spPr bwMode="auto">
        <a:xfrm xmlns:a="http://schemas.openxmlformats.org/drawingml/2006/main" flipH="1">
          <a:off x="3026085" y="186872"/>
          <a:ext cx="552435"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0.75684</cdr:x>
      <cdr:y>0.20335</cdr:y>
    </cdr:from>
    <cdr:to>
      <cdr:x>0.87282</cdr:x>
      <cdr:y>0.28884</cdr:y>
    </cdr:to>
    <cdr:sp macro="" textlink="">
      <cdr:nvSpPr>
        <cdr:cNvPr id="9" name="Text Box 2"/>
        <cdr:cNvSpPr txBox="1">
          <a:spLocks xmlns:a="http://schemas.openxmlformats.org/drawingml/2006/main" noChangeArrowheads="1"/>
        </cdr:cNvSpPr>
      </cdr:nvSpPr>
      <cdr:spPr bwMode="auto">
        <a:xfrm xmlns:a="http://schemas.openxmlformats.org/drawingml/2006/main" flipH="1">
          <a:off x="3460268" y="586894"/>
          <a:ext cx="530261"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12.25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0.74986</cdr:x>
      <cdr:y>0.32272</cdr:y>
    </cdr:from>
    <cdr:to>
      <cdr:x>0.86584</cdr:x>
      <cdr:y>0.40821</cdr:y>
    </cdr:to>
    <cdr:sp macro="" textlink="">
      <cdr:nvSpPr>
        <cdr:cNvPr id="10" name="Text Box 2"/>
        <cdr:cNvSpPr txBox="1">
          <a:spLocks xmlns:a="http://schemas.openxmlformats.org/drawingml/2006/main" noChangeArrowheads="1"/>
        </cdr:cNvSpPr>
      </cdr:nvSpPr>
      <cdr:spPr bwMode="auto">
        <a:xfrm xmlns:a="http://schemas.openxmlformats.org/drawingml/2006/main" flipH="1">
          <a:off x="3428382" y="931396"/>
          <a:ext cx="53026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12.33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0.86766</cdr:x>
      <cdr:y>0.4296</cdr:y>
    </cdr:from>
    <cdr:to>
      <cdr:x>0.98363</cdr:x>
      <cdr:y>0.51509</cdr:y>
    </cdr:to>
    <cdr:sp macro="" textlink="">
      <cdr:nvSpPr>
        <cdr:cNvPr id="11" name="Text Box 2"/>
        <cdr:cNvSpPr txBox="1">
          <a:spLocks xmlns:a="http://schemas.openxmlformats.org/drawingml/2006/main" noChangeArrowheads="1"/>
        </cdr:cNvSpPr>
      </cdr:nvSpPr>
      <cdr:spPr bwMode="auto">
        <a:xfrm xmlns:a="http://schemas.openxmlformats.org/drawingml/2006/main" flipH="1">
          <a:off x="3966942" y="1239858"/>
          <a:ext cx="53021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14.59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0.53033</cdr:x>
      <cdr:y>0.5544</cdr:y>
    </cdr:from>
    <cdr:to>
      <cdr:x>0.6463</cdr:x>
      <cdr:y>0.63989</cdr:y>
    </cdr:to>
    <cdr:sp macro="" textlink="">
      <cdr:nvSpPr>
        <cdr:cNvPr id="12" name="Text Box 2"/>
        <cdr:cNvSpPr txBox="1">
          <a:spLocks xmlns:a="http://schemas.openxmlformats.org/drawingml/2006/main" noChangeArrowheads="1"/>
        </cdr:cNvSpPr>
      </cdr:nvSpPr>
      <cdr:spPr bwMode="auto">
        <a:xfrm xmlns:a="http://schemas.openxmlformats.org/drawingml/2006/main" flipH="1">
          <a:off x="2424689" y="1600045"/>
          <a:ext cx="530214" cy="2467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8.06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0.42611</cdr:x>
      <cdr:y>0.06971</cdr:y>
    </cdr:from>
    <cdr:to>
      <cdr:x>0.57945</cdr:x>
      <cdr:y>0.15655</cdr:y>
    </cdr:to>
    <cdr:sp macro="" textlink="">
      <cdr:nvSpPr>
        <cdr:cNvPr id="2" name="Text Box 2"/>
        <cdr:cNvSpPr txBox="1">
          <a:spLocks xmlns:a="http://schemas.openxmlformats.org/drawingml/2006/main" noChangeArrowheads="1"/>
        </cdr:cNvSpPr>
      </cdr:nvSpPr>
      <cdr:spPr bwMode="auto">
        <a:xfrm xmlns:a="http://schemas.openxmlformats.org/drawingml/2006/main">
          <a:off x="1948160" y="142900"/>
          <a:ext cx="701070" cy="17800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GB"/>
            <a:t>Bill. USD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72CB9-C590-4C1A-973D-E2A93345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4294961862</TotalTime>
  <Pages>30</Pages>
  <Words>8619</Words>
  <Characters>49132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57636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tkth-nnvan</dc:creator>
  <cp:keywords/>
  <dc:description/>
  <cp:lastModifiedBy>Dương Thùy</cp:lastModifiedBy>
  <cp:revision>482</cp:revision>
  <cp:lastPrinted>2022-04-29T00:41:00Z</cp:lastPrinted>
  <dcterms:created xsi:type="dcterms:W3CDTF">2022-04-26T02:38:00Z</dcterms:created>
  <dcterms:modified xsi:type="dcterms:W3CDTF">2022-05-06T07:38:00Z</dcterms:modified>
</cp:coreProperties>
</file>