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word/theme/themeOverride4.xml" ContentType="application/vnd.openxmlformats-officedocument.themeOverride+xml"/>
  <Override PartName="/customXml/itemProps1.xml" ContentType="application/vnd.openxmlformats-officedocument.customXmlProperties+xml"/>
  <Override PartName="/word/theme/themeOverride2.xml" ContentType="application/vnd.openxmlformats-officedocument.themeOverride+xml"/>
  <Override PartName="/word/theme/themeOverride3.xml" ContentType="application/vnd.openxmlformats-officedocument.themeOverride+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footer2.xml" ContentType="application/vnd.openxmlformats-officedocument.wordprocessingml.footer+xml"/>
  <Override PartName="/word/footer3.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791" w:type="dxa"/>
        <w:jc w:val="center"/>
        <w:tblLayout w:type="fixed"/>
        <w:tblLook w:val="0000"/>
      </w:tblPr>
      <w:tblGrid>
        <w:gridCol w:w="5396"/>
        <w:gridCol w:w="5385"/>
        <w:gridCol w:w="10"/>
      </w:tblGrid>
      <w:tr w:rsidR="00C404AD" w:rsidRPr="00497687" w:rsidTr="00740A22">
        <w:trPr>
          <w:trHeight w:val="708"/>
          <w:jc w:val="center"/>
        </w:trPr>
        <w:tc>
          <w:tcPr>
            <w:tcW w:w="5396" w:type="dxa"/>
          </w:tcPr>
          <w:p w:rsidR="00C404AD" w:rsidRPr="00497687" w:rsidRDefault="00F34C86" w:rsidP="003427BF">
            <w:pPr>
              <w:pStyle w:val="BodyText3"/>
              <w:spacing w:line="276" w:lineRule="auto"/>
              <w:jc w:val="center"/>
              <w:rPr>
                <w:rFonts w:asciiTheme="majorHAnsi" w:hAnsiTheme="majorHAnsi" w:cstheme="majorHAnsi"/>
                <w:i w:val="0"/>
                <w:iCs/>
                <w:sz w:val="24"/>
                <w:szCs w:val="26"/>
                <w:lang w:val="en-GB"/>
              </w:rPr>
            </w:pPr>
            <w:bookmarkStart w:id="0" w:name="_Hlk45022207"/>
            <w:bookmarkStart w:id="1" w:name="_Hlk35690362"/>
            <w:bookmarkStart w:id="2" w:name="_Hlk35690343"/>
            <w:r w:rsidRPr="00497687">
              <w:rPr>
                <w:rFonts w:asciiTheme="majorHAnsi" w:hAnsiTheme="majorHAnsi" w:cstheme="majorHAnsi"/>
                <w:i w:val="0"/>
                <w:iCs/>
                <w:sz w:val="24"/>
                <w:szCs w:val="26"/>
                <w:lang w:val="en-GB"/>
              </w:rPr>
              <w:t>MINISTRY OF PLANNING AND INVESTMENT</w:t>
            </w:r>
          </w:p>
          <w:p w:rsidR="00C404AD" w:rsidRPr="00497687" w:rsidRDefault="00F34C86" w:rsidP="003427BF">
            <w:pPr>
              <w:pStyle w:val="BodyText3"/>
              <w:spacing w:line="276" w:lineRule="auto"/>
              <w:jc w:val="center"/>
              <w:rPr>
                <w:rFonts w:asciiTheme="majorHAnsi" w:hAnsiTheme="majorHAnsi" w:cstheme="majorHAnsi"/>
                <w:b/>
                <w:i w:val="0"/>
                <w:iCs/>
                <w:szCs w:val="26"/>
                <w:lang w:val="en-GB"/>
              </w:rPr>
            </w:pPr>
            <w:r w:rsidRPr="00497687">
              <w:rPr>
                <w:rFonts w:asciiTheme="majorHAnsi" w:hAnsiTheme="majorHAnsi" w:cstheme="majorHAnsi"/>
                <w:b/>
                <w:i w:val="0"/>
                <w:iCs/>
                <w:szCs w:val="26"/>
                <w:lang w:val="en-GB"/>
              </w:rPr>
              <w:t>GENERAL STATISTICS OFFICE</w:t>
            </w:r>
          </w:p>
          <w:p w:rsidR="00C404AD" w:rsidRPr="00497687" w:rsidRDefault="00552FA5" w:rsidP="003427BF">
            <w:pPr>
              <w:spacing w:line="276" w:lineRule="auto"/>
              <w:jc w:val="center"/>
              <w:rPr>
                <w:rFonts w:asciiTheme="majorHAnsi" w:hAnsiTheme="majorHAnsi" w:cstheme="majorHAnsi"/>
                <w:b w:val="0"/>
                <w:bCs/>
                <w:i w:val="0"/>
                <w:iCs/>
                <w:snapToGrid w:val="0"/>
                <w:sz w:val="26"/>
                <w:szCs w:val="26"/>
                <w:lang w:val="en-GB"/>
              </w:rPr>
            </w:pPr>
            <w:r>
              <w:rPr>
                <w:rFonts w:asciiTheme="majorHAnsi" w:hAnsiTheme="majorHAnsi" w:cstheme="majorHAnsi"/>
                <w:b w:val="0"/>
                <w:bCs/>
                <w:i w:val="0"/>
                <w:iCs/>
                <w:noProof/>
                <w:sz w:val="26"/>
                <w:szCs w:val="26"/>
              </w:rPr>
              <w:pict>
                <v:line id="Straight Connector 7" o:spid="_x0000_s1026" style="position:absolute;left:0;text-align:left;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53.25pt,3.45pt" to="136.1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" strokecolor="black [3213]">
                  <o:lock v:ext="edit" shapetype="f"/>
                </v:line>
              </w:pict>
            </w:r>
          </w:p>
        </w:tc>
        <w:tc>
          <w:tcPr>
            <w:tcW w:w="5395" w:type="dxa"/>
            <w:gridSpan w:val="2"/>
          </w:tcPr>
          <w:p w:rsidR="00C404AD" w:rsidRPr="00497687" w:rsidRDefault="00F34C86" w:rsidP="003427BF">
            <w:pPr>
              <w:pStyle w:val="Heading2"/>
              <w:spacing w:before="0" w:line="276" w:lineRule="auto"/>
              <w:jc w:val="center"/>
              <w:rPr>
                <w:rFonts w:asciiTheme="majorHAnsi" w:hAnsiTheme="majorHAnsi" w:cstheme="majorHAnsi"/>
                <w:i w:val="0"/>
                <w:iCs/>
                <w:color w:val="auto"/>
                <w:lang w:val="en-GB"/>
              </w:rPr>
            </w:pPr>
            <w:r w:rsidRPr="00497687">
              <w:rPr>
                <w:rFonts w:asciiTheme="majorHAnsi" w:hAnsiTheme="majorHAnsi" w:cstheme="majorHAnsi"/>
                <w:i w:val="0"/>
                <w:iCs/>
                <w:color w:val="auto"/>
                <w:lang w:val="en-GB"/>
              </w:rPr>
              <w:t>SOCIALIST REPUBLIC OF VIET NAM</w:t>
            </w:r>
          </w:p>
          <w:p w:rsidR="00C404AD" w:rsidRPr="00497687" w:rsidRDefault="00552FA5" w:rsidP="003427BF">
            <w:pPr>
              <w:pStyle w:val="Heading5"/>
              <w:spacing w:before="0" w:line="276" w:lineRule="auto"/>
              <w:jc w:val="center"/>
              <w:rPr>
                <w:rFonts w:cstheme="majorHAnsi"/>
                <w:b w:val="0"/>
                <w:bCs/>
                <w:i w:val="0"/>
                <w:iCs/>
                <w:color w:val="auto"/>
                <w:sz w:val="28"/>
                <w:szCs w:val="28"/>
                <w:lang w:val="en-GB"/>
              </w:rPr>
            </w:pPr>
            <w:r w:rsidRPr="00552FA5">
              <w:rPr>
                <w:rFonts w:cstheme="majorHAnsi"/>
                <w:i w:val="0"/>
                <w:iCs/>
                <w:noProof/>
                <w:color w:val="auto"/>
                <w:sz w:val="28"/>
                <w:szCs w:val="28"/>
              </w:rPr>
              <w:pict>
                <v:line id="Straight Connector 8" o:spid="_x0000_s1028" style="position:absolute;left:0;text-align:left;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7.6pt,19.15pt" to="226.05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" strokecolor="black [3213]">
                  <o:lock v:ext="edit" shapetype="f"/>
                </v:line>
              </w:pict>
            </w:r>
            <w:r w:rsidR="00F34C86" w:rsidRPr="00497687">
              <w:rPr>
                <w:rFonts w:cstheme="majorHAnsi"/>
                <w:i w:val="0"/>
                <w:iCs/>
                <w:color w:val="auto"/>
                <w:sz w:val="28"/>
                <w:szCs w:val="28"/>
                <w:lang w:val="en-GB"/>
              </w:rPr>
              <w:t xml:space="preserve">Independence - Freedom - Happiness </w:t>
            </w:r>
          </w:p>
        </w:tc>
      </w:tr>
      <w:tr w:rsidR="00C404AD" w:rsidRPr="00497687" w:rsidTr="00740A22">
        <w:trPr>
          <w:gridAfter w:val="1"/>
          <w:wAfter w:w="10" w:type="dxa"/>
          <w:trHeight w:val="454"/>
          <w:jc w:val="center"/>
        </w:trPr>
        <w:tc>
          <w:tcPr>
            <w:tcW w:w="5396" w:type="dxa"/>
          </w:tcPr>
          <w:p w:rsidR="00C404AD" w:rsidRPr="00497687" w:rsidRDefault="00C404AD" w:rsidP="003427BF">
            <w:pPr>
              <w:spacing w:line="276" w:lineRule="auto"/>
              <w:rPr>
                <w:rFonts w:asciiTheme="majorHAnsi" w:hAnsiTheme="majorHAnsi" w:cstheme="majorHAnsi"/>
                <w:b w:val="0"/>
                <w:i w:val="0"/>
                <w:iCs/>
                <w:snapToGrid w:val="0"/>
                <w:sz w:val="26"/>
                <w:szCs w:val="26"/>
                <w:lang w:val="en-GB"/>
              </w:rPr>
            </w:pPr>
          </w:p>
        </w:tc>
        <w:tc>
          <w:tcPr>
            <w:tcW w:w="5385" w:type="dxa"/>
          </w:tcPr>
          <w:p w:rsidR="00C404AD" w:rsidRPr="00497687" w:rsidRDefault="00F34C86" w:rsidP="003427BF">
            <w:pPr>
              <w:pStyle w:val="Heading4"/>
              <w:spacing w:before="0" w:line="276" w:lineRule="auto"/>
              <w:jc w:val="center"/>
              <w:rPr>
                <w:rFonts w:cstheme="majorHAnsi"/>
                <w:i/>
                <w:snapToGrid w:val="0"/>
                <w:color w:val="auto"/>
                <w:sz w:val="28"/>
                <w:szCs w:val="28"/>
                <w:lang w:val="en-GB"/>
              </w:rPr>
            </w:pPr>
            <w:r w:rsidRPr="00497687">
              <w:rPr>
                <w:rFonts w:cstheme="majorHAnsi"/>
                <w:i/>
                <w:color w:val="auto"/>
                <w:sz w:val="28"/>
                <w:szCs w:val="28"/>
                <w:lang w:val="en-GB"/>
              </w:rPr>
              <w:t xml:space="preserve">Ha Noi, </w:t>
            </w:r>
            <w:r w:rsidR="007B339C" w:rsidRPr="00497687">
              <w:rPr>
                <w:rFonts w:cstheme="majorHAnsi"/>
                <w:i/>
                <w:color w:val="auto"/>
                <w:sz w:val="28"/>
                <w:szCs w:val="28"/>
                <w:lang w:val="en-GB"/>
              </w:rPr>
              <w:t xml:space="preserve">dated </w:t>
            </w:r>
            <w:r w:rsidR="00057EFC" w:rsidRPr="00497687">
              <w:rPr>
                <w:rFonts w:cstheme="majorHAnsi"/>
                <w:i/>
                <w:color w:val="auto"/>
                <w:sz w:val="28"/>
                <w:szCs w:val="28"/>
                <w:lang w:val="en-GB"/>
              </w:rPr>
              <w:t>6</w:t>
            </w:r>
            <w:r w:rsidR="007B339C" w:rsidRPr="00497687">
              <w:rPr>
                <w:rFonts w:cstheme="majorHAnsi"/>
                <w:i/>
                <w:color w:val="auto"/>
                <w:sz w:val="28"/>
                <w:szCs w:val="28"/>
                <w:lang w:val="en-GB"/>
              </w:rPr>
              <w:t xml:space="preserve"> </w:t>
            </w:r>
            <w:r w:rsidR="00057EFC" w:rsidRPr="00497687">
              <w:rPr>
                <w:rFonts w:cstheme="majorHAnsi"/>
                <w:i/>
                <w:color w:val="auto"/>
                <w:sz w:val="28"/>
                <w:szCs w:val="28"/>
                <w:lang w:val="en-GB"/>
              </w:rPr>
              <w:t>July</w:t>
            </w:r>
            <w:r w:rsidRPr="00497687">
              <w:rPr>
                <w:rFonts w:cstheme="majorHAnsi"/>
                <w:i/>
                <w:color w:val="auto"/>
                <w:sz w:val="28"/>
                <w:szCs w:val="28"/>
                <w:lang w:val="en-GB"/>
              </w:rPr>
              <w:t xml:space="preserve"> </w:t>
            </w:r>
            <w:r w:rsidR="00C404AD" w:rsidRPr="00497687">
              <w:rPr>
                <w:rFonts w:cstheme="majorHAnsi"/>
                <w:i/>
                <w:color w:val="auto"/>
                <w:sz w:val="28"/>
                <w:szCs w:val="28"/>
                <w:lang w:val="en-GB"/>
              </w:rPr>
              <w:t>202</w:t>
            </w:r>
            <w:r w:rsidR="003E7E47" w:rsidRPr="00497687">
              <w:rPr>
                <w:rFonts w:cstheme="majorHAnsi"/>
                <w:i/>
                <w:color w:val="auto"/>
                <w:sz w:val="28"/>
                <w:szCs w:val="28"/>
                <w:lang w:val="en-GB"/>
              </w:rPr>
              <w:t>2</w:t>
            </w:r>
          </w:p>
        </w:tc>
      </w:tr>
    </w:tbl>
    <w:bookmarkEnd w:id="0"/>
    <w:p w:rsidR="00C404AD" w:rsidRPr="00497687" w:rsidRDefault="001722D5" w:rsidP="003427BF">
      <w:pPr>
        <w:spacing w:before="120" w:line="276" w:lineRule="auto"/>
        <w:jc w:val="center"/>
        <w:rPr>
          <w:rFonts w:asciiTheme="majorHAnsi" w:hAnsiTheme="majorHAnsi" w:cstheme="majorHAnsi"/>
          <w:b w:val="0"/>
          <w:i w:val="0"/>
          <w:sz w:val="28"/>
          <w:szCs w:val="28"/>
          <w:lang w:val="en-GB"/>
        </w:rPr>
      </w:pPr>
      <w:r w:rsidRPr="00497687">
        <w:rPr>
          <w:rFonts w:asciiTheme="majorHAnsi" w:hAnsiTheme="majorHAnsi" w:cstheme="majorHAnsi"/>
          <w:i w:val="0"/>
          <w:sz w:val="28"/>
          <w:szCs w:val="28"/>
          <w:lang w:val="en-GB"/>
        </w:rPr>
        <w:t xml:space="preserve">REPORT </w:t>
      </w:r>
      <w:r w:rsidR="007737FF" w:rsidRPr="00497687">
        <w:rPr>
          <w:rFonts w:asciiTheme="majorHAnsi" w:hAnsiTheme="majorHAnsi" w:cstheme="majorHAnsi"/>
          <w:i w:val="0"/>
          <w:sz w:val="28"/>
          <w:szCs w:val="28"/>
          <w:lang w:val="en-GB"/>
        </w:rPr>
        <w:t>ON THE</w:t>
      </w:r>
      <w:r w:rsidR="00740A22" w:rsidRPr="00497687">
        <w:rPr>
          <w:rFonts w:asciiTheme="majorHAnsi" w:hAnsiTheme="majorHAnsi" w:cstheme="majorHAnsi"/>
          <w:i w:val="0"/>
          <w:spacing w:val="-8"/>
          <w:sz w:val="28"/>
          <w:szCs w:val="28"/>
          <w:lang w:val="en-GB"/>
        </w:rPr>
        <w:t xml:space="preserve"> </w:t>
      </w:r>
      <w:r w:rsidR="00D939E2" w:rsidRPr="00497687">
        <w:rPr>
          <w:rFonts w:asciiTheme="majorHAnsi" w:hAnsiTheme="majorHAnsi" w:cstheme="majorHAnsi"/>
          <w:i w:val="0"/>
          <w:spacing w:val="-8"/>
          <w:sz w:val="28"/>
          <w:szCs w:val="28"/>
          <w:lang w:val="en-GB"/>
        </w:rPr>
        <w:t xml:space="preserve">POST-PANDEMIC RECOVERY OF EMPLOYMENT AND </w:t>
      </w:r>
      <w:r w:rsidR="002E218D" w:rsidRPr="00497687">
        <w:rPr>
          <w:rFonts w:asciiTheme="majorHAnsi" w:hAnsiTheme="majorHAnsi" w:cstheme="majorHAnsi"/>
          <w:i w:val="0"/>
          <w:spacing w:val="-8"/>
          <w:sz w:val="28"/>
          <w:szCs w:val="28"/>
          <w:lang w:val="en-GB"/>
        </w:rPr>
        <w:t xml:space="preserve">LABOUR </w:t>
      </w:r>
      <w:r w:rsidR="00740A22" w:rsidRPr="00497687">
        <w:rPr>
          <w:rFonts w:asciiTheme="majorHAnsi" w:hAnsiTheme="majorHAnsi" w:cstheme="majorHAnsi"/>
          <w:i w:val="0"/>
          <w:spacing w:val="-8"/>
          <w:sz w:val="28"/>
          <w:szCs w:val="28"/>
          <w:lang w:val="en-GB"/>
        </w:rPr>
        <w:t>MARKET IN SECOND QUARTER OF 2022</w:t>
      </w:r>
      <w:r w:rsidR="00463FE2" w:rsidRPr="00497687">
        <w:rPr>
          <w:rStyle w:val="FootnoteReference"/>
          <w:rFonts w:asciiTheme="majorHAnsi" w:hAnsiTheme="majorHAnsi" w:cstheme="majorHAnsi"/>
          <w:i w:val="0"/>
          <w:spacing w:val="-8"/>
          <w:sz w:val="28"/>
          <w:szCs w:val="28"/>
          <w:lang w:val="en-GB"/>
        </w:rPr>
        <w:footnoteReference w:id="1"/>
      </w:r>
    </w:p>
    <w:p w:rsidR="00C404AD" w:rsidRPr="00497687" w:rsidRDefault="00552FA5" w:rsidP="003427BF">
      <w:pPr>
        <w:spacing w:line="276" w:lineRule="auto"/>
        <w:jc w:val="center"/>
        <w:rPr>
          <w:rFonts w:asciiTheme="majorHAnsi" w:hAnsiTheme="majorHAnsi" w:cstheme="majorHAnsi"/>
          <w:i w:val="0"/>
          <w:sz w:val="28"/>
          <w:szCs w:val="28"/>
          <w:lang w:val="en-GB"/>
        </w:rPr>
      </w:pPr>
      <w:r>
        <w:rPr>
          <w:rFonts w:asciiTheme="majorHAnsi" w:hAnsiTheme="majorHAnsi" w:cstheme="majorHAnsi"/>
          <w:i w:val="0"/>
          <w:noProof/>
          <w:sz w:val="28"/>
          <w:szCs w:val="28"/>
        </w:rPr>
        <w:pict>
          <v:shapetype id="_x0000_t32" coordsize="21600,21600" o:spt="32" o:oned="t" path="m,l21600,21600e" filled="f">
            <v:path arrowok="t" fillok="f" o:connecttype="none"/>
            <o:lock v:ext="edit" shapetype="t"/>
          </v:shapetype>
          <v:shape id="AutoShape 3" o:spid="_x0000_s1027" type="#_x0000_t32" style="position:absolute;left:0;text-align:left;margin-left:177.15pt;margin-top:1.75pt;width:102pt;height:0;z-index:2516664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yN+HwIAADwEAAAOAAAAZHJzL2Uyb0RvYy54bWysU02P2jAQvVfqf7B8h3xso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"/>
        </w:pict>
      </w:r>
    </w:p>
    <w:p w:rsidR="00526B72" w:rsidRPr="00497687" w:rsidRDefault="00463FE2" w:rsidP="003427BF">
      <w:pPr>
        <w:overflowPunct w:val="0"/>
        <w:autoSpaceDE w:val="0"/>
        <w:autoSpaceDN w:val="0"/>
        <w:adjustRightInd w:val="0"/>
        <w:spacing w:before="120" w:line="276" w:lineRule="auto"/>
        <w:ind w:firstLine="709"/>
        <w:jc w:val="both"/>
        <w:rPr>
          <w:rFonts w:asciiTheme="majorHAnsi" w:eastAsia="Calibri" w:hAnsiTheme="majorHAnsi" w:cstheme="majorHAnsi"/>
          <w:i w:val="0"/>
          <w:sz w:val="28"/>
          <w:szCs w:val="28"/>
          <w:lang w:val="en-GB"/>
        </w:rPr>
      </w:pPr>
      <w:bookmarkStart w:id="3" w:name="OLE_LINK19"/>
      <w:bookmarkStart w:id="4" w:name="OLE_LINK20"/>
      <w:bookmarkEnd w:id="1"/>
      <w:bookmarkEnd w:id="2"/>
      <w:r w:rsidRPr="00497687">
        <w:rPr>
          <w:rFonts w:asciiTheme="majorHAnsi" w:eastAsia="Calibri" w:hAnsiTheme="majorHAnsi" w:cstheme="majorHAnsi"/>
          <w:i w:val="0"/>
          <w:iCs/>
          <w:sz w:val="28"/>
          <w:szCs w:val="28"/>
          <w:lang w:val="en-GB"/>
        </w:rPr>
        <w:t xml:space="preserve">1. </w:t>
      </w:r>
      <w:r w:rsidR="001722D5" w:rsidRPr="00497687">
        <w:rPr>
          <w:rFonts w:asciiTheme="majorHAnsi" w:eastAsia="Calibri" w:hAnsiTheme="majorHAnsi" w:cstheme="majorHAnsi"/>
          <w:i w:val="0"/>
          <w:iCs/>
          <w:sz w:val="28"/>
          <w:szCs w:val="28"/>
          <w:lang w:val="en-GB"/>
        </w:rPr>
        <w:t xml:space="preserve">Overall </w:t>
      </w:r>
      <w:r w:rsidR="00FD40DA" w:rsidRPr="00497687">
        <w:rPr>
          <w:rFonts w:asciiTheme="majorHAnsi" w:eastAsia="Calibri" w:hAnsiTheme="majorHAnsi" w:cstheme="majorHAnsi"/>
          <w:i w:val="0"/>
          <w:iCs/>
          <w:sz w:val="28"/>
          <w:szCs w:val="28"/>
          <w:lang w:val="en-GB"/>
        </w:rPr>
        <w:t>Context</w:t>
      </w:r>
    </w:p>
    <w:bookmarkEnd w:id="3"/>
    <w:bookmarkEnd w:id="4"/>
    <w:p w:rsidR="00526B72" w:rsidRPr="00497687" w:rsidRDefault="00D939E2" w:rsidP="003427BF">
      <w:pPr>
        <w:spacing w:before="120" w:line="276" w:lineRule="auto"/>
        <w:ind w:firstLine="709"/>
        <w:jc w:val="both"/>
        <w:rPr>
          <w:rFonts w:asciiTheme="majorHAnsi" w:eastAsia="Calibri" w:hAnsiTheme="majorHAnsi" w:cstheme="majorHAnsi"/>
          <w:b w:val="0"/>
          <w:i w:val="0"/>
          <w:iCs/>
          <w:spacing w:val="-2"/>
          <w:sz w:val="28"/>
          <w:szCs w:val="28"/>
          <w:lang w:val="en-GB"/>
        </w:rPr>
      </w:pPr>
      <w:r w:rsidRPr="00497687">
        <w:rPr>
          <w:rFonts w:asciiTheme="majorHAnsi" w:eastAsia="Calibri" w:hAnsiTheme="majorHAnsi" w:cstheme="majorHAnsi"/>
          <w:b w:val="0"/>
          <w:i w:val="0"/>
          <w:iCs/>
          <w:spacing w:val="-2"/>
          <w:sz w:val="28"/>
          <w:szCs w:val="28"/>
          <w:lang w:val="en-GB"/>
        </w:rPr>
        <w:t xml:space="preserve">In </w:t>
      </w:r>
      <w:r w:rsidR="00234506" w:rsidRPr="00497687">
        <w:rPr>
          <w:rFonts w:asciiTheme="majorHAnsi" w:eastAsia="Calibri" w:hAnsiTheme="majorHAnsi" w:cstheme="majorHAnsi"/>
          <w:b w:val="0"/>
          <w:i w:val="0"/>
          <w:iCs/>
          <w:spacing w:val="-2"/>
          <w:sz w:val="28"/>
          <w:szCs w:val="28"/>
          <w:lang w:val="en-GB"/>
        </w:rPr>
        <w:t>the June 2022 Global Economic Outlook report, the World Bank stated that after more than two years of the pandemic, along with the effects from the conflict between Russia and Ukraine, global economic activity has decreased drastically</w:t>
      </w:r>
      <w:r w:rsidR="001722D5" w:rsidRPr="00497687">
        <w:rPr>
          <w:rFonts w:asciiTheme="majorHAnsi" w:eastAsia="Calibri" w:hAnsiTheme="majorHAnsi" w:cstheme="majorHAnsi"/>
          <w:b w:val="0"/>
          <w:i w:val="0"/>
          <w:iCs/>
          <w:spacing w:val="-2"/>
          <w:sz w:val="28"/>
          <w:szCs w:val="28"/>
          <w:lang w:val="en-GB"/>
        </w:rPr>
        <w:t xml:space="preserve">, with the global growth </w:t>
      </w:r>
      <w:r w:rsidR="00234506" w:rsidRPr="00497687">
        <w:rPr>
          <w:rFonts w:asciiTheme="majorHAnsi" w:eastAsia="Calibri" w:hAnsiTheme="majorHAnsi" w:cstheme="majorHAnsi"/>
          <w:b w:val="0"/>
          <w:i w:val="0"/>
          <w:iCs/>
          <w:spacing w:val="-2"/>
          <w:sz w:val="28"/>
          <w:szCs w:val="28"/>
          <w:lang w:val="en-GB"/>
        </w:rPr>
        <w:t>expected to reach only 2.9</w:t>
      </w:r>
      <w:r w:rsidR="001722D5" w:rsidRPr="00497687">
        <w:rPr>
          <w:rFonts w:asciiTheme="majorHAnsi" w:eastAsia="Calibri" w:hAnsiTheme="majorHAnsi" w:cstheme="majorHAnsi"/>
          <w:b w:val="0"/>
          <w:i w:val="0"/>
          <w:iCs/>
          <w:spacing w:val="-2"/>
          <w:sz w:val="28"/>
          <w:szCs w:val="28"/>
          <w:lang w:val="en-GB"/>
        </w:rPr>
        <w:t xml:space="preserve"> per cent </w:t>
      </w:r>
      <w:r w:rsidR="00234506" w:rsidRPr="00497687">
        <w:rPr>
          <w:rFonts w:asciiTheme="majorHAnsi" w:eastAsia="Calibri" w:hAnsiTheme="majorHAnsi" w:cstheme="majorHAnsi"/>
          <w:b w:val="0"/>
          <w:i w:val="0"/>
          <w:iCs/>
          <w:spacing w:val="-2"/>
          <w:sz w:val="28"/>
          <w:szCs w:val="28"/>
          <w:lang w:val="en-GB"/>
        </w:rPr>
        <w:t xml:space="preserve">in 2022, down 1.2 percentage points compared to the forecast made in January 2022. Economic activity in advanced economies has been held back by rising energy prices, </w:t>
      </w:r>
      <w:r w:rsidR="008C4EBB" w:rsidRPr="00497687">
        <w:rPr>
          <w:rFonts w:asciiTheme="majorHAnsi" w:eastAsia="Calibri" w:hAnsiTheme="majorHAnsi" w:cstheme="majorHAnsi"/>
          <w:b w:val="0"/>
          <w:i w:val="0"/>
          <w:iCs/>
          <w:spacing w:val="-2"/>
          <w:sz w:val="28"/>
          <w:szCs w:val="28"/>
          <w:lang w:val="en-GB"/>
        </w:rPr>
        <w:t>unfavourable</w:t>
      </w:r>
      <w:r w:rsidR="00234506" w:rsidRPr="00497687">
        <w:rPr>
          <w:rFonts w:asciiTheme="majorHAnsi" w:eastAsia="Calibri" w:hAnsiTheme="majorHAnsi" w:cstheme="majorHAnsi"/>
          <w:b w:val="0"/>
          <w:i w:val="0"/>
          <w:iCs/>
          <w:spacing w:val="-2"/>
          <w:sz w:val="28"/>
          <w:szCs w:val="28"/>
          <w:lang w:val="en-GB"/>
        </w:rPr>
        <w:t xml:space="preserve"> financial conditions and supply chain disruptions. As a result, growth in advanced economies is forecast to nearly halve, from 5.1</w:t>
      </w:r>
      <w:r w:rsidR="001722D5" w:rsidRPr="00497687">
        <w:rPr>
          <w:rFonts w:asciiTheme="majorHAnsi" w:eastAsia="Calibri" w:hAnsiTheme="majorHAnsi" w:cstheme="majorHAnsi"/>
          <w:b w:val="0"/>
          <w:i w:val="0"/>
          <w:iCs/>
          <w:spacing w:val="-2"/>
          <w:sz w:val="28"/>
          <w:szCs w:val="28"/>
          <w:lang w:val="en-GB"/>
        </w:rPr>
        <w:t xml:space="preserve"> per cent </w:t>
      </w:r>
      <w:r w:rsidR="00234506" w:rsidRPr="00497687">
        <w:rPr>
          <w:rFonts w:asciiTheme="majorHAnsi" w:eastAsia="Calibri" w:hAnsiTheme="majorHAnsi" w:cstheme="majorHAnsi"/>
          <w:b w:val="0"/>
          <w:i w:val="0"/>
          <w:iCs/>
          <w:spacing w:val="-2"/>
          <w:sz w:val="28"/>
          <w:szCs w:val="28"/>
          <w:lang w:val="en-GB"/>
        </w:rPr>
        <w:t>in 2021 to 2.6</w:t>
      </w:r>
      <w:r w:rsidR="001722D5" w:rsidRPr="00497687">
        <w:rPr>
          <w:rFonts w:asciiTheme="majorHAnsi" w:eastAsia="Calibri" w:hAnsiTheme="majorHAnsi" w:cstheme="majorHAnsi"/>
          <w:b w:val="0"/>
          <w:i w:val="0"/>
          <w:iCs/>
          <w:spacing w:val="-2"/>
          <w:sz w:val="28"/>
          <w:szCs w:val="28"/>
          <w:lang w:val="en-GB"/>
        </w:rPr>
        <w:t xml:space="preserve"> per cent </w:t>
      </w:r>
      <w:r w:rsidR="00234506" w:rsidRPr="00497687">
        <w:rPr>
          <w:rFonts w:asciiTheme="majorHAnsi" w:eastAsia="Calibri" w:hAnsiTheme="majorHAnsi" w:cstheme="majorHAnsi"/>
          <w:b w:val="0"/>
          <w:i w:val="0"/>
          <w:iCs/>
          <w:spacing w:val="-2"/>
          <w:sz w:val="28"/>
          <w:szCs w:val="28"/>
          <w:lang w:val="en-GB"/>
        </w:rPr>
        <w:t xml:space="preserve">in 2022, 1.2 percentage points lower than forecast in January 2022. </w:t>
      </w:r>
      <w:r w:rsidR="00713EE6">
        <w:rPr>
          <w:rFonts w:asciiTheme="majorHAnsi" w:eastAsia="Calibri" w:hAnsiTheme="majorHAnsi" w:cstheme="majorHAnsi"/>
          <w:b w:val="0"/>
          <w:i w:val="0"/>
          <w:iCs/>
          <w:spacing w:val="-2"/>
          <w:sz w:val="28"/>
          <w:szCs w:val="28"/>
          <w:lang w:val="en-GB"/>
        </w:rPr>
        <w:t>Economic g</w:t>
      </w:r>
      <w:r w:rsidR="00234506" w:rsidRPr="00497687">
        <w:rPr>
          <w:rFonts w:asciiTheme="majorHAnsi" w:eastAsia="Calibri" w:hAnsiTheme="majorHAnsi" w:cstheme="majorHAnsi"/>
          <w:b w:val="0"/>
          <w:i w:val="0"/>
          <w:iCs/>
          <w:spacing w:val="-2"/>
          <w:sz w:val="28"/>
          <w:szCs w:val="28"/>
          <w:lang w:val="en-GB"/>
        </w:rPr>
        <w:t>rowth in developing and emerging economies is also forecast to halve this year, from 6.6</w:t>
      </w:r>
      <w:r w:rsidR="001722D5" w:rsidRPr="00497687">
        <w:rPr>
          <w:rFonts w:asciiTheme="majorHAnsi" w:eastAsia="Calibri" w:hAnsiTheme="majorHAnsi" w:cstheme="majorHAnsi"/>
          <w:b w:val="0"/>
          <w:i w:val="0"/>
          <w:iCs/>
          <w:spacing w:val="-2"/>
          <w:sz w:val="28"/>
          <w:szCs w:val="28"/>
          <w:lang w:val="en-GB"/>
        </w:rPr>
        <w:t xml:space="preserve"> per cent </w:t>
      </w:r>
      <w:r w:rsidR="00234506" w:rsidRPr="00497687">
        <w:rPr>
          <w:rFonts w:asciiTheme="majorHAnsi" w:eastAsia="Calibri" w:hAnsiTheme="majorHAnsi" w:cstheme="majorHAnsi"/>
          <w:b w:val="0"/>
          <w:i w:val="0"/>
          <w:iCs/>
          <w:spacing w:val="-2"/>
          <w:sz w:val="28"/>
          <w:szCs w:val="28"/>
          <w:lang w:val="en-GB"/>
        </w:rPr>
        <w:t>in 2021 to 3.4</w:t>
      </w:r>
      <w:r w:rsidR="001722D5" w:rsidRPr="00497687">
        <w:rPr>
          <w:rFonts w:asciiTheme="majorHAnsi" w:eastAsia="Calibri" w:hAnsiTheme="majorHAnsi" w:cstheme="majorHAnsi"/>
          <w:b w:val="0"/>
          <w:i w:val="0"/>
          <w:iCs/>
          <w:spacing w:val="-2"/>
          <w:sz w:val="28"/>
          <w:szCs w:val="28"/>
          <w:lang w:val="en-GB"/>
        </w:rPr>
        <w:t xml:space="preserve"> per cent </w:t>
      </w:r>
      <w:r w:rsidR="00234506" w:rsidRPr="00497687">
        <w:rPr>
          <w:rFonts w:asciiTheme="majorHAnsi" w:eastAsia="Calibri" w:hAnsiTheme="majorHAnsi" w:cstheme="majorHAnsi"/>
          <w:b w:val="0"/>
          <w:i w:val="0"/>
          <w:iCs/>
          <w:spacing w:val="-2"/>
          <w:sz w:val="28"/>
          <w:szCs w:val="28"/>
          <w:lang w:val="en-GB"/>
        </w:rPr>
        <w:t>in 2022, 1.2 percentage points lower than forecast in January 2022</w:t>
      </w:r>
      <w:r w:rsidR="00526B72" w:rsidRPr="00497687">
        <w:rPr>
          <w:rFonts w:asciiTheme="majorHAnsi" w:eastAsia="Calibri" w:hAnsiTheme="majorHAnsi" w:cstheme="majorHAnsi"/>
          <w:b w:val="0"/>
          <w:i w:val="0"/>
          <w:iCs/>
          <w:spacing w:val="-2"/>
          <w:sz w:val="28"/>
          <w:szCs w:val="28"/>
          <w:lang w:val="en-GB"/>
        </w:rPr>
        <w:t xml:space="preserve">. </w:t>
      </w:r>
    </w:p>
    <w:p w:rsidR="00526B72" w:rsidRPr="00497687" w:rsidRDefault="00D939E2" w:rsidP="003427BF">
      <w:pPr>
        <w:overflowPunct w:val="0"/>
        <w:autoSpaceDE w:val="0"/>
        <w:autoSpaceDN w:val="0"/>
        <w:adjustRightInd w:val="0"/>
        <w:spacing w:before="120" w:line="276" w:lineRule="auto"/>
        <w:ind w:firstLine="709"/>
        <w:jc w:val="both"/>
        <w:rPr>
          <w:rFonts w:asciiTheme="majorHAnsi" w:eastAsia="Calibri" w:hAnsiTheme="majorHAnsi" w:cstheme="majorHAnsi"/>
          <w:b w:val="0"/>
          <w:i w:val="0"/>
          <w:iCs/>
          <w:sz w:val="28"/>
          <w:szCs w:val="28"/>
          <w:lang w:val="en-GB"/>
        </w:rPr>
      </w:pPr>
      <w:r w:rsidRPr="00497687">
        <w:rPr>
          <w:rFonts w:asciiTheme="majorHAnsi" w:eastAsia="Calibri" w:hAnsiTheme="majorHAnsi" w:cstheme="majorHAnsi"/>
          <w:b w:val="0"/>
          <w:i w:val="0"/>
          <w:iCs/>
          <w:sz w:val="28"/>
          <w:szCs w:val="28"/>
          <w:lang w:val="en-GB"/>
        </w:rPr>
        <w:t xml:space="preserve">When it comes to </w:t>
      </w:r>
      <w:r w:rsidR="00497687">
        <w:rPr>
          <w:rFonts w:asciiTheme="majorHAnsi" w:eastAsia="Calibri" w:hAnsiTheme="majorHAnsi" w:cstheme="majorHAnsi"/>
          <w:b w:val="0"/>
          <w:i w:val="0"/>
          <w:iCs/>
          <w:sz w:val="28"/>
          <w:szCs w:val="28"/>
          <w:lang w:val="en-GB"/>
        </w:rPr>
        <w:t xml:space="preserve">labour </w:t>
      </w:r>
      <w:r w:rsidRPr="00497687">
        <w:rPr>
          <w:rFonts w:asciiTheme="majorHAnsi" w:eastAsia="Calibri" w:hAnsiTheme="majorHAnsi" w:cstheme="majorHAnsi"/>
          <w:b w:val="0"/>
          <w:i w:val="0"/>
          <w:iCs/>
          <w:sz w:val="28"/>
          <w:szCs w:val="28"/>
          <w:lang w:val="en-GB"/>
        </w:rPr>
        <w:t>and employment, according to the latest report of the International Labour Organization (ILO),</w:t>
      </w:r>
      <w:r w:rsidRPr="00497687">
        <w:rPr>
          <w:rStyle w:val="FootnoteReference"/>
          <w:rFonts w:asciiTheme="majorHAnsi" w:eastAsia="Calibri" w:hAnsiTheme="majorHAnsi" w:cstheme="majorHAnsi"/>
          <w:b w:val="0"/>
          <w:i w:val="0"/>
          <w:iCs/>
          <w:sz w:val="28"/>
          <w:szCs w:val="28"/>
          <w:lang w:val="en-GB"/>
        </w:rPr>
        <w:footnoteReference w:id="2"/>
      </w:r>
      <w:r w:rsidRPr="00497687">
        <w:rPr>
          <w:rFonts w:asciiTheme="majorHAnsi" w:eastAsia="Calibri" w:hAnsiTheme="majorHAnsi" w:cstheme="majorHAnsi"/>
          <w:b w:val="0"/>
          <w:i w:val="0"/>
          <w:iCs/>
          <w:sz w:val="28"/>
          <w:szCs w:val="28"/>
          <w:lang w:val="en-GB"/>
        </w:rPr>
        <w:t xml:space="preserve"> the recovery of the global </w:t>
      </w:r>
      <w:r w:rsidR="00497687">
        <w:rPr>
          <w:rFonts w:asciiTheme="majorHAnsi" w:eastAsia="Calibri" w:hAnsiTheme="majorHAnsi" w:cstheme="majorHAnsi"/>
          <w:b w:val="0"/>
          <w:i w:val="0"/>
          <w:iCs/>
          <w:sz w:val="28"/>
          <w:szCs w:val="28"/>
          <w:lang w:val="en-GB"/>
        </w:rPr>
        <w:t xml:space="preserve">labour </w:t>
      </w:r>
      <w:r w:rsidRPr="00497687">
        <w:rPr>
          <w:rFonts w:asciiTheme="majorHAnsi" w:eastAsia="Calibri" w:hAnsiTheme="majorHAnsi" w:cstheme="majorHAnsi"/>
          <w:b w:val="0"/>
          <w:i w:val="0"/>
          <w:iCs/>
          <w:sz w:val="28"/>
          <w:szCs w:val="28"/>
          <w:lang w:val="en-GB"/>
        </w:rPr>
        <w:t>market is being threatened by the ongoing crises that influence each other and increase inequality. Following the remarkable achievements in the fourth quarter of 2021, number of hours worked in the world has deteriorated in the first quarter of 2022 and remains 3.8 per cent below the level of the fourth quarter of 2019, equivalent to a deficit of 112 million full-time jobs</w:t>
      </w:r>
      <w:r w:rsidR="00DD4376" w:rsidRPr="00497687">
        <w:rPr>
          <w:rFonts w:asciiTheme="majorHAnsi" w:eastAsia="Calibri" w:hAnsiTheme="majorHAnsi" w:cstheme="majorHAnsi"/>
          <w:b w:val="0"/>
          <w:i w:val="0"/>
          <w:iCs/>
          <w:sz w:val="28"/>
          <w:szCs w:val="28"/>
          <w:lang w:val="en-GB"/>
        </w:rPr>
        <w:t xml:space="preserve">. </w:t>
      </w:r>
      <w:r w:rsidR="00E57A90" w:rsidRPr="00497687">
        <w:rPr>
          <w:rFonts w:asciiTheme="majorHAnsi" w:eastAsia="Calibri" w:hAnsiTheme="majorHAnsi" w:cstheme="majorHAnsi"/>
          <w:b w:val="0"/>
          <w:i w:val="0"/>
          <w:iCs/>
          <w:sz w:val="28"/>
          <w:szCs w:val="28"/>
          <w:lang w:val="en-GB"/>
        </w:rPr>
        <w:t>The ILO</w:t>
      </w:r>
      <w:r w:rsidR="00F622A3">
        <w:rPr>
          <w:rFonts w:asciiTheme="majorHAnsi" w:eastAsia="Calibri" w:hAnsiTheme="majorHAnsi" w:cstheme="majorHAnsi"/>
          <w:b w:val="0"/>
          <w:i w:val="0"/>
          <w:iCs/>
          <w:sz w:val="28"/>
          <w:szCs w:val="28"/>
          <w:lang w:val="en-GB"/>
        </w:rPr>
        <w:t>’</w:t>
      </w:r>
      <w:r w:rsidR="00E57A90" w:rsidRPr="00497687">
        <w:rPr>
          <w:rFonts w:asciiTheme="majorHAnsi" w:eastAsia="Calibri" w:hAnsiTheme="majorHAnsi" w:cstheme="majorHAnsi"/>
          <w:b w:val="0"/>
          <w:i w:val="0"/>
          <w:iCs/>
          <w:sz w:val="28"/>
          <w:szCs w:val="28"/>
          <w:lang w:val="en-GB"/>
        </w:rPr>
        <w:t>s latest projection for the second quarter of 2022 shows that the level of hou</w:t>
      </w:r>
      <w:r w:rsidR="001722D5" w:rsidRPr="00497687">
        <w:rPr>
          <w:rFonts w:asciiTheme="majorHAnsi" w:eastAsia="Calibri" w:hAnsiTheme="majorHAnsi" w:cstheme="majorHAnsi"/>
          <w:b w:val="0"/>
          <w:i w:val="0"/>
          <w:iCs/>
          <w:sz w:val="28"/>
          <w:szCs w:val="28"/>
          <w:lang w:val="en-GB"/>
        </w:rPr>
        <w:t>rs worked is expected to be 4.2 per cent</w:t>
      </w:r>
      <w:r w:rsidR="00E57A90" w:rsidRPr="00497687">
        <w:rPr>
          <w:rFonts w:asciiTheme="majorHAnsi" w:eastAsia="Calibri" w:hAnsiTheme="majorHAnsi" w:cstheme="majorHAnsi"/>
          <w:b w:val="0"/>
          <w:i w:val="0"/>
          <w:iCs/>
          <w:sz w:val="28"/>
          <w:szCs w:val="28"/>
          <w:lang w:val="en-GB"/>
        </w:rPr>
        <w:t xml:space="preserve"> below the pre-pandemic level, which is equivalent to 123 million full-time jobs.</w:t>
      </w:r>
    </w:p>
    <w:p w:rsidR="005D2ABC" w:rsidRPr="00497687" w:rsidRDefault="0059619C" w:rsidP="003427BF">
      <w:pPr>
        <w:overflowPunct w:val="0"/>
        <w:autoSpaceDE w:val="0"/>
        <w:autoSpaceDN w:val="0"/>
        <w:adjustRightInd w:val="0"/>
        <w:spacing w:line="276" w:lineRule="auto"/>
        <w:ind w:firstLine="709"/>
        <w:jc w:val="both"/>
        <w:rPr>
          <w:rFonts w:asciiTheme="majorHAnsi" w:eastAsia="Calibri" w:hAnsiTheme="majorHAnsi" w:cstheme="majorHAnsi"/>
          <w:b w:val="0"/>
          <w:i w:val="0"/>
          <w:iCs/>
          <w:spacing w:val="-2"/>
          <w:sz w:val="28"/>
          <w:szCs w:val="28"/>
          <w:lang w:val="en-GB"/>
        </w:rPr>
      </w:pPr>
      <w:r w:rsidRPr="00497687">
        <w:rPr>
          <w:rFonts w:asciiTheme="majorHAnsi" w:eastAsia="Calibri" w:hAnsiTheme="majorHAnsi" w:cstheme="majorHAnsi"/>
          <w:b w:val="0"/>
          <w:i w:val="0"/>
          <w:iCs/>
          <w:spacing w:val="-2"/>
          <w:sz w:val="28"/>
          <w:szCs w:val="28"/>
          <w:lang w:val="en-GB"/>
        </w:rPr>
        <w:t>In the national</w:t>
      </w:r>
      <w:r w:rsidR="00713EE6">
        <w:rPr>
          <w:rFonts w:asciiTheme="majorHAnsi" w:eastAsia="Calibri" w:hAnsiTheme="majorHAnsi" w:cstheme="majorHAnsi"/>
          <w:b w:val="0"/>
          <w:i w:val="0"/>
          <w:iCs/>
          <w:spacing w:val="-2"/>
          <w:sz w:val="28"/>
          <w:szCs w:val="28"/>
          <w:lang w:val="en-GB"/>
        </w:rPr>
        <w:t xml:space="preserve"> context, the flexible responses</w:t>
      </w:r>
      <w:r w:rsidRPr="00497687">
        <w:rPr>
          <w:rFonts w:asciiTheme="majorHAnsi" w:eastAsia="Calibri" w:hAnsiTheme="majorHAnsi" w:cstheme="majorHAnsi"/>
          <w:b w:val="0"/>
          <w:i w:val="0"/>
          <w:iCs/>
          <w:spacing w:val="-2"/>
          <w:sz w:val="28"/>
          <w:szCs w:val="28"/>
          <w:lang w:val="en-GB"/>
        </w:rPr>
        <w:t xml:space="preserve"> together with constant efforts by the entire political system, from central to local, to recover and develop the economy, have helped bring the Covid-19 pandemic under control, </w:t>
      </w:r>
      <w:r w:rsidR="00713EE6">
        <w:rPr>
          <w:rFonts w:asciiTheme="majorHAnsi" w:eastAsia="Calibri" w:hAnsiTheme="majorHAnsi" w:cstheme="majorHAnsi"/>
          <w:b w:val="0"/>
          <w:i w:val="0"/>
          <w:iCs/>
          <w:spacing w:val="-2"/>
          <w:sz w:val="28"/>
          <w:szCs w:val="28"/>
          <w:lang w:val="en-GB"/>
        </w:rPr>
        <w:t xml:space="preserve">with </w:t>
      </w:r>
      <w:r w:rsidRPr="00497687">
        <w:rPr>
          <w:rFonts w:asciiTheme="majorHAnsi" w:eastAsia="Calibri" w:hAnsiTheme="majorHAnsi" w:cstheme="majorHAnsi"/>
          <w:b w:val="0"/>
          <w:i w:val="0"/>
          <w:iCs/>
          <w:spacing w:val="-2"/>
          <w:sz w:val="28"/>
          <w:szCs w:val="28"/>
          <w:lang w:val="en-GB"/>
        </w:rPr>
        <w:t>most of production and business operations return</w:t>
      </w:r>
      <w:r w:rsidR="00713EE6">
        <w:rPr>
          <w:rFonts w:asciiTheme="majorHAnsi" w:eastAsia="Calibri" w:hAnsiTheme="majorHAnsi" w:cstheme="majorHAnsi"/>
          <w:b w:val="0"/>
          <w:i w:val="0"/>
          <w:iCs/>
          <w:spacing w:val="-2"/>
          <w:sz w:val="28"/>
          <w:szCs w:val="28"/>
          <w:lang w:val="en-GB"/>
        </w:rPr>
        <w:t>ing</w:t>
      </w:r>
      <w:r w:rsidRPr="00497687">
        <w:rPr>
          <w:rFonts w:asciiTheme="majorHAnsi" w:eastAsia="Calibri" w:hAnsiTheme="majorHAnsi" w:cstheme="majorHAnsi"/>
          <w:b w:val="0"/>
          <w:i w:val="0"/>
          <w:iCs/>
          <w:spacing w:val="-2"/>
          <w:sz w:val="28"/>
          <w:szCs w:val="28"/>
          <w:lang w:val="en-GB"/>
        </w:rPr>
        <w:t xml:space="preserve"> to the normal state as before the Covid-19 pandemic. The 31</w:t>
      </w:r>
      <w:r w:rsidRPr="00713EE6">
        <w:rPr>
          <w:rFonts w:asciiTheme="majorHAnsi" w:eastAsia="Calibri" w:hAnsiTheme="majorHAnsi" w:cstheme="majorHAnsi"/>
          <w:b w:val="0"/>
          <w:i w:val="0"/>
          <w:iCs/>
          <w:spacing w:val="-2"/>
          <w:sz w:val="28"/>
          <w:szCs w:val="28"/>
          <w:vertAlign w:val="superscript"/>
          <w:lang w:val="en-GB"/>
        </w:rPr>
        <w:t>st</w:t>
      </w:r>
      <w:r w:rsidR="00713EE6">
        <w:rPr>
          <w:rFonts w:asciiTheme="majorHAnsi" w:eastAsia="Calibri" w:hAnsiTheme="majorHAnsi" w:cstheme="majorHAnsi"/>
          <w:b w:val="0"/>
          <w:i w:val="0"/>
          <w:iCs/>
          <w:spacing w:val="-2"/>
          <w:sz w:val="28"/>
          <w:szCs w:val="28"/>
          <w:lang w:val="en-GB"/>
        </w:rPr>
        <w:t xml:space="preserve"> </w:t>
      </w:r>
      <w:r w:rsidRPr="00497687">
        <w:rPr>
          <w:rFonts w:asciiTheme="majorHAnsi" w:eastAsia="Calibri" w:hAnsiTheme="majorHAnsi" w:cstheme="majorHAnsi"/>
          <w:b w:val="0"/>
          <w:i w:val="0"/>
          <w:iCs/>
          <w:spacing w:val="-2"/>
          <w:sz w:val="28"/>
          <w:szCs w:val="28"/>
          <w:lang w:val="en-GB"/>
        </w:rPr>
        <w:t xml:space="preserve">SEA Games event was successfully held in </w:t>
      </w:r>
      <w:r w:rsidR="00713EE6">
        <w:rPr>
          <w:rFonts w:asciiTheme="majorHAnsi" w:eastAsia="Calibri" w:hAnsiTheme="majorHAnsi" w:cstheme="majorHAnsi"/>
          <w:b w:val="0"/>
          <w:i w:val="0"/>
          <w:iCs/>
          <w:spacing w:val="-2"/>
          <w:sz w:val="28"/>
          <w:szCs w:val="28"/>
          <w:lang w:val="en-GB"/>
        </w:rPr>
        <w:t xml:space="preserve">Viet </w:t>
      </w:r>
      <w:r w:rsidR="00713EE6">
        <w:rPr>
          <w:rFonts w:asciiTheme="majorHAnsi" w:eastAsia="Calibri" w:hAnsiTheme="majorHAnsi" w:cstheme="majorHAnsi"/>
          <w:b w:val="0"/>
          <w:i w:val="0"/>
          <w:iCs/>
          <w:spacing w:val="-2"/>
          <w:sz w:val="28"/>
          <w:szCs w:val="28"/>
          <w:lang w:val="en-GB"/>
        </w:rPr>
        <w:lastRenderedPageBreak/>
        <w:t>N</w:t>
      </w:r>
      <w:r w:rsidRPr="00497687">
        <w:rPr>
          <w:rFonts w:asciiTheme="majorHAnsi" w:eastAsia="Calibri" w:hAnsiTheme="majorHAnsi" w:cstheme="majorHAnsi"/>
          <w:b w:val="0"/>
          <w:i w:val="0"/>
          <w:iCs/>
          <w:spacing w:val="-2"/>
          <w:sz w:val="28"/>
          <w:szCs w:val="28"/>
          <w:lang w:val="en-GB"/>
        </w:rPr>
        <w:t>am, thus helping promote more vibrant trade, tourism and cultural activities as a spur for economic recovery. The socio-economic situation in the second quarter of 2022 in</w:t>
      </w:r>
      <w:r w:rsidR="00713EE6">
        <w:rPr>
          <w:rFonts w:asciiTheme="majorHAnsi" w:eastAsia="Calibri" w:hAnsiTheme="majorHAnsi" w:cstheme="majorHAnsi"/>
          <w:b w:val="0"/>
          <w:i w:val="0"/>
          <w:iCs/>
          <w:spacing w:val="-2"/>
          <w:sz w:val="28"/>
          <w:szCs w:val="28"/>
          <w:lang w:val="en-GB"/>
        </w:rPr>
        <w:t xml:space="preserve"> Viet Nam has prospered. Gross D</w:t>
      </w:r>
      <w:r w:rsidRPr="00497687">
        <w:rPr>
          <w:rFonts w:asciiTheme="majorHAnsi" w:eastAsia="Calibri" w:hAnsiTheme="majorHAnsi" w:cstheme="majorHAnsi"/>
          <w:b w:val="0"/>
          <w:i w:val="0"/>
          <w:iCs/>
          <w:spacing w:val="-2"/>
          <w:sz w:val="28"/>
          <w:szCs w:val="28"/>
          <w:lang w:val="en-GB"/>
        </w:rPr>
        <w:t xml:space="preserve">omestic </w:t>
      </w:r>
      <w:r w:rsidR="00713EE6">
        <w:rPr>
          <w:rFonts w:asciiTheme="majorHAnsi" w:eastAsia="Calibri" w:hAnsiTheme="majorHAnsi" w:cstheme="majorHAnsi"/>
          <w:b w:val="0"/>
          <w:i w:val="0"/>
          <w:iCs/>
          <w:spacing w:val="-2"/>
          <w:sz w:val="28"/>
          <w:szCs w:val="28"/>
          <w:lang w:val="en-GB"/>
        </w:rPr>
        <w:t>P</w:t>
      </w:r>
      <w:r w:rsidRPr="00497687">
        <w:rPr>
          <w:rFonts w:asciiTheme="majorHAnsi" w:eastAsia="Calibri" w:hAnsiTheme="majorHAnsi" w:cstheme="majorHAnsi"/>
          <w:b w:val="0"/>
          <w:i w:val="0"/>
          <w:iCs/>
          <w:spacing w:val="-2"/>
          <w:sz w:val="28"/>
          <w:szCs w:val="28"/>
          <w:lang w:val="en-GB"/>
        </w:rPr>
        <w:t>roduct (GDP) in the second quarter of 2022 gr</w:t>
      </w:r>
      <w:r w:rsidR="00713EE6">
        <w:rPr>
          <w:rFonts w:asciiTheme="majorHAnsi" w:eastAsia="Calibri" w:hAnsiTheme="majorHAnsi" w:cstheme="majorHAnsi"/>
          <w:b w:val="0"/>
          <w:i w:val="0"/>
          <w:iCs/>
          <w:spacing w:val="-2"/>
          <w:sz w:val="28"/>
          <w:szCs w:val="28"/>
          <w:lang w:val="en-GB"/>
        </w:rPr>
        <w:t>e</w:t>
      </w:r>
      <w:r w:rsidRPr="00497687">
        <w:rPr>
          <w:rFonts w:asciiTheme="majorHAnsi" w:eastAsia="Calibri" w:hAnsiTheme="majorHAnsi" w:cstheme="majorHAnsi"/>
          <w:b w:val="0"/>
          <w:i w:val="0"/>
          <w:iCs/>
          <w:spacing w:val="-2"/>
          <w:sz w:val="28"/>
          <w:szCs w:val="28"/>
          <w:lang w:val="en-GB"/>
        </w:rPr>
        <w:t xml:space="preserve">w by </w:t>
      </w:r>
      <w:r w:rsidR="00713EE6">
        <w:rPr>
          <w:rFonts w:asciiTheme="majorHAnsi" w:eastAsia="Calibri" w:hAnsiTheme="majorHAnsi" w:cstheme="majorHAnsi"/>
          <w:b w:val="0"/>
          <w:i w:val="0"/>
          <w:iCs/>
          <w:spacing w:val="-2"/>
          <w:sz w:val="28"/>
          <w:szCs w:val="28"/>
          <w:lang w:val="en-GB"/>
        </w:rPr>
        <w:t xml:space="preserve">an estimated </w:t>
      </w:r>
      <w:r w:rsidRPr="00497687">
        <w:rPr>
          <w:rFonts w:asciiTheme="majorHAnsi" w:eastAsia="Calibri" w:hAnsiTheme="majorHAnsi" w:cstheme="majorHAnsi"/>
          <w:b w:val="0"/>
          <w:i w:val="0"/>
          <w:iCs/>
          <w:spacing w:val="-2"/>
          <w:sz w:val="28"/>
          <w:szCs w:val="28"/>
          <w:lang w:val="en-GB"/>
        </w:rPr>
        <w:t>7.72</w:t>
      </w:r>
      <w:r w:rsidR="00497687">
        <w:rPr>
          <w:rFonts w:asciiTheme="majorHAnsi" w:eastAsia="Calibri" w:hAnsiTheme="majorHAnsi" w:cstheme="majorHAnsi"/>
          <w:b w:val="0"/>
          <w:i w:val="0"/>
          <w:iCs/>
          <w:spacing w:val="-2"/>
          <w:sz w:val="28"/>
          <w:szCs w:val="28"/>
          <w:lang w:val="en-GB"/>
        </w:rPr>
        <w:t xml:space="preserve"> per cent </w:t>
      </w:r>
      <w:r w:rsidRPr="00497687">
        <w:rPr>
          <w:rFonts w:asciiTheme="majorHAnsi" w:eastAsia="Calibri" w:hAnsiTheme="majorHAnsi" w:cstheme="majorHAnsi"/>
          <w:b w:val="0"/>
          <w:i w:val="0"/>
          <w:iCs/>
          <w:spacing w:val="-2"/>
          <w:sz w:val="28"/>
          <w:szCs w:val="28"/>
          <w:lang w:val="en-GB"/>
        </w:rPr>
        <w:t xml:space="preserve">over the same period last year, higher than the growth rate of the second quarters in the 2011-2021 period. In particular, the </w:t>
      </w:r>
      <w:r w:rsidR="00713EE6" w:rsidRPr="00713EE6">
        <w:rPr>
          <w:rFonts w:asciiTheme="majorHAnsi" w:eastAsia="Calibri" w:hAnsiTheme="majorHAnsi" w:cstheme="majorHAnsi"/>
          <w:b w:val="0"/>
          <w:i w:val="0"/>
          <w:iCs/>
          <w:spacing w:val="-2"/>
          <w:sz w:val="28"/>
          <w:szCs w:val="28"/>
          <w:lang w:val="en-GB"/>
        </w:rPr>
        <w:t xml:space="preserve">agriculture, forestry and fishery (AFF) </w:t>
      </w:r>
      <w:r w:rsidRPr="00497687">
        <w:rPr>
          <w:rFonts w:asciiTheme="majorHAnsi" w:eastAsia="Calibri" w:hAnsiTheme="majorHAnsi" w:cstheme="majorHAnsi"/>
          <w:b w:val="0"/>
          <w:i w:val="0"/>
          <w:iCs/>
          <w:spacing w:val="-2"/>
          <w:sz w:val="28"/>
          <w:szCs w:val="28"/>
          <w:lang w:val="en-GB"/>
        </w:rPr>
        <w:t>sector increased by 3.02</w:t>
      </w:r>
      <w:r w:rsidR="00497687">
        <w:rPr>
          <w:rFonts w:asciiTheme="majorHAnsi" w:eastAsia="Calibri" w:hAnsiTheme="majorHAnsi" w:cstheme="majorHAnsi"/>
          <w:b w:val="0"/>
          <w:i w:val="0"/>
          <w:iCs/>
          <w:spacing w:val="-2"/>
          <w:sz w:val="28"/>
          <w:szCs w:val="28"/>
          <w:lang w:val="en-GB"/>
        </w:rPr>
        <w:t xml:space="preserve"> per cent,</w:t>
      </w:r>
      <w:r w:rsidRPr="00497687">
        <w:rPr>
          <w:rFonts w:asciiTheme="majorHAnsi" w:eastAsia="Calibri" w:hAnsiTheme="majorHAnsi" w:cstheme="majorHAnsi"/>
          <w:b w:val="0"/>
          <w:i w:val="0"/>
          <w:iCs/>
          <w:spacing w:val="-2"/>
          <w:sz w:val="28"/>
          <w:szCs w:val="28"/>
          <w:lang w:val="en-GB"/>
        </w:rPr>
        <w:t xml:space="preserve"> contributing 4.56</w:t>
      </w:r>
      <w:r w:rsidR="00497687">
        <w:rPr>
          <w:rFonts w:asciiTheme="majorHAnsi" w:eastAsia="Calibri" w:hAnsiTheme="majorHAnsi" w:cstheme="majorHAnsi"/>
          <w:b w:val="0"/>
          <w:i w:val="0"/>
          <w:iCs/>
          <w:spacing w:val="-2"/>
          <w:sz w:val="28"/>
          <w:szCs w:val="28"/>
          <w:lang w:val="en-GB"/>
        </w:rPr>
        <w:t xml:space="preserve"> per cent </w:t>
      </w:r>
      <w:r w:rsidRPr="00497687">
        <w:rPr>
          <w:rFonts w:asciiTheme="majorHAnsi" w:eastAsia="Calibri" w:hAnsiTheme="majorHAnsi" w:cstheme="majorHAnsi"/>
          <w:b w:val="0"/>
          <w:i w:val="0"/>
          <w:iCs/>
          <w:spacing w:val="-2"/>
          <w:sz w:val="28"/>
          <w:szCs w:val="28"/>
          <w:lang w:val="en-GB"/>
        </w:rPr>
        <w:t>to the increase in total added value of the whole economy; the industry and construction sector increased by 8.87</w:t>
      </w:r>
      <w:r w:rsidR="00497687">
        <w:rPr>
          <w:rFonts w:asciiTheme="majorHAnsi" w:eastAsia="Calibri" w:hAnsiTheme="majorHAnsi" w:cstheme="majorHAnsi"/>
          <w:b w:val="0"/>
          <w:i w:val="0"/>
          <w:iCs/>
          <w:spacing w:val="-2"/>
          <w:sz w:val="28"/>
          <w:szCs w:val="28"/>
          <w:lang w:val="en-GB"/>
        </w:rPr>
        <w:t xml:space="preserve"> per cent,</w:t>
      </w:r>
      <w:r w:rsidRPr="00497687">
        <w:rPr>
          <w:rFonts w:asciiTheme="majorHAnsi" w:eastAsia="Calibri" w:hAnsiTheme="majorHAnsi" w:cstheme="majorHAnsi"/>
          <w:b w:val="0"/>
          <w:i w:val="0"/>
          <w:iCs/>
          <w:spacing w:val="-2"/>
          <w:sz w:val="28"/>
          <w:szCs w:val="28"/>
          <w:lang w:val="en-GB"/>
        </w:rPr>
        <w:t xml:space="preserve"> contributing 46.85</w:t>
      </w:r>
      <w:r w:rsidR="00497687">
        <w:rPr>
          <w:rFonts w:asciiTheme="majorHAnsi" w:eastAsia="Calibri" w:hAnsiTheme="majorHAnsi" w:cstheme="majorHAnsi"/>
          <w:b w:val="0"/>
          <w:i w:val="0"/>
          <w:iCs/>
          <w:spacing w:val="-2"/>
          <w:sz w:val="28"/>
          <w:szCs w:val="28"/>
          <w:lang w:val="en-GB"/>
        </w:rPr>
        <w:t xml:space="preserve"> per cent;</w:t>
      </w:r>
      <w:r w:rsidRPr="00497687">
        <w:rPr>
          <w:rFonts w:asciiTheme="majorHAnsi" w:eastAsia="Calibri" w:hAnsiTheme="majorHAnsi" w:cstheme="majorHAnsi"/>
          <w:b w:val="0"/>
          <w:i w:val="0"/>
          <w:iCs/>
          <w:spacing w:val="-2"/>
          <w:sz w:val="28"/>
          <w:szCs w:val="28"/>
          <w:lang w:val="en-GB"/>
        </w:rPr>
        <w:t xml:space="preserve"> and the services sector increased by 8.56</w:t>
      </w:r>
      <w:r w:rsidR="00497687">
        <w:rPr>
          <w:rFonts w:asciiTheme="majorHAnsi" w:eastAsia="Calibri" w:hAnsiTheme="majorHAnsi" w:cstheme="majorHAnsi"/>
          <w:b w:val="0"/>
          <w:i w:val="0"/>
          <w:iCs/>
          <w:spacing w:val="-2"/>
          <w:sz w:val="28"/>
          <w:szCs w:val="28"/>
          <w:lang w:val="en-GB"/>
        </w:rPr>
        <w:t xml:space="preserve"> per cent,</w:t>
      </w:r>
      <w:r w:rsidRPr="00497687">
        <w:rPr>
          <w:rFonts w:asciiTheme="majorHAnsi" w:eastAsia="Calibri" w:hAnsiTheme="majorHAnsi" w:cstheme="majorHAnsi"/>
          <w:b w:val="0"/>
          <w:i w:val="0"/>
          <w:iCs/>
          <w:spacing w:val="-2"/>
          <w:sz w:val="28"/>
          <w:szCs w:val="28"/>
          <w:lang w:val="en-GB"/>
        </w:rPr>
        <w:t xml:space="preserve"> contributing 48.59</w:t>
      </w:r>
      <w:r w:rsidR="00497687">
        <w:rPr>
          <w:rFonts w:asciiTheme="majorHAnsi" w:eastAsia="Calibri" w:hAnsiTheme="majorHAnsi" w:cstheme="majorHAnsi"/>
          <w:b w:val="0"/>
          <w:i w:val="0"/>
          <w:iCs/>
          <w:spacing w:val="-2"/>
          <w:sz w:val="28"/>
          <w:szCs w:val="28"/>
          <w:lang w:val="en-GB"/>
        </w:rPr>
        <w:t xml:space="preserve"> per cent.</w:t>
      </w:r>
      <w:r w:rsidRPr="00497687">
        <w:rPr>
          <w:rFonts w:asciiTheme="majorHAnsi" w:eastAsia="Calibri" w:hAnsiTheme="majorHAnsi" w:cstheme="majorHAnsi"/>
          <w:b w:val="0"/>
          <w:i w:val="0"/>
          <w:iCs/>
          <w:spacing w:val="-2"/>
          <w:sz w:val="28"/>
          <w:szCs w:val="28"/>
          <w:lang w:val="en-GB"/>
        </w:rPr>
        <w:t xml:space="preserve"> Viet Nam</w:t>
      </w:r>
      <w:r w:rsidR="00F622A3">
        <w:rPr>
          <w:rFonts w:asciiTheme="majorHAnsi" w:eastAsia="Calibri" w:hAnsiTheme="majorHAnsi" w:cstheme="majorHAnsi"/>
          <w:b w:val="0"/>
          <w:i w:val="0"/>
          <w:iCs/>
          <w:spacing w:val="-2"/>
          <w:sz w:val="28"/>
          <w:szCs w:val="28"/>
          <w:lang w:val="en-GB"/>
        </w:rPr>
        <w:t>’</w:t>
      </w:r>
      <w:r w:rsidRPr="00497687">
        <w:rPr>
          <w:rFonts w:asciiTheme="majorHAnsi" w:eastAsia="Calibri" w:hAnsiTheme="majorHAnsi" w:cstheme="majorHAnsi"/>
          <w:b w:val="0"/>
          <w:i w:val="0"/>
          <w:iCs/>
          <w:spacing w:val="-2"/>
          <w:sz w:val="28"/>
          <w:szCs w:val="28"/>
          <w:lang w:val="en-GB"/>
        </w:rPr>
        <w:t xml:space="preserve">s </w:t>
      </w:r>
      <w:r w:rsidR="00497687">
        <w:rPr>
          <w:rFonts w:asciiTheme="majorHAnsi" w:eastAsia="Calibri" w:hAnsiTheme="majorHAnsi" w:cstheme="majorHAnsi"/>
          <w:b w:val="0"/>
          <w:i w:val="0"/>
          <w:iCs/>
          <w:spacing w:val="-2"/>
          <w:sz w:val="28"/>
          <w:szCs w:val="28"/>
          <w:lang w:val="en-GB"/>
        </w:rPr>
        <w:t xml:space="preserve">labour </w:t>
      </w:r>
      <w:r w:rsidRPr="00497687">
        <w:rPr>
          <w:rFonts w:asciiTheme="majorHAnsi" w:eastAsia="Calibri" w:hAnsiTheme="majorHAnsi" w:cstheme="majorHAnsi"/>
          <w:b w:val="0"/>
          <w:i w:val="0"/>
          <w:iCs/>
          <w:spacing w:val="-2"/>
          <w:sz w:val="28"/>
          <w:szCs w:val="28"/>
          <w:lang w:val="en-GB"/>
        </w:rPr>
        <w:t xml:space="preserve">market in the second quarter of 2022 continued to maintain its recovery momentum. Both the total </w:t>
      </w:r>
      <w:r w:rsidR="00497687">
        <w:rPr>
          <w:rFonts w:asciiTheme="majorHAnsi" w:eastAsia="Calibri" w:hAnsiTheme="majorHAnsi" w:cstheme="majorHAnsi"/>
          <w:b w:val="0"/>
          <w:i w:val="0"/>
          <w:iCs/>
          <w:spacing w:val="-2"/>
          <w:sz w:val="28"/>
          <w:szCs w:val="28"/>
          <w:lang w:val="en-GB"/>
        </w:rPr>
        <w:t xml:space="preserve">labour </w:t>
      </w:r>
      <w:r w:rsidRPr="00497687">
        <w:rPr>
          <w:rFonts w:asciiTheme="majorHAnsi" w:eastAsia="Calibri" w:hAnsiTheme="majorHAnsi" w:cstheme="majorHAnsi"/>
          <w:b w:val="0"/>
          <w:i w:val="0"/>
          <w:iCs/>
          <w:spacing w:val="-2"/>
          <w:sz w:val="28"/>
          <w:szCs w:val="28"/>
          <w:lang w:val="en-GB"/>
        </w:rPr>
        <w:t xml:space="preserve">force and employed workers in the second quarter of 2022 increased relative to the previous quarter and over the same period last year in all three economic sectors. The average monthly income of workers increased relative to the previous quarter and </w:t>
      </w:r>
      <w:r w:rsidR="00713EE6">
        <w:rPr>
          <w:rFonts w:asciiTheme="majorHAnsi" w:eastAsia="Calibri" w:hAnsiTheme="majorHAnsi" w:cstheme="majorHAnsi"/>
          <w:b w:val="0"/>
          <w:i w:val="0"/>
          <w:iCs/>
          <w:spacing w:val="-2"/>
          <w:sz w:val="28"/>
          <w:szCs w:val="28"/>
          <w:lang w:val="en-GB"/>
        </w:rPr>
        <w:t>over</w:t>
      </w:r>
      <w:r w:rsidRPr="00497687">
        <w:rPr>
          <w:rFonts w:asciiTheme="majorHAnsi" w:eastAsia="Calibri" w:hAnsiTheme="majorHAnsi" w:cstheme="majorHAnsi"/>
          <w:b w:val="0"/>
          <w:i w:val="0"/>
          <w:iCs/>
          <w:spacing w:val="-2"/>
          <w:sz w:val="28"/>
          <w:szCs w:val="28"/>
          <w:lang w:val="en-GB"/>
        </w:rPr>
        <w:t xml:space="preserve"> the same period last year. The statutory working-age unemployment and underemployment rates both decreased relative to the previous quarter and the same period last year.</w:t>
      </w:r>
    </w:p>
    <w:p w:rsidR="00526B72" w:rsidRPr="00470FE4" w:rsidRDefault="00463FE2" w:rsidP="003427BF">
      <w:pPr>
        <w:overflowPunct w:val="0"/>
        <w:autoSpaceDE w:val="0"/>
        <w:autoSpaceDN w:val="0"/>
        <w:adjustRightInd w:val="0"/>
        <w:spacing w:before="120" w:line="276" w:lineRule="auto"/>
        <w:ind w:firstLine="709"/>
        <w:jc w:val="both"/>
        <w:rPr>
          <w:rFonts w:asciiTheme="majorHAnsi" w:eastAsia="Calibri" w:hAnsiTheme="majorHAnsi" w:cstheme="majorHAnsi"/>
          <w:i w:val="0"/>
          <w:iCs/>
          <w:spacing w:val="-8"/>
          <w:sz w:val="28"/>
          <w:szCs w:val="28"/>
          <w:lang w:val="en-GB"/>
        </w:rPr>
      </w:pPr>
      <w:r w:rsidRPr="00470FE4">
        <w:rPr>
          <w:rFonts w:asciiTheme="majorHAnsi" w:eastAsia="Calibri" w:hAnsiTheme="majorHAnsi" w:cstheme="majorHAnsi"/>
          <w:i w:val="0"/>
          <w:iCs/>
          <w:spacing w:val="-8"/>
          <w:sz w:val="28"/>
          <w:szCs w:val="28"/>
          <w:lang w:val="en-GB"/>
        </w:rPr>
        <w:t xml:space="preserve">2. </w:t>
      </w:r>
      <w:r w:rsidR="004D6C44" w:rsidRPr="00470FE4">
        <w:rPr>
          <w:rFonts w:asciiTheme="majorHAnsi" w:eastAsia="Calibri" w:hAnsiTheme="majorHAnsi" w:cstheme="majorHAnsi"/>
          <w:i w:val="0"/>
          <w:iCs/>
          <w:spacing w:val="-8"/>
          <w:sz w:val="28"/>
          <w:szCs w:val="28"/>
          <w:lang w:val="en-GB"/>
        </w:rPr>
        <w:t xml:space="preserve">Impact of the Covid-19 pandemic on </w:t>
      </w:r>
      <w:r w:rsidR="008C4EBB" w:rsidRPr="00470FE4">
        <w:rPr>
          <w:rFonts w:asciiTheme="majorHAnsi" w:eastAsia="Calibri" w:hAnsiTheme="majorHAnsi" w:cstheme="majorHAnsi"/>
          <w:i w:val="0"/>
          <w:iCs/>
          <w:spacing w:val="-8"/>
          <w:sz w:val="28"/>
          <w:szCs w:val="28"/>
          <w:lang w:val="en-GB"/>
        </w:rPr>
        <w:t xml:space="preserve">labour </w:t>
      </w:r>
      <w:r w:rsidR="004D6C44" w:rsidRPr="00470FE4">
        <w:rPr>
          <w:rFonts w:asciiTheme="majorHAnsi" w:eastAsia="Calibri" w:hAnsiTheme="majorHAnsi" w:cstheme="majorHAnsi"/>
          <w:i w:val="0"/>
          <w:iCs/>
          <w:spacing w:val="-8"/>
          <w:sz w:val="28"/>
          <w:szCs w:val="28"/>
          <w:lang w:val="en-GB"/>
        </w:rPr>
        <w:t>and employment situation</w:t>
      </w:r>
    </w:p>
    <w:p w:rsidR="00526B72" w:rsidRPr="00497687" w:rsidRDefault="0059619C" w:rsidP="003427BF">
      <w:pPr>
        <w:spacing w:before="120" w:after="120" w:line="276" w:lineRule="auto"/>
        <w:ind w:firstLine="720"/>
        <w:jc w:val="both"/>
        <w:rPr>
          <w:rFonts w:asciiTheme="majorHAnsi" w:hAnsiTheme="majorHAnsi" w:cstheme="majorHAnsi"/>
          <w:b w:val="0"/>
          <w:i w:val="0"/>
          <w:spacing w:val="-8"/>
          <w:sz w:val="28"/>
          <w:szCs w:val="28"/>
          <w:lang w:val="en-GB"/>
        </w:rPr>
      </w:pPr>
      <w:r w:rsidRPr="00497687">
        <w:rPr>
          <w:rFonts w:asciiTheme="majorHAnsi" w:eastAsia="Calibri" w:hAnsiTheme="majorHAnsi" w:cstheme="majorHAnsi"/>
          <w:sz w:val="28"/>
          <w:szCs w:val="28"/>
          <w:lang w:val="en-GB"/>
        </w:rPr>
        <w:t xml:space="preserve">Efforts made </w:t>
      </w:r>
      <w:r w:rsidR="00713EE6">
        <w:rPr>
          <w:rFonts w:asciiTheme="majorHAnsi" w:eastAsia="Calibri" w:hAnsiTheme="majorHAnsi" w:cstheme="majorHAnsi"/>
          <w:sz w:val="28"/>
          <w:szCs w:val="28"/>
          <w:lang w:val="en-GB"/>
        </w:rPr>
        <w:t>to</w:t>
      </w:r>
      <w:r w:rsidRPr="00497687">
        <w:rPr>
          <w:rFonts w:asciiTheme="majorHAnsi" w:eastAsia="Calibri" w:hAnsiTheme="majorHAnsi" w:cstheme="majorHAnsi"/>
          <w:sz w:val="28"/>
          <w:szCs w:val="28"/>
          <w:lang w:val="en-GB"/>
        </w:rPr>
        <w:t xml:space="preserve"> i</w:t>
      </w:r>
      <w:r w:rsidR="004D6C44" w:rsidRPr="00497687">
        <w:rPr>
          <w:rFonts w:asciiTheme="majorHAnsi" w:eastAsia="Calibri" w:hAnsiTheme="majorHAnsi" w:cstheme="majorHAnsi"/>
          <w:sz w:val="28"/>
          <w:szCs w:val="28"/>
          <w:lang w:val="en-GB"/>
        </w:rPr>
        <w:t>mplement production, busin</w:t>
      </w:r>
      <w:r w:rsidRPr="00497687">
        <w:rPr>
          <w:rFonts w:asciiTheme="majorHAnsi" w:eastAsia="Calibri" w:hAnsiTheme="majorHAnsi" w:cstheme="majorHAnsi"/>
          <w:sz w:val="28"/>
          <w:szCs w:val="28"/>
          <w:lang w:val="en-GB"/>
        </w:rPr>
        <w:t>ess and social life activities, promptly</w:t>
      </w:r>
      <w:r w:rsidR="004D6C44" w:rsidRPr="00497687">
        <w:rPr>
          <w:rFonts w:asciiTheme="majorHAnsi" w:eastAsia="Calibri" w:hAnsiTheme="majorHAnsi" w:cstheme="majorHAnsi"/>
          <w:sz w:val="28"/>
          <w:szCs w:val="28"/>
          <w:lang w:val="en-GB"/>
        </w:rPr>
        <w:t xml:space="preserve"> address difficulties and challenges, and </w:t>
      </w:r>
      <w:r w:rsidRPr="00497687">
        <w:rPr>
          <w:rFonts w:asciiTheme="majorHAnsi" w:eastAsia="Calibri" w:hAnsiTheme="majorHAnsi" w:cstheme="majorHAnsi"/>
          <w:sz w:val="28"/>
          <w:szCs w:val="28"/>
          <w:lang w:val="en-GB"/>
        </w:rPr>
        <w:t>captur</w:t>
      </w:r>
      <w:r w:rsidR="00713EE6">
        <w:rPr>
          <w:rFonts w:asciiTheme="majorHAnsi" w:eastAsia="Calibri" w:hAnsiTheme="majorHAnsi" w:cstheme="majorHAnsi"/>
          <w:sz w:val="28"/>
          <w:szCs w:val="28"/>
          <w:lang w:val="en-GB"/>
        </w:rPr>
        <w:t xml:space="preserve">e </w:t>
      </w:r>
      <w:r w:rsidRPr="00497687">
        <w:rPr>
          <w:rFonts w:asciiTheme="majorHAnsi" w:eastAsia="Calibri" w:hAnsiTheme="majorHAnsi" w:cstheme="majorHAnsi"/>
          <w:sz w:val="28"/>
          <w:szCs w:val="28"/>
          <w:lang w:val="en-GB"/>
        </w:rPr>
        <w:t xml:space="preserve">available time to </w:t>
      </w:r>
      <w:r w:rsidR="004D6C44" w:rsidRPr="00497687">
        <w:rPr>
          <w:rFonts w:asciiTheme="majorHAnsi" w:eastAsia="Calibri" w:hAnsiTheme="majorHAnsi" w:cstheme="majorHAnsi"/>
          <w:sz w:val="28"/>
          <w:szCs w:val="28"/>
          <w:lang w:val="en-GB"/>
        </w:rPr>
        <w:t xml:space="preserve">accelerate </w:t>
      </w:r>
      <w:r w:rsidR="00713EE6">
        <w:rPr>
          <w:rFonts w:asciiTheme="majorHAnsi" w:eastAsia="Calibri" w:hAnsiTheme="majorHAnsi" w:cstheme="majorHAnsi"/>
          <w:sz w:val="28"/>
          <w:szCs w:val="28"/>
          <w:lang w:val="en-GB"/>
        </w:rPr>
        <w:t>the</w:t>
      </w:r>
      <w:r w:rsidR="004D6C44" w:rsidRPr="00497687">
        <w:rPr>
          <w:rFonts w:asciiTheme="majorHAnsi" w:eastAsia="Calibri" w:hAnsiTheme="majorHAnsi" w:cstheme="majorHAnsi"/>
          <w:sz w:val="28"/>
          <w:szCs w:val="28"/>
          <w:lang w:val="en-GB"/>
        </w:rPr>
        <w:t xml:space="preserve"> socio-economic recovery and development of the country have all brought a remarkable effect on the Vietnamese </w:t>
      </w:r>
      <w:r w:rsidR="008C4EBB" w:rsidRPr="00497687">
        <w:rPr>
          <w:rFonts w:asciiTheme="majorHAnsi" w:eastAsia="Calibri" w:hAnsiTheme="majorHAnsi" w:cstheme="majorHAnsi"/>
          <w:sz w:val="28"/>
          <w:szCs w:val="28"/>
          <w:lang w:val="en-GB"/>
        </w:rPr>
        <w:t xml:space="preserve">labour </w:t>
      </w:r>
      <w:r w:rsidR="004D6C44" w:rsidRPr="00497687">
        <w:rPr>
          <w:rFonts w:asciiTheme="majorHAnsi" w:eastAsia="Calibri" w:hAnsiTheme="majorHAnsi" w:cstheme="majorHAnsi"/>
          <w:sz w:val="28"/>
          <w:szCs w:val="28"/>
          <w:lang w:val="en-GB"/>
        </w:rPr>
        <w:t>market.</w:t>
      </w:r>
      <w:r w:rsidRPr="00497687">
        <w:rPr>
          <w:rFonts w:asciiTheme="majorHAnsi" w:eastAsia="Calibri" w:hAnsiTheme="majorHAnsi" w:cstheme="majorHAnsi"/>
          <w:sz w:val="28"/>
          <w:szCs w:val="28"/>
          <w:lang w:val="en-GB"/>
        </w:rPr>
        <w:t xml:space="preserve"> The labour force has grown rapidly. The number of workers negatively affected by the Covid-19 pandemic decreased significantly.</w:t>
      </w:r>
    </w:p>
    <w:p w:rsidR="00953B2C" w:rsidRDefault="00022B8F" w:rsidP="003427BF">
      <w:pPr>
        <w:spacing w:before="120" w:after="120" w:line="276" w:lineRule="auto"/>
        <w:ind w:firstLine="709"/>
        <w:jc w:val="both"/>
        <w:rPr>
          <w:rFonts w:asciiTheme="majorHAnsi" w:eastAsia="Calibri" w:hAnsiTheme="majorHAnsi" w:cstheme="majorHAnsi"/>
          <w:b w:val="0"/>
          <w:i w:val="0"/>
          <w:iCs/>
          <w:sz w:val="28"/>
          <w:szCs w:val="28"/>
          <w:lang w:val="en-GB"/>
        </w:rPr>
      </w:pPr>
      <w:r w:rsidRPr="00497687">
        <w:rPr>
          <w:rFonts w:asciiTheme="majorHAnsi" w:eastAsia="Calibri" w:hAnsiTheme="majorHAnsi" w:cstheme="majorHAnsi"/>
          <w:b w:val="0"/>
          <w:i w:val="0"/>
          <w:iCs/>
          <w:sz w:val="28"/>
          <w:szCs w:val="28"/>
          <w:lang w:val="en-GB"/>
        </w:rPr>
        <w:t xml:space="preserve">The </w:t>
      </w:r>
      <w:r w:rsidR="002E218D" w:rsidRPr="00497687">
        <w:rPr>
          <w:rFonts w:asciiTheme="majorHAnsi" w:eastAsia="Calibri" w:hAnsiTheme="majorHAnsi" w:cstheme="majorHAnsi"/>
          <w:b w:val="0"/>
          <w:i w:val="0"/>
          <w:iCs/>
          <w:sz w:val="28"/>
          <w:szCs w:val="28"/>
          <w:lang w:val="en-GB"/>
        </w:rPr>
        <w:t xml:space="preserve">labour </w:t>
      </w:r>
      <w:r w:rsidRPr="00497687">
        <w:rPr>
          <w:rFonts w:asciiTheme="majorHAnsi" w:eastAsia="Calibri" w:hAnsiTheme="majorHAnsi" w:cstheme="majorHAnsi"/>
          <w:b w:val="0"/>
          <w:i w:val="0"/>
          <w:iCs/>
          <w:sz w:val="28"/>
          <w:szCs w:val="28"/>
          <w:lang w:val="en-GB"/>
        </w:rPr>
        <w:t xml:space="preserve">force aged 15 and older in </w:t>
      </w:r>
      <w:r w:rsidR="008C4EBB" w:rsidRPr="00497687">
        <w:rPr>
          <w:rFonts w:asciiTheme="majorHAnsi" w:eastAsia="Calibri" w:hAnsiTheme="majorHAnsi" w:cstheme="majorHAnsi"/>
          <w:b w:val="0"/>
          <w:i w:val="0"/>
          <w:iCs/>
          <w:sz w:val="28"/>
          <w:szCs w:val="28"/>
          <w:lang w:val="en-GB"/>
        </w:rPr>
        <w:t xml:space="preserve">the second quarter of </w:t>
      </w:r>
      <w:r w:rsidRPr="00497687">
        <w:rPr>
          <w:rFonts w:asciiTheme="majorHAnsi" w:eastAsia="Calibri" w:hAnsiTheme="majorHAnsi" w:cstheme="majorHAnsi"/>
          <w:b w:val="0"/>
          <w:i w:val="0"/>
          <w:iCs/>
          <w:sz w:val="28"/>
          <w:szCs w:val="28"/>
          <w:lang w:val="en-GB"/>
        </w:rPr>
        <w:t xml:space="preserve">2022 was 51.6 million people, an increase of more than 0.4 million people compared to the previous quarter and an increase of nearly 0.6 million people </w:t>
      </w:r>
      <w:r w:rsidR="002E218D" w:rsidRPr="00497687">
        <w:rPr>
          <w:rFonts w:asciiTheme="majorHAnsi" w:eastAsia="Calibri" w:hAnsiTheme="majorHAnsi" w:cstheme="majorHAnsi"/>
          <w:b w:val="0"/>
          <w:i w:val="0"/>
          <w:iCs/>
          <w:sz w:val="28"/>
          <w:szCs w:val="28"/>
          <w:lang w:val="en-GB"/>
        </w:rPr>
        <w:t>on a year-on-year basis</w:t>
      </w:r>
      <w:r w:rsidRPr="00497687">
        <w:rPr>
          <w:rFonts w:asciiTheme="majorHAnsi" w:eastAsia="Calibri" w:hAnsiTheme="majorHAnsi" w:cstheme="majorHAnsi"/>
          <w:b w:val="0"/>
          <w:i w:val="0"/>
          <w:iCs/>
          <w:sz w:val="28"/>
          <w:szCs w:val="28"/>
          <w:lang w:val="en-GB"/>
        </w:rPr>
        <w:t xml:space="preserve">. Compared to the previous quarter, the rural and urban </w:t>
      </w:r>
      <w:r w:rsidR="002E218D" w:rsidRPr="00497687">
        <w:rPr>
          <w:rFonts w:asciiTheme="majorHAnsi" w:eastAsia="Calibri" w:hAnsiTheme="majorHAnsi" w:cstheme="majorHAnsi"/>
          <w:b w:val="0"/>
          <w:i w:val="0"/>
          <w:iCs/>
          <w:sz w:val="28"/>
          <w:szCs w:val="28"/>
          <w:lang w:val="en-GB"/>
        </w:rPr>
        <w:t xml:space="preserve">labour </w:t>
      </w:r>
      <w:r w:rsidRPr="00497687">
        <w:rPr>
          <w:rFonts w:asciiTheme="majorHAnsi" w:eastAsia="Calibri" w:hAnsiTheme="majorHAnsi" w:cstheme="majorHAnsi"/>
          <w:b w:val="0"/>
          <w:i w:val="0"/>
          <w:iCs/>
          <w:sz w:val="28"/>
          <w:szCs w:val="28"/>
          <w:lang w:val="en-GB"/>
        </w:rPr>
        <w:t xml:space="preserve">forces both increased (by 0.3 million people and 0.1 million people, respectively), the female </w:t>
      </w:r>
      <w:r w:rsidR="002E218D" w:rsidRPr="00497687">
        <w:rPr>
          <w:rFonts w:asciiTheme="majorHAnsi" w:eastAsia="Calibri" w:hAnsiTheme="majorHAnsi" w:cstheme="majorHAnsi"/>
          <w:b w:val="0"/>
          <w:i w:val="0"/>
          <w:iCs/>
          <w:sz w:val="28"/>
          <w:szCs w:val="28"/>
          <w:lang w:val="en-GB"/>
        </w:rPr>
        <w:t xml:space="preserve">labour </w:t>
      </w:r>
      <w:r w:rsidRPr="00497687">
        <w:rPr>
          <w:rFonts w:asciiTheme="majorHAnsi" w:eastAsia="Calibri" w:hAnsiTheme="majorHAnsi" w:cstheme="majorHAnsi"/>
          <w:b w:val="0"/>
          <w:i w:val="0"/>
          <w:iCs/>
          <w:sz w:val="28"/>
          <w:szCs w:val="28"/>
          <w:lang w:val="en-GB"/>
        </w:rPr>
        <w:t xml:space="preserve">force increased more than the male </w:t>
      </w:r>
      <w:r w:rsidR="002E218D" w:rsidRPr="00497687">
        <w:rPr>
          <w:rFonts w:asciiTheme="majorHAnsi" w:eastAsia="Calibri" w:hAnsiTheme="majorHAnsi" w:cstheme="majorHAnsi"/>
          <w:b w:val="0"/>
          <w:i w:val="0"/>
          <w:iCs/>
          <w:sz w:val="28"/>
          <w:szCs w:val="28"/>
          <w:lang w:val="en-GB"/>
        </w:rPr>
        <w:t xml:space="preserve">labour </w:t>
      </w:r>
      <w:r w:rsidRPr="00497687">
        <w:rPr>
          <w:rFonts w:asciiTheme="majorHAnsi" w:eastAsia="Calibri" w:hAnsiTheme="majorHAnsi" w:cstheme="majorHAnsi"/>
          <w:b w:val="0"/>
          <w:i w:val="0"/>
          <w:iCs/>
          <w:sz w:val="28"/>
          <w:szCs w:val="28"/>
          <w:lang w:val="en-GB"/>
        </w:rPr>
        <w:t xml:space="preserve">force (0.3 million female workers versus nearly 0.2 million male workers). Compared to the same period last year, the </w:t>
      </w:r>
      <w:r w:rsidR="002E218D" w:rsidRPr="00497687">
        <w:rPr>
          <w:rFonts w:asciiTheme="majorHAnsi" w:eastAsia="Calibri" w:hAnsiTheme="majorHAnsi" w:cstheme="majorHAnsi"/>
          <w:b w:val="0"/>
          <w:i w:val="0"/>
          <w:iCs/>
          <w:sz w:val="28"/>
          <w:szCs w:val="28"/>
          <w:lang w:val="en-GB"/>
        </w:rPr>
        <w:t xml:space="preserve">labour </w:t>
      </w:r>
      <w:r w:rsidRPr="00497687">
        <w:rPr>
          <w:rFonts w:asciiTheme="majorHAnsi" w:eastAsia="Calibri" w:hAnsiTheme="majorHAnsi" w:cstheme="majorHAnsi"/>
          <w:b w:val="0"/>
          <w:i w:val="0"/>
          <w:iCs/>
          <w:sz w:val="28"/>
          <w:szCs w:val="28"/>
          <w:lang w:val="en-GB"/>
        </w:rPr>
        <w:t>force increased in urban areas (up 0.6 million people) and slightly decreased in rural areas (down 0.06 million people).</w:t>
      </w:r>
    </w:p>
    <w:p w:rsidR="00953B2C" w:rsidRDefault="00953B2C">
      <w:pPr>
        <w:spacing w:after="240"/>
        <w:ind w:left="1559" w:hanging="1559"/>
        <w:jc w:val="both"/>
        <w:rPr>
          <w:rFonts w:asciiTheme="majorHAnsi" w:eastAsia="Calibri" w:hAnsiTheme="majorHAnsi" w:cstheme="majorHAnsi"/>
          <w:b w:val="0"/>
          <w:i w:val="0"/>
          <w:iCs/>
          <w:sz w:val="28"/>
          <w:szCs w:val="28"/>
          <w:lang w:val="en-GB"/>
        </w:rPr>
      </w:pPr>
      <w:r>
        <w:rPr>
          <w:rFonts w:asciiTheme="majorHAnsi" w:eastAsia="Calibri" w:hAnsiTheme="majorHAnsi" w:cstheme="majorHAnsi"/>
          <w:b w:val="0"/>
          <w:i w:val="0"/>
          <w:iCs/>
          <w:sz w:val="28"/>
          <w:szCs w:val="28"/>
          <w:lang w:val="en-GB"/>
        </w:rPr>
        <w:br w:type="page"/>
      </w:r>
    </w:p>
    <w:p w:rsidR="002A6402" w:rsidRPr="00497687" w:rsidRDefault="00526B72" w:rsidP="00470FE4">
      <w:pPr>
        <w:spacing w:line="276" w:lineRule="auto"/>
        <w:ind w:left="1559" w:hanging="1559"/>
        <w:jc w:val="center"/>
        <w:rPr>
          <w:rFonts w:asciiTheme="majorHAnsi" w:eastAsia="Calibri" w:hAnsiTheme="majorHAnsi" w:cstheme="majorHAnsi"/>
          <w:i w:val="0"/>
          <w:sz w:val="28"/>
          <w:szCs w:val="28"/>
          <w:lang w:val="en-GB"/>
        </w:rPr>
      </w:pPr>
      <w:r w:rsidRPr="00497687">
        <w:rPr>
          <w:rFonts w:asciiTheme="majorHAnsi" w:hAnsiTheme="majorHAnsi" w:cstheme="majorHAnsi"/>
          <w:i w:val="0"/>
          <w:sz w:val="28"/>
          <w:szCs w:val="28"/>
          <w:lang w:val="en-GB"/>
        </w:rPr>
        <w:lastRenderedPageBreak/>
        <w:t xml:space="preserve">Figure 1: </w:t>
      </w:r>
      <w:r w:rsidR="00022B8F" w:rsidRPr="00497687">
        <w:rPr>
          <w:rFonts w:asciiTheme="majorHAnsi" w:hAnsiTheme="majorHAnsi" w:cstheme="majorHAnsi"/>
          <w:i w:val="0"/>
          <w:sz w:val="28"/>
          <w:szCs w:val="28"/>
          <w:lang w:val="en-GB"/>
        </w:rPr>
        <w:t xml:space="preserve">Labour force </w:t>
      </w:r>
      <w:r w:rsidRPr="00497687">
        <w:rPr>
          <w:rFonts w:asciiTheme="majorHAnsi" w:hAnsiTheme="majorHAnsi" w:cstheme="majorHAnsi"/>
          <w:i w:val="0"/>
          <w:sz w:val="28"/>
          <w:szCs w:val="28"/>
          <w:lang w:val="en-GB"/>
        </w:rPr>
        <w:t>by</w:t>
      </w:r>
      <w:r w:rsidR="00022B8F" w:rsidRPr="00497687">
        <w:rPr>
          <w:rFonts w:asciiTheme="majorHAnsi" w:hAnsiTheme="majorHAnsi" w:cstheme="majorHAnsi"/>
          <w:i w:val="0"/>
          <w:sz w:val="28"/>
          <w:szCs w:val="28"/>
          <w:lang w:val="en-GB"/>
        </w:rPr>
        <w:t xml:space="preserve"> quarter</w:t>
      </w:r>
      <w:r w:rsidR="00E3032B" w:rsidRPr="00497687">
        <w:rPr>
          <w:rFonts w:asciiTheme="majorHAnsi" w:eastAsia="Calibri" w:hAnsiTheme="majorHAnsi" w:cstheme="majorHAnsi"/>
          <w:i w:val="0"/>
          <w:sz w:val="28"/>
          <w:szCs w:val="28"/>
          <w:lang w:val="en-GB"/>
        </w:rPr>
        <w:t>,</w:t>
      </w:r>
      <w:r w:rsidR="002A6402" w:rsidRPr="00497687">
        <w:rPr>
          <w:rFonts w:asciiTheme="majorHAnsi" w:eastAsia="Calibri" w:hAnsiTheme="majorHAnsi" w:cstheme="majorHAnsi"/>
          <w:i w:val="0"/>
          <w:sz w:val="28"/>
          <w:szCs w:val="28"/>
          <w:lang w:val="en-GB"/>
        </w:rPr>
        <w:t xml:space="preserve"> 2020</w:t>
      </w:r>
      <w:r w:rsidR="00022B8F" w:rsidRPr="00497687">
        <w:rPr>
          <w:rFonts w:asciiTheme="majorHAnsi" w:eastAsia="Calibri" w:hAnsiTheme="majorHAnsi" w:cstheme="majorHAnsi"/>
          <w:i w:val="0"/>
          <w:sz w:val="28"/>
          <w:szCs w:val="28"/>
          <w:lang w:val="en-GB"/>
        </w:rPr>
        <w:t>-</w:t>
      </w:r>
      <w:r w:rsidR="002A6402" w:rsidRPr="00497687">
        <w:rPr>
          <w:rFonts w:asciiTheme="majorHAnsi" w:eastAsia="Calibri" w:hAnsiTheme="majorHAnsi" w:cstheme="majorHAnsi"/>
          <w:i w:val="0"/>
          <w:sz w:val="28"/>
          <w:szCs w:val="28"/>
          <w:lang w:val="en-GB"/>
        </w:rPr>
        <w:t>2022</w:t>
      </w:r>
    </w:p>
    <w:p w:rsidR="002A6402" w:rsidRPr="00497687" w:rsidRDefault="002A6402" w:rsidP="00470FE4">
      <w:pPr>
        <w:spacing w:line="276" w:lineRule="auto"/>
        <w:ind w:firstLine="720"/>
        <w:jc w:val="right"/>
        <w:rPr>
          <w:rFonts w:asciiTheme="majorHAnsi" w:eastAsia="Calibri" w:hAnsiTheme="majorHAnsi" w:cstheme="majorHAnsi"/>
          <w:b w:val="0"/>
          <w:sz w:val="28"/>
          <w:szCs w:val="28"/>
          <w:lang w:val="en-GB"/>
        </w:rPr>
      </w:pPr>
      <w:r w:rsidRPr="00497687">
        <w:rPr>
          <w:rFonts w:asciiTheme="majorHAnsi" w:eastAsia="Calibri" w:hAnsiTheme="majorHAnsi" w:cstheme="majorHAnsi"/>
          <w:b w:val="0"/>
          <w:i w:val="0"/>
          <w:sz w:val="28"/>
          <w:szCs w:val="28"/>
          <w:lang w:val="en-GB"/>
        </w:rPr>
        <w:t xml:space="preserve">                                                 </w:t>
      </w:r>
      <w:r w:rsidR="00E3032B" w:rsidRPr="00497687">
        <w:rPr>
          <w:rFonts w:asciiTheme="majorHAnsi" w:eastAsia="Calibri" w:hAnsiTheme="majorHAnsi" w:cstheme="majorHAnsi"/>
          <w:b w:val="0"/>
          <w:i w:val="0"/>
          <w:sz w:val="28"/>
          <w:szCs w:val="28"/>
          <w:lang w:val="en-GB"/>
        </w:rPr>
        <w:t xml:space="preserve">                              </w:t>
      </w:r>
      <w:r w:rsidR="00022B8F" w:rsidRPr="00497687">
        <w:rPr>
          <w:rFonts w:asciiTheme="majorHAnsi" w:eastAsia="Calibri" w:hAnsiTheme="majorHAnsi" w:cstheme="majorHAnsi"/>
          <w:b w:val="0"/>
          <w:sz w:val="28"/>
          <w:szCs w:val="28"/>
          <w:lang w:val="en-GB"/>
        </w:rPr>
        <w:t>Unit: Million people</w:t>
      </w:r>
    </w:p>
    <w:p w:rsidR="002A6402" w:rsidRPr="00497687" w:rsidRDefault="002A6402" w:rsidP="003427BF">
      <w:pPr>
        <w:overflowPunct w:val="0"/>
        <w:autoSpaceDE w:val="0"/>
        <w:autoSpaceDN w:val="0"/>
        <w:adjustRightInd w:val="0"/>
        <w:spacing w:before="120" w:after="120" w:line="276" w:lineRule="auto"/>
        <w:jc w:val="center"/>
        <w:rPr>
          <w:rFonts w:asciiTheme="majorHAnsi" w:eastAsia="Calibri" w:hAnsiTheme="majorHAnsi" w:cstheme="majorHAnsi"/>
          <w:b w:val="0"/>
          <w:i w:val="0"/>
          <w:iCs/>
          <w:color w:val="FF0000"/>
          <w:sz w:val="28"/>
          <w:szCs w:val="28"/>
          <w:lang w:val="en-GB"/>
        </w:rPr>
      </w:pPr>
      <w:r w:rsidRPr="00497687">
        <w:rPr>
          <w:rFonts w:asciiTheme="majorHAnsi" w:eastAsia="Calibri" w:hAnsiTheme="majorHAnsi" w:cstheme="majorHAnsi"/>
          <w:b w:val="0"/>
          <w:i w:val="0"/>
          <w:iCs/>
          <w:noProof/>
          <w:color w:val="FF0000"/>
          <w:sz w:val="28"/>
          <w:szCs w:val="28"/>
        </w:rPr>
        <w:drawing>
          <wp:inline distT="0" distB="0" distL="0" distR="0">
            <wp:extent cx="5822615" cy="2237105"/>
            <wp:effectExtent l="0" t="0" r="6985" b="1079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8F1AD0" w:rsidRPr="00497687" w:rsidRDefault="008F1AD0" w:rsidP="003427BF">
      <w:pPr>
        <w:spacing w:before="120" w:after="120" w:line="276" w:lineRule="auto"/>
        <w:ind w:firstLine="709"/>
        <w:jc w:val="both"/>
        <w:rPr>
          <w:rFonts w:asciiTheme="majorHAnsi" w:eastAsia="Calibri" w:hAnsiTheme="majorHAnsi" w:cstheme="majorHAnsi"/>
          <w:b w:val="0"/>
          <w:i w:val="0"/>
          <w:iCs/>
          <w:sz w:val="28"/>
          <w:szCs w:val="28"/>
          <w:lang w:val="en-GB"/>
        </w:rPr>
      </w:pPr>
      <w:r w:rsidRPr="00497687">
        <w:rPr>
          <w:rFonts w:asciiTheme="majorHAnsi" w:eastAsia="Calibri" w:hAnsiTheme="majorHAnsi" w:cstheme="majorHAnsi"/>
          <w:b w:val="0"/>
          <w:i w:val="0"/>
          <w:iCs/>
          <w:sz w:val="28"/>
          <w:szCs w:val="28"/>
          <w:lang w:val="en-GB"/>
        </w:rPr>
        <w:t>In the second quarter of 2022, Viet Nam recorded just over 8.0 million people aged 15 and older who were negatively impacted by the Covid-19 pandemic, down more than half compared to the previous quarter (equivalent to a decrease of 8.9 million people) and down 4.8 million people over the same period last year.</w:t>
      </w:r>
    </w:p>
    <w:p w:rsidR="00953B2C" w:rsidRDefault="008F1AD0" w:rsidP="003427BF">
      <w:pPr>
        <w:spacing w:before="120" w:after="120" w:line="276" w:lineRule="auto"/>
        <w:ind w:firstLine="709"/>
        <w:jc w:val="both"/>
        <w:rPr>
          <w:rFonts w:asciiTheme="majorHAnsi" w:eastAsia="Calibri" w:hAnsiTheme="majorHAnsi" w:cstheme="majorHAnsi"/>
          <w:b w:val="0"/>
          <w:i w:val="0"/>
          <w:iCs/>
          <w:sz w:val="28"/>
          <w:szCs w:val="28"/>
          <w:lang w:val="en-GB"/>
        </w:rPr>
      </w:pPr>
      <w:r w:rsidRPr="00497687">
        <w:rPr>
          <w:rFonts w:asciiTheme="majorHAnsi" w:eastAsia="Calibri" w:hAnsiTheme="majorHAnsi" w:cstheme="majorHAnsi"/>
          <w:b w:val="0"/>
          <w:i w:val="0"/>
          <w:iCs/>
          <w:sz w:val="28"/>
          <w:szCs w:val="28"/>
          <w:lang w:val="en-GB"/>
        </w:rPr>
        <w:t>Of a total of more than 8.0 million people negatively affected by the pandemic, 0.4 million people lost their jobs, accounting for 5.3</w:t>
      </w:r>
      <w:r w:rsidR="00497687" w:rsidRPr="00497687">
        <w:rPr>
          <w:rFonts w:asciiTheme="majorHAnsi" w:eastAsia="Calibri" w:hAnsiTheme="majorHAnsi" w:cstheme="majorHAnsi"/>
          <w:b w:val="0"/>
          <w:i w:val="0"/>
          <w:iCs/>
          <w:sz w:val="28"/>
          <w:szCs w:val="28"/>
          <w:lang w:val="en-GB"/>
        </w:rPr>
        <w:t xml:space="preserve"> per cent;</w:t>
      </w:r>
      <w:r w:rsidRPr="00497687">
        <w:rPr>
          <w:rFonts w:asciiTheme="majorHAnsi" w:eastAsia="Calibri" w:hAnsiTheme="majorHAnsi" w:cstheme="majorHAnsi"/>
          <w:b w:val="0"/>
          <w:i w:val="0"/>
          <w:iCs/>
          <w:sz w:val="28"/>
          <w:szCs w:val="28"/>
          <w:lang w:val="en-GB"/>
        </w:rPr>
        <w:t xml:space="preserve"> 0.5 million people could not find jobs, accounting for 5.7</w:t>
      </w:r>
      <w:r w:rsidR="00497687" w:rsidRPr="00497687">
        <w:rPr>
          <w:rFonts w:asciiTheme="majorHAnsi" w:eastAsia="Calibri" w:hAnsiTheme="majorHAnsi" w:cstheme="majorHAnsi"/>
          <w:b w:val="0"/>
          <w:i w:val="0"/>
          <w:iCs/>
          <w:sz w:val="28"/>
          <w:szCs w:val="28"/>
          <w:lang w:val="en-GB"/>
        </w:rPr>
        <w:t xml:space="preserve"> per cent;</w:t>
      </w:r>
      <w:r w:rsidRPr="00497687">
        <w:rPr>
          <w:rFonts w:asciiTheme="majorHAnsi" w:eastAsia="Calibri" w:hAnsiTheme="majorHAnsi" w:cstheme="majorHAnsi"/>
          <w:b w:val="0"/>
          <w:i w:val="0"/>
          <w:iCs/>
          <w:sz w:val="28"/>
          <w:szCs w:val="28"/>
          <w:lang w:val="en-GB"/>
        </w:rPr>
        <w:t xml:space="preserve"> 2.2 million people had to take a furlough or suspend production and business activities, accounting for 27.6</w:t>
      </w:r>
      <w:r w:rsidR="00497687" w:rsidRPr="00497687">
        <w:rPr>
          <w:rFonts w:asciiTheme="majorHAnsi" w:eastAsia="Calibri" w:hAnsiTheme="majorHAnsi" w:cstheme="majorHAnsi"/>
          <w:b w:val="0"/>
          <w:i w:val="0"/>
          <w:iCs/>
          <w:sz w:val="28"/>
          <w:szCs w:val="28"/>
          <w:lang w:val="en-GB"/>
        </w:rPr>
        <w:t xml:space="preserve"> per cent,</w:t>
      </w:r>
      <w:r w:rsidRPr="00497687">
        <w:rPr>
          <w:rFonts w:asciiTheme="majorHAnsi" w:eastAsia="Calibri" w:hAnsiTheme="majorHAnsi" w:cstheme="majorHAnsi"/>
          <w:b w:val="0"/>
          <w:i w:val="0"/>
          <w:iCs/>
          <w:sz w:val="28"/>
          <w:szCs w:val="28"/>
          <w:lang w:val="en-GB"/>
        </w:rPr>
        <w:t xml:space="preserve"> 2.4 million people had their working hours cut or were forced to work alternative shifts, accounting for 29.5</w:t>
      </w:r>
      <w:r w:rsidR="00497687" w:rsidRPr="00497687">
        <w:rPr>
          <w:rFonts w:asciiTheme="majorHAnsi" w:eastAsia="Calibri" w:hAnsiTheme="majorHAnsi" w:cstheme="majorHAnsi"/>
          <w:b w:val="0"/>
          <w:i w:val="0"/>
          <w:iCs/>
          <w:sz w:val="28"/>
          <w:szCs w:val="28"/>
          <w:lang w:val="en-GB"/>
        </w:rPr>
        <w:t xml:space="preserve"> per cent </w:t>
      </w:r>
      <w:r w:rsidRPr="00497687">
        <w:rPr>
          <w:rFonts w:asciiTheme="majorHAnsi" w:eastAsia="Calibri" w:hAnsiTheme="majorHAnsi" w:cstheme="majorHAnsi"/>
          <w:b w:val="0"/>
          <w:i w:val="0"/>
          <w:iCs/>
          <w:sz w:val="28"/>
          <w:szCs w:val="28"/>
          <w:lang w:val="en-GB"/>
        </w:rPr>
        <w:t>and 6.5 million workers had their income reduced, accounting for 81.7</w:t>
      </w:r>
      <w:r w:rsidR="00497687" w:rsidRPr="00497687">
        <w:rPr>
          <w:rFonts w:asciiTheme="majorHAnsi" w:eastAsia="Calibri" w:hAnsiTheme="majorHAnsi" w:cstheme="majorHAnsi"/>
          <w:b w:val="0"/>
          <w:i w:val="0"/>
          <w:iCs/>
          <w:sz w:val="28"/>
          <w:szCs w:val="28"/>
          <w:lang w:val="en-GB"/>
        </w:rPr>
        <w:t xml:space="preserve"> per cent.</w:t>
      </w:r>
      <w:r w:rsidRPr="00497687">
        <w:rPr>
          <w:rFonts w:asciiTheme="majorHAnsi" w:eastAsia="Calibri" w:hAnsiTheme="majorHAnsi" w:cstheme="majorHAnsi"/>
          <w:b w:val="0"/>
          <w:i w:val="0"/>
          <w:iCs/>
          <w:sz w:val="28"/>
          <w:szCs w:val="28"/>
          <w:lang w:val="en-GB"/>
        </w:rPr>
        <w:t xml:space="preserve"> The Red River Delta is the region with a higher proportion of workers affected by the Covid-19 pandemic than other regions with 13.9</w:t>
      </w:r>
      <w:r w:rsidR="00497687" w:rsidRPr="00497687">
        <w:rPr>
          <w:rFonts w:asciiTheme="majorHAnsi" w:eastAsia="Calibri" w:hAnsiTheme="majorHAnsi" w:cstheme="majorHAnsi"/>
          <w:b w:val="0"/>
          <w:i w:val="0"/>
          <w:iCs/>
          <w:sz w:val="28"/>
          <w:szCs w:val="28"/>
          <w:lang w:val="en-GB"/>
        </w:rPr>
        <w:t xml:space="preserve"> per cent,</w:t>
      </w:r>
      <w:r w:rsidRPr="00497687">
        <w:rPr>
          <w:rFonts w:asciiTheme="majorHAnsi" w:eastAsia="Calibri" w:hAnsiTheme="majorHAnsi" w:cstheme="majorHAnsi"/>
          <w:b w:val="0"/>
          <w:i w:val="0"/>
          <w:iCs/>
          <w:sz w:val="28"/>
          <w:szCs w:val="28"/>
          <w:lang w:val="en-GB"/>
        </w:rPr>
        <w:t xml:space="preserve"> significantly higher than this figure in the Northern Midlands and Mountains and Central Highland, with 10.8</w:t>
      </w:r>
      <w:r w:rsidR="00497687" w:rsidRPr="00497687">
        <w:rPr>
          <w:rFonts w:asciiTheme="majorHAnsi" w:eastAsia="Calibri" w:hAnsiTheme="majorHAnsi" w:cstheme="majorHAnsi"/>
          <w:b w:val="0"/>
          <w:i w:val="0"/>
          <w:iCs/>
          <w:sz w:val="28"/>
          <w:szCs w:val="28"/>
          <w:lang w:val="en-GB"/>
        </w:rPr>
        <w:t xml:space="preserve"> per cent </w:t>
      </w:r>
      <w:r w:rsidRPr="00497687">
        <w:rPr>
          <w:rFonts w:asciiTheme="majorHAnsi" w:eastAsia="Calibri" w:hAnsiTheme="majorHAnsi" w:cstheme="majorHAnsi"/>
          <w:b w:val="0"/>
          <w:i w:val="0"/>
          <w:iCs/>
          <w:sz w:val="28"/>
          <w:szCs w:val="28"/>
          <w:lang w:val="en-GB"/>
        </w:rPr>
        <w:t>and 8.1</w:t>
      </w:r>
      <w:r w:rsidR="00497687" w:rsidRPr="00497687">
        <w:rPr>
          <w:rFonts w:asciiTheme="majorHAnsi" w:eastAsia="Calibri" w:hAnsiTheme="majorHAnsi" w:cstheme="majorHAnsi"/>
          <w:b w:val="0"/>
          <w:i w:val="0"/>
          <w:iCs/>
          <w:sz w:val="28"/>
          <w:szCs w:val="28"/>
          <w:lang w:val="en-GB"/>
        </w:rPr>
        <w:t xml:space="preserve"> per cent,</w:t>
      </w:r>
      <w:r w:rsidRPr="00497687">
        <w:rPr>
          <w:rFonts w:asciiTheme="majorHAnsi" w:eastAsia="Calibri" w:hAnsiTheme="majorHAnsi" w:cstheme="majorHAnsi"/>
          <w:b w:val="0"/>
          <w:i w:val="0"/>
          <w:iCs/>
          <w:sz w:val="28"/>
          <w:szCs w:val="28"/>
          <w:lang w:val="en-GB"/>
        </w:rPr>
        <w:t xml:space="preserve"> respectively. 14.3</w:t>
      </w:r>
      <w:r w:rsidR="00497687" w:rsidRPr="00497687">
        <w:rPr>
          <w:rFonts w:asciiTheme="majorHAnsi" w:eastAsia="Calibri" w:hAnsiTheme="majorHAnsi" w:cstheme="majorHAnsi"/>
          <w:b w:val="0"/>
          <w:i w:val="0"/>
          <w:iCs/>
          <w:sz w:val="28"/>
          <w:szCs w:val="28"/>
          <w:lang w:val="en-GB"/>
        </w:rPr>
        <w:t xml:space="preserve"> per cent </w:t>
      </w:r>
      <w:r w:rsidRPr="00497687">
        <w:rPr>
          <w:rFonts w:asciiTheme="majorHAnsi" w:eastAsia="Calibri" w:hAnsiTheme="majorHAnsi" w:cstheme="majorHAnsi"/>
          <w:b w:val="0"/>
          <w:i w:val="0"/>
          <w:iCs/>
          <w:sz w:val="28"/>
          <w:szCs w:val="28"/>
          <w:lang w:val="en-GB"/>
        </w:rPr>
        <w:t>of workers in urban areas were negatively affected, compared to the rural rate of 10.4</w:t>
      </w:r>
      <w:r w:rsidR="00497687" w:rsidRPr="00497687">
        <w:rPr>
          <w:rFonts w:asciiTheme="majorHAnsi" w:eastAsia="Calibri" w:hAnsiTheme="majorHAnsi" w:cstheme="majorHAnsi"/>
          <w:b w:val="0"/>
          <w:i w:val="0"/>
          <w:iCs/>
          <w:sz w:val="28"/>
          <w:szCs w:val="28"/>
          <w:lang w:val="en-GB"/>
        </w:rPr>
        <w:t xml:space="preserve"> per cent.</w:t>
      </w:r>
      <w:r w:rsidRPr="00497687">
        <w:rPr>
          <w:rFonts w:asciiTheme="majorHAnsi" w:eastAsia="Calibri" w:hAnsiTheme="majorHAnsi" w:cstheme="majorHAnsi"/>
          <w:b w:val="0"/>
          <w:i w:val="0"/>
          <w:iCs/>
          <w:sz w:val="28"/>
          <w:szCs w:val="28"/>
          <w:lang w:val="en-GB"/>
        </w:rPr>
        <w:t xml:space="preserve"> </w:t>
      </w:r>
    </w:p>
    <w:p w:rsidR="00953B2C" w:rsidRDefault="00953B2C">
      <w:pPr>
        <w:spacing w:after="240"/>
        <w:ind w:left="1559" w:hanging="1559"/>
        <w:jc w:val="both"/>
        <w:rPr>
          <w:rFonts w:asciiTheme="majorHAnsi" w:eastAsia="Calibri" w:hAnsiTheme="majorHAnsi" w:cstheme="majorHAnsi"/>
          <w:b w:val="0"/>
          <w:i w:val="0"/>
          <w:iCs/>
          <w:sz w:val="28"/>
          <w:szCs w:val="28"/>
          <w:lang w:val="en-GB"/>
        </w:rPr>
      </w:pPr>
      <w:r>
        <w:rPr>
          <w:rFonts w:asciiTheme="majorHAnsi" w:eastAsia="Calibri" w:hAnsiTheme="majorHAnsi" w:cstheme="majorHAnsi"/>
          <w:b w:val="0"/>
          <w:i w:val="0"/>
          <w:iCs/>
          <w:sz w:val="28"/>
          <w:szCs w:val="28"/>
          <w:lang w:val="en-GB"/>
        </w:rPr>
        <w:br w:type="page"/>
      </w:r>
    </w:p>
    <w:p w:rsidR="008F1AD0" w:rsidRPr="00953B2C" w:rsidRDefault="008F1AD0" w:rsidP="00470FE4">
      <w:pPr>
        <w:spacing w:line="276" w:lineRule="auto"/>
        <w:ind w:firstLine="720"/>
        <w:jc w:val="center"/>
        <w:rPr>
          <w:rFonts w:asciiTheme="majorHAnsi" w:hAnsiTheme="majorHAnsi" w:cstheme="majorHAnsi"/>
          <w:i w:val="0"/>
          <w:spacing w:val="-4"/>
          <w:sz w:val="28"/>
          <w:szCs w:val="28"/>
          <w:lang w:val="en-GB"/>
        </w:rPr>
      </w:pPr>
      <w:r w:rsidRPr="00953B2C">
        <w:rPr>
          <w:rFonts w:asciiTheme="majorHAnsi" w:hAnsiTheme="majorHAnsi" w:cstheme="majorHAnsi"/>
          <w:i w:val="0"/>
          <w:spacing w:val="-4"/>
          <w:sz w:val="28"/>
          <w:szCs w:val="28"/>
          <w:lang w:val="en-GB"/>
        </w:rPr>
        <w:t>Figure 2: Number of people aged 15 and older negatively affected</w:t>
      </w:r>
      <w:r w:rsidR="0042322B" w:rsidRPr="00953B2C">
        <w:rPr>
          <w:rFonts w:asciiTheme="majorHAnsi" w:hAnsiTheme="majorHAnsi" w:cstheme="majorHAnsi"/>
          <w:i w:val="0"/>
          <w:spacing w:val="-4"/>
          <w:sz w:val="28"/>
          <w:szCs w:val="28"/>
          <w:lang w:val="en-GB"/>
        </w:rPr>
        <w:t xml:space="preserve"> by Covid-19 pandemic</w:t>
      </w:r>
      <w:r w:rsidRPr="00953B2C">
        <w:rPr>
          <w:rFonts w:asciiTheme="majorHAnsi" w:hAnsiTheme="majorHAnsi" w:cstheme="majorHAnsi"/>
          <w:i w:val="0"/>
          <w:spacing w:val="-4"/>
          <w:sz w:val="28"/>
          <w:szCs w:val="28"/>
          <w:lang w:val="en-GB"/>
        </w:rPr>
        <w:t>, fourth quarter of 2021, first and second quarters of 2022</w:t>
      </w:r>
    </w:p>
    <w:p w:rsidR="008F1AD0" w:rsidRPr="00497687" w:rsidRDefault="008F1AD0" w:rsidP="00470FE4">
      <w:pPr>
        <w:spacing w:line="276" w:lineRule="auto"/>
        <w:ind w:firstLine="720"/>
        <w:jc w:val="right"/>
        <w:rPr>
          <w:rFonts w:asciiTheme="majorHAnsi" w:eastAsia="Calibri" w:hAnsiTheme="majorHAnsi" w:cstheme="majorHAnsi"/>
          <w:b w:val="0"/>
          <w:i w:val="0"/>
          <w:iCs/>
          <w:spacing w:val="-2"/>
          <w:sz w:val="28"/>
          <w:szCs w:val="28"/>
          <w:lang w:val="en-GB"/>
        </w:rPr>
      </w:pPr>
      <w:r w:rsidRPr="00497687">
        <w:rPr>
          <w:rFonts w:asciiTheme="majorHAnsi" w:eastAsia="Calibri" w:hAnsiTheme="majorHAnsi" w:cstheme="majorHAnsi"/>
          <w:b w:val="0"/>
          <w:bCs/>
          <w:iCs/>
          <w:sz w:val="28"/>
          <w:szCs w:val="28"/>
          <w:lang w:val="en-GB"/>
        </w:rPr>
        <w:t>Unit: Million people</w:t>
      </w:r>
    </w:p>
    <w:p w:rsidR="008F1AD0" w:rsidRPr="00497687" w:rsidRDefault="008F1AD0" w:rsidP="003427BF">
      <w:pPr>
        <w:spacing w:after="120" w:line="276" w:lineRule="auto"/>
        <w:jc w:val="center"/>
        <w:rPr>
          <w:rFonts w:asciiTheme="majorHAnsi" w:eastAsia="Calibri" w:hAnsiTheme="majorHAnsi" w:cstheme="majorHAnsi"/>
          <w:b w:val="0"/>
          <w:i w:val="0"/>
          <w:iCs/>
          <w:color w:val="FF0000"/>
          <w:spacing w:val="-2"/>
          <w:sz w:val="28"/>
          <w:szCs w:val="28"/>
          <w:lang w:val="en-GB"/>
        </w:rPr>
      </w:pPr>
      <w:r w:rsidRPr="00497687">
        <w:rPr>
          <w:rFonts w:asciiTheme="majorHAnsi" w:eastAsia="Calibri" w:hAnsiTheme="majorHAnsi" w:cstheme="majorHAnsi"/>
          <w:b w:val="0"/>
          <w:i w:val="0"/>
          <w:iCs/>
          <w:noProof/>
          <w:color w:val="FF0000"/>
          <w:spacing w:val="-2"/>
          <w:sz w:val="28"/>
          <w:szCs w:val="28"/>
        </w:rPr>
        <w:drawing>
          <wp:inline distT="0" distB="0" distL="0" distR="0">
            <wp:extent cx="5740400" cy="2103120"/>
            <wp:effectExtent l="0" t="0" r="12700" b="1143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F1AD0" w:rsidRPr="00497687" w:rsidRDefault="00346B9A" w:rsidP="003427BF">
      <w:pPr>
        <w:spacing w:before="120" w:after="120" w:line="276" w:lineRule="auto"/>
        <w:ind w:firstLine="709"/>
        <w:jc w:val="both"/>
        <w:rPr>
          <w:rFonts w:asciiTheme="majorHAnsi" w:hAnsiTheme="majorHAnsi" w:cstheme="majorHAnsi"/>
          <w:spacing w:val="-6"/>
          <w:sz w:val="28"/>
          <w:szCs w:val="28"/>
          <w:lang w:val="en-GB"/>
        </w:rPr>
      </w:pPr>
      <w:r w:rsidRPr="00497687">
        <w:rPr>
          <w:rFonts w:asciiTheme="majorHAnsi" w:hAnsiTheme="majorHAnsi" w:cstheme="majorHAnsi"/>
          <w:spacing w:val="-6"/>
          <w:sz w:val="28"/>
          <w:szCs w:val="28"/>
          <w:lang w:val="en-GB"/>
        </w:rPr>
        <w:t>The labour market recovered strongly in the second quarter of 2022; The Northern Midlands and Mountains, the Red River Delta and the Southeast recorded the highest labour growth rates across the country.</w:t>
      </w:r>
    </w:p>
    <w:p w:rsidR="00B47345" w:rsidRPr="00497687" w:rsidRDefault="008C3F3F" w:rsidP="003427BF">
      <w:pPr>
        <w:spacing w:before="120" w:after="120" w:line="276" w:lineRule="auto"/>
        <w:ind w:firstLine="709"/>
        <w:jc w:val="both"/>
        <w:rPr>
          <w:rFonts w:asciiTheme="majorHAnsi" w:hAnsiTheme="majorHAnsi" w:cstheme="majorHAnsi"/>
          <w:b w:val="0"/>
          <w:i w:val="0"/>
          <w:sz w:val="28"/>
          <w:szCs w:val="28"/>
          <w:lang w:val="en-GB"/>
        </w:rPr>
      </w:pPr>
      <w:bookmarkStart w:id="5" w:name="OLE_LINK6"/>
      <w:bookmarkStart w:id="6" w:name="OLE_LINK7"/>
      <w:bookmarkEnd w:id="5"/>
      <w:bookmarkEnd w:id="6"/>
      <w:r w:rsidRPr="00497687">
        <w:rPr>
          <w:rFonts w:asciiTheme="majorHAnsi" w:hAnsiTheme="majorHAnsi" w:cstheme="majorHAnsi"/>
          <w:b w:val="0"/>
          <w:i w:val="0"/>
          <w:sz w:val="28"/>
          <w:szCs w:val="28"/>
          <w:lang w:val="en-GB"/>
        </w:rPr>
        <w:t xml:space="preserve">Employed workers aged 15 and older </w:t>
      </w:r>
      <w:r w:rsidR="0023399A" w:rsidRPr="00497687">
        <w:rPr>
          <w:rFonts w:asciiTheme="majorHAnsi" w:hAnsiTheme="majorHAnsi" w:cstheme="majorHAnsi"/>
          <w:b w:val="0"/>
          <w:i w:val="0"/>
          <w:sz w:val="28"/>
          <w:szCs w:val="28"/>
          <w:lang w:val="en-GB"/>
        </w:rPr>
        <w:t>in</w:t>
      </w:r>
      <w:r w:rsidR="00722938" w:rsidRPr="00497687">
        <w:rPr>
          <w:rFonts w:asciiTheme="majorHAnsi" w:eastAsia="Calibri" w:hAnsiTheme="majorHAnsi" w:cstheme="majorHAnsi"/>
          <w:b w:val="0"/>
          <w:bCs/>
          <w:i w:val="0"/>
          <w:iCs/>
          <w:spacing w:val="-10"/>
          <w:sz w:val="28"/>
          <w:szCs w:val="28"/>
          <w:lang w:val="en-GB"/>
        </w:rPr>
        <w:t xml:space="preserve"> the second quarter of  </w:t>
      </w:r>
      <w:r w:rsidRPr="00497687">
        <w:rPr>
          <w:rFonts w:asciiTheme="majorHAnsi" w:hAnsiTheme="majorHAnsi" w:cstheme="majorHAnsi"/>
          <w:b w:val="0"/>
          <w:i w:val="0"/>
          <w:sz w:val="28"/>
          <w:szCs w:val="28"/>
          <w:lang w:val="en-GB"/>
        </w:rPr>
        <w:t xml:space="preserve">2022 were 50.5 million </w:t>
      </w:r>
      <w:r w:rsidRPr="00497687">
        <w:rPr>
          <w:rFonts w:asciiTheme="majorHAnsi" w:eastAsia="Calibri" w:hAnsiTheme="majorHAnsi" w:cstheme="majorHAnsi"/>
          <w:b w:val="0"/>
          <w:i w:val="0"/>
          <w:iCs/>
          <w:sz w:val="28"/>
          <w:szCs w:val="28"/>
          <w:lang w:val="en-GB"/>
        </w:rPr>
        <w:t>people</w:t>
      </w:r>
      <w:r w:rsidRPr="00497687">
        <w:rPr>
          <w:rFonts w:asciiTheme="majorHAnsi" w:hAnsiTheme="majorHAnsi" w:cstheme="majorHAnsi"/>
          <w:b w:val="0"/>
          <w:i w:val="0"/>
          <w:sz w:val="28"/>
          <w:szCs w:val="28"/>
          <w:lang w:val="en-GB"/>
        </w:rPr>
        <w:t>, an increase of 504.6 thousand people (equivalent to 1.01</w:t>
      </w:r>
      <w:r w:rsidR="003F4455" w:rsidRPr="00497687">
        <w:rPr>
          <w:rFonts w:asciiTheme="majorHAnsi" w:hAnsiTheme="majorHAnsi" w:cstheme="majorHAnsi"/>
          <w:b w:val="0"/>
          <w:i w:val="0"/>
          <w:sz w:val="28"/>
          <w:szCs w:val="28"/>
          <w:lang w:val="en-GB"/>
        </w:rPr>
        <w:t xml:space="preserve"> per cent)</w:t>
      </w:r>
      <w:r w:rsidRPr="00497687">
        <w:rPr>
          <w:rFonts w:asciiTheme="majorHAnsi" w:hAnsiTheme="majorHAnsi" w:cstheme="majorHAnsi"/>
          <w:b w:val="0"/>
          <w:i w:val="0"/>
          <w:sz w:val="28"/>
          <w:szCs w:val="28"/>
          <w:lang w:val="en-GB"/>
        </w:rPr>
        <w:t xml:space="preserve"> </w:t>
      </w:r>
      <w:r w:rsidR="0023399A" w:rsidRPr="00497687">
        <w:rPr>
          <w:rFonts w:asciiTheme="majorHAnsi" w:hAnsiTheme="majorHAnsi" w:cstheme="majorHAnsi"/>
          <w:b w:val="0"/>
          <w:i w:val="0"/>
          <w:sz w:val="28"/>
          <w:szCs w:val="28"/>
          <w:lang w:val="en-GB"/>
        </w:rPr>
        <w:t>on a quarter on-</w:t>
      </w:r>
      <w:r w:rsidRPr="00497687">
        <w:rPr>
          <w:rFonts w:asciiTheme="majorHAnsi" w:hAnsiTheme="majorHAnsi" w:cstheme="majorHAnsi"/>
          <w:b w:val="0"/>
          <w:i w:val="0"/>
          <w:sz w:val="28"/>
          <w:szCs w:val="28"/>
          <w:lang w:val="en-GB"/>
        </w:rPr>
        <w:t>quarter</w:t>
      </w:r>
      <w:r w:rsidR="0023399A" w:rsidRPr="00497687">
        <w:rPr>
          <w:rFonts w:asciiTheme="majorHAnsi" w:hAnsiTheme="majorHAnsi" w:cstheme="majorHAnsi"/>
          <w:b w:val="0"/>
          <w:i w:val="0"/>
          <w:sz w:val="28"/>
          <w:szCs w:val="28"/>
          <w:lang w:val="en-GB"/>
        </w:rPr>
        <w:t xml:space="preserve"> basis</w:t>
      </w:r>
      <w:r w:rsidRPr="00497687">
        <w:rPr>
          <w:rFonts w:asciiTheme="majorHAnsi" w:hAnsiTheme="majorHAnsi" w:cstheme="majorHAnsi"/>
          <w:b w:val="0"/>
          <w:i w:val="0"/>
          <w:sz w:val="28"/>
          <w:szCs w:val="28"/>
          <w:lang w:val="en-GB"/>
        </w:rPr>
        <w:t xml:space="preserve"> and an increase of 701.8 thousand people (equivalent to 1.41</w:t>
      </w:r>
      <w:r w:rsidR="003F4455" w:rsidRPr="00497687">
        <w:rPr>
          <w:rFonts w:asciiTheme="majorHAnsi" w:hAnsiTheme="majorHAnsi" w:cstheme="majorHAnsi"/>
          <w:b w:val="0"/>
          <w:i w:val="0"/>
          <w:sz w:val="28"/>
          <w:szCs w:val="28"/>
          <w:lang w:val="en-GB"/>
        </w:rPr>
        <w:t xml:space="preserve"> per cent)</w:t>
      </w:r>
      <w:r w:rsidRPr="00497687">
        <w:rPr>
          <w:rFonts w:asciiTheme="majorHAnsi" w:hAnsiTheme="majorHAnsi" w:cstheme="majorHAnsi"/>
          <w:b w:val="0"/>
          <w:i w:val="0"/>
          <w:sz w:val="28"/>
          <w:szCs w:val="28"/>
          <w:lang w:val="en-GB"/>
        </w:rPr>
        <w:t xml:space="preserve"> year on year. Employed workers were 18.7 mi</w:t>
      </w:r>
      <w:r w:rsidR="00536B26" w:rsidRPr="00497687">
        <w:rPr>
          <w:rFonts w:asciiTheme="majorHAnsi" w:hAnsiTheme="majorHAnsi" w:cstheme="majorHAnsi"/>
          <w:b w:val="0"/>
          <w:i w:val="0"/>
          <w:sz w:val="28"/>
          <w:szCs w:val="28"/>
          <w:lang w:val="en-GB"/>
        </w:rPr>
        <w:t>llion peo</w:t>
      </w:r>
      <w:r w:rsidRPr="00497687">
        <w:rPr>
          <w:rFonts w:asciiTheme="majorHAnsi" w:hAnsiTheme="majorHAnsi" w:cstheme="majorHAnsi"/>
          <w:b w:val="0"/>
          <w:i w:val="0"/>
          <w:sz w:val="28"/>
          <w:szCs w:val="28"/>
          <w:lang w:val="en-GB"/>
        </w:rPr>
        <w:t xml:space="preserve">ple in urban areas (an increase of 127.9 thousand people </w:t>
      </w:r>
      <w:r w:rsidR="00346B9A" w:rsidRPr="00497687">
        <w:rPr>
          <w:rFonts w:asciiTheme="majorHAnsi" w:hAnsiTheme="majorHAnsi" w:cstheme="majorHAnsi"/>
          <w:b w:val="0"/>
          <w:i w:val="0"/>
          <w:sz w:val="28"/>
          <w:szCs w:val="28"/>
          <w:lang w:val="en-GB"/>
        </w:rPr>
        <w:t>or 0.7</w:t>
      </w:r>
      <w:r w:rsidR="00497687">
        <w:rPr>
          <w:rFonts w:asciiTheme="majorHAnsi" w:hAnsiTheme="majorHAnsi" w:cstheme="majorHAnsi"/>
          <w:b w:val="0"/>
          <w:i w:val="0"/>
          <w:sz w:val="28"/>
          <w:szCs w:val="28"/>
          <w:lang w:val="en-GB"/>
        </w:rPr>
        <w:t xml:space="preserve"> per cent </w:t>
      </w:r>
      <w:r w:rsidRPr="00497687">
        <w:rPr>
          <w:rFonts w:asciiTheme="majorHAnsi" w:hAnsiTheme="majorHAnsi" w:cstheme="majorHAnsi"/>
          <w:b w:val="0"/>
          <w:i w:val="0"/>
          <w:sz w:val="28"/>
          <w:szCs w:val="28"/>
          <w:lang w:val="en-GB"/>
        </w:rPr>
        <w:t>qua</w:t>
      </w:r>
      <w:r w:rsidR="00536B26" w:rsidRPr="00497687">
        <w:rPr>
          <w:rFonts w:asciiTheme="majorHAnsi" w:hAnsiTheme="majorHAnsi" w:cstheme="majorHAnsi"/>
          <w:b w:val="0"/>
          <w:i w:val="0"/>
          <w:sz w:val="28"/>
          <w:szCs w:val="28"/>
          <w:lang w:val="en-GB"/>
        </w:rPr>
        <w:t>r</w:t>
      </w:r>
      <w:r w:rsidRPr="00497687">
        <w:rPr>
          <w:rFonts w:asciiTheme="majorHAnsi" w:hAnsiTheme="majorHAnsi" w:cstheme="majorHAnsi"/>
          <w:b w:val="0"/>
          <w:i w:val="0"/>
          <w:sz w:val="28"/>
          <w:szCs w:val="28"/>
          <w:lang w:val="en-GB"/>
        </w:rPr>
        <w:t xml:space="preserve">ter on quarter and an increase of 673.7 thousand people </w:t>
      </w:r>
      <w:r w:rsidR="00346B9A" w:rsidRPr="00497687">
        <w:rPr>
          <w:rFonts w:asciiTheme="majorHAnsi" w:hAnsiTheme="majorHAnsi" w:cstheme="majorHAnsi"/>
          <w:b w:val="0"/>
          <w:i w:val="0"/>
          <w:sz w:val="28"/>
          <w:szCs w:val="28"/>
          <w:lang w:val="en-GB"/>
        </w:rPr>
        <w:t>or 3.7</w:t>
      </w:r>
      <w:r w:rsidR="00497687">
        <w:rPr>
          <w:rFonts w:asciiTheme="majorHAnsi" w:hAnsiTheme="majorHAnsi" w:cstheme="majorHAnsi"/>
          <w:b w:val="0"/>
          <w:i w:val="0"/>
          <w:sz w:val="28"/>
          <w:szCs w:val="28"/>
          <w:lang w:val="en-GB"/>
        </w:rPr>
        <w:t xml:space="preserve"> per cent </w:t>
      </w:r>
      <w:r w:rsidRPr="00497687">
        <w:rPr>
          <w:rFonts w:asciiTheme="majorHAnsi" w:hAnsiTheme="majorHAnsi" w:cstheme="majorHAnsi"/>
          <w:b w:val="0"/>
          <w:i w:val="0"/>
          <w:sz w:val="28"/>
          <w:szCs w:val="28"/>
          <w:lang w:val="en-GB"/>
        </w:rPr>
        <w:t xml:space="preserve">year on year), and 31.9 million people in rural areas (an increase of 376.6 thousand people </w:t>
      </w:r>
      <w:r w:rsidR="00346B9A" w:rsidRPr="00497687">
        <w:rPr>
          <w:rFonts w:asciiTheme="majorHAnsi" w:hAnsiTheme="majorHAnsi" w:cstheme="majorHAnsi"/>
          <w:b w:val="0"/>
          <w:i w:val="0"/>
          <w:sz w:val="28"/>
          <w:szCs w:val="28"/>
          <w:lang w:val="en-GB"/>
        </w:rPr>
        <w:t>or 1.2</w:t>
      </w:r>
      <w:r w:rsidR="00497687">
        <w:rPr>
          <w:rFonts w:asciiTheme="majorHAnsi" w:hAnsiTheme="majorHAnsi" w:cstheme="majorHAnsi"/>
          <w:b w:val="0"/>
          <w:i w:val="0"/>
          <w:sz w:val="28"/>
          <w:szCs w:val="28"/>
          <w:lang w:val="en-GB"/>
        </w:rPr>
        <w:t xml:space="preserve"> per cent </w:t>
      </w:r>
      <w:r w:rsidRPr="00497687">
        <w:rPr>
          <w:rFonts w:asciiTheme="majorHAnsi" w:hAnsiTheme="majorHAnsi" w:cstheme="majorHAnsi"/>
          <w:b w:val="0"/>
          <w:i w:val="0"/>
          <w:sz w:val="28"/>
          <w:szCs w:val="28"/>
          <w:lang w:val="en-GB"/>
        </w:rPr>
        <w:t xml:space="preserve">quarter on quarter and an increase of 27.9 thousand people </w:t>
      </w:r>
      <w:r w:rsidR="00346B9A" w:rsidRPr="00497687">
        <w:rPr>
          <w:rFonts w:asciiTheme="majorHAnsi" w:hAnsiTheme="majorHAnsi" w:cstheme="majorHAnsi"/>
          <w:b w:val="0"/>
          <w:i w:val="0"/>
          <w:sz w:val="28"/>
          <w:szCs w:val="28"/>
          <w:lang w:val="en-GB"/>
        </w:rPr>
        <w:t>or 0.1</w:t>
      </w:r>
      <w:r w:rsidR="00497687">
        <w:rPr>
          <w:rFonts w:asciiTheme="majorHAnsi" w:hAnsiTheme="majorHAnsi" w:cstheme="majorHAnsi"/>
          <w:b w:val="0"/>
          <w:i w:val="0"/>
          <w:sz w:val="28"/>
          <w:szCs w:val="28"/>
          <w:lang w:val="en-GB"/>
        </w:rPr>
        <w:t xml:space="preserve"> per cent </w:t>
      </w:r>
      <w:r w:rsidRPr="00497687">
        <w:rPr>
          <w:rFonts w:asciiTheme="majorHAnsi" w:hAnsiTheme="majorHAnsi" w:cstheme="majorHAnsi"/>
          <w:b w:val="0"/>
          <w:i w:val="0"/>
          <w:sz w:val="28"/>
          <w:szCs w:val="28"/>
          <w:lang w:val="en-GB"/>
        </w:rPr>
        <w:t xml:space="preserve">year on year). The increasing trend of employed workers was also observed for </w:t>
      </w:r>
      <w:r w:rsidR="00F0643B" w:rsidRPr="00497687">
        <w:rPr>
          <w:rFonts w:asciiTheme="majorHAnsi" w:hAnsiTheme="majorHAnsi" w:cstheme="majorHAnsi"/>
          <w:b w:val="0"/>
          <w:i w:val="0"/>
          <w:sz w:val="28"/>
          <w:szCs w:val="28"/>
          <w:lang w:val="en-GB"/>
        </w:rPr>
        <w:t xml:space="preserve">both </w:t>
      </w:r>
      <w:r w:rsidRPr="00497687">
        <w:rPr>
          <w:rFonts w:asciiTheme="majorHAnsi" w:hAnsiTheme="majorHAnsi" w:cstheme="majorHAnsi"/>
          <w:b w:val="0"/>
          <w:i w:val="0"/>
          <w:sz w:val="28"/>
          <w:szCs w:val="28"/>
          <w:lang w:val="en-GB"/>
        </w:rPr>
        <w:t xml:space="preserve">women and men, although the growth rate of employed workers was higher among </w:t>
      </w:r>
      <w:r w:rsidR="00F0643B" w:rsidRPr="00497687">
        <w:rPr>
          <w:rFonts w:asciiTheme="majorHAnsi" w:hAnsiTheme="majorHAnsi" w:cstheme="majorHAnsi"/>
          <w:b w:val="0"/>
          <w:i w:val="0"/>
          <w:sz w:val="28"/>
          <w:szCs w:val="28"/>
          <w:lang w:val="en-GB"/>
        </w:rPr>
        <w:t>former</w:t>
      </w:r>
      <w:r w:rsidRPr="00497687">
        <w:rPr>
          <w:rFonts w:asciiTheme="majorHAnsi" w:hAnsiTheme="majorHAnsi" w:cstheme="majorHAnsi"/>
          <w:b w:val="0"/>
          <w:i w:val="0"/>
          <w:sz w:val="28"/>
          <w:szCs w:val="28"/>
          <w:lang w:val="en-GB"/>
        </w:rPr>
        <w:t xml:space="preserve"> than </w:t>
      </w:r>
      <w:r w:rsidR="00F0643B" w:rsidRPr="00497687">
        <w:rPr>
          <w:rFonts w:asciiTheme="majorHAnsi" w:hAnsiTheme="majorHAnsi" w:cstheme="majorHAnsi"/>
          <w:b w:val="0"/>
          <w:i w:val="0"/>
          <w:sz w:val="28"/>
          <w:szCs w:val="28"/>
          <w:lang w:val="en-GB"/>
        </w:rPr>
        <w:t>latter</w:t>
      </w:r>
      <w:r w:rsidRPr="00497687">
        <w:rPr>
          <w:rFonts w:asciiTheme="majorHAnsi" w:hAnsiTheme="majorHAnsi" w:cstheme="majorHAnsi"/>
          <w:b w:val="0"/>
          <w:i w:val="0"/>
          <w:sz w:val="28"/>
          <w:szCs w:val="28"/>
          <w:lang w:val="en-GB"/>
        </w:rPr>
        <w:t>.</w:t>
      </w:r>
      <w:r w:rsidR="00AB5F02" w:rsidRPr="00497687">
        <w:rPr>
          <w:rStyle w:val="FootnoteReference"/>
          <w:rFonts w:asciiTheme="majorHAnsi" w:hAnsiTheme="majorHAnsi" w:cstheme="majorHAnsi"/>
          <w:b w:val="0"/>
          <w:i w:val="0"/>
          <w:sz w:val="28"/>
          <w:szCs w:val="28"/>
          <w:lang w:val="en-GB"/>
        </w:rPr>
        <w:footnoteReference w:id="3"/>
      </w:r>
    </w:p>
    <w:p w:rsidR="00B47345" w:rsidRPr="00497687" w:rsidRDefault="00D375AA" w:rsidP="003427BF">
      <w:pPr>
        <w:spacing w:before="120" w:after="120" w:line="276" w:lineRule="auto"/>
        <w:ind w:firstLine="709"/>
        <w:jc w:val="both"/>
        <w:rPr>
          <w:rFonts w:asciiTheme="majorHAnsi" w:hAnsiTheme="majorHAnsi" w:cstheme="majorHAnsi"/>
          <w:b w:val="0"/>
          <w:i w:val="0"/>
          <w:sz w:val="28"/>
          <w:szCs w:val="28"/>
          <w:lang w:val="en-GB"/>
        </w:rPr>
      </w:pPr>
      <w:r w:rsidRPr="00497687">
        <w:rPr>
          <w:rFonts w:asciiTheme="majorHAnsi" w:hAnsiTheme="majorHAnsi" w:cstheme="majorHAnsi"/>
          <w:b w:val="0"/>
          <w:i w:val="0"/>
          <w:sz w:val="28"/>
          <w:szCs w:val="28"/>
          <w:lang w:val="en-GB"/>
        </w:rPr>
        <w:t xml:space="preserve">The number of </w:t>
      </w:r>
      <w:r w:rsidR="00497687">
        <w:rPr>
          <w:rFonts w:asciiTheme="majorHAnsi" w:hAnsiTheme="majorHAnsi" w:cstheme="majorHAnsi"/>
          <w:b w:val="0"/>
          <w:i w:val="0"/>
          <w:sz w:val="28"/>
          <w:szCs w:val="28"/>
          <w:lang w:val="en-GB"/>
        </w:rPr>
        <w:t>statutory working-age</w:t>
      </w:r>
      <w:r w:rsidRPr="00497687">
        <w:rPr>
          <w:rFonts w:asciiTheme="majorHAnsi" w:hAnsiTheme="majorHAnsi" w:cstheme="majorHAnsi"/>
          <w:b w:val="0"/>
          <w:i w:val="0"/>
          <w:sz w:val="28"/>
          <w:szCs w:val="28"/>
          <w:lang w:val="en-GB"/>
        </w:rPr>
        <w:t xml:space="preserve"> employed workers </w:t>
      </w:r>
      <w:r w:rsidR="000D72C4" w:rsidRPr="00497687">
        <w:rPr>
          <w:rFonts w:asciiTheme="majorHAnsi" w:hAnsiTheme="majorHAnsi" w:cstheme="majorHAnsi"/>
          <w:b w:val="0"/>
          <w:i w:val="0"/>
          <w:sz w:val="28"/>
          <w:szCs w:val="28"/>
          <w:lang w:val="en-GB"/>
        </w:rPr>
        <w:t xml:space="preserve">in the second quarter of </w:t>
      </w:r>
      <w:r w:rsidRPr="00497687">
        <w:rPr>
          <w:rFonts w:asciiTheme="majorHAnsi" w:hAnsiTheme="majorHAnsi" w:cstheme="majorHAnsi"/>
          <w:b w:val="0"/>
          <w:i w:val="0"/>
          <w:sz w:val="28"/>
          <w:szCs w:val="28"/>
          <w:lang w:val="en-GB"/>
        </w:rPr>
        <w:t>2022 reached nearly 45.0 million people, an increase of 856.0 thousand people (equivalent to an increase of 1.9</w:t>
      </w:r>
      <w:r w:rsidR="001722D5" w:rsidRPr="00497687">
        <w:rPr>
          <w:rFonts w:asciiTheme="majorHAnsi" w:hAnsiTheme="majorHAnsi" w:cstheme="majorHAnsi"/>
          <w:b w:val="0"/>
          <w:i w:val="0"/>
          <w:sz w:val="28"/>
          <w:szCs w:val="28"/>
          <w:lang w:val="en-GB"/>
        </w:rPr>
        <w:t xml:space="preserve"> per cent </w:t>
      </w:r>
      <w:r w:rsidRPr="00497687">
        <w:rPr>
          <w:rFonts w:asciiTheme="majorHAnsi" w:hAnsiTheme="majorHAnsi" w:cstheme="majorHAnsi"/>
          <w:b w:val="0"/>
          <w:i w:val="0"/>
          <w:sz w:val="28"/>
          <w:szCs w:val="28"/>
          <w:lang w:val="en-GB"/>
        </w:rPr>
        <w:t>compared to the previous quarter) and an increase of 1.0 million people (or an increase of 2.3</w:t>
      </w:r>
      <w:r w:rsidR="001722D5" w:rsidRPr="00497687">
        <w:rPr>
          <w:rFonts w:asciiTheme="majorHAnsi" w:hAnsiTheme="majorHAnsi" w:cstheme="majorHAnsi"/>
          <w:b w:val="0"/>
          <w:i w:val="0"/>
          <w:sz w:val="28"/>
          <w:szCs w:val="28"/>
          <w:lang w:val="en-GB"/>
        </w:rPr>
        <w:t xml:space="preserve"> per cent </w:t>
      </w:r>
      <w:r w:rsidRPr="00497687">
        <w:rPr>
          <w:rFonts w:asciiTheme="majorHAnsi" w:hAnsiTheme="majorHAnsi" w:cstheme="majorHAnsi"/>
          <w:b w:val="0"/>
          <w:i w:val="0"/>
          <w:sz w:val="28"/>
          <w:szCs w:val="28"/>
          <w:lang w:val="en-GB"/>
        </w:rPr>
        <w:t xml:space="preserve">over the same period last year. The growth rate of </w:t>
      </w:r>
      <w:r w:rsidR="00497687">
        <w:rPr>
          <w:rFonts w:asciiTheme="majorHAnsi" w:hAnsiTheme="majorHAnsi" w:cstheme="majorHAnsi"/>
          <w:b w:val="0"/>
          <w:i w:val="0"/>
          <w:sz w:val="28"/>
          <w:szCs w:val="28"/>
          <w:lang w:val="en-GB"/>
        </w:rPr>
        <w:t>statutory working-age</w:t>
      </w:r>
      <w:r w:rsidRPr="00497687">
        <w:rPr>
          <w:rFonts w:asciiTheme="majorHAnsi" w:hAnsiTheme="majorHAnsi" w:cstheme="majorHAnsi"/>
          <w:b w:val="0"/>
          <w:i w:val="0"/>
          <w:sz w:val="28"/>
          <w:szCs w:val="28"/>
          <w:lang w:val="en-GB"/>
        </w:rPr>
        <w:t xml:space="preserve"> employed workers was higher than the overall growth rate of employed workers aged 15 and older, which shows very encouraging signs of the </w:t>
      </w:r>
      <w:r w:rsidR="008C4EBB" w:rsidRPr="00497687">
        <w:rPr>
          <w:rFonts w:asciiTheme="majorHAnsi" w:hAnsiTheme="majorHAnsi" w:cstheme="majorHAnsi"/>
          <w:b w:val="0"/>
          <w:i w:val="0"/>
          <w:sz w:val="28"/>
          <w:szCs w:val="28"/>
          <w:lang w:val="en-GB"/>
        </w:rPr>
        <w:t xml:space="preserve">labour </w:t>
      </w:r>
      <w:r w:rsidRPr="00497687">
        <w:rPr>
          <w:rFonts w:asciiTheme="majorHAnsi" w:hAnsiTheme="majorHAnsi" w:cstheme="majorHAnsi"/>
          <w:b w:val="0"/>
          <w:i w:val="0"/>
          <w:sz w:val="28"/>
          <w:szCs w:val="28"/>
          <w:lang w:val="en-GB"/>
        </w:rPr>
        <w:t>market.</w:t>
      </w:r>
      <w:r w:rsidR="00B47345" w:rsidRPr="00497687">
        <w:rPr>
          <w:rFonts w:asciiTheme="majorHAnsi" w:hAnsiTheme="majorHAnsi" w:cstheme="majorHAnsi"/>
          <w:b w:val="0"/>
          <w:i w:val="0"/>
          <w:sz w:val="28"/>
          <w:szCs w:val="28"/>
          <w:lang w:val="en-GB"/>
        </w:rPr>
        <w:t xml:space="preserve"> </w:t>
      </w:r>
    </w:p>
    <w:p w:rsidR="00B47345" w:rsidRPr="00497687" w:rsidRDefault="00D375AA" w:rsidP="003427BF">
      <w:pPr>
        <w:spacing w:before="120" w:after="120" w:line="276" w:lineRule="auto"/>
        <w:ind w:firstLine="709"/>
        <w:jc w:val="both"/>
        <w:rPr>
          <w:rFonts w:asciiTheme="majorHAnsi" w:hAnsiTheme="majorHAnsi" w:cstheme="majorHAnsi"/>
          <w:b w:val="0"/>
          <w:i w:val="0"/>
          <w:sz w:val="28"/>
          <w:szCs w:val="28"/>
          <w:lang w:val="en-GB"/>
        </w:rPr>
      </w:pPr>
      <w:r w:rsidRPr="00497687">
        <w:rPr>
          <w:rFonts w:asciiTheme="majorHAnsi" w:hAnsiTheme="majorHAnsi" w:cstheme="majorHAnsi"/>
          <w:b w:val="0"/>
          <w:i w:val="0"/>
          <w:sz w:val="28"/>
          <w:szCs w:val="28"/>
          <w:lang w:val="en-GB"/>
        </w:rPr>
        <w:t>Compared to the previous quarter, the numbers of employed workers</w:t>
      </w:r>
      <w:r w:rsidR="00953B2C">
        <w:rPr>
          <w:rFonts w:asciiTheme="majorHAnsi" w:hAnsiTheme="majorHAnsi" w:cstheme="majorHAnsi"/>
          <w:b w:val="0"/>
          <w:i w:val="0"/>
          <w:sz w:val="28"/>
          <w:szCs w:val="28"/>
          <w:lang w:val="en-GB"/>
        </w:rPr>
        <w:t xml:space="preserve"> in statutory working age</w:t>
      </w:r>
      <w:r w:rsidR="00F93EE4" w:rsidRPr="00497687">
        <w:rPr>
          <w:rFonts w:asciiTheme="majorHAnsi" w:hAnsiTheme="majorHAnsi" w:cstheme="majorHAnsi"/>
          <w:b w:val="0"/>
          <w:i w:val="0"/>
          <w:sz w:val="28"/>
          <w:szCs w:val="28"/>
          <w:lang w:val="en-GB"/>
        </w:rPr>
        <w:t xml:space="preserve"> increased</w:t>
      </w:r>
      <w:r w:rsidRPr="00497687">
        <w:rPr>
          <w:rFonts w:asciiTheme="majorHAnsi" w:hAnsiTheme="majorHAnsi" w:cstheme="majorHAnsi"/>
          <w:b w:val="0"/>
          <w:i w:val="0"/>
          <w:sz w:val="28"/>
          <w:szCs w:val="28"/>
          <w:lang w:val="en-GB"/>
        </w:rPr>
        <w:t xml:space="preserve"> in most socio-economic regions. Of all regions, Northern Midlands and Mountains recorded the highest increase (increasing by 379.4 thousand people or 7.5</w:t>
      </w:r>
      <w:r w:rsidR="003F4455" w:rsidRPr="00497687">
        <w:rPr>
          <w:rFonts w:asciiTheme="majorHAnsi" w:hAnsiTheme="majorHAnsi" w:cstheme="majorHAnsi"/>
          <w:b w:val="0"/>
          <w:i w:val="0"/>
          <w:sz w:val="28"/>
          <w:szCs w:val="28"/>
          <w:lang w:val="en-GB"/>
        </w:rPr>
        <w:t xml:space="preserve"> per cent)</w:t>
      </w:r>
      <w:r w:rsidRPr="00497687">
        <w:rPr>
          <w:rFonts w:asciiTheme="majorHAnsi" w:hAnsiTheme="majorHAnsi" w:cstheme="majorHAnsi"/>
          <w:b w:val="0"/>
          <w:i w:val="0"/>
          <w:sz w:val="28"/>
          <w:szCs w:val="28"/>
          <w:lang w:val="en-GB"/>
        </w:rPr>
        <w:t>, followed by the Red River Delta (increasing by 222.9 thousand people or 2.3</w:t>
      </w:r>
      <w:r w:rsidR="003F4455" w:rsidRPr="00497687">
        <w:rPr>
          <w:rFonts w:asciiTheme="majorHAnsi" w:hAnsiTheme="majorHAnsi" w:cstheme="majorHAnsi"/>
          <w:b w:val="0"/>
          <w:i w:val="0"/>
          <w:sz w:val="28"/>
          <w:szCs w:val="28"/>
          <w:lang w:val="en-GB"/>
        </w:rPr>
        <w:t xml:space="preserve"> per cent)</w:t>
      </w:r>
      <w:r w:rsidRPr="00497687">
        <w:rPr>
          <w:rFonts w:asciiTheme="majorHAnsi" w:hAnsiTheme="majorHAnsi" w:cstheme="majorHAnsi"/>
          <w:b w:val="0"/>
          <w:i w:val="0"/>
          <w:sz w:val="28"/>
          <w:szCs w:val="28"/>
          <w:lang w:val="en-GB"/>
        </w:rPr>
        <w:t>, Southeast (increasing by 155.1 thousand people or 1.6</w:t>
      </w:r>
      <w:r w:rsidR="003F4455" w:rsidRPr="00497687">
        <w:rPr>
          <w:rFonts w:asciiTheme="majorHAnsi" w:hAnsiTheme="majorHAnsi" w:cstheme="majorHAnsi"/>
          <w:b w:val="0"/>
          <w:i w:val="0"/>
          <w:sz w:val="28"/>
          <w:szCs w:val="28"/>
          <w:lang w:val="en-GB"/>
        </w:rPr>
        <w:t xml:space="preserve"> per cent)</w:t>
      </w:r>
      <w:r w:rsidRPr="00497687">
        <w:rPr>
          <w:rFonts w:asciiTheme="majorHAnsi" w:hAnsiTheme="majorHAnsi" w:cstheme="majorHAnsi"/>
          <w:b w:val="0"/>
          <w:i w:val="0"/>
          <w:sz w:val="28"/>
          <w:szCs w:val="28"/>
          <w:lang w:val="en-GB"/>
        </w:rPr>
        <w:t>.</w:t>
      </w:r>
    </w:p>
    <w:p w:rsidR="00F93EE4" w:rsidRPr="00497687" w:rsidRDefault="00F93EE4" w:rsidP="003427BF">
      <w:pPr>
        <w:spacing w:before="120" w:after="120" w:line="276" w:lineRule="auto"/>
        <w:ind w:firstLine="709"/>
        <w:jc w:val="both"/>
        <w:rPr>
          <w:rFonts w:asciiTheme="majorHAnsi" w:hAnsiTheme="majorHAnsi" w:cstheme="majorHAnsi"/>
          <w:b w:val="0"/>
          <w:i w:val="0"/>
          <w:sz w:val="28"/>
          <w:szCs w:val="28"/>
          <w:lang w:val="en-GB"/>
        </w:rPr>
      </w:pPr>
      <w:r w:rsidRPr="00497687">
        <w:rPr>
          <w:rFonts w:asciiTheme="majorHAnsi" w:hAnsiTheme="majorHAnsi" w:cstheme="majorHAnsi"/>
          <w:b w:val="0"/>
          <w:i w:val="0"/>
          <w:sz w:val="28"/>
          <w:szCs w:val="28"/>
          <w:lang w:val="en-GB"/>
        </w:rPr>
        <w:t xml:space="preserve">The </w:t>
      </w:r>
      <w:r w:rsidR="00497687">
        <w:rPr>
          <w:rFonts w:asciiTheme="majorHAnsi" w:hAnsiTheme="majorHAnsi" w:cstheme="majorHAnsi"/>
          <w:b w:val="0"/>
          <w:i w:val="0"/>
          <w:sz w:val="28"/>
          <w:szCs w:val="28"/>
          <w:lang w:val="en-GB"/>
        </w:rPr>
        <w:t xml:space="preserve">labour </w:t>
      </w:r>
      <w:r w:rsidRPr="00497687">
        <w:rPr>
          <w:rFonts w:asciiTheme="majorHAnsi" w:hAnsiTheme="majorHAnsi" w:cstheme="majorHAnsi"/>
          <w:b w:val="0"/>
          <w:i w:val="0"/>
          <w:sz w:val="28"/>
          <w:szCs w:val="28"/>
          <w:lang w:val="en-GB"/>
        </w:rPr>
        <w:t xml:space="preserve">market continued </w:t>
      </w:r>
      <w:r w:rsidR="0042322B" w:rsidRPr="00497687">
        <w:rPr>
          <w:rFonts w:asciiTheme="majorHAnsi" w:hAnsiTheme="majorHAnsi" w:cstheme="majorHAnsi"/>
          <w:b w:val="0"/>
          <w:i w:val="0"/>
          <w:sz w:val="28"/>
          <w:szCs w:val="28"/>
          <w:lang w:val="en-GB"/>
        </w:rPr>
        <w:t>its</w:t>
      </w:r>
      <w:r w:rsidRPr="00497687">
        <w:rPr>
          <w:rFonts w:asciiTheme="majorHAnsi" w:hAnsiTheme="majorHAnsi" w:cstheme="majorHAnsi"/>
          <w:b w:val="0"/>
          <w:i w:val="0"/>
          <w:sz w:val="28"/>
          <w:szCs w:val="28"/>
          <w:lang w:val="en-GB"/>
        </w:rPr>
        <w:t xml:space="preserve"> strong growth momentum of the previous quarter. The flexible approach to preventing the pandemic, the policy of completely opening up tourism activities, and the </w:t>
      </w:r>
      <w:r w:rsidR="001A28D6">
        <w:rPr>
          <w:rFonts w:asciiTheme="majorHAnsi" w:hAnsiTheme="majorHAnsi" w:cstheme="majorHAnsi"/>
          <w:b w:val="0"/>
          <w:i w:val="0"/>
          <w:sz w:val="28"/>
          <w:szCs w:val="28"/>
          <w:lang w:val="en-GB"/>
        </w:rPr>
        <w:t>Socio-Economic Recovery and Development Programme</w:t>
      </w:r>
      <w:r w:rsidRPr="00497687">
        <w:rPr>
          <w:rFonts w:asciiTheme="majorHAnsi" w:hAnsiTheme="majorHAnsi" w:cstheme="majorHAnsi"/>
          <w:b w:val="0"/>
          <w:i w:val="0"/>
          <w:sz w:val="28"/>
          <w:szCs w:val="28"/>
          <w:lang w:val="en-GB"/>
        </w:rPr>
        <w:t xml:space="preserve"> under Resolution No. 11/NQ-CP dated January 30, 2022 are all the main drivers th</w:t>
      </w:r>
      <w:r w:rsidR="00235AEC">
        <w:rPr>
          <w:rFonts w:asciiTheme="majorHAnsi" w:hAnsiTheme="majorHAnsi" w:cstheme="majorHAnsi"/>
          <w:b w:val="0"/>
          <w:i w:val="0"/>
          <w:sz w:val="28"/>
          <w:szCs w:val="28"/>
          <w:lang w:val="en-GB"/>
        </w:rPr>
        <w:t>at brighten the picture of Viet N</w:t>
      </w:r>
      <w:r w:rsidRPr="00497687">
        <w:rPr>
          <w:rFonts w:asciiTheme="majorHAnsi" w:hAnsiTheme="majorHAnsi" w:cstheme="majorHAnsi"/>
          <w:b w:val="0"/>
          <w:i w:val="0"/>
          <w:sz w:val="28"/>
          <w:szCs w:val="28"/>
          <w:lang w:val="en-GB"/>
        </w:rPr>
        <w:t>am</w:t>
      </w:r>
      <w:r w:rsidR="00F622A3">
        <w:rPr>
          <w:rFonts w:asciiTheme="majorHAnsi" w:hAnsiTheme="majorHAnsi" w:cstheme="majorHAnsi"/>
          <w:b w:val="0"/>
          <w:i w:val="0"/>
          <w:sz w:val="28"/>
          <w:szCs w:val="28"/>
          <w:lang w:val="en-GB"/>
        </w:rPr>
        <w:t>’</w:t>
      </w:r>
      <w:r w:rsidRPr="00497687">
        <w:rPr>
          <w:rFonts w:asciiTheme="majorHAnsi" w:hAnsiTheme="majorHAnsi" w:cstheme="majorHAnsi"/>
          <w:b w:val="0"/>
          <w:i w:val="0"/>
          <w:sz w:val="28"/>
          <w:szCs w:val="28"/>
          <w:lang w:val="en-GB"/>
        </w:rPr>
        <w:t xml:space="preserve">s </w:t>
      </w:r>
      <w:r w:rsidR="00497687">
        <w:rPr>
          <w:rFonts w:asciiTheme="majorHAnsi" w:hAnsiTheme="majorHAnsi" w:cstheme="majorHAnsi"/>
          <w:b w:val="0"/>
          <w:i w:val="0"/>
          <w:sz w:val="28"/>
          <w:szCs w:val="28"/>
          <w:lang w:val="en-GB"/>
        </w:rPr>
        <w:t xml:space="preserve">labour </w:t>
      </w:r>
      <w:r w:rsidRPr="00497687">
        <w:rPr>
          <w:rFonts w:asciiTheme="majorHAnsi" w:hAnsiTheme="majorHAnsi" w:cstheme="majorHAnsi"/>
          <w:b w:val="0"/>
          <w:i w:val="0"/>
          <w:sz w:val="28"/>
          <w:szCs w:val="28"/>
          <w:lang w:val="en-GB"/>
        </w:rPr>
        <w:t>market in the second quarter of 2022.</w:t>
      </w:r>
    </w:p>
    <w:p w:rsidR="00F93EE4" w:rsidRPr="00497687" w:rsidRDefault="00F93EE4" w:rsidP="003427BF">
      <w:pPr>
        <w:spacing w:before="120" w:after="120" w:line="276" w:lineRule="auto"/>
        <w:ind w:firstLine="709"/>
        <w:jc w:val="both"/>
        <w:rPr>
          <w:rFonts w:asciiTheme="majorHAnsi" w:hAnsiTheme="majorHAnsi" w:cstheme="majorHAnsi"/>
          <w:sz w:val="28"/>
          <w:szCs w:val="28"/>
          <w:lang w:val="en-GB"/>
        </w:rPr>
      </w:pPr>
      <w:r w:rsidRPr="00497687">
        <w:rPr>
          <w:rFonts w:asciiTheme="majorHAnsi" w:hAnsiTheme="majorHAnsi" w:cstheme="majorHAnsi"/>
          <w:sz w:val="28"/>
          <w:szCs w:val="28"/>
          <w:lang w:val="en-GB"/>
        </w:rPr>
        <w:t>Employment in the services sector continued to prosper after the decline hit the bott</w:t>
      </w:r>
      <w:r w:rsidR="00953B2C">
        <w:rPr>
          <w:rFonts w:asciiTheme="majorHAnsi" w:hAnsiTheme="majorHAnsi" w:cstheme="majorHAnsi"/>
          <w:sz w:val="28"/>
          <w:szCs w:val="28"/>
          <w:lang w:val="en-GB"/>
        </w:rPr>
        <w:t>om in the third quarter of 2021</w:t>
      </w:r>
    </w:p>
    <w:p w:rsidR="00F93EE4" w:rsidRPr="00497687" w:rsidRDefault="00382DD9" w:rsidP="003427BF">
      <w:pPr>
        <w:spacing w:before="120" w:after="120" w:line="276" w:lineRule="auto"/>
        <w:ind w:firstLine="709"/>
        <w:jc w:val="both"/>
        <w:rPr>
          <w:rFonts w:asciiTheme="majorHAnsi" w:hAnsiTheme="majorHAnsi" w:cstheme="majorHAnsi"/>
          <w:b w:val="0"/>
          <w:i w:val="0"/>
          <w:sz w:val="28"/>
          <w:szCs w:val="28"/>
          <w:lang w:val="en-GB"/>
        </w:rPr>
      </w:pPr>
      <w:r w:rsidRPr="00497687">
        <w:rPr>
          <w:rFonts w:asciiTheme="majorHAnsi" w:hAnsiTheme="majorHAnsi" w:cstheme="majorHAnsi"/>
          <w:b w:val="0"/>
          <w:i w:val="0"/>
          <w:sz w:val="28"/>
          <w:szCs w:val="28"/>
          <w:lang w:val="en-GB"/>
        </w:rPr>
        <w:t xml:space="preserve">In the second quarter of 2022, there were 19.8 million employed workers in the services sector, an increase of 429.8 thousand people relative to the previous quarter. This is the third quarter in a row since the decline hit the bottom in the third quarter of 2021 that the Vietnamese </w:t>
      </w:r>
      <w:r w:rsidR="00497687">
        <w:rPr>
          <w:rFonts w:asciiTheme="majorHAnsi" w:hAnsiTheme="majorHAnsi" w:cstheme="majorHAnsi"/>
          <w:b w:val="0"/>
          <w:i w:val="0"/>
          <w:sz w:val="28"/>
          <w:szCs w:val="28"/>
          <w:lang w:val="en-GB"/>
        </w:rPr>
        <w:t xml:space="preserve">labour </w:t>
      </w:r>
      <w:r w:rsidRPr="00497687">
        <w:rPr>
          <w:rFonts w:asciiTheme="majorHAnsi" w:hAnsiTheme="majorHAnsi" w:cstheme="majorHAnsi"/>
          <w:b w:val="0"/>
          <w:i w:val="0"/>
          <w:sz w:val="28"/>
          <w:szCs w:val="28"/>
          <w:lang w:val="en-GB"/>
        </w:rPr>
        <w:t>market recorded a strong increase in the number of workers employed in the services sector. In the most recent three quarters, on a quarterly average, this sector received nearly 900 thousand new workers, much higher than the growth rate of the other two sectors, i.e., AFF and Industry and Construction.</w:t>
      </w:r>
      <w:r w:rsidR="000551D9" w:rsidRPr="00497687">
        <w:rPr>
          <w:rStyle w:val="FootnoteReference"/>
          <w:rFonts w:asciiTheme="majorHAnsi" w:hAnsiTheme="majorHAnsi" w:cstheme="majorHAnsi"/>
          <w:b w:val="0"/>
          <w:i w:val="0"/>
          <w:sz w:val="28"/>
          <w:szCs w:val="28"/>
          <w:lang w:val="en-GB"/>
        </w:rPr>
        <w:footnoteReference w:id="4"/>
      </w:r>
    </w:p>
    <w:p w:rsidR="00447381" w:rsidRPr="00497687" w:rsidRDefault="00447381" w:rsidP="00470FE4">
      <w:pPr>
        <w:spacing w:line="276" w:lineRule="auto"/>
        <w:ind w:firstLine="709"/>
        <w:jc w:val="both"/>
        <w:rPr>
          <w:rFonts w:asciiTheme="majorHAnsi" w:hAnsiTheme="majorHAnsi" w:cstheme="majorHAnsi"/>
          <w:i w:val="0"/>
          <w:sz w:val="28"/>
          <w:szCs w:val="28"/>
          <w:lang w:val="en-GB"/>
        </w:rPr>
      </w:pPr>
      <w:r w:rsidRPr="00497687">
        <w:rPr>
          <w:rFonts w:asciiTheme="majorHAnsi" w:hAnsiTheme="majorHAnsi" w:cstheme="majorHAnsi"/>
          <w:i w:val="0"/>
          <w:sz w:val="28"/>
          <w:szCs w:val="28"/>
          <w:lang w:val="en-GB"/>
        </w:rPr>
        <w:t xml:space="preserve">Figure 3: Employed workers </w:t>
      </w:r>
      <w:r w:rsidR="00531DFD" w:rsidRPr="00497687">
        <w:rPr>
          <w:rFonts w:asciiTheme="majorHAnsi" w:hAnsiTheme="majorHAnsi" w:cstheme="majorHAnsi"/>
          <w:i w:val="0"/>
          <w:sz w:val="28"/>
          <w:szCs w:val="28"/>
          <w:lang w:val="en-GB"/>
        </w:rPr>
        <w:t>in services</w:t>
      </w:r>
      <w:r w:rsidRPr="00497687">
        <w:rPr>
          <w:rFonts w:asciiTheme="majorHAnsi" w:hAnsiTheme="majorHAnsi" w:cstheme="majorHAnsi"/>
          <w:i w:val="0"/>
          <w:sz w:val="28"/>
          <w:szCs w:val="28"/>
          <w:lang w:val="en-GB"/>
        </w:rPr>
        <w:t xml:space="preserve"> sector by quarter, 2020-2022</w:t>
      </w:r>
    </w:p>
    <w:p w:rsidR="00447381" w:rsidRPr="00497687" w:rsidRDefault="00447381" w:rsidP="003427BF">
      <w:pPr>
        <w:spacing w:before="120" w:after="120" w:line="276" w:lineRule="auto"/>
        <w:jc w:val="right"/>
        <w:rPr>
          <w:rFonts w:asciiTheme="majorHAnsi" w:hAnsiTheme="majorHAnsi" w:cstheme="majorHAnsi"/>
          <w:b w:val="0"/>
          <w:spacing w:val="-6"/>
          <w:sz w:val="28"/>
          <w:szCs w:val="28"/>
          <w:lang w:val="en-GB"/>
        </w:rPr>
      </w:pPr>
      <w:r w:rsidRPr="00497687">
        <w:rPr>
          <w:rFonts w:asciiTheme="majorHAnsi" w:hAnsiTheme="majorHAnsi" w:cstheme="majorHAnsi"/>
          <w:b w:val="0"/>
          <w:spacing w:val="-6"/>
          <w:sz w:val="28"/>
          <w:szCs w:val="28"/>
          <w:lang w:val="en-GB"/>
        </w:rPr>
        <w:t>Unit: Million people</w:t>
      </w:r>
    </w:p>
    <w:p w:rsidR="00447381" w:rsidRPr="00497687" w:rsidRDefault="00531DFD" w:rsidP="0099588C">
      <w:pPr>
        <w:spacing w:before="120" w:after="120" w:line="276" w:lineRule="auto"/>
        <w:jc w:val="center"/>
        <w:rPr>
          <w:rFonts w:asciiTheme="majorHAnsi" w:hAnsiTheme="majorHAnsi" w:cstheme="majorHAnsi"/>
          <w:b w:val="0"/>
          <w:i w:val="0"/>
          <w:sz w:val="28"/>
          <w:szCs w:val="28"/>
          <w:lang w:val="en-GB"/>
        </w:rPr>
      </w:pPr>
      <w:r w:rsidRPr="00497687">
        <w:rPr>
          <w:rFonts w:asciiTheme="majorHAnsi" w:hAnsiTheme="majorHAnsi" w:cstheme="majorHAnsi"/>
          <w:noProof/>
          <w:sz w:val="28"/>
          <w:szCs w:val="28"/>
        </w:rPr>
        <w:drawing>
          <wp:inline distT="0" distB="0" distL="0" distR="0">
            <wp:extent cx="5403272" cy="1939290"/>
            <wp:effectExtent l="0" t="0" r="6985" b="381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47381" w:rsidRPr="00497687" w:rsidRDefault="00531DFD" w:rsidP="003427BF">
      <w:pPr>
        <w:spacing w:before="120" w:after="120" w:line="276" w:lineRule="auto"/>
        <w:ind w:firstLine="709"/>
        <w:jc w:val="both"/>
        <w:rPr>
          <w:rFonts w:asciiTheme="majorHAnsi" w:hAnsiTheme="majorHAnsi" w:cstheme="majorHAnsi"/>
          <w:b w:val="0"/>
          <w:i w:val="0"/>
          <w:sz w:val="28"/>
          <w:szCs w:val="28"/>
          <w:lang w:val="en-GB"/>
        </w:rPr>
      </w:pPr>
      <w:r w:rsidRPr="00497687">
        <w:rPr>
          <w:rFonts w:asciiTheme="majorHAnsi" w:hAnsiTheme="majorHAnsi" w:cstheme="majorHAnsi"/>
          <w:b w:val="0"/>
          <w:i w:val="0"/>
          <w:sz w:val="28"/>
          <w:szCs w:val="28"/>
          <w:lang w:val="en-GB"/>
        </w:rPr>
        <w:t xml:space="preserve">The policy of completely opening up to tourism activities as from March 15, 2022 has been an important spur to help workers in the services sector gradually regain their pre-pandemic original state, thus generating a momentum for growth and development. </w:t>
      </w:r>
      <w:r w:rsidR="00447381" w:rsidRPr="00497687">
        <w:rPr>
          <w:rFonts w:asciiTheme="majorHAnsi" w:hAnsiTheme="majorHAnsi" w:cstheme="majorHAnsi"/>
          <w:b w:val="0"/>
          <w:i w:val="0"/>
          <w:sz w:val="28"/>
          <w:szCs w:val="28"/>
          <w:lang w:val="en-GB"/>
        </w:rPr>
        <w:t xml:space="preserve">Some industries </w:t>
      </w:r>
      <w:r w:rsidRPr="00497687">
        <w:rPr>
          <w:rFonts w:asciiTheme="majorHAnsi" w:hAnsiTheme="majorHAnsi" w:cstheme="majorHAnsi"/>
          <w:b w:val="0"/>
          <w:i w:val="0"/>
          <w:sz w:val="28"/>
          <w:szCs w:val="28"/>
          <w:lang w:val="en-GB"/>
        </w:rPr>
        <w:t xml:space="preserve">in services sector </w:t>
      </w:r>
      <w:r w:rsidR="00447381" w:rsidRPr="00497687">
        <w:rPr>
          <w:rFonts w:asciiTheme="majorHAnsi" w:hAnsiTheme="majorHAnsi" w:cstheme="majorHAnsi"/>
          <w:b w:val="0"/>
          <w:i w:val="0"/>
          <w:sz w:val="28"/>
          <w:szCs w:val="28"/>
          <w:lang w:val="en-GB"/>
        </w:rPr>
        <w:t>recorded a high increase in employment. These include, for example, Wholesale and Retail</w:t>
      </w:r>
      <w:r w:rsidR="00945F6B" w:rsidRPr="00497687">
        <w:rPr>
          <w:rFonts w:asciiTheme="majorHAnsi" w:hAnsiTheme="majorHAnsi" w:cstheme="majorHAnsi"/>
          <w:b w:val="0"/>
          <w:i w:val="0"/>
          <w:sz w:val="28"/>
          <w:szCs w:val="28"/>
          <w:lang w:val="en-GB"/>
        </w:rPr>
        <w:t xml:space="preserve"> Trade</w:t>
      </w:r>
      <w:r w:rsidR="00447381" w:rsidRPr="00497687">
        <w:rPr>
          <w:rFonts w:asciiTheme="majorHAnsi" w:hAnsiTheme="majorHAnsi" w:cstheme="majorHAnsi"/>
          <w:b w:val="0"/>
          <w:i w:val="0"/>
          <w:sz w:val="28"/>
          <w:szCs w:val="28"/>
          <w:lang w:val="en-GB"/>
        </w:rPr>
        <w:t xml:space="preserve">; Repair of Motor Vehicles and Motorcycles </w:t>
      </w:r>
      <w:r w:rsidRPr="00497687">
        <w:rPr>
          <w:rFonts w:asciiTheme="majorHAnsi" w:hAnsiTheme="majorHAnsi" w:cstheme="majorHAnsi"/>
          <w:b w:val="0"/>
          <w:i w:val="0"/>
          <w:sz w:val="28"/>
          <w:szCs w:val="28"/>
          <w:lang w:val="en-GB"/>
        </w:rPr>
        <w:t xml:space="preserve">(an increase of </w:t>
      </w:r>
      <w:r w:rsidR="00447381" w:rsidRPr="00497687">
        <w:rPr>
          <w:rFonts w:asciiTheme="majorHAnsi" w:hAnsiTheme="majorHAnsi" w:cstheme="majorHAnsi"/>
          <w:b w:val="0"/>
          <w:i w:val="0"/>
          <w:sz w:val="28"/>
          <w:szCs w:val="28"/>
          <w:lang w:val="en-GB"/>
        </w:rPr>
        <w:t xml:space="preserve">201.3 thousand people </w:t>
      </w:r>
      <w:r w:rsidRPr="00497687">
        <w:rPr>
          <w:rFonts w:asciiTheme="majorHAnsi" w:hAnsiTheme="majorHAnsi" w:cstheme="majorHAnsi"/>
          <w:b w:val="0"/>
          <w:i w:val="0"/>
          <w:sz w:val="28"/>
          <w:szCs w:val="28"/>
          <w:lang w:val="en-GB"/>
        </w:rPr>
        <w:t>quarter on quarter</w:t>
      </w:r>
      <w:r w:rsidR="00447381" w:rsidRPr="00497687">
        <w:rPr>
          <w:rFonts w:asciiTheme="majorHAnsi" w:hAnsiTheme="majorHAnsi" w:cstheme="majorHAnsi"/>
          <w:b w:val="0"/>
          <w:i w:val="0"/>
          <w:sz w:val="28"/>
          <w:szCs w:val="28"/>
          <w:lang w:val="en-GB"/>
        </w:rPr>
        <w:t xml:space="preserve"> and 341.5 thousand people </w:t>
      </w:r>
      <w:r w:rsidRPr="00497687">
        <w:rPr>
          <w:rFonts w:asciiTheme="majorHAnsi" w:hAnsiTheme="majorHAnsi" w:cstheme="majorHAnsi"/>
          <w:b w:val="0"/>
          <w:i w:val="0"/>
          <w:sz w:val="28"/>
          <w:szCs w:val="28"/>
          <w:lang w:val="en-GB"/>
        </w:rPr>
        <w:t>year on year)</w:t>
      </w:r>
      <w:r w:rsidR="00447381" w:rsidRPr="00497687">
        <w:rPr>
          <w:rFonts w:asciiTheme="majorHAnsi" w:hAnsiTheme="majorHAnsi" w:cstheme="majorHAnsi"/>
          <w:b w:val="0"/>
          <w:i w:val="0"/>
          <w:sz w:val="28"/>
          <w:szCs w:val="28"/>
          <w:lang w:val="en-GB"/>
        </w:rPr>
        <w:t>; Other Service</w:t>
      </w:r>
      <w:r w:rsidR="00945F6B" w:rsidRPr="00497687">
        <w:rPr>
          <w:rFonts w:asciiTheme="majorHAnsi" w:hAnsiTheme="majorHAnsi" w:cstheme="majorHAnsi"/>
          <w:b w:val="0"/>
          <w:i w:val="0"/>
          <w:sz w:val="28"/>
          <w:szCs w:val="28"/>
          <w:lang w:val="en-GB"/>
        </w:rPr>
        <w:t>s</w:t>
      </w:r>
      <w:r w:rsidR="00447381" w:rsidRPr="00497687">
        <w:rPr>
          <w:rFonts w:asciiTheme="majorHAnsi" w:hAnsiTheme="majorHAnsi" w:cstheme="majorHAnsi"/>
          <w:b w:val="0"/>
          <w:i w:val="0"/>
          <w:sz w:val="28"/>
          <w:szCs w:val="28"/>
          <w:lang w:val="en-GB"/>
        </w:rPr>
        <w:t xml:space="preserve"> Activities </w:t>
      </w:r>
      <w:r w:rsidRPr="00497687">
        <w:rPr>
          <w:rFonts w:asciiTheme="majorHAnsi" w:hAnsiTheme="majorHAnsi" w:cstheme="majorHAnsi"/>
          <w:b w:val="0"/>
          <w:i w:val="0"/>
          <w:sz w:val="28"/>
          <w:szCs w:val="28"/>
          <w:lang w:val="en-GB"/>
        </w:rPr>
        <w:t xml:space="preserve">with an </w:t>
      </w:r>
      <w:r w:rsidR="00447381" w:rsidRPr="00497687">
        <w:rPr>
          <w:rFonts w:asciiTheme="majorHAnsi" w:hAnsiTheme="majorHAnsi" w:cstheme="majorHAnsi"/>
          <w:b w:val="0"/>
          <w:i w:val="0"/>
          <w:sz w:val="28"/>
          <w:szCs w:val="28"/>
          <w:lang w:val="en-GB"/>
        </w:rPr>
        <w:t>increase</w:t>
      </w:r>
      <w:r w:rsidRPr="00497687">
        <w:rPr>
          <w:rFonts w:asciiTheme="majorHAnsi" w:hAnsiTheme="majorHAnsi" w:cstheme="majorHAnsi"/>
          <w:b w:val="0"/>
          <w:i w:val="0"/>
          <w:sz w:val="28"/>
          <w:szCs w:val="28"/>
          <w:lang w:val="en-GB"/>
        </w:rPr>
        <w:t xml:space="preserve"> of </w:t>
      </w:r>
      <w:r w:rsidR="00447381" w:rsidRPr="00497687">
        <w:rPr>
          <w:rFonts w:asciiTheme="majorHAnsi" w:hAnsiTheme="majorHAnsi" w:cstheme="majorHAnsi"/>
          <w:b w:val="0"/>
          <w:i w:val="0"/>
          <w:sz w:val="28"/>
          <w:szCs w:val="28"/>
          <w:lang w:val="en-GB"/>
        </w:rPr>
        <w:t xml:space="preserve">94.8 thousand people quarter on quarter and 47.8 thousand people year on year; </w:t>
      </w:r>
      <w:r w:rsidRPr="00497687">
        <w:rPr>
          <w:rFonts w:asciiTheme="majorHAnsi" w:hAnsiTheme="majorHAnsi" w:cstheme="majorHAnsi"/>
          <w:b w:val="0"/>
          <w:i w:val="0"/>
          <w:sz w:val="28"/>
          <w:szCs w:val="28"/>
          <w:lang w:val="en-GB"/>
        </w:rPr>
        <w:t xml:space="preserve">and </w:t>
      </w:r>
      <w:r w:rsidR="00447381" w:rsidRPr="00497687">
        <w:rPr>
          <w:rFonts w:asciiTheme="majorHAnsi" w:hAnsiTheme="majorHAnsi" w:cstheme="majorHAnsi"/>
          <w:b w:val="0"/>
          <w:i w:val="0"/>
          <w:sz w:val="28"/>
          <w:szCs w:val="28"/>
          <w:lang w:val="en-GB"/>
        </w:rPr>
        <w:t xml:space="preserve">Accommodation and </w:t>
      </w:r>
      <w:r w:rsidR="00945F6B" w:rsidRPr="00497687">
        <w:rPr>
          <w:rFonts w:asciiTheme="majorHAnsi" w:hAnsiTheme="majorHAnsi" w:cstheme="majorHAnsi"/>
          <w:b w:val="0"/>
          <w:i w:val="0"/>
          <w:sz w:val="28"/>
          <w:szCs w:val="28"/>
          <w:lang w:val="en-GB"/>
        </w:rPr>
        <w:t>Food</w:t>
      </w:r>
      <w:r w:rsidR="00447381" w:rsidRPr="00497687">
        <w:rPr>
          <w:rFonts w:asciiTheme="majorHAnsi" w:hAnsiTheme="majorHAnsi" w:cstheme="majorHAnsi"/>
          <w:b w:val="0"/>
          <w:i w:val="0"/>
          <w:sz w:val="28"/>
          <w:szCs w:val="28"/>
          <w:lang w:val="en-GB"/>
        </w:rPr>
        <w:t xml:space="preserve"> </w:t>
      </w:r>
      <w:r w:rsidR="00945F6B" w:rsidRPr="00497687">
        <w:rPr>
          <w:rFonts w:asciiTheme="majorHAnsi" w:hAnsiTheme="majorHAnsi" w:cstheme="majorHAnsi"/>
          <w:b w:val="0"/>
          <w:i w:val="0"/>
          <w:sz w:val="28"/>
          <w:szCs w:val="28"/>
          <w:lang w:val="en-GB"/>
        </w:rPr>
        <w:t>S</w:t>
      </w:r>
      <w:r w:rsidR="00447381" w:rsidRPr="00497687">
        <w:rPr>
          <w:rFonts w:asciiTheme="majorHAnsi" w:hAnsiTheme="majorHAnsi" w:cstheme="majorHAnsi"/>
          <w:b w:val="0"/>
          <w:i w:val="0"/>
          <w:sz w:val="28"/>
          <w:szCs w:val="28"/>
          <w:lang w:val="en-GB"/>
        </w:rPr>
        <w:t xml:space="preserve">ervices </w:t>
      </w:r>
      <w:r w:rsidRPr="00497687">
        <w:rPr>
          <w:rFonts w:asciiTheme="majorHAnsi" w:hAnsiTheme="majorHAnsi" w:cstheme="majorHAnsi"/>
          <w:b w:val="0"/>
          <w:i w:val="0"/>
          <w:sz w:val="28"/>
          <w:szCs w:val="28"/>
          <w:lang w:val="en-GB"/>
        </w:rPr>
        <w:t>with an increase of</w:t>
      </w:r>
      <w:r w:rsidR="00447381" w:rsidRPr="00497687">
        <w:rPr>
          <w:rFonts w:asciiTheme="majorHAnsi" w:hAnsiTheme="majorHAnsi" w:cstheme="majorHAnsi"/>
          <w:b w:val="0"/>
          <w:i w:val="0"/>
          <w:sz w:val="28"/>
          <w:szCs w:val="28"/>
          <w:lang w:val="en-GB"/>
        </w:rPr>
        <w:t xml:space="preserve"> 91.4 thousand people </w:t>
      </w:r>
      <w:r w:rsidRPr="00497687">
        <w:rPr>
          <w:rFonts w:asciiTheme="majorHAnsi" w:hAnsiTheme="majorHAnsi" w:cstheme="majorHAnsi"/>
          <w:b w:val="0"/>
          <w:i w:val="0"/>
          <w:sz w:val="28"/>
          <w:szCs w:val="28"/>
          <w:lang w:val="en-GB"/>
        </w:rPr>
        <w:t>quarter on quarter</w:t>
      </w:r>
      <w:r w:rsidR="00447381" w:rsidRPr="00497687">
        <w:rPr>
          <w:rFonts w:asciiTheme="majorHAnsi" w:hAnsiTheme="majorHAnsi" w:cstheme="majorHAnsi"/>
          <w:b w:val="0"/>
          <w:i w:val="0"/>
          <w:sz w:val="28"/>
          <w:szCs w:val="28"/>
          <w:lang w:val="en-GB"/>
        </w:rPr>
        <w:t xml:space="preserve"> and 24.1 thousand people over the same period last year.</w:t>
      </w:r>
    </w:p>
    <w:p w:rsidR="00532059" w:rsidRPr="00497687" w:rsidRDefault="00532059" w:rsidP="003427BF">
      <w:pPr>
        <w:spacing w:before="120" w:after="120" w:line="276" w:lineRule="auto"/>
        <w:ind w:firstLine="709"/>
        <w:jc w:val="both"/>
        <w:rPr>
          <w:rFonts w:asciiTheme="majorHAnsi" w:hAnsiTheme="majorHAnsi" w:cstheme="majorHAnsi"/>
          <w:sz w:val="28"/>
          <w:szCs w:val="28"/>
          <w:lang w:val="en-GB"/>
        </w:rPr>
      </w:pPr>
      <w:r w:rsidRPr="00497687">
        <w:rPr>
          <w:rFonts w:asciiTheme="majorHAnsi" w:hAnsiTheme="majorHAnsi" w:cstheme="majorHAnsi"/>
          <w:sz w:val="28"/>
          <w:szCs w:val="28"/>
          <w:lang w:val="en-GB"/>
        </w:rPr>
        <w:t xml:space="preserve">The </w:t>
      </w:r>
      <w:r w:rsidR="00497687">
        <w:rPr>
          <w:rFonts w:asciiTheme="majorHAnsi" w:hAnsiTheme="majorHAnsi" w:cstheme="majorHAnsi"/>
          <w:sz w:val="28"/>
          <w:szCs w:val="28"/>
          <w:lang w:val="en-GB"/>
        </w:rPr>
        <w:t xml:space="preserve">labour </w:t>
      </w:r>
      <w:r w:rsidRPr="00497687">
        <w:rPr>
          <w:rFonts w:asciiTheme="majorHAnsi" w:hAnsiTheme="majorHAnsi" w:cstheme="majorHAnsi"/>
          <w:sz w:val="28"/>
          <w:szCs w:val="28"/>
          <w:lang w:val="en-GB"/>
        </w:rPr>
        <w:t xml:space="preserve">market </w:t>
      </w:r>
      <w:r w:rsidR="0042322B" w:rsidRPr="00497687">
        <w:rPr>
          <w:rFonts w:asciiTheme="majorHAnsi" w:hAnsiTheme="majorHAnsi" w:cstheme="majorHAnsi"/>
          <w:sz w:val="28"/>
          <w:szCs w:val="28"/>
          <w:lang w:val="en-GB"/>
        </w:rPr>
        <w:t>has indicated</w:t>
      </w:r>
      <w:r w:rsidRPr="00497687">
        <w:rPr>
          <w:rFonts w:asciiTheme="majorHAnsi" w:hAnsiTheme="majorHAnsi" w:cstheme="majorHAnsi"/>
          <w:sz w:val="28"/>
          <w:szCs w:val="28"/>
          <w:lang w:val="en-GB"/>
        </w:rPr>
        <w:t xml:space="preserve"> signs of sustainable growth</w:t>
      </w:r>
    </w:p>
    <w:p w:rsidR="00532059" w:rsidRPr="00497687" w:rsidRDefault="00532059" w:rsidP="003427BF">
      <w:pPr>
        <w:spacing w:before="120" w:after="120" w:line="276" w:lineRule="auto"/>
        <w:ind w:firstLine="709"/>
        <w:jc w:val="both"/>
        <w:rPr>
          <w:rFonts w:asciiTheme="majorHAnsi" w:hAnsiTheme="majorHAnsi" w:cstheme="majorHAnsi"/>
          <w:b w:val="0"/>
          <w:i w:val="0"/>
          <w:sz w:val="28"/>
          <w:szCs w:val="28"/>
          <w:lang w:val="en-GB"/>
        </w:rPr>
      </w:pPr>
      <w:r w:rsidRPr="00497687">
        <w:rPr>
          <w:rFonts w:asciiTheme="majorHAnsi" w:hAnsiTheme="majorHAnsi" w:cstheme="majorHAnsi"/>
          <w:b w:val="0"/>
          <w:i w:val="0"/>
          <w:sz w:val="28"/>
          <w:szCs w:val="28"/>
          <w:lang w:val="en-GB"/>
        </w:rPr>
        <w:t xml:space="preserve">In the second quarter of 2022, the number of informally employed workers was 21.4 million, an increase of 54.5 thousand people compared to the previous quarter and an increase of 499.0 thousand people over the same period last year. The number of informally employed workers in this quarter was 17.1 million people, an increase of 449.3 thousand people compared to the previous quarter and an increase of 1.6 million people compared to the same period last year. Compared to both the previous quarter and the same period last year, the number of employed workers in the formal sector increased much more than those in the informal sector. This suggests that the </w:t>
      </w:r>
      <w:r w:rsidR="00497687">
        <w:rPr>
          <w:rFonts w:asciiTheme="majorHAnsi" w:hAnsiTheme="majorHAnsi" w:cstheme="majorHAnsi"/>
          <w:b w:val="0"/>
          <w:i w:val="0"/>
          <w:sz w:val="28"/>
          <w:szCs w:val="28"/>
          <w:lang w:val="en-GB"/>
        </w:rPr>
        <w:t xml:space="preserve">labour </w:t>
      </w:r>
      <w:r w:rsidRPr="00497687">
        <w:rPr>
          <w:rFonts w:asciiTheme="majorHAnsi" w:hAnsiTheme="majorHAnsi" w:cstheme="majorHAnsi"/>
          <w:b w:val="0"/>
          <w:i w:val="0"/>
          <w:sz w:val="28"/>
          <w:szCs w:val="28"/>
          <w:lang w:val="en-GB"/>
        </w:rPr>
        <w:t>market has recovered in a sustainable manner.</w:t>
      </w:r>
    </w:p>
    <w:p w:rsidR="00532059" w:rsidRPr="00497687" w:rsidRDefault="00532059" w:rsidP="003427BF">
      <w:pPr>
        <w:spacing w:before="120" w:after="120" w:line="276" w:lineRule="auto"/>
        <w:ind w:firstLine="709"/>
        <w:jc w:val="both"/>
        <w:rPr>
          <w:rFonts w:asciiTheme="majorHAnsi" w:hAnsiTheme="majorHAnsi" w:cstheme="majorHAnsi"/>
          <w:b w:val="0"/>
          <w:i w:val="0"/>
          <w:sz w:val="28"/>
          <w:szCs w:val="28"/>
          <w:lang w:val="en-GB"/>
        </w:rPr>
      </w:pPr>
      <w:r w:rsidRPr="00497687">
        <w:rPr>
          <w:rFonts w:asciiTheme="majorHAnsi" w:hAnsiTheme="majorHAnsi" w:cstheme="majorHAnsi"/>
          <w:b w:val="0"/>
          <w:i w:val="0"/>
          <w:sz w:val="28"/>
          <w:szCs w:val="28"/>
          <w:lang w:val="en-GB"/>
        </w:rPr>
        <w:t xml:space="preserve">The </w:t>
      </w:r>
      <w:r w:rsidR="005F2F1C" w:rsidRPr="00497687">
        <w:rPr>
          <w:rFonts w:asciiTheme="majorHAnsi" w:hAnsiTheme="majorHAnsi" w:cstheme="majorHAnsi"/>
          <w:b w:val="0"/>
          <w:i w:val="0"/>
          <w:sz w:val="28"/>
          <w:szCs w:val="28"/>
          <w:lang w:val="en-GB"/>
        </w:rPr>
        <w:t>prevalence</w:t>
      </w:r>
      <w:r w:rsidR="00235AEC">
        <w:rPr>
          <w:rFonts w:asciiTheme="majorHAnsi" w:hAnsiTheme="majorHAnsi" w:cstheme="majorHAnsi"/>
          <w:b w:val="0"/>
          <w:i w:val="0"/>
          <w:sz w:val="28"/>
          <w:szCs w:val="28"/>
          <w:lang w:val="en-GB"/>
        </w:rPr>
        <w:t xml:space="preserve"> of non-AFF informal</w:t>
      </w:r>
      <w:r w:rsidRPr="00497687">
        <w:rPr>
          <w:rFonts w:asciiTheme="majorHAnsi" w:hAnsiTheme="majorHAnsi" w:cstheme="majorHAnsi"/>
          <w:b w:val="0"/>
          <w:i w:val="0"/>
          <w:sz w:val="28"/>
          <w:szCs w:val="28"/>
          <w:lang w:val="en-GB"/>
        </w:rPr>
        <w:t xml:space="preserve"> employ</w:t>
      </w:r>
      <w:r w:rsidR="00235AEC">
        <w:rPr>
          <w:rFonts w:asciiTheme="majorHAnsi" w:hAnsiTheme="majorHAnsi" w:cstheme="majorHAnsi"/>
          <w:b w:val="0"/>
          <w:i w:val="0"/>
          <w:sz w:val="28"/>
          <w:szCs w:val="28"/>
          <w:lang w:val="en-GB"/>
        </w:rPr>
        <w:t xml:space="preserve">ment </w:t>
      </w:r>
      <w:r w:rsidRPr="00497687">
        <w:rPr>
          <w:rFonts w:asciiTheme="majorHAnsi" w:hAnsiTheme="majorHAnsi" w:cstheme="majorHAnsi"/>
          <w:b w:val="0"/>
          <w:i w:val="0"/>
          <w:sz w:val="28"/>
          <w:szCs w:val="28"/>
          <w:lang w:val="en-GB"/>
        </w:rPr>
        <w:t>in the second quarter of 2022 was 55.6</w:t>
      </w:r>
      <w:r w:rsidR="00497687">
        <w:rPr>
          <w:rFonts w:asciiTheme="majorHAnsi" w:hAnsiTheme="majorHAnsi" w:cstheme="majorHAnsi"/>
          <w:b w:val="0"/>
          <w:i w:val="0"/>
          <w:sz w:val="28"/>
          <w:szCs w:val="28"/>
          <w:lang w:val="en-GB"/>
        </w:rPr>
        <w:t xml:space="preserve"> per cent,</w:t>
      </w:r>
      <w:r w:rsidRPr="00497687">
        <w:rPr>
          <w:rFonts w:asciiTheme="majorHAnsi" w:hAnsiTheme="majorHAnsi" w:cstheme="majorHAnsi"/>
          <w:b w:val="0"/>
          <w:i w:val="0"/>
          <w:sz w:val="28"/>
          <w:szCs w:val="28"/>
          <w:lang w:val="en-GB"/>
        </w:rPr>
        <w:t xml:space="preserve"> down 0.6 percentage points compared to the previous quarter and down 1.8 percentage points over the same period last year. The urban informal employment prevalence was 47.5</w:t>
      </w:r>
      <w:r w:rsidR="00497687">
        <w:rPr>
          <w:rFonts w:asciiTheme="majorHAnsi" w:hAnsiTheme="majorHAnsi" w:cstheme="majorHAnsi"/>
          <w:b w:val="0"/>
          <w:i w:val="0"/>
          <w:sz w:val="28"/>
          <w:szCs w:val="28"/>
          <w:lang w:val="en-GB"/>
        </w:rPr>
        <w:t xml:space="preserve"> per cent,</w:t>
      </w:r>
      <w:r w:rsidRPr="00497687">
        <w:rPr>
          <w:rFonts w:asciiTheme="majorHAnsi" w:hAnsiTheme="majorHAnsi" w:cstheme="majorHAnsi"/>
          <w:b w:val="0"/>
          <w:i w:val="0"/>
          <w:sz w:val="28"/>
          <w:szCs w:val="28"/>
          <w:lang w:val="en-GB"/>
        </w:rPr>
        <w:t xml:space="preserve"> down 0.6 percentage points from the previous quarter and down 1.1 percentage points from the same period last year, where the rural informal employment prevalence was 62.3</w:t>
      </w:r>
      <w:r w:rsidR="00497687">
        <w:rPr>
          <w:rFonts w:asciiTheme="majorHAnsi" w:hAnsiTheme="majorHAnsi" w:cstheme="majorHAnsi"/>
          <w:b w:val="0"/>
          <w:i w:val="0"/>
          <w:sz w:val="28"/>
          <w:szCs w:val="28"/>
          <w:lang w:val="en-GB"/>
        </w:rPr>
        <w:t xml:space="preserve"> per cent,</w:t>
      </w:r>
      <w:r w:rsidRPr="00497687">
        <w:rPr>
          <w:rFonts w:asciiTheme="majorHAnsi" w:hAnsiTheme="majorHAnsi" w:cstheme="majorHAnsi"/>
          <w:b w:val="0"/>
          <w:i w:val="0"/>
          <w:sz w:val="28"/>
          <w:szCs w:val="28"/>
          <w:lang w:val="en-GB"/>
        </w:rPr>
        <w:t xml:space="preserve"> down 0.6 percentage points compared to the previous quarter and down 2.4 percentage points over the same period last year.</w:t>
      </w:r>
    </w:p>
    <w:p w:rsidR="00532059" w:rsidRPr="00497687" w:rsidRDefault="00EA2EF7" w:rsidP="003427BF">
      <w:pPr>
        <w:spacing w:before="120" w:after="120" w:line="276" w:lineRule="auto"/>
        <w:ind w:firstLine="709"/>
        <w:jc w:val="both"/>
        <w:rPr>
          <w:rFonts w:asciiTheme="majorHAnsi" w:hAnsiTheme="majorHAnsi" w:cstheme="majorHAnsi"/>
          <w:sz w:val="28"/>
          <w:szCs w:val="28"/>
          <w:lang w:val="en-GB"/>
        </w:rPr>
      </w:pPr>
      <w:r w:rsidRPr="00497687">
        <w:rPr>
          <w:rFonts w:asciiTheme="majorHAnsi" w:hAnsiTheme="majorHAnsi" w:cstheme="majorHAnsi"/>
          <w:sz w:val="28"/>
          <w:szCs w:val="28"/>
          <w:lang w:val="en-GB"/>
        </w:rPr>
        <w:t xml:space="preserve">Underemployment has improved significantly across the country, with underemployment in the services sector </w:t>
      </w:r>
      <w:r w:rsidR="0042322B" w:rsidRPr="00497687">
        <w:rPr>
          <w:rFonts w:asciiTheme="majorHAnsi" w:hAnsiTheme="majorHAnsi" w:cstheme="majorHAnsi"/>
          <w:sz w:val="28"/>
          <w:szCs w:val="28"/>
          <w:lang w:val="en-GB"/>
        </w:rPr>
        <w:t>recording the biggest decline</w:t>
      </w:r>
    </w:p>
    <w:p w:rsidR="0052426A" w:rsidRPr="00497687" w:rsidRDefault="00537451" w:rsidP="003427BF">
      <w:pPr>
        <w:spacing w:before="120" w:after="120" w:line="276" w:lineRule="auto"/>
        <w:ind w:firstLine="709"/>
        <w:jc w:val="both"/>
        <w:rPr>
          <w:rFonts w:asciiTheme="majorHAnsi" w:hAnsiTheme="majorHAnsi" w:cstheme="majorHAnsi"/>
          <w:b w:val="0"/>
          <w:i w:val="0"/>
          <w:sz w:val="28"/>
          <w:szCs w:val="28"/>
          <w:lang w:val="en-GB"/>
        </w:rPr>
      </w:pPr>
      <w:bookmarkStart w:id="7" w:name="OLE_LINK31"/>
      <w:bookmarkStart w:id="8" w:name="OLE_LINK32"/>
      <w:bookmarkStart w:id="9" w:name="OLE_LINK33"/>
      <w:bookmarkStart w:id="10" w:name="OLE_LINK34"/>
      <w:bookmarkStart w:id="11" w:name="OLE_LINK35"/>
      <w:r w:rsidRPr="00497687">
        <w:rPr>
          <w:rFonts w:asciiTheme="majorHAnsi" w:hAnsiTheme="majorHAnsi" w:cstheme="majorHAnsi"/>
          <w:b w:val="0"/>
          <w:i w:val="0"/>
          <w:sz w:val="28"/>
          <w:szCs w:val="28"/>
          <w:lang w:val="en-GB"/>
        </w:rPr>
        <w:t xml:space="preserve">The implementation of the </w:t>
      </w:r>
      <w:r w:rsidR="001A28D6">
        <w:rPr>
          <w:rFonts w:asciiTheme="majorHAnsi" w:hAnsiTheme="majorHAnsi" w:cstheme="majorHAnsi"/>
          <w:b w:val="0"/>
          <w:i w:val="0"/>
          <w:sz w:val="28"/>
          <w:szCs w:val="28"/>
          <w:lang w:val="en-GB"/>
        </w:rPr>
        <w:t>Socio-Economic Recovery and Development Programme</w:t>
      </w:r>
      <w:r w:rsidRPr="00497687">
        <w:rPr>
          <w:rFonts w:asciiTheme="majorHAnsi" w:hAnsiTheme="majorHAnsi" w:cstheme="majorHAnsi"/>
          <w:b w:val="0"/>
          <w:i w:val="0"/>
          <w:sz w:val="28"/>
          <w:szCs w:val="28"/>
          <w:lang w:val="en-GB"/>
        </w:rPr>
        <w:t xml:space="preserve"> as per the Resolution 11/NQ-CP with specific solutions, such as supporting workers to return to the </w:t>
      </w:r>
      <w:r w:rsidR="002E218D" w:rsidRPr="00497687">
        <w:rPr>
          <w:rFonts w:asciiTheme="majorHAnsi" w:hAnsiTheme="majorHAnsi" w:cstheme="majorHAnsi"/>
          <w:b w:val="0"/>
          <w:i w:val="0"/>
          <w:sz w:val="28"/>
          <w:szCs w:val="28"/>
          <w:lang w:val="en-GB"/>
        </w:rPr>
        <w:t xml:space="preserve">labour </w:t>
      </w:r>
      <w:r w:rsidRPr="00497687">
        <w:rPr>
          <w:rFonts w:asciiTheme="majorHAnsi" w:hAnsiTheme="majorHAnsi" w:cstheme="majorHAnsi"/>
          <w:b w:val="0"/>
          <w:i w:val="0"/>
          <w:sz w:val="28"/>
          <w:szCs w:val="28"/>
          <w:lang w:val="en-GB"/>
        </w:rPr>
        <w:t xml:space="preserve">market, and those currently employed in enterprises across the country, has contributed to promoting a strong recovery of the </w:t>
      </w:r>
      <w:r w:rsidR="002E218D" w:rsidRPr="00497687">
        <w:rPr>
          <w:rFonts w:asciiTheme="majorHAnsi" w:hAnsiTheme="majorHAnsi" w:cstheme="majorHAnsi"/>
          <w:b w:val="0"/>
          <w:i w:val="0"/>
          <w:sz w:val="28"/>
          <w:szCs w:val="28"/>
          <w:lang w:val="en-GB"/>
        </w:rPr>
        <w:t xml:space="preserve">labour </w:t>
      </w:r>
      <w:r w:rsidRPr="00497687">
        <w:rPr>
          <w:rFonts w:asciiTheme="majorHAnsi" w:hAnsiTheme="majorHAnsi" w:cstheme="majorHAnsi"/>
          <w:b w:val="0"/>
          <w:i w:val="0"/>
          <w:sz w:val="28"/>
          <w:szCs w:val="28"/>
          <w:lang w:val="en-GB"/>
        </w:rPr>
        <w:t xml:space="preserve">market in </w:t>
      </w:r>
      <w:r w:rsidR="00722938" w:rsidRPr="00497687">
        <w:rPr>
          <w:rFonts w:asciiTheme="majorHAnsi" w:eastAsia="Calibri" w:hAnsiTheme="majorHAnsi" w:cstheme="majorHAnsi"/>
          <w:b w:val="0"/>
          <w:bCs/>
          <w:i w:val="0"/>
          <w:iCs/>
          <w:spacing w:val="-10"/>
          <w:sz w:val="28"/>
          <w:szCs w:val="28"/>
          <w:lang w:val="en-GB"/>
        </w:rPr>
        <w:t xml:space="preserve">the second quarter of </w:t>
      </w:r>
      <w:r w:rsidRPr="00497687">
        <w:rPr>
          <w:rFonts w:asciiTheme="majorHAnsi" w:hAnsiTheme="majorHAnsi" w:cstheme="majorHAnsi"/>
          <w:b w:val="0"/>
          <w:i w:val="0"/>
          <w:sz w:val="28"/>
          <w:szCs w:val="28"/>
          <w:lang w:val="en-GB"/>
        </w:rPr>
        <w:t xml:space="preserve">2022. In </w:t>
      </w:r>
      <w:r w:rsidR="002E218D" w:rsidRPr="00497687">
        <w:rPr>
          <w:rFonts w:asciiTheme="majorHAnsi" w:hAnsiTheme="majorHAnsi" w:cstheme="majorHAnsi"/>
          <w:b w:val="0"/>
          <w:i w:val="0"/>
          <w:sz w:val="28"/>
          <w:szCs w:val="28"/>
          <w:lang w:val="en-GB"/>
        </w:rPr>
        <w:t>particular</w:t>
      </w:r>
      <w:r w:rsidRPr="00497687">
        <w:rPr>
          <w:rFonts w:asciiTheme="majorHAnsi" w:hAnsiTheme="majorHAnsi" w:cstheme="majorHAnsi"/>
          <w:b w:val="0"/>
          <w:i w:val="0"/>
          <w:sz w:val="28"/>
          <w:szCs w:val="28"/>
          <w:lang w:val="en-GB"/>
        </w:rPr>
        <w:t xml:space="preserve">, the number of underemployed people </w:t>
      </w:r>
      <w:r w:rsidR="00722938" w:rsidRPr="00497687">
        <w:rPr>
          <w:rFonts w:asciiTheme="majorHAnsi" w:hAnsiTheme="majorHAnsi" w:cstheme="majorHAnsi"/>
          <w:b w:val="0"/>
          <w:i w:val="0"/>
          <w:sz w:val="28"/>
          <w:szCs w:val="28"/>
          <w:lang w:val="en-GB"/>
        </w:rPr>
        <w:t>in the second quarter of 2022</w:t>
      </w:r>
      <w:r w:rsidRPr="00497687">
        <w:rPr>
          <w:rFonts w:asciiTheme="majorHAnsi" w:hAnsiTheme="majorHAnsi" w:cstheme="majorHAnsi"/>
          <w:b w:val="0"/>
          <w:i w:val="0"/>
          <w:sz w:val="28"/>
          <w:szCs w:val="28"/>
          <w:lang w:val="en-GB"/>
        </w:rPr>
        <w:t xml:space="preserve"> was about 881.8 thousand people, down 447.1 thousand people compared to the previous quarter and 263.1 thousand people compared to the same period last year. The overall underemployment rate </w:t>
      </w:r>
      <w:r w:rsidR="00722938" w:rsidRPr="00497687">
        <w:rPr>
          <w:rFonts w:asciiTheme="majorHAnsi" w:hAnsiTheme="majorHAnsi" w:cstheme="majorHAnsi"/>
          <w:b w:val="0"/>
          <w:i w:val="0"/>
          <w:sz w:val="28"/>
          <w:szCs w:val="28"/>
          <w:lang w:val="en-GB"/>
        </w:rPr>
        <w:t>in the second quarter of 2022</w:t>
      </w:r>
      <w:r w:rsidRPr="00497687">
        <w:rPr>
          <w:rFonts w:asciiTheme="majorHAnsi" w:hAnsiTheme="majorHAnsi" w:cstheme="majorHAnsi"/>
          <w:b w:val="0"/>
          <w:i w:val="0"/>
          <w:sz w:val="28"/>
          <w:szCs w:val="28"/>
          <w:lang w:val="en-GB"/>
        </w:rPr>
        <w:t xml:space="preserve"> was 1.96</w:t>
      </w:r>
      <w:r w:rsidR="003F4455" w:rsidRPr="00497687">
        <w:rPr>
          <w:rFonts w:asciiTheme="majorHAnsi" w:hAnsiTheme="majorHAnsi" w:cstheme="majorHAnsi"/>
          <w:b w:val="0"/>
          <w:i w:val="0"/>
          <w:sz w:val="28"/>
          <w:szCs w:val="28"/>
          <w:lang w:val="en-GB"/>
        </w:rPr>
        <w:t xml:space="preserve"> per cent,</w:t>
      </w:r>
      <w:r w:rsidRPr="00497687">
        <w:rPr>
          <w:rFonts w:asciiTheme="majorHAnsi" w:hAnsiTheme="majorHAnsi" w:cstheme="majorHAnsi"/>
          <w:b w:val="0"/>
          <w:i w:val="0"/>
          <w:sz w:val="28"/>
          <w:szCs w:val="28"/>
          <w:lang w:val="en-GB"/>
        </w:rPr>
        <w:t xml:space="preserve"> down 1.05 percentage points compared to the previous quarter and down 0.64 percentage points over the same period last year. The </w:t>
      </w:r>
      <w:r w:rsidR="00497687">
        <w:rPr>
          <w:rFonts w:asciiTheme="majorHAnsi" w:hAnsiTheme="majorHAnsi" w:cstheme="majorHAnsi"/>
          <w:b w:val="0"/>
          <w:i w:val="0"/>
          <w:sz w:val="28"/>
          <w:szCs w:val="28"/>
          <w:lang w:val="en-GB"/>
        </w:rPr>
        <w:t>statutory working-age</w:t>
      </w:r>
      <w:r w:rsidR="0047476C" w:rsidRPr="00497687">
        <w:rPr>
          <w:rFonts w:asciiTheme="majorHAnsi" w:hAnsiTheme="majorHAnsi" w:cstheme="majorHAnsi"/>
          <w:b w:val="0"/>
          <w:i w:val="0"/>
          <w:sz w:val="28"/>
          <w:szCs w:val="28"/>
          <w:vertAlign w:val="superscript"/>
          <w:lang w:val="en-GB"/>
        </w:rPr>
        <w:footnoteReference w:id="5"/>
      </w:r>
      <w:r w:rsidRPr="00497687">
        <w:rPr>
          <w:rFonts w:asciiTheme="majorHAnsi" w:hAnsiTheme="majorHAnsi" w:cstheme="majorHAnsi"/>
          <w:b w:val="0"/>
          <w:i w:val="0"/>
          <w:sz w:val="28"/>
          <w:szCs w:val="28"/>
          <w:lang w:val="en-GB"/>
        </w:rPr>
        <w:t xml:space="preserve"> underemployment rate in urban areas was lower than in rural areas (1.37</w:t>
      </w:r>
      <w:r w:rsidR="001722D5" w:rsidRPr="00497687">
        <w:rPr>
          <w:rFonts w:asciiTheme="majorHAnsi" w:hAnsiTheme="majorHAnsi" w:cstheme="majorHAnsi"/>
          <w:b w:val="0"/>
          <w:i w:val="0"/>
          <w:sz w:val="28"/>
          <w:szCs w:val="28"/>
          <w:lang w:val="en-GB"/>
        </w:rPr>
        <w:t xml:space="preserve"> per cent </w:t>
      </w:r>
      <w:r w:rsidRPr="00497687">
        <w:rPr>
          <w:rFonts w:asciiTheme="majorHAnsi" w:hAnsiTheme="majorHAnsi" w:cstheme="majorHAnsi"/>
          <w:b w:val="0"/>
          <w:i w:val="0"/>
          <w:sz w:val="28"/>
          <w:szCs w:val="28"/>
          <w:lang w:val="en-GB"/>
        </w:rPr>
        <w:t>and 2.32</w:t>
      </w:r>
      <w:r w:rsidR="003F4455" w:rsidRPr="00497687">
        <w:rPr>
          <w:rFonts w:asciiTheme="majorHAnsi" w:hAnsiTheme="majorHAnsi" w:cstheme="majorHAnsi"/>
          <w:b w:val="0"/>
          <w:i w:val="0"/>
          <w:sz w:val="28"/>
          <w:szCs w:val="28"/>
          <w:lang w:val="en-GB"/>
        </w:rPr>
        <w:t xml:space="preserve"> per cent,</w:t>
      </w:r>
      <w:r w:rsidRPr="00497687">
        <w:rPr>
          <w:rFonts w:asciiTheme="majorHAnsi" w:hAnsiTheme="majorHAnsi" w:cstheme="majorHAnsi"/>
          <w:b w:val="0"/>
          <w:i w:val="0"/>
          <w:sz w:val="28"/>
          <w:szCs w:val="28"/>
          <w:lang w:val="en-GB"/>
        </w:rPr>
        <w:t xml:space="preserve"> respectively). T</w:t>
      </w:r>
      <w:r w:rsidR="00A105A2" w:rsidRPr="00497687">
        <w:rPr>
          <w:rFonts w:asciiTheme="majorHAnsi" w:hAnsiTheme="majorHAnsi" w:cstheme="majorHAnsi"/>
          <w:b w:val="0"/>
          <w:i w:val="0"/>
          <w:sz w:val="28"/>
          <w:szCs w:val="28"/>
          <w:lang w:val="en-GB"/>
        </w:rPr>
        <w:t>hus, the underemployment status</w:t>
      </w:r>
      <w:r w:rsidRPr="00497687">
        <w:rPr>
          <w:rFonts w:asciiTheme="majorHAnsi" w:hAnsiTheme="majorHAnsi" w:cstheme="majorHAnsi"/>
          <w:b w:val="0"/>
          <w:i w:val="0"/>
          <w:sz w:val="28"/>
          <w:szCs w:val="28"/>
          <w:lang w:val="en-GB"/>
        </w:rPr>
        <w:t xml:space="preserve"> has improved significantly in both urban and rural areas </w:t>
      </w:r>
      <w:r w:rsidR="00EA2EF7" w:rsidRPr="00497687">
        <w:rPr>
          <w:rFonts w:asciiTheme="majorHAnsi" w:hAnsiTheme="majorHAnsi" w:cstheme="majorHAnsi"/>
          <w:b w:val="0"/>
          <w:i w:val="0"/>
          <w:sz w:val="28"/>
          <w:szCs w:val="28"/>
          <w:lang w:val="en-GB"/>
        </w:rPr>
        <w:t xml:space="preserve">relative to the first quarter of 2022 </w:t>
      </w:r>
      <w:r w:rsidRPr="00497687">
        <w:rPr>
          <w:rFonts w:asciiTheme="majorHAnsi" w:hAnsiTheme="majorHAnsi" w:cstheme="majorHAnsi"/>
          <w:b w:val="0"/>
          <w:i w:val="0"/>
          <w:sz w:val="28"/>
          <w:szCs w:val="28"/>
          <w:lang w:val="en-GB"/>
        </w:rPr>
        <w:t>(i.e., a respective 2.39</w:t>
      </w:r>
      <w:r w:rsidR="001722D5" w:rsidRPr="00497687">
        <w:rPr>
          <w:rFonts w:asciiTheme="majorHAnsi" w:hAnsiTheme="majorHAnsi" w:cstheme="majorHAnsi"/>
          <w:b w:val="0"/>
          <w:i w:val="0"/>
          <w:sz w:val="28"/>
          <w:szCs w:val="28"/>
          <w:lang w:val="en-GB"/>
        </w:rPr>
        <w:t xml:space="preserve"> per cent </w:t>
      </w:r>
      <w:r w:rsidRPr="00497687">
        <w:rPr>
          <w:rFonts w:asciiTheme="majorHAnsi" w:hAnsiTheme="majorHAnsi" w:cstheme="majorHAnsi"/>
          <w:b w:val="0"/>
          <w:i w:val="0"/>
          <w:sz w:val="28"/>
          <w:szCs w:val="28"/>
          <w:lang w:val="en-GB"/>
        </w:rPr>
        <w:t>and 3.40</w:t>
      </w:r>
      <w:r w:rsidR="00EA2EF7" w:rsidRPr="00497687">
        <w:rPr>
          <w:rFonts w:asciiTheme="majorHAnsi" w:hAnsiTheme="majorHAnsi" w:cstheme="majorHAnsi"/>
          <w:b w:val="0"/>
          <w:i w:val="0"/>
          <w:sz w:val="28"/>
          <w:szCs w:val="28"/>
          <w:lang w:val="en-GB"/>
        </w:rPr>
        <w:t xml:space="preserve"> per cent)</w:t>
      </w:r>
      <w:r w:rsidRPr="00497687">
        <w:rPr>
          <w:rFonts w:asciiTheme="majorHAnsi" w:hAnsiTheme="majorHAnsi" w:cstheme="majorHAnsi"/>
          <w:b w:val="0"/>
          <w:i w:val="0"/>
          <w:sz w:val="28"/>
          <w:szCs w:val="28"/>
          <w:lang w:val="en-GB"/>
        </w:rPr>
        <w:t>.</w:t>
      </w:r>
      <w:bookmarkEnd w:id="7"/>
      <w:bookmarkEnd w:id="8"/>
      <w:bookmarkEnd w:id="9"/>
      <w:bookmarkEnd w:id="10"/>
      <w:bookmarkEnd w:id="11"/>
      <w:r w:rsidR="0066799F" w:rsidRPr="00497687">
        <w:rPr>
          <w:rFonts w:asciiTheme="majorHAnsi" w:hAnsiTheme="majorHAnsi" w:cstheme="majorHAnsi"/>
          <w:b w:val="0"/>
          <w:i w:val="0"/>
          <w:sz w:val="28"/>
          <w:szCs w:val="28"/>
          <w:vertAlign w:val="superscript"/>
          <w:lang w:val="en-GB"/>
        </w:rPr>
        <w:footnoteReference w:id="6"/>
      </w:r>
      <w:r w:rsidR="0066799F" w:rsidRPr="00497687">
        <w:rPr>
          <w:rFonts w:asciiTheme="majorHAnsi" w:hAnsiTheme="majorHAnsi" w:cstheme="majorHAnsi"/>
          <w:b w:val="0"/>
          <w:i w:val="0"/>
          <w:sz w:val="28"/>
          <w:szCs w:val="28"/>
          <w:lang w:val="en-GB"/>
        </w:rPr>
        <w:t xml:space="preserve"> </w:t>
      </w:r>
    </w:p>
    <w:p w:rsidR="00470FE4" w:rsidRDefault="00F05093" w:rsidP="003427BF">
      <w:pPr>
        <w:spacing w:before="120" w:line="276" w:lineRule="auto"/>
        <w:jc w:val="center"/>
        <w:rPr>
          <w:rFonts w:asciiTheme="majorHAnsi" w:hAnsiTheme="majorHAnsi" w:cstheme="majorHAnsi"/>
          <w:bCs/>
          <w:i w:val="0"/>
          <w:iCs/>
          <w:sz w:val="28"/>
          <w:szCs w:val="28"/>
          <w:lang w:val="en-GB"/>
        </w:rPr>
      </w:pPr>
      <w:r w:rsidRPr="00497687">
        <w:rPr>
          <w:rFonts w:asciiTheme="majorHAnsi" w:hAnsiTheme="majorHAnsi" w:cstheme="majorHAnsi"/>
          <w:bCs/>
          <w:i w:val="0"/>
          <w:iCs/>
          <w:sz w:val="28"/>
          <w:szCs w:val="28"/>
          <w:lang w:val="en-GB"/>
        </w:rPr>
        <w:t xml:space="preserve">Figure </w:t>
      </w:r>
      <w:r w:rsidR="00EA2EF7" w:rsidRPr="00497687">
        <w:rPr>
          <w:rFonts w:asciiTheme="majorHAnsi" w:hAnsiTheme="majorHAnsi" w:cstheme="majorHAnsi"/>
          <w:bCs/>
          <w:i w:val="0"/>
          <w:iCs/>
          <w:sz w:val="28"/>
          <w:szCs w:val="28"/>
          <w:lang w:val="en-GB"/>
        </w:rPr>
        <w:t>4</w:t>
      </w:r>
      <w:r w:rsidRPr="00497687">
        <w:rPr>
          <w:rFonts w:asciiTheme="majorHAnsi" w:hAnsiTheme="majorHAnsi" w:cstheme="majorHAnsi"/>
          <w:bCs/>
          <w:i w:val="0"/>
          <w:iCs/>
          <w:sz w:val="28"/>
          <w:szCs w:val="28"/>
          <w:lang w:val="en-GB"/>
        </w:rPr>
        <w:t xml:space="preserve">: </w:t>
      </w:r>
      <w:r w:rsidR="00D73F69" w:rsidRPr="00497687">
        <w:rPr>
          <w:rFonts w:asciiTheme="majorHAnsi" w:hAnsiTheme="majorHAnsi" w:cstheme="majorHAnsi"/>
          <w:bCs/>
          <w:i w:val="0"/>
          <w:iCs/>
          <w:sz w:val="28"/>
          <w:szCs w:val="28"/>
          <w:lang w:val="en-GB"/>
        </w:rPr>
        <w:t xml:space="preserve">Number and rate of </w:t>
      </w:r>
      <w:r w:rsidR="00497687">
        <w:rPr>
          <w:rFonts w:asciiTheme="majorHAnsi" w:hAnsiTheme="majorHAnsi" w:cstheme="majorHAnsi"/>
          <w:bCs/>
          <w:i w:val="0"/>
          <w:iCs/>
          <w:sz w:val="28"/>
          <w:szCs w:val="28"/>
          <w:lang w:val="en-GB"/>
        </w:rPr>
        <w:t>statutory working-age</w:t>
      </w:r>
      <w:r w:rsidR="00D73F69" w:rsidRPr="00497687">
        <w:rPr>
          <w:rFonts w:asciiTheme="majorHAnsi" w:hAnsiTheme="majorHAnsi" w:cstheme="majorHAnsi"/>
          <w:bCs/>
          <w:i w:val="0"/>
          <w:iCs/>
          <w:sz w:val="28"/>
          <w:szCs w:val="28"/>
          <w:lang w:val="en-GB"/>
        </w:rPr>
        <w:t xml:space="preserve"> unemployed people</w:t>
      </w:r>
    </w:p>
    <w:p w:rsidR="00BF122A" w:rsidRPr="00497687" w:rsidRDefault="00D73F69" w:rsidP="00470FE4">
      <w:pPr>
        <w:spacing w:line="276" w:lineRule="auto"/>
        <w:jc w:val="center"/>
        <w:rPr>
          <w:rFonts w:asciiTheme="majorHAnsi" w:hAnsiTheme="majorHAnsi" w:cstheme="majorHAnsi"/>
          <w:bCs/>
          <w:i w:val="0"/>
          <w:iCs/>
          <w:sz w:val="28"/>
          <w:szCs w:val="28"/>
          <w:lang w:val="en-GB"/>
        </w:rPr>
      </w:pPr>
      <w:r w:rsidRPr="00497687">
        <w:rPr>
          <w:rFonts w:asciiTheme="majorHAnsi" w:hAnsiTheme="majorHAnsi" w:cstheme="majorHAnsi"/>
          <w:bCs/>
          <w:i w:val="0"/>
          <w:iCs/>
          <w:sz w:val="28"/>
          <w:szCs w:val="28"/>
          <w:lang w:val="en-GB"/>
        </w:rPr>
        <w:t xml:space="preserve"> </w:t>
      </w:r>
      <w:r w:rsidR="00A105A2" w:rsidRPr="00497687">
        <w:rPr>
          <w:rFonts w:asciiTheme="majorHAnsi" w:hAnsiTheme="majorHAnsi" w:cstheme="majorHAnsi"/>
          <w:bCs/>
          <w:i w:val="0"/>
          <w:iCs/>
          <w:sz w:val="28"/>
          <w:szCs w:val="28"/>
          <w:lang w:val="en-GB"/>
        </w:rPr>
        <w:t>by quarter</w:t>
      </w:r>
      <w:r w:rsidRPr="00497687">
        <w:rPr>
          <w:rFonts w:asciiTheme="majorHAnsi" w:hAnsiTheme="majorHAnsi" w:cstheme="majorHAnsi"/>
          <w:bCs/>
          <w:i w:val="0"/>
          <w:iCs/>
          <w:sz w:val="28"/>
          <w:szCs w:val="28"/>
          <w:lang w:val="en-GB"/>
        </w:rPr>
        <w:t>, 2020-2022</w:t>
      </w:r>
    </w:p>
    <w:p w:rsidR="002405F0" w:rsidRPr="00497687" w:rsidRDefault="00EA2EF7" w:rsidP="003427BF">
      <w:pPr>
        <w:spacing w:before="120" w:line="276" w:lineRule="auto"/>
        <w:jc w:val="center"/>
        <w:rPr>
          <w:rFonts w:asciiTheme="majorHAnsi" w:hAnsiTheme="majorHAnsi" w:cstheme="majorHAnsi"/>
          <w:bCs/>
          <w:i w:val="0"/>
          <w:iCs/>
          <w:sz w:val="28"/>
          <w:szCs w:val="28"/>
          <w:lang w:val="en-GB"/>
        </w:rPr>
      </w:pPr>
      <w:r w:rsidRPr="00497687">
        <w:rPr>
          <w:rFonts w:asciiTheme="majorHAnsi" w:hAnsiTheme="majorHAnsi" w:cstheme="majorHAnsi"/>
          <w:noProof/>
          <w:sz w:val="28"/>
          <w:szCs w:val="28"/>
        </w:rPr>
        <w:drawing>
          <wp:inline distT="0" distB="0" distL="0" distR="0">
            <wp:extent cx="5646420" cy="3124200"/>
            <wp:effectExtent l="0" t="0" r="11430" b="1905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FD40DA" w:rsidRPr="00497687" w:rsidRDefault="00FD40DA" w:rsidP="003427BF">
      <w:pPr>
        <w:spacing w:before="120" w:line="276" w:lineRule="auto"/>
        <w:ind w:firstLine="709"/>
        <w:jc w:val="both"/>
        <w:rPr>
          <w:rFonts w:asciiTheme="majorHAnsi" w:hAnsiTheme="majorHAnsi" w:cstheme="majorHAnsi"/>
          <w:b w:val="0"/>
          <w:bCs/>
          <w:i w:val="0"/>
          <w:iCs/>
          <w:sz w:val="28"/>
          <w:szCs w:val="28"/>
          <w:lang w:val="en-GB"/>
        </w:rPr>
      </w:pPr>
      <w:r w:rsidRPr="00497687">
        <w:rPr>
          <w:rFonts w:asciiTheme="majorHAnsi" w:hAnsiTheme="majorHAnsi" w:cstheme="majorHAnsi"/>
          <w:b w:val="0"/>
          <w:bCs/>
          <w:i w:val="0"/>
          <w:iCs/>
          <w:sz w:val="28"/>
          <w:szCs w:val="28"/>
          <w:lang w:val="en-GB"/>
        </w:rPr>
        <w:t xml:space="preserve">In </w:t>
      </w:r>
      <w:r w:rsidR="00722938" w:rsidRPr="00497687">
        <w:rPr>
          <w:rFonts w:asciiTheme="majorHAnsi" w:hAnsiTheme="majorHAnsi" w:cstheme="majorHAnsi"/>
          <w:b w:val="0"/>
          <w:bCs/>
          <w:i w:val="0"/>
          <w:iCs/>
          <w:sz w:val="28"/>
          <w:szCs w:val="28"/>
          <w:lang w:val="en-GB"/>
        </w:rPr>
        <w:t xml:space="preserve">the first quarter of </w:t>
      </w:r>
      <w:r w:rsidRPr="00497687">
        <w:rPr>
          <w:rFonts w:asciiTheme="majorHAnsi" w:hAnsiTheme="majorHAnsi" w:cstheme="majorHAnsi"/>
          <w:b w:val="0"/>
          <w:bCs/>
          <w:i w:val="0"/>
          <w:iCs/>
          <w:sz w:val="28"/>
          <w:szCs w:val="28"/>
          <w:lang w:val="en-GB"/>
        </w:rPr>
        <w:t xml:space="preserve">2022, the </w:t>
      </w:r>
      <w:r w:rsidR="00497687">
        <w:rPr>
          <w:rFonts w:asciiTheme="majorHAnsi" w:hAnsiTheme="majorHAnsi" w:cstheme="majorHAnsi"/>
          <w:b w:val="0"/>
          <w:bCs/>
          <w:i w:val="0"/>
          <w:iCs/>
          <w:sz w:val="28"/>
          <w:szCs w:val="28"/>
          <w:lang w:val="en-GB"/>
        </w:rPr>
        <w:t>statutory working-age</w:t>
      </w:r>
      <w:r w:rsidRPr="00497687">
        <w:rPr>
          <w:rFonts w:asciiTheme="majorHAnsi" w:hAnsiTheme="majorHAnsi" w:cstheme="majorHAnsi"/>
          <w:b w:val="0"/>
          <w:bCs/>
          <w:i w:val="0"/>
          <w:iCs/>
          <w:sz w:val="28"/>
          <w:szCs w:val="28"/>
          <w:lang w:val="en-GB"/>
        </w:rPr>
        <w:t xml:space="preserve"> underemployment rate was highest in the </w:t>
      </w:r>
      <w:r w:rsidR="00F05093" w:rsidRPr="00497687">
        <w:rPr>
          <w:rFonts w:asciiTheme="majorHAnsi" w:hAnsiTheme="majorHAnsi" w:cstheme="majorHAnsi"/>
          <w:b w:val="0"/>
          <w:bCs/>
          <w:i w:val="0"/>
          <w:iCs/>
          <w:sz w:val="28"/>
          <w:szCs w:val="28"/>
          <w:lang w:val="en-GB"/>
        </w:rPr>
        <w:t xml:space="preserve">North </w:t>
      </w:r>
      <w:r w:rsidR="003427BF">
        <w:rPr>
          <w:rFonts w:asciiTheme="majorHAnsi" w:hAnsiTheme="majorHAnsi" w:cstheme="majorHAnsi"/>
          <w:b w:val="0"/>
          <w:bCs/>
          <w:i w:val="0"/>
          <w:iCs/>
          <w:sz w:val="28"/>
          <w:szCs w:val="28"/>
          <w:lang w:val="en-GB"/>
        </w:rPr>
        <w:t xml:space="preserve">and South </w:t>
      </w:r>
      <w:r w:rsidR="00F05093" w:rsidRPr="00497687">
        <w:rPr>
          <w:rFonts w:asciiTheme="majorHAnsi" w:hAnsiTheme="majorHAnsi" w:cstheme="majorHAnsi"/>
          <w:b w:val="0"/>
          <w:bCs/>
          <w:i w:val="0"/>
          <w:iCs/>
          <w:sz w:val="28"/>
          <w:szCs w:val="28"/>
          <w:lang w:val="en-GB"/>
        </w:rPr>
        <w:t xml:space="preserve">Central Coast </w:t>
      </w:r>
      <w:r w:rsidRPr="00497687">
        <w:rPr>
          <w:rFonts w:asciiTheme="majorHAnsi" w:hAnsiTheme="majorHAnsi" w:cstheme="majorHAnsi"/>
          <w:b w:val="0"/>
          <w:bCs/>
          <w:i w:val="0"/>
          <w:iCs/>
          <w:sz w:val="28"/>
          <w:szCs w:val="28"/>
          <w:lang w:val="en-GB"/>
        </w:rPr>
        <w:t>with 4.23</w:t>
      </w:r>
      <w:r w:rsidR="003F4455" w:rsidRPr="00497687">
        <w:rPr>
          <w:rFonts w:asciiTheme="majorHAnsi" w:hAnsiTheme="majorHAnsi" w:cstheme="majorHAnsi"/>
          <w:b w:val="0"/>
          <w:bCs/>
          <w:i w:val="0"/>
          <w:iCs/>
          <w:sz w:val="28"/>
          <w:szCs w:val="28"/>
          <w:lang w:val="en-GB"/>
        </w:rPr>
        <w:t xml:space="preserve"> per cent;</w:t>
      </w:r>
      <w:r w:rsidRPr="00497687">
        <w:rPr>
          <w:rFonts w:asciiTheme="majorHAnsi" w:hAnsiTheme="majorHAnsi" w:cstheme="majorHAnsi"/>
          <w:b w:val="0"/>
          <w:bCs/>
          <w:i w:val="0"/>
          <w:iCs/>
          <w:sz w:val="28"/>
          <w:szCs w:val="28"/>
          <w:lang w:val="en-GB"/>
        </w:rPr>
        <w:t xml:space="preserve"> followed by the Mekong River Delta with 4.0</w:t>
      </w:r>
      <w:r w:rsidR="003F4455" w:rsidRPr="00497687">
        <w:rPr>
          <w:rFonts w:asciiTheme="majorHAnsi" w:hAnsiTheme="majorHAnsi" w:cstheme="majorHAnsi"/>
          <w:b w:val="0"/>
          <w:bCs/>
          <w:i w:val="0"/>
          <w:iCs/>
          <w:sz w:val="28"/>
          <w:szCs w:val="28"/>
          <w:lang w:val="en-GB"/>
        </w:rPr>
        <w:t xml:space="preserve"> per cent.</w:t>
      </w:r>
      <w:r w:rsidRPr="00497687">
        <w:rPr>
          <w:rFonts w:asciiTheme="majorHAnsi" w:hAnsiTheme="majorHAnsi" w:cstheme="majorHAnsi"/>
          <w:b w:val="0"/>
          <w:bCs/>
          <w:i w:val="0"/>
          <w:iCs/>
          <w:sz w:val="28"/>
          <w:szCs w:val="28"/>
          <w:lang w:val="en-GB"/>
        </w:rPr>
        <w:t xml:space="preserve"> </w:t>
      </w:r>
      <w:r w:rsidR="00F05093" w:rsidRPr="00497687">
        <w:rPr>
          <w:rFonts w:asciiTheme="majorHAnsi" w:hAnsiTheme="majorHAnsi" w:cstheme="majorHAnsi"/>
          <w:b w:val="0"/>
          <w:bCs/>
          <w:i w:val="0"/>
          <w:iCs/>
          <w:sz w:val="28"/>
          <w:szCs w:val="28"/>
          <w:lang w:val="en-GB"/>
        </w:rPr>
        <w:t xml:space="preserve">Be the second quarter of </w:t>
      </w:r>
      <w:r w:rsidRPr="00497687">
        <w:rPr>
          <w:rFonts w:asciiTheme="majorHAnsi" w:hAnsiTheme="majorHAnsi" w:cstheme="majorHAnsi"/>
          <w:b w:val="0"/>
          <w:bCs/>
          <w:i w:val="0"/>
          <w:iCs/>
          <w:sz w:val="28"/>
          <w:szCs w:val="28"/>
          <w:lang w:val="en-GB"/>
        </w:rPr>
        <w:t>2022, this rate was highest in the Mekong Delta with 3.17</w:t>
      </w:r>
      <w:r w:rsidR="003F4455" w:rsidRPr="00497687">
        <w:rPr>
          <w:rFonts w:asciiTheme="majorHAnsi" w:hAnsiTheme="majorHAnsi" w:cstheme="majorHAnsi"/>
          <w:b w:val="0"/>
          <w:bCs/>
          <w:i w:val="0"/>
          <w:iCs/>
          <w:sz w:val="28"/>
          <w:szCs w:val="28"/>
          <w:lang w:val="en-GB"/>
        </w:rPr>
        <w:t xml:space="preserve"> per cent,</w:t>
      </w:r>
      <w:r w:rsidRPr="00497687">
        <w:rPr>
          <w:rFonts w:asciiTheme="majorHAnsi" w:hAnsiTheme="majorHAnsi" w:cstheme="majorHAnsi"/>
          <w:b w:val="0"/>
          <w:bCs/>
          <w:i w:val="0"/>
          <w:iCs/>
          <w:sz w:val="28"/>
          <w:szCs w:val="28"/>
          <w:lang w:val="en-GB"/>
        </w:rPr>
        <w:t xml:space="preserve"> followed by the </w:t>
      </w:r>
      <w:r w:rsidR="003427BF" w:rsidRPr="00497687">
        <w:rPr>
          <w:rFonts w:asciiTheme="majorHAnsi" w:hAnsiTheme="majorHAnsi" w:cstheme="majorHAnsi"/>
          <w:b w:val="0"/>
          <w:bCs/>
          <w:i w:val="0"/>
          <w:iCs/>
          <w:sz w:val="28"/>
          <w:szCs w:val="28"/>
          <w:lang w:val="en-GB"/>
        </w:rPr>
        <w:t xml:space="preserve">North </w:t>
      </w:r>
      <w:r w:rsidR="003427BF">
        <w:rPr>
          <w:rFonts w:asciiTheme="majorHAnsi" w:hAnsiTheme="majorHAnsi" w:cstheme="majorHAnsi"/>
          <w:b w:val="0"/>
          <w:bCs/>
          <w:i w:val="0"/>
          <w:iCs/>
          <w:sz w:val="28"/>
          <w:szCs w:val="28"/>
          <w:lang w:val="en-GB"/>
        </w:rPr>
        <w:t xml:space="preserve">and South </w:t>
      </w:r>
      <w:r w:rsidR="003427BF" w:rsidRPr="00497687">
        <w:rPr>
          <w:rFonts w:asciiTheme="majorHAnsi" w:hAnsiTheme="majorHAnsi" w:cstheme="majorHAnsi"/>
          <w:b w:val="0"/>
          <w:bCs/>
          <w:i w:val="0"/>
          <w:iCs/>
          <w:sz w:val="28"/>
          <w:szCs w:val="28"/>
          <w:lang w:val="en-GB"/>
        </w:rPr>
        <w:t xml:space="preserve">Central Coast </w:t>
      </w:r>
      <w:r w:rsidRPr="00497687">
        <w:rPr>
          <w:rFonts w:asciiTheme="majorHAnsi" w:hAnsiTheme="majorHAnsi" w:cstheme="majorHAnsi"/>
          <w:b w:val="0"/>
          <w:bCs/>
          <w:i w:val="0"/>
          <w:iCs/>
          <w:sz w:val="28"/>
          <w:szCs w:val="28"/>
          <w:lang w:val="en-GB"/>
        </w:rPr>
        <w:t>with 2.79</w:t>
      </w:r>
      <w:r w:rsidR="003F4455" w:rsidRPr="00497687">
        <w:rPr>
          <w:rFonts w:asciiTheme="majorHAnsi" w:hAnsiTheme="majorHAnsi" w:cstheme="majorHAnsi"/>
          <w:b w:val="0"/>
          <w:bCs/>
          <w:i w:val="0"/>
          <w:iCs/>
          <w:sz w:val="28"/>
          <w:szCs w:val="28"/>
          <w:lang w:val="en-GB"/>
        </w:rPr>
        <w:t xml:space="preserve"> per cent.</w:t>
      </w:r>
      <w:r w:rsidRPr="00497687">
        <w:rPr>
          <w:rFonts w:asciiTheme="majorHAnsi" w:hAnsiTheme="majorHAnsi" w:cstheme="majorHAnsi"/>
          <w:b w:val="0"/>
          <w:bCs/>
          <w:i w:val="0"/>
          <w:iCs/>
          <w:sz w:val="28"/>
          <w:szCs w:val="28"/>
          <w:lang w:val="en-GB"/>
        </w:rPr>
        <w:t xml:space="preserve"> </w:t>
      </w:r>
      <w:r w:rsidR="00656FE7" w:rsidRPr="00497687">
        <w:rPr>
          <w:rFonts w:asciiTheme="majorHAnsi" w:hAnsiTheme="majorHAnsi" w:cstheme="majorHAnsi"/>
          <w:b w:val="0"/>
          <w:bCs/>
          <w:i w:val="0"/>
          <w:iCs/>
          <w:sz w:val="28"/>
          <w:szCs w:val="28"/>
          <w:lang w:val="en-GB"/>
        </w:rPr>
        <w:t>In the first quarter of 2022, this rate was lowest in the Southeast with 1.60</w:t>
      </w:r>
      <w:r w:rsidR="00497687">
        <w:rPr>
          <w:rFonts w:asciiTheme="majorHAnsi" w:hAnsiTheme="majorHAnsi" w:cstheme="majorHAnsi"/>
          <w:b w:val="0"/>
          <w:bCs/>
          <w:i w:val="0"/>
          <w:iCs/>
          <w:sz w:val="28"/>
          <w:szCs w:val="28"/>
          <w:lang w:val="en-GB"/>
        </w:rPr>
        <w:t xml:space="preserve"> per cent,</w:t>
      </w:r>
      <w:r w:rsidR="00656FE7" w:rsidRPr="00497687">
        <w:rPr>
          <w:rFonts w:asciiTheme="majorHAnsi" w:hAnsiTheme="majorHAnsi" w:cstheme="majorHAnsi"/>
          <w:b w:val="0"/>
          <w:bCs/>
          <w:i w:val="0"/>
          <w:iCs/>
          <w:sz w:val="28"/>
          <w:szCs w:val="28"/>
          <w:lang w:val="en-GB"/>
        </w:rPr>
        <w:t xml:space="preserve"> but turning to the second quarter, this rate was lowest in t</w:t>
      </w:r>
      <w:r w:rsidRPr="00497687">
        <w:rPr>
          <w:rFonts w:asciiTheme="majorHAnsi" w:hAnsiTheme="majorHAnsi" w:cstheme="majorHAnsi"/>
          <w:b w:val="0"/>
          <w:bCs/>
          <w:i w:val="0"/>
          <w:iCs/>
          <w:sz w:val="28"/>
          <w:szCs w:val="28"/>
          <w:lang w:val="en-GB"/>
        </w:rPr>
        <w:t xml:space="preserve">he Red River Delta </w:t>
      </w:r>
      <w:r w:rsidR="00656FE7" w:rsidRPr="00497687">
        <w:rPr>
          <w:rFonts w:asciiTheme="majorHAnsi" w:hAnsiTheme="majorHAnsi" w:cstheme="majorHAnsi"/>
          <w:b w:val="0"/>
          <w:bCs/>
          <w:i w:val="0"/>
          <w:iCs/>
          <w:sz w:val="28"/>
          <w:szCs w:val="28"/>
          <w:lang w:val="en-GB"/>
        </w:rPr>
        <w:t>with 0.62</w:t>
      </w:r>
      <w:r w:rsidR="00497687">
        <w:rPr>
          <w:rFonts w:asciiTheme="majorHAnsi" w:hAnsiTheme="majorHAnsi" w:cstheme="majorHAnsi"/>
          <w:b w:val="0"/>
          <w:bCs/>
          <w:i w:val="0"/>
          <w:iCs/>
          <w:sz w:val="28"/>
          <w:szCs w:val="28"/>
          <w:lang w:val="en-GB"/>
        </w:rPr>
        <w:t xml:space="preserve"> per cent.</w:t>
      </w:r>
      <w:r w:rsidRPr="00497687">
        <w:rPr>
          <w:rFonts w:asciiTheme="majorHAnsi" w:hAnsiTheme="majorHAnsi" w:cstheme="majorHAnsi"/>
          <w:b w:val="0"/>
          <w:bCs/>
          <w:i w:val="0"/>
          <w:iCs/>
          <w:sz w:val="28"/>
          <w:szCs w:val="28"/>
          <w:lang w:val="en-GB"/>
        </w:rPr>
        <w:t xml:space="preserve"> </w:t>
      </w:r>
      <w:r w:rsidR="00656FE7" w:rsidRPr="00497687">
        <w:rPr>
          <w:rFonts w:asciiTheme="majorHAnsi" w:hAnsiTheme="majorHAnsi" w:cstheme="majorHAnsi"/>
          <w:b w:val="0"/>
          <w:bCs/>
          <w:i w:val="0"/>
          <w:iCs/>
          <w:sz w:val="28"/>
          <w:szCs w:val="28"/>
          <w:lang w:val="en-GB"/>
        </w:rPr>
        <w:t>The</w:t>
      </w:r>
      <w:r w:rsidRPr="00497687">
        <w:rPr>
          <w:rFonts w:asciiTheme="majorHAnsi" w:hAnsiTheme="majorHAnsi" w:cstheme="majorHAnsi"/>
          <w:b w:val="0"/>
          <w:bCs/>
          <w:i w:val="0"/>
          <w:iCs/>
          <w:sz w:val="28"/>
          <w:szCs w:val="28"/>
          <w:lang w:val="en-GB"/>
        </w:rPr>
        <w:t xml:space="preserve"> underemployment s</w:t>
      </w:r>
      <w:r w:rsidR="00305165" w:rsidRPr="00497687">
        <w:rPr>
          <w:rFonts w:asciiTheme="majorHAnsi" w:hAnsiTheme="majorHAnsi" w:cstheme="majorHAnsi"/>
          <w:b w:val="0"/>
          <w:bCs/>
          <w:i w:val="0"/>
          <w:iCs/>
          <w:sz w:val="28"/>
          <w:szCs w:val="28"/>
          <w:lang w:val="en-GB"/>
        </w:rPr>
        <w:t xml:space="preserve">tatus </w:t>
      </w:r>
      <w:r w:rsidRPr="00497687">
        <w:rPr>
          <w:rFonts w:asciiTheme="majorHAnsi" w:hAnsiTheme="majorHAnsi" w:cstheme="majorHAnsi"/>
          <w:b w:val="0"/>
          <w:bCs/>
          <w:i w:val="0"/>
          <w:iCs/>
          <w:sz w:val="28"/>
          <w:szCs w:val="28"/>
          <w:lang w:val="en-GB"/>
        </w:rPr>
        <w:t>has improved si</w:t>
      </w:r>
      <w:r w:rsidR="00305165" w:rsidRPr="00497687">
        <w:rPr>
          <w:rFonts w:asciiTheme="majorHAnsi" w:hAnsiTheme="majorHAnsi" w:cstheme="majorHAnsi"/>
          <w:b w:val="0"/>
          <w:bCs/>
          <w:i w:val="0"/>
          <w:iCs/>
          <w:sz w:val="28"/>
          <w:szCs w:val="28"/>
          <w:lang w:val="en-GB"/>
        </w:rPr>
        <w:t xml:space="preserve">gnificantly across the country; </w:t>
      </w:r>
      <w:r w:rsidRPr="00497687">
        <w:rPr>
          <w:rFonts w:asciiTheme="majorHAnsi" w:hAnsiTheme="majorHAnsi" w:cstheme="majorHAnsi"/>
          <w:b w:val="0"/>
          <w:bCs/>
          <w:i w:val="0"/>
          <w:iCs/>
          <w:sz w:val="28"/>
          <w:szCs w:val="28"/>
          <w:lang w:val="en-GB"/>
        </w:rPr>
        <w:t xml:space="preserve">compared to the previous quarter, this rate in the second quarter decreased </w:t>
      </w:r>
      <w:r w:rsidR="00305165" w:rsidRPr="00497687">
        <w:rPr>
          <w:rFonts w:asciiTheme="majorHAnsi" w:hAnsiTheme="majorHAnsi" w:cstheme="majorHAnsi"/>
          <w:b w:val="0"/>
          <w:bCs/>
          <w:i w:val="0"/>
          <w:iCs/>
          <w:sz w:val="28"/>
          <w:szCs w:val="28"/>
          <w:lang w:val="en-GB"/>
        </w:rPr>
        <w:t>across all</w:t>
      </w:r>
      <w:r w:rsidRPr="00497687">
        <w:rPr>
          <w:rFonts w:asciiTheme="majorHAnsi" w:hAnsiTheme="majorHAnsi" w:cstheme="majorHAnsi"/>
          <w:b w:val="0"/>
          <w:bCs/>
          <w:i w:val="0"/>
          <w:iCs/>
          <w:sz w:val="28"/>
          <w:szCs w:val="28"/>
          <w:lang w:val="en-GB"/>
        </w:rPr>
        <w:t xml:space="preserve"> </w:t>
      </w:r>
      <w:r w:rsidR="00305165" w:rsidRPr="00497687">
        <w:rPr>
          <w:rFonts w:asciiTheme="majorHAnsi" w:hAnsiTheme="majorHAnsi" w:cstheme="majorHAnsi"/>
          <w:b w:val="0"/>
          <w:bCs/>
          <w:i w:val="0"/>
          <w:iCs/>
          <w:sz w:val="28"/>
          <w:szCs w:val="28"/>
          <w:lang w:val="en-GB"/>
        </w:rPr>
        <w:t>six</w:t>
      </w:r>
      <w:r w:rsidRPr="00497687">
        <w:rPr>
          <w:rFonts w:asciiTheme="majorHAnsi" w:hAnsiTheme="majorHAnsi" w:cstheme="majorHAnsi"/>
          <w:b w:val="0"/>
          <w:bCs/>
          <w:i w:val="0"/>
          <w:iCs/>
          <w:sz w:val="28"/>
          <w:szCs w:val="28"/>
          <w:lang w:val="en-GB"/>
        </w:rPr>
        <w:t xml:space="preserve"> socio-economic regions.</w:t>
      </w:r>
    </w:p>
    <w:p w:rsidR="00470FE4" w:rsidRDefault="00305165" w:rsidP="003427BF">
      <w:pPr>
        <w:spacing w:before="120" w:line="276" w:lineRule="auto"/>
        <w:jc w:val="center"/>
        <w:rPr>
          <w:rFonts w:asciiTheme="majorHAnsi" w:hAnsiTheme="majorHAnsi" w:cstheme="majorHAnsi"/>
          <w:i w:val="0"/>
          <w:sz w:val="28"/>
          <w:szCs w:val="28"/>
          <w:lang w:val="en-GB"/>
        </w:rPr>
      </w:pPr>
      <w:r w:rsidRPr="00497687">
        <w:rPr>
          <w:rFonts w:asciiTheme="majorHAnsi" w:hAnsiTheme="majorHAnsi" w:cstheme="majorHAnsi"/>
          <w:i w:val="0"/>
          <w:sz w:val="28"/>
          <w:szCs w:val="28"/>
          <w:lang w:val="en-GB"/>
        </w:rPr>
        <w:t xml:space="preserve">Figure </w:t>
      </w:r>
      <w:r w:rsidR="00656FE7" w:rsidRPr="00497687">
        <w:rPr>
          <w:rFonts w:asciiTheme="majorHAnsi" w:hAnsiTheme="majorHAnsi" w:cstheme="majorHAnsi"/>
          <w:i w:val="0"/>
          <w:sz w:val="28"/>
          <w:szCs w:val="28"/>
          <w:lang w:val="en-GB"/>
        </w:rPr>
        <w:t>5</w:t>
      </w:r>
      <w:r w:rsidRPr="00497687">
        <w:rPr>
          <w:rFonts w:asciiTheme="majorHAnsi" w:hAnsiTheme="majorHAnsi" w:cstheme="majorHAnsi"/>
          <w:i w:val="0"/>
          <w:sz w:val="28"/>
          <w:szCs w:val="28"/>
          <w:lang w:val="en-GB"/>
        </w:rPr>
        <w:t xml:space="preserve">: </w:t>
      </w:r>
      <w:r w:rsidR="00497687">
        <w:rPr>
          <w:rFonts w:asciiTheme="majorHAnsi" w:hAnsiTheme="majorHAnsi" w:cstheme="majorHAnsi"/>
          <w:i w:val="0"/>
          <w:sz w:val="28"/>
          <w:szCs w:val="28"/>
          <w:lang w:val="en-GB"/>
        </w:rPr>
        <w:t>Statutory working-age</w:t>
      </w:r>
      <w:r w:rsidRPr="00497687">
        <w:rPr>
          <w:rFonts w:asciiTheme="majorHAnsi" w:hAnsiTheme="majorHAnsi" w:cstheme="majorHAnsi"/>
          <w:i w:val="0"/>
          <w:sz w:val="28"/>
          <w:szCs w:val="28"/>
          <w:lang w:val="en-GB"/>
        </w:rPr>
        <w:t xml:space="preserve"> underemployment rate </w:t>
      </w:r>
    </w:p>
    <w:p w:rsidR="00305165" w:rsidRPr="00497687" w:rsidRDefault="00305165" w:rsidP="00470FE4">
      <w:pPr>
        <w:spacing w:line="276" w:lineRule="auto"/>
        <w:jc w:val="center"/>
        <w:rPr>
          <w:rFonts w:asciiTheme="majorHAnsi" w:hAnsiTheme="majorHAnsi" w:cstheme="majorHAnsi"/>
          <w:bCs/>
          <w:i w:val="0"/>
          <w:iCs/>
          <w:sz w:val="28"/>
          <w:szCs w:val="28"/>
          <w:lang w:val="en-GB"/>
        </w:rPr>
      </w:pPr>
      <w:r w:rsidRPr="00497687">
        <w:rPr>
          <w:rFonts w:asciiTheme="majorHAnsi" w:hAnsiTheme="majorHAnsi" w:cstheme="majorHAnsi"/>
          <w:i w:val="0"/>
          <w:sz w:val="28"/>
          <w:szCs w:val="28"/>
          <w:lang w:val="en-GB"/>
        </w:rPr>
        <w:t xml:space="preserve">by socio-economic region, </w:t>
      </w:r>
      <w:r w:rsidR="0042322B" w:rsidRPr="00497687">
        <w:rPr>
          <w:rFonts w:asciiTheme="majorHAnsi" w:hAnsiTheme="majorHAnsi" w:cstheme="majorHAnsi"/>
          <w:i w:val="0"/>
          <w:sz w:val="28"/>
          <w:szCs w:val="28"/>
          <w:lang w:val="en-GB"/>
        </w:rPr>
        <w:t xml:space="preserve">the first and second quarters of </w:t>
      </w:r>
      <w:r w:rsidRPr="00497687">
        <w:rPr>
          <w:rFonts w:asciiTheme="majorHAnsi" w:hAnsiTheme="majorHAnsi" w:cstheme="majorHAnsi"/>
          <w:i w:val="0"/>
          <w:sz w:val="28"/>
          <w:szCs w:val="28"/>
          <w:lang w:val="en-GB"/>
        </w:rPr>
        <w:t>2022</w:t>
      </w:r>
    </w:p>
    <w:p w:rsidR="00305165" w:rsidRPr="00497687" w:rsidRDefault="00305165" w:rsidP="003427BF">
      <w:pPr>
        <w:spacing w:line="276" w:lineRule="auto"/>
        <w:ind w:firstLine="709"/>
        <w:jc w:val="right"/>
        <w:rPr>
          <w:rFonts w:asciiTheme="majorHAnsi" w:eastAsia="Calibri" w:hAnsiTheme="majorHAnsi" w:cstheme="majorHAnsi"/>
          <w:b w:val="0"/>
          <w:spacing w:val="2"/>
          <w:sz w:val="28"/>
          <w:szCs w:val="28"/>
          <w:shd w:val="clear" w:color="auto" w:fill="FFFFFF"/>
          <w:lang w:val="en-GB"/>
        </w:rPr>
      </w:pPr>
      <w:r w:rsidRPr="00497687">
        <w:rPr>
          <w:rFonts w:asciiTheme="majorHAnsi" w:eastAsia="Calibri" w:hAnsiTheme="majorHAnsi" w:cstheme="majorHAnsi"/>
          <w:b w:val="0"/>
          <w:spacing w:val="2"/>
          <w:sz w:val="28"/>
          <w:szCs w:val="28"/>
          <w:shd w:val="clear" w:color="auto" w:fill="FFFFFF"/>
          <w:lang w:val="en-GB"/>
        </w:rPr>
        <w:t xml:space="preserve">Unit: </w:t>
      </w:r>
      <w:r w:rsidR="003F4455" w:rsidRPr="00497687">
        <w:rPr>
          <w:rFonts w:asciiTheme="majorHAnsi" w:eastAsia="Calibri" w:hAnsiTheme="majorHAnsi" w:cstheme="majorHAnsi"/>
          <w:b w:val="0"/>
          <w:spacing w:val="2"/>
          <w:sz w:val="28"/>
          <w:szCs w:val="28"/>
          <w:shd w:val="clear" w:color="auto" w:fill="FFFFFF"/>
          <w:lang w:val="en-GB"/>
        </w:rPr>
        <w:t>Per cent</w:t>
      </w:r>
    </w:p>
    <w:p w:rsidR="00305165" w:rsidRPr="00497687" w:rsidRDefault="00656FE7" w:rsidP="003427BF">
      <w:pPr>
        <w:spacing w:after="120" w:line="276" w:lineRule="auto"/>
        <w:jc w:val="both"/>
        <w:rPr>
          <w:rFonts w:asciiTheme="majorHAnsi" w:eastAsia="Calibri" w:hAnsiTheme="majorHAnsi" w:cstheme="majorHAnsi"/>
          <w:b w:val="0"/>
          <w:i w:val="0"/>
          <w:iCs/>
          <w:spacing w:val="-2"/>
          <w:sz w:val="28"/>
          <w:szCs w:val="28"/>
          <w:lang w:val="en-GB"/>
        </w:rPr>
      </w:pPr>
      <w:r w:rsidRPr="00497687">
        <w:rPr>
          <w:rFonts w:asciiTheme="majorHAnsi" w:hAnsiTheme="majorHAnsi" w:cstheme="majorHAnsi"/>
          <w:noProof/>
          <w:sz w:val="28"/>
          <w:szCs w:val="28"/>
        </w:rPr>
        <w:drawing>
          <wp:inline distT="0" distB="0" distL="0" distR="0">
            <wp:extent cx="5760720" cy="2354134"/>
            <wp:effectExtent l="0" t="0" r="11430" b="27305"/>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305165" w:rsidRPr="00497687" w:rsidRDefault="00305165" w:rsidP="003427BF">
      <w:pPr>
        <w:spacing w:before="120" w:after="120" w:line="276" w:lineRule="auto"/>
        <w:ind w:firstLine="709"/>
        <w:jc w:val="both"/>
        <w:rPr>
          <w:rFonts w:asciiTheme="majorHAnsi" w:eastAsia="Calibri" w:hAnsiTheme="majorHAnsi" w:cstheme="majorHAnsi"/>
          <w:b w:val="0"/>
          <w:i w:val="0"/>
          <w:iCs/>
          <w:spacing w:val="-2"/>
          <w:sz w:val="28"/>
          <w:szCs w:val="28"/>
          <w:lang w:val="en-GB"/>
        </w:rPr>
      </w:pPr>
      <w:r w:rsidRPr="00497687">
        <w:rPr>
          <w:rFonts w:asciiTheme="majorHAnsi" w:eastAsia="Calibri" w:hAnsiTheme="majorHAnsi" w:cstheme="majorHAnsi"/>
          <w:b w:val="0"/>
          <w:i w:val="0"/>
          <w:iCs/>
          <w:spacing w:val="-2"/>
          <w:sz w:val="28"/>
          <w:szCs w:val="28"/>
          <w:lang w:val="en-GB"/>
        </w:rPr>
        <w:t xml:space="preserve">Across all the three economic sectors, compared with the previous quarter, the underemployed workers in the second quarter of 2022 </w:t>
      </w:r>
      <w:r w:rsidR="00173754" w:rsidRPr="00497687">
        <w:rPr>
          <w:rFonts w:asciiTheme="majorHAnsi" w:eastAsia="Calibri" w:hAnsiTheme="majorHAnsi" w:cstheme="majorHAnsi"/>
          <w:b w:val="0"/>
          <w:i w:val="0"/>
          <w:iCs/>
          <w:spacing w:val="-2"/>
          <w:sz w:val="28"/>
          <w:szCs w:val="28"/>
          <w:lang w:val="en-GB"/>
        </w:rPr>
        <w:t xml:space="preserve">in the services sector </w:t>
      </w:r>
      <w:r w:rsidRPr="00497687">
        <w:rPr>
          <w:rFonts w:asciiTheme="majorHAnsi" w:eastAsia="Calibri" w:hAnsiTheme="majorHAnsi" w:cstheme="majorHAnsi"/>
          <w:b w:val="0"/>
          <w:i w:val="0"/>
          <w:iCs/>
          <w:spacing w:val="-2"/>
          <w:sz w:val="28"/>
          <w:szCs w:val="28"/>
          <w:lang w:val="en-GB"/>
        </w:rPr>
        <w:t xml:space="preserve">decreased the most. </w:t>
      </w:r>
      <w:r w:rsidR="00173754" w:rsidRPr="00497687">
        <w:rPr>
          <w:rFonts w:asciiTheme="majorHAnsi" w:eastAsia="Calibri" w:hAnsiTheme="majorHAnsi" w:cstheme="majorHAnsi"/>
          <w:b w:val="0"/>
          <w:i w:val="0"/>
          <w:iCs/>
          <w:spacing w:val="-2"/>
          <w:sz w:val="28"/>
          <w:szCs w:val="28"/>
          <w:lang w:val="en-GB"/>
        </w:rPr>
        <w:t>Of a total of 881.8 thousand underemployed people of statutory working age, t</w:t>
      </w:r>
      <w:r w:rsidRPr="00497687">
        <w:rPr>
          <w:rFonts w:asciiTheme="majorHAnsi" w:eastAsia="Calibri" w:hAnsiTheme="majorHAnsi" w:cstheme="majorHAnsi"/>
          <w:b w:val="0"/>
          <w:i w:val="0"/>
          <w:iCs/>
          <w:spacing w:val="-2"/>
          <w:sz w:val="28"/>
          <w:szCs w:val="28"/>
          <w:lang w:val="en-GB"/>
        </w:rPr>
        <w:t>he AFF sector recorded the largest underemployment share in this quarter with 48.5</w:t>
      </w:r>
      <w:r w:rsidR="001722D5" w:rsidRPr="00497687">
        <w:rPr>
          <w:rFonts w:asciiTheme="majorHAnsi" w:eastAsia="Calibri" w:hAnsiTheme="majorHAnsi" w:cstheme="majorHAnsi"/>
          <w:b w:val="0"/>
          <w:i w:val="0"/>
          <w:iCs/>
          <w:spacing w:val="-2"/>
          <w:sz w:val="28"/>
          <w:szCs w:val="28"/>
          <w:lang w:val="en-GB"/>
        </w:rPr>
        <w:t xml:space="preserve"> per cent </w:t>
      </w:r>
      <w:r w:rsidRPr="00497687">
        <w:rPr>
          <w:rFonts w:asciiTheme="majorHAnsi" w:eastAsia="Calibri" w:hAnsiTheme="majorHAnsi" w:cstheme="majorHAnsi"/>
          <w:b w:val="0"/>
          <w:i w:val="0"/>
          <w:iCs/>
          <w:spacing w:val="-2"/>
          <w:sz w:val="28"/>
          <w:szCs w:val="28"/>
          <w:lang w:val="en-GB"/>
        </w:rPr>
        <w:t xml:space="preserve">(equivalent to 427.5 thousand underemployed people); </w:t>
      </w:r>
      <w:r w:rsidRPr="00497687">
        <w:rPr>
          <w:rFonts w:asciiTheme="majorHAnsi" w:eastAsia="Calibri" w:hAnsiTheme="majorHAnsi" w:cstheme="majorHAnsi"/>
          <w:b w:val="0"/>
          <w:i w:val="0"/>
          <w:iCs/>
          <w:sz w:val="28"/>
          <w:szCs w:val="28"/>
          <w:lang w:val="en-GB"/>
        </w:rPr>
        <w:t>followed</w:t>
      </w:r>
      <w:r w:rsidRPr="00497687">
        <w:rPr>
          <w:rFonts w:asciiTheme="majorHAnsi" w:eastAsia="Calibri" w:hAnsiTheme="majorHAnsi" w:cstheme="majorHAnsi"/>
          <w:b w:val="0"/>
          <w:i w:val="0"/>
          <w:iCs/>
          <w:spacing w:val="-2"/>
          <w:sz w:val="28"/>
          <w:szCs w:val="28"/>
          <w:lang w:val="en-GB"/>
        </w:rPr>
        <w:t xml:space="preserve"> by the services sector accounting for 31.4</w:t>
      </w:r>
      <w:r w:rsidR="001722D5" w:rsidRPr="00497687">
        <w:rPr>
          <w:rFonts w:asciiTheme="majorHAnsi" w:eastAsia="Calibri" w:hAnsiTheme="majorHAnsi" w:cstheme="majorHAnsi"/>
          <w:b w:val="0"/>
          <w:i w:val="0"/>
          <w:iCs/>
          <w:spacing w:val="-2"/>
          <w:sz w:val="28"/>
          <w:szCs w:val="28"/>
          <w:lang w:val="en-GB"/>
        </w:rPr>
        <w:t xml:space="preserve"> per cent </w:t>
      </w:r>
      <w:r w:rsidRPr="00497687">
        <w:rPr>
          <w:rFonts w:asciiTheme="majorHAnsi" w:eastAsia="Calibri" w:hAnsiTheme="majorHAnsi" w:cstheme="majorHAnsi"/>
          <w:b w:val="0"/>
          <w:i w:val="0"/>
          <w:iCs/>
          <w:spacing w:val="-2"/>
          <w:sz w:val="28"/>
          <w:szCs w:val="28"/>
          <w:lang w:val="en-GB"/>
        </w:rPr>
        <w:t>(about 277.3 thousand people); industry and construction sector made up the smallest share with 20.1</w:t>
      </w:r>
      <w:r w:rsidR="001722D5" w:rsidRPr="00497687">
        <w:rPr>
          <w:rFonts w:asciiTheme="majorHAnsi" w:eastAsia="Calibri" w:hAnsiTheme="majorHAnsi" w:cstheme="majorHAnsi"/>
          <w:b w:val="0"/>
          <w:i w:val="0"/>
          <w:iCs/>
          <w:spacing w:val="-2"/>
          <w:sz w:val="28"/>
          <w:szCs w:val="28"/>
          <w:lang w:val="en-GB"/>
        </w:rPr>
        <w:t xml:space="preserve"> per cent </w:t>
      </w:r>
      <w:r w:rsidRPr="00497687">
        <w:rPr>
          <w:rFonts w:asciiTheme="majorHAnsi" w:eastAsia="Calibri" w:hAnsiTheme="majorHAnsi" w:cstheme="majorHAnsi"/>
          <w:b w:val="0"/>
          <w:i w:val="0"/>
          <w:iCs/>
          <w:spacing w:val="-2"/>
          <w:sz w:val="28"/>
          <w:szCs w:val="28"/>
          <w:lang w:val="en-GB"/>
        </w:rPr>
        <w:t xml:space="preserve">(about 177.0 thousand people). Compared to the previous quarter, the number of </w:t>
      </w:r>
      <w:r w:rsidR="00497687">
        <w:rPr>
          <w:rFonts w:asciiTheme="majorHAnsi" w:eastAsia="Calibri" w:hAnsiTheme="majorHAnsi" w:cstheme="majorHAnsi"/>
          <w:b w:val="0"/>
          <w:i w:val="0"/>
          <w:iCs/>
          <w:spacing w:val="-2"/>
          <w:sz w:val="28"/>
          <w:szCs w:val="28"/>
          <w:lang w:val="en-GB"/>
        </w:rPr>
        <w:t>statutory working-age</w:t>
      </w:r>
      <w:r w:rsidRPr="00497687">
        <w:rPr>
          <w:rFonts w:asciiTheme="majorHAnsi" w:eastAsia="Calibri" w:hAnsiTheme="majorHAnsi" w:cstheme="majorHAnsi"/>
          <w:b w:val="0"/>
          <w:i w:val="0"/>
          <w:iCs/>
          <w:spacing w:val="-2"/>
          <w:sz w:val="28"/>
          <w:szCs w:val="28"/>
          <w:lang w:val="en-GB"/>
        </w:rPr>
        <w:t xml:space="preserve"> underemployed workers in the second quarter of 2022 decreased across all three economic sectors (with respective reductions of 68.8 thousand people, 182.6 thousand people and 195.6 thousand people). However, compared with the same period last year, the number of underemployed workers increased by 20.1 thousand people</w:t>
      </w:r>
      <w:r w:rsidR="00F0643B" w:rsidRPr="00497687">
        <w:rPr>
          <w:rFonts w:asciiTheme="majorHAnsi" w:eastAsia="Calibri" w:hAnsiTheme="majorHAnsi" w:cstheme="majorHAnsi"/>
          <w:b w:val="0"/>
          <w:i w:val="0"/>
          <w:iCs/>
          <w:spacing w:val="-2"/>
          <w:sz w:val="28"/>
          <w:szCs w:val="28"/>
          <w:lang w:val="en-GB"/>
        </w:rPr>
        <w:t xml:space="preserve"> in AFF sector</w:t>
      </w:r>
      <w:r w:rsidRPr="00497687">
        <w:rPr>
          <w:rFonts w:asciiTheme="majorHAnsi" w:eastAsia="Calibri" w:hAnsiTheme="majorHAnsi" w:cstheme="majorHAnsi"/>
          <w:b w:val="0"/>
          <w:i w:val="0"/>
          <w:iCs/>
          <w:spacing w:val="-2"/>
          <w:sz w:val="28"/>
          <w:szCs w:val="28"/>
          <w:lang w:val="en-GB"/>
        </w:rPr>
        <w:t>, decreased by 150.4 thousand people</w:t>
      </w:r>
      <w:r w:rsidR="00F0643B" w:rsidRPr="00497687">
        <w:rPr>
          <w:rFonts w:asciiTheme="majorHAnsi" w:eastAsia="Calibri" w:hAnsiTheme="majorHAnsi" w:cstheme="majorHAnsi"/>
          <w:b w:val="0"/>
          <w:i w:val="0"/>
          <w:iCs/>
          <w:spacing w:val="-2"/>
          <w:sz w:val="28"/>
          <w:szCs w:val="28"/>
          <w:lang w:val="en-GB"/>
        </w:rPr>
        <w:t xml:space="preserve"> in industry and construction, and </w:t>
      </w:r>
      <w:r w:rsidRPr="00497687">
        <w:rPr>
          <w:rFonts w:asciiTheme="majorHAnsi" w:eastAsia="Calibri" w:hAnsiTheme="majorHAnsi" w:cstheme="majorHAnsi"/>
          <w:b w:val="0"/>
          <w:i w:val="0"/>
          <w:iCs/>
          <w:spacing w:val="-2"/>
          <w:sz w:val="28"/>
          <w:szCs w:val="28"/>
          <w:lang w:val="en-GB"/>
        </w:rPr>
        <w:t>decr</w:t>
      </w:r>
      <w:r w:rsidR="00F0643B" w:rsidRPr="00497687">
        <w:rPr>
          <w:rFonts w:asciiTheme="majorHAnsi" w:eastAsia="Calibri" w:hAnsiTheme="majorHAnsi" w:cstheme="majorHAnsi"/>
          <w:b w:val="0"/>
          <w:i w:val="0"/>
          <w:iCs/>
          <w:spacing w:val="-2"/>
          <w:sz w:val="28"/>
          <w:szCs w:val="28"/>
          <w:lang w:val="en-GB"/>
        </w:rPr>
        <w:t>eased by 132.8 thousand people in the services sector.</w:t>
      </w:r>
    </w:p>
    <w:p w:rsidR="00DD71D3" w:rsidRPr="00470FE4" w:rsidRDefault="00DD71D3" w:rsidP="003427BF">
      <w:pPr>
        <w:spacing w:before="120" w:after="120" w:line="276" w:lineRule="auto"/>
        <w:ind w:firstLine="709"/>
        <w:jc w:val="both"/>
        <w:rPr>
          <w:rFonts w:asciiTheme="majorHAnsi" w:eastAsia="Calibri" w:hAnsiTheme="majorHAnsi" w:cstheme="majorHAnsi"/>
          <w:b w:val="0"/>
          <w:i w:val="0"/>
          <w:spacing w:val="6"/>
          <w:sz w:val="28"/>
          <w:szCs w:val="28"/>
          <w:lang w:val="en-GB"/>
        </w:rPr>
      </w:pPr>
      <w:bookmarkStart w:id="12" w:name="OLE_LINK12"/>
      <w:r w:rsidRPr="00470FE4">
        <w:rPr>
          <w:rFonts w:asciiTheme="majorHAnsi" w:eastAsia="Calibri" w:hAnsiTheme="majorHAnsi" w:cstheme="majorHAnsi"/>
          <w:b w:val="0"/>
          <w:i w:val="0"/>
          <w:spacing w:val="6"/>
          <w:sz w:val="28"/>
          <w:szCs w:val="28"/>
          <w:lang w:val="en-GB"/>
        </w:rPr>
        <w:t xml:space="preserve">The higher the professional and technical qualifications, the lower the underemployment rate. </w:t>
      </w:r>
      <w:r w:rsidRPr="00470FE4">
        <w:rPr>
          <w:rFonts w:asciiTheme="majorHAnsi" w:eastAsia="Calibri" w:hAnsiTheme="majorHAnsi" w:cstheme="majorHAnsi"/>
          <w:b w:val="0"/>
          <w:i w:val="0"/>
          <w:iCs/>
          <w:spacing w:val="6"/>
          <w:sz w:val="28"/>
          <w:szCs w:val="28"/>
          <w:lang w:val="en-GB"/>
        </w:rPr>
        <w:t>The</w:t>
      </w:r>
      <w:r w:rsidRPr="00470FE4">
        <w:rPr>
          <w:rFonts w:asciiTheme="majorHAnsi" w:eastAsia="Calibri" w:hAnsiTheme="majorHAnsi" w:cstheme="majorHAnsi"/>
          <w:b w:val="0"/>
          <w:i w:val="0"/>
          <w:spacing w:val="6"/>
          <w:sz w:val="28"/>
          <w:szCs w:val="28"/>
          <w:lang w:val="en-GB"/>
        </w:rPr>
        <w:t xml:space="preserve"> </w:t>
      </w:r>
      <w:r w:rsidR="00497687" w:rsidRPr="00470FE4">
        <w:rPr>
          <w:rFonts w:asciiTheme="majorHAnsi" w:eastAsia="Calibri" w:hAnsiTheme="majorHAnsi" w:cstheme="majorHAnsi"/>
          <w:b w:val="0"/>
          <w:i w:val="0"/>
          <w:spacing w:val="6"/>
          <w:sz w:val="28"/>
          <w:szCs w:val="28"/>
          <w:lang w:val="en-GB"/>
        </w:rPr>
        <w:t>statutory working-age</w:t>
      </w:r>
      <w:r w:rsidRPr="00470FE4">
        <w:rPr>
          <w:rFonts w:asciiTheme="majorHAnsi" w:eastAsia="Calibri" w:hAnsiTheme="majorHAnsi" w:cstheme="majorHAnsi"/>
          <w:b w:val="0"/>
          <w:i w:val="0"/>
          <w:spacing w:val="6"/>
          <w:sz w:val="28"/>
          <w:szCs w:val="28"/>
          <w:lang w:val="en-GB"/>
        </w:rPr>
        <w:t xml:space="preserve"> underemployment rate in the second quarter of 2022 was 2.33</w:t>
      </w:r>
      <w:r w:rsidR="001722D5" w:rsidRPr="00470FE4">
        <w:rPr>
          <w:rFonts w:asciiTheme="majorHAnsi" w:eastAsia="Calibri" w:hAnsiTheme="majorHAnsi" w:cstheme="majorHAnsi"/>
          <w:b w:val="0"/>
          <w:i w:val="0"/>
          <w:spacing w:val="6"/>
          <w:sz w:val="28"/>
          <w:szCs w:val="28"/>
          <w:lang w:val="en-GB"/>
        </w:rPr>
        <w:t xml:space="preserve"> per cent </w:t>
      </w:r>
      <w:r w:rsidRPr="00470FE4">
        <w:rPr>
          <w:rFonts w:asciiTheme="majorHAnsi" w:eastAsia="Calibri" w:hAnsiTheme="majorHAnsi" w:cstheme="majorHAnsi"/>
          <w:b w:val="0"/>
          <w:i w:val="0"/>
          <w:spacing w:val="6"/>
          <w:sz w:val="28"/>
          <w:szCs w:val="28"/>
          <w:lang w:val="en-GB"/>
        </w:rPr>
        <w:t>for workers without professional and technical qualifications; 1.82</w:t>
      </w:r>
      <w:r w:rsidR="001722D5" w:rsidRPr="00470FE4">
        <w:rPr>
          <w:rFonts w:asciiTheme="majorHAnsi" w:eastAsia="Calibri" w:hAnsiTheme="majorHAnsi" w:cstheme="majorHAnsi"/>
          <w:b w:val="0"/>
          <w:i w:val="0"/>
          <w:spacing w:val="6"/>
          <w:sz w:val="28"/>
          <w:szCs w:val="28"/>
          <w:lang w:val="en-GB"/>
        </w:rPr>
        <w:t xml:space="preserve"> per cent </w:t>
      </w:r>
      <w:r w:rsidRPr="00470FE4">
        <w:rPr>
          <w:rFonts w:asciiTheme="majorHAnsi" w:eastAsia="Calibri" w:hAnsiTheme="majorHAnsi" w:cstheme="majorHAnsi"/>
          <w:b w:val="0"/>
          <w:i w:val="0"/>
          <w:spacing w:val="6"/>
          <w:sz w:val="28"/>
          <w:szCs w:val="28"/>
          <w:lang w:val="en-GB"/>
        </w:rPr>
        <w:t>for those with elementary qualifications; 1.10</w:t>
      </w:r>
      <w:r w:rsidR="001722D5" w:rsidRPr="00470FE4">
        <w:rPr>
          <w:rFonts w:asciiTheme="majorHAnsi" w:eastAsia="Calibri" w:hAnsiTheme="majorHAnsi" w:cstheme="majorHAnsi"/>
          <w:b w:val="0"/>
          <w:i w:val="0"/>
          <w:spacing w:val="6"/>
          <w:sz w:val="28"/>
          <w:szCs w:val="28"/>
          <w:lang w:val="en-GB"/>
        </w:rPr>
        <w:t xml:space="preserve"> per cent </w:t>
      </w:r>
      <w:r w:rsidRPr="00470FE4">
        <w:rPr>
          <w:rFonts w:asciiTheme="majorHAnsi" w:eastAsia="Calibri" w:hAnsiTheme="majorHAnsi" w:cstheme="majorHAnsi"/>
          <w:b w:val="0"/>
          <w:i w:val="0"/>
          <w:spacing w:val="6"/>
          <w:sz w:val="28"/>
          <w:szCs w:val="28"/>
          <w:lang w:val="en-GB"/>
        </w:rPr>
        <w:t>for those with intermediate qualifications; 0.95</w:t>
      </w:r>
      <w:r w:rsidR="001722D5" w:rsidRPr="00470FE4">
        <w:rPr>
          <w:rFonts w:asciiTheme="majorHAnsi" w:eastAsia="Calibri" w:hAnsiTheme="majorHAnsi" w:cstheme="majorHAnsi"/>
          <w:b w:val="0"/>
          <w:i w:val="0"/>
          <w:spacing w:val="6"/>
          <w:sz w:val="28"/>
          <w:szCs w:val="28"/>
          <w:lang w:val="en-GB"/>
        </w:rPr>
        <w:t xml:space="preserve"> per cent </w:t>
      </w:r>
      <w:r w:rsidRPr="00470FE4">
        <w:rPr>
          <w:rFonts w:asciiTheme="majorHAnsi" w:eastAsia="Calibri" w:hAnsiTheme="majorHAnsi" w:cstheme="majorHAnsi"/>
          <w:b w:val="0"/>
          <w:i w:val="0"/>
          <w:spacing w:val="6"/>
          <w:sz w:val="28"/>
          <w:szCs w:val="28"/>
          <w:lang w:val="en-GB"/>
        </w:rPr>
        <w:t>for those with college qualifications; and 0.61</w:t>
      </w:r>
      <w:r w:rsidR="001722D5" w:rsidRPr="00470FE4">
        <w:rPr>
          <w:rFonts w:asciiTheme="majorHAnsi" w:eastAsia="Calibri" w:hAnsiTheme="majorHAnsi" w:cstheme="majorHAnsi"/>
          <w:b w:val="0"/>
          <w:i w:val="0"/>
          <w:spacing w:val="6"/>
          <w:sz w:val="28"/>
          <w:szCs w:val="28"/>
          <w:lang w:val="en-GB"/>
        </w:rPr>
        <w:t xml:space="preserve"> per cent </w:t>
      </w:r>
      <w:r w:rsidRPr="00470FE4">
        <w:rPr>
          <w:rFonts w:asciiTheme="majorHAnsi" w:eastAsia="Calibri" w:hAnsiTheme="majorHAnsi" w:cstheme="majorHAnsi"/>
          <w:b w:val="0"/>
          <w:i w:val="0"/>
          <w:spacing w:val="6"/>
          <w:sz w:val="28"/>
          <w:szCs w:val="28"/>
          <w:lang w:val="en-GB"/>
        </w:rPr>
        <w:t>for those with university or higher qualifications.</w:t>
      </w:r>
    </w:p>
    <w:p w:rsidR="00305165" w:rsidRPr="00497687" w:rsidRDefault="00173754" w:rsidP="003427BF">
      <w:pPr>
        <w:spacing w:before="120" w:line="276" w:lineRule="auto"/>
        <w:ind w:firstLine="709"/>
        <w:jc w:val="both"/>
        <w:rPr>
          <w:rFonts w:asciiTheme="majorHAnsi" w:hAnsiTheme="majorHAnsi" w:cstheme="majorHAnsi"/>
          <w:bCs/>
          <w:i w:val="0"/>
          <w:iCs/>
          <w:sz w:val="28"/>
          <w:szCs w:val="28"/>
          <w:lang w:val="en-GB"/>
        </w:rPr>
      </w:pPr>
      <w:r w:rsidRPr="00497687">
        <w:rPr>
          <w:rFonts w:asciiTheme="majorHAnsi" w:hAnsiTheme="majorHAnsi" w:cstheme="majorHAnsi"/>
          <w:bCs/>
          <w:i w:val="0"/>
          <w:iCs/>
          <w:sz w:val="28"/>
          <w:szCs w:val="28"/>
          <w:lang w:val="en-GB"/>
        </w:rPr>
        <w:t xml:space="preserve">The average monthly income of workers in the second quarter continued to record an increase compared to the previous quarter, which is different from the normal trend observed over many years but is a positive sign </w:t>
      </w:r>
      <w:r w:rsidR="0042322B" w:rsidRPr="00497687">
        <w:rPr>
          <w:rFonts w:asciiTheme="majorHAnsi" w:hAnsiTheme="majorHAnsi" w:cstheme="majorHAnsi"/>
          <w:bCs/>
          <w:i w:val="0"/>
          <w:iCs/>
          <w:sz w:val="28"/>
          <w:szCs w:val="28"/>
          <w:lang w:val="en-GB"/>
        </w:rPr>
        <w:t>reaffirming</w:t>
      </w:r>
      <w:r w:rsidRPr="00497687">
        <w:rPr>
          <w:rFonts w:asciiTheme="majorHAnsi" w:hAnsiTheme="majorHAnsi" w:cstheme="majorHAnsi"/>
          <w:bCs/>
          <w:i w:val="0"/>
          <w:iCs/>
          <w:sz w:val="28"/>
          <w:szCs w:val="28"/>
          <w:lang w:val="en-GB"/>
        </w:rPr>
        <w:t xml:space="preserve"> economic recovery and growth after the pandemic</w:t>
      </w:r>
      <w:r w:rsidR="00DD71D3" w:rsidRPr="00497687">
        <w:rPr>
          <w:rFonts w:asciiTheme="majorHAnsi" w:hAnsiTheme="majorHAnsi" w:cstheme="majorHAnsi"/>
          <w:bCs/>
          <w:i w:val="0"/>
          <w:iCs/>
          <w:sz w:val="28"/>
          <w:szCs w:val="28"/>
          <w:lang w:val="en-GB"/>
        </w:rPr>
        <w:t>.</w:t>
      </w:r>
      <w:bookmarkEnd w:id="12"/>
    </w:p>
    <w:p w:rsidR="0099588C" w:rsidRDefault="00CC7D41" w:rsidP="003427BF">
      <w:pPr>
        <w:spacing w:before="120" w:after="120" w:line="276" w:lineRule="auto"/>
        <w:ind w:firstLine="709"/>
        <w:jc w:val="both"/>
        <w:rPr>
          <w:rFonts w:asciiTheme="majorHAnsi" w:hAnsiTheme="majorHAnsi" w:cstheme="majorHAnsi"/>
          <w:b w:val="0"/>
          <w:bCs/>
          <w:i w:val="0"/>
          <w:iCs/>
          <w:sz w:val="28"/>
          <w:szCs w:val="28"/>
          <w:lang w:val="en-GB"/>
        </w:rPr>
      </w:pPr>
      <w:r w:rsidRPr="00497687">
        <w:rPr>
          <w:rFonts w:asciiTheme="majorHAnsi" w:hAnsiTheme="majorHAnsi" w:cstheme="majorHAnsi"/>
          <w:b w:val="0"/>
          <w:bCs/>
          <w:i w:val="0"/>
          <w:iCs/>
          <w:sz w:val="28"/>
          <w:szCs w:val="28"/>
          <w:lang w:val="en-GB"/>
        </w:rPr>
        <w:t xml:space="preserve">The average monthly income of workers in the second quarter of 2022 reached 6.6 million </w:t>
      </w:r>
      <w:r w:rsidRPr="00497687">
        <w:rPr>
          <w:rFonts w:asciiTheme="majorHAnsi" w:eastAsia="Calibri" w:hAnsiTheme="majorHAnsi" w:cstheme="majorHAnsi"/>
          <w:b w:val="0"/>
          <w:i w:val="0"/>
          <w:iCs/>
          <w:sz w:val="28"/>
          <w:szCs w:val="28"/>
          <w:lang w:val="en-GB"/>
        </w:rPr>
        <w:t>VND</w:t>
      </w:r>
      <w:r w:rsidRPr="00497687">
        <w:rPr>
          <w:rFonts w:asciiTheme="majorHAnsi" w:hAnsiTheme="majorHAnsi" w:cstheme="majorHAnsi"/>
          <w:b w:val="0"/>
          <w:bCs/>
          <w:i w:val="0"/>
          <w:iCs/>
          <w:sz w:val="28"/>
          <w:szCs w:val="28"/>
          <w:lang w:val="en-GB"/>
        </w:rPr>
        <w:t>, an increase of 206</w:t>
      </w:r>
      <w:r w:rsidR="00713EE6">
        <w:rPr>
          <w:rFonts w:asciiTheme="majorHAnsi" w:hAnsiTheme="majorHAnsi" w:cstheme="majorHAnsi"/>
          <w:b w:val="0"/>
          <w:bCs/>
          <w:i w:val="0"/>
          <w:iCs/>
          <w:sz w:val="28"/>
          <w:szCs w:val="28"/>
          <w:lang w:val="en-GB"/>
        </w:rPr>
        <w:t xml:space="preserve"> thousand</w:t>
      </w:r>
      <w:r w:rsidRPr="00497687">
        <w:rPr>
          <w:rFonts w:asciiTheme="majorHAnsi" w:hAnsiTheme="majorHAnsi" w:cstheme="majorHAnsi"/>
          <w:b w:val="0"/>
          <w:bCs/>
          <w:i w:val="0"/>
          <w:iCs/>
          <w:sz w:val="28"/>
          <w:szCs w:val="28"/>
          <w:lang w:val="en-GB"/>
        </w:rPr>
        <w:t xml:space="preserve"> VND compared to the first quarter of 2022. Observing the average monthly income of workers on a quarterly basis in recent years, including years preceding the Covid-19 pandemic, one can see that the fluctuation of workers</w:t>
      </w:r>
      <w:r w:rsidR="00F622A3">
        <w:rPr>
          <w:rFonts w:asciiTheme="majorHAnsi" w:hAnsiTheme="majorHAnsi" w:cstheme="majorHAnsi"/>
          <w:b w:val="0"/>
          <w:bCs/>
          <w:i w:val="0"/>
          <w:iCs/>
          <w:sz w:val="28"/>
          <w:szCs w:val="28"/>
          <w:lang w:val="en-GB"/>
        </w:rPr>
        <w:t>’</w:t>
      </w:r>
      <w:r w:rsidRPr="00497687">
        <w:rPr>
          <w:rFonts w:asciiTheme="majorHAnsi" w:hAnsiTheme="majorHAnsi" w:cstheme="majorHAnsi"/>
          <w:b w:val="0"/>
          <w:bCs/>
          <w:i w:val="0"/>
          <w:iCs/>
          <w:sz w:val="28"/>
          <w:szCs w:val="28"/>
          <w:lang w:val="en-GB"/>
        </w:rPr>
        <w:t xml:space="preserve"> income in the second quarter compared with the first quarter of this year is different from the observed normal trend of previous years. In the years from 2019 to 2021, workers</w:t>
      </w:r>
      <w:r w:rsidR="00F622A3">
        <w:rPr>
          <w:rFonts w:asciiTheme="majorHAnsi" w:hAnsiTheme="majorHAnsi" w:cstheme="majorHAnsi"/>
          <w:b w:val="0"/>
          <w:bCs/>
          <w:i w:val="0"/>
          <w:iCs/>
          <w:sz w:val="28"/>
          <w:szCs w:val="28"/>
          <w:lang w:val="en-GB"/>
        </w:rPr>
        <w:t>’</w:t>
      </w:r>
      <w:r w:rsidRPr="00497687">
        <w:rPr>
          <w:rFonts w:asciiTheme="majorHAnsi" w:hAnsiTheme="majorHAnsi" w:cstheme="majorHAnsi"/>
          <w:b w:val="0"/>
          <w:bCs/>
          <w:i w:val="0"/>
          <w:iCs/>
          <w:sz w:val="28"/>
          <w:szCs w:val="28"/>
          <w:lang w:val="en-GB"/>
        </w:rPr>
        <w:t xml:space="preserve"> income in the second quarters usually decreased </w:t>
      </w:r>
      <w:r w:rsidR="00235AEC">
        <w:rPr>
          <w:rFonts w:asciiTheme="majorHAnsi" w:hAnsiTheme="majorHAnsi" w:cstheme="majorHAnsi"/>
          <w:b w:val="0"/>
          <w:bCs/>
          <w:i w:val="0"/>
          <w:iCs/>
          <w:sz w:val="28"/>
          <w:szCs w:val="28"/>
          <w:lang w:val="en-GB"/>
        </w:rPr>
        <w:t>relative</w:t>
      </w:r>
      <w:r w:rsidRPr="00497687">
        <w:rPr>
          <w:rFonts w:asciiTheme="majorHAnsi" w:hAnsiTheme="majorHAnsi" w:cstheme="majorHAnsi"/>
          <w:b w:val="0"/>
          <w:bCs/>
          <w:i w:val="0"/>
          <w:iCs/>
          <w:sz w:val="28"/>
          <w:szCs w:val="28"/>
          <w:lang w:val="en-GB"/>
        </w:rPr>
        <w:t xml:space="preserve"> to the first quarter due to incremental income</w:t>
      </w:r>
      <w:r w:rsidR="00235AEC">
        <w:rPr>
          <w:rFonts w:asciiTheme="majorHAnsi" w:hAnsiTheme="majorHAnsi" w:cstheme="majorHAnsi"/>
          <w:b w:val="0"/>
          <w:bCs/>
          <w:i w:val="0"/>
          <w:iCs/>
          <w:sz w:val="28"/>
          <w:szCs w:val="28"/>
          <w:lang w:val="en-GB"/>
        </w:rPr>
        <w:t xml:space="preserve"> earned</w:t>
      </w:r>
      <w:r w:rsidRPr="00497687">
        <w:rPr>
          <w:rFonts w:asciiTheme="majorHAnsi" w:hAnsiTheme="majorHAnsi" w:cstheme="majorHAnsi"/>
          <w:b w:val="0"/>
          <w:bCs/>
          <w:i w:val="0"/>
          <w:iCs/>
          <w:sz w:val="28"/>
          <w:szCs w:val="28"/>
          <w:lang w:val="en-GB"/>
        </w:rPr>
        <w:t xml:space="preserve"> from year-end overtime </w:t>
      </w:r>
      <w:r w:rsidR="00235AEC">
        <w:rPr>
          <w:rFonts w:asciiTheme="majorHAnsi" w:hAnsiTheme="majorHAnsi" w:cstheme="majorHAnsi"/>
          <w:b w:val="0"/>
          <w:bCs/>
          <w:i w:val="0"/>
          <w:iCs/>
          <w:sz w:val="28"/>
          <w:szCs w:val="28"/>
          <w:lang w:val="en-GB"/>
        </w:rPr>
        <w:t xml:space="preserve">hours </w:t>
      </w:r>
      <w:r w:rsidRPr="00497687">
        <w:rPr>
          <w:rFonts w:asciiTheme="majorHAnsi" w:hAnsiTheme="majorHAnsi" w:cstheme="majorHAnsi"/>
          <w:b w:val="0"/>
          <w:bCs/>
          <w:i w:val="0"/>
          <w:iCs/>
          <w:sz w:val="28"/>
          <w:szCs w:val="28"/>
          <w:lang w:val="en-GB"/>
        </w:rPr>
        <w:t>work</w:t>
      </w:r>
      <w:r w:rsidR="00235AEC">
        <w:rPr>
          <w:rFonts w:asciiTheme="majorHAnsi" w:hAnsiTheme="majorHAnsi" w:cstheme="majorHAnsi"/>
          <w:b w:val="0"/>
          <w:bCs/>
          <w:i w:val="0"/>
          <w:iCs/>
          <w:sz w:val="28"/>
          <w:szCs w:val="28"/>
          <w:lang w:val="en-GB"/>
        </w:rPr>
        <w:t>ed</w:t>
      </w:r>
      <w:r w:rsidRPr="00497687">
        <w:rPr>
          <w:rFonts w:asciiTheme="majorHAnsi" w:hAnsiTheme="majorHAnsi" w:cstheme="majorHAnsi"/>
          <w:b w:val="0"/>
          <w:bCs/>
          <w:i w:val="0"/>
          <w:iCs/>
          <w:sz w:val="28"/>
          <w:szCs w:val="28"/>
          <w:lang w:val="en-GB"/>
        </w:rPr>
        <w:t xml:space="preserve"> and Lunar New Year bonuses typicall</w:t>
      </w:r>
      <w:r w:rsidR="00235AEC">
        <w:rPr>
          <w:rFonts w:asciiTheme="majorHAnsi" w:hAnsiTheme="majorHAnsi" w:cstheme="majorHAnsi"/>
          <w:b w:val="0"/>
          <w:bCs/>
          <w:i w:val="0"/>
          <w:iCs/>
          <w:sz w:val="28"/>
          <w:szCs w:val="28"/>
          <w:lang w:val="en-GB"/>
        </w:rPr>
        <w:t xml:space="preserve">y paid in the first quarter. </w:t>
      </w:r>
      <w:r w:rsidRPr="00497687">
        <w:rPr>
          <w:rFonts w:asciiTheme="majorHAnsi" w:hAnsiTheme="majorHAnsi" w:cstheme="majorHAnsi"/>
          <w:b w:val="0"/>
          <w:bCs/>
          <w:i w:val="0"/>
          <w:iCs/>
          <w:sz w:val="28"/>
          <w:szCs w:val="28"/>
          <w:lang w:val="en-GB"/>
        </w:rPr>
        <w:t>On the contrary, for this particular year, no decrease was observed in the average monthly income of workers in the second quarter relative to the previous quarter as in preceding years, but instead a positive growth was maintained relative to the previous quarter and over the same period last year. This is</w:t>
      </w:r>
      <w:r w:rsidR="00235AEC">
        <w:rPr>
          <w:rFonts w:asciiTheme="majorHAnsi" w:hAnsiTheme="majorHAnsi" w:cstheme="majorHAnsi"/>
          <w:b w:val="0"/>
          <w:bCs/>
          <w:i w:val="0"/>
          <w:iCs/>
          <w:sz w:val="28"/>
          <w:szCs w:val="28"/>
          <w:lang w:val="en-GB"/>
        </w:rPr>
        <w:t xml:space="preserve"> a sign that suggests that Viet N</w:t>
      </w:r>
      <w:r w:rsidRPr="00497687">
        <w:rPr>
          <w:rFonts w:asciiTheme="majorHAnsi" w:hAnsiTheme="majorHAnsi" w:cstheme="majorHAnsi"/>
          <w:b w:val="0"/>
          <w:bCs/>
          <w:i w:val="0"/>
          <w:iCs/>
          <w:sz w:val="28"/>
          <w:szCs w:val="28"/>
          <w:lang w:val="en-GB"/>
        </w:rPr>
        <w:t>am</w:t>
      </w:r>
      <w:r w:rsidR="00F622A3">
        <w:rPr>
          <w:rFonts w:asciiTheme="majorHAnsi" w:hAnsiTheme="majorHAnsi" w:cstheme="majorHAnsi"/>
          <w:b w:val="0"/>
          <w:bCs/>
          <w:i w:val="0"/>
          <w:iCs/>
          <w:sz w:val="28"/>
          <w:szCs w:val="28"/>
          <w:lang w:val="en-GB"/>
        </w:rPr>
        <w:t>’</w:t>
      </w:r>
      <w:r w:rsidRPr="00497687">
        <w:rPr>
          <w:rFonts w:asciiTheme="majorHAnsi" w:hAnsiTheme="majorHAnsi" w:cstheme="majorHAnsi"/>
          <w:b w:val="0"/>
          <w:bCs/>
          <w:i w:val="0"/>
          <w:iCs/>
          <w:sz w:val="28"/>
          <w:szCs w:val="28"/>
          <w:lang w:val="en-GB"/>
        </w:rPr>
        <w:t xml:space="preserve">s economy is growing positively and strongly. </w:t>
      </w:r>
      <w:r w:rsidR="00D73F69" w:rsidRPr="00497687">
        <w:rPr>
          <w:rFonts w:asciiTheme="majorHAnsi" w:hAnsiTheme="majorHAnsi" w:cstheme="majorHAnsi"/>
          <w:b w:val="0"/>
          <w:bCs/>
          <w:i w:val="0"/>
          <w:iCs/>
          <w:sz w:val="28"/>
          <w:szCs w:val="28"/>
          <w:lang w:val="en-GB"/>
        </w:rPr>
        <w:t>Compared to the same period in 2021, when the Covid-19 pandemic was rampant</w:t>
      </w:r>
      <w:r w:rsidR="00F77463" w:rsidRPr="00497687">
        <w:rPr>
          <w:rFonts w:asciiTheme="majorHAnsi" w:hAnsiTheme="majorHAnsi" w:cstheme="majorHAnsi"/>
          <w:b w:val="0"/>
          <w:bCs/>
          <w:i w:val="0"/>
          <w:iCs/>
          <w:sz w:val="28"/>
          <w:szCs w:val="28"/>
          <w:lang w:val="en-GB"/>
        </w:rPr>
        <w:t xml:space="preserve"> across many provinces</w:t>
      </w:r>
      <w:r w:rsidR="00D73F69" w:rsidRPr="00497687">
        <w:rPr>
          <w:rFonts w:asciiTheme="majorHAnsi" w:hAnsiTheme="majorHAnsi" w:cstheme="majorHAnsi"/>
          <w:b w:val="0"/>
          <w:bCs/>
          <w:i w:val="0"/>
          <w:iCs/>
          <w:sz w:val="28"/>
          <w:szCs w:val="28"/>
          <w:lang w:val="en-GB"/>
        </w:rPr>
        <w:t xml:space="preserve">, the average monthly income of workers in </w:t>
      </w:r>
      <w:r w:rsidR="00722938" w:rsidRPr="00497687">
        <w:rPr>
          <w:rFonts w:asciiTheme="majorHAnsi" w:hAnsiTheme="majorHAnsi" w:cstheme="majorHAnsi"/>
          <w:b w:val="0"/>
          <w:bCs/>
          <w:i w:val="0"/>
          <w:iCs/>
          <w:sz w:val="28"/>
          <w:szCs w:val="28"/>
          <w:lang w:val="en-GB"/>
        </w:rPr>
        <w:t>the second quarter of</w:t>
      </w:r>
      <w:r w:rsidR="00D73F69" w:rsidRPr="00497687">
        <w:rPr>
          <w:rFonts w:asciiTheme="majorHAnsi" w:hAnsiTheme="majorHAnsi" w:cstheme="majorHAnsi"/>
          <w:b w:val="0"/>
          <w:bCs/>
          <w:i w:val="0"/>
          <w:iCs/>
          <w:sz w:val="28"/>
          <w:szCs w:val="28"/>
          <w:lang w:val="en-GB"/>
        </w:rPr>
        <w:t xml:space="preserve"> 2022 recorded an encouraging growth rate, up 8.9</w:t>
      </w:r>
      <w:r w:rsidR="003F4455" w:rsidRPr="00497687">
        <w:rPr>
          <w:rFonts w:asciiTheme="majorHAnsi" w:hAnsiTheme="majorHAnsi" w:cstheme="majorHAnsi"/>
          <w:b w:val="0"/>
          <w:bCs/>
          <w:i w:val="0"/>
          <w:iCs/>
          <w:sz w:val="28"/>
          <w:szCs w:val="28"/>
          <w:lang w:val="en-GB"/>
        </w:rPr>
        <w:t xml:space="preserve"> per cent,</w:t>
      </w:r>
      <w:r w:rsidR="00D73F69" w:rsidRPr="00497687">
        <w:rPr>
          <w:rFonts w:asciiTheme="majorHAnsi" w:hAnsiTheme="majorHAnsi" w:cstheme="majorHAnsi"/>
          <w:b w:val="0"/>
          <w:bCs/>
          <w:i w:val="0"/>
          <w:iCs/>
          <w:sz w:val="28"/>
          <w:szCs w:val="28"/>
          <w:lang w:val="en-GB"/>
        </w:rPr>
        <w:t xml:space="preserve"> equivalent to an increase of about 542</w:t>
      </w:r>
      <w:r w:rsidR="00713EE6">
        <w:rPr>
          <w:rFonts w:asciiTheme="majorHAnsi" w:hAnsiTheme="majorHAnsi" w:cstheme="majorHAnsi"/>
          <w:b w:val="0"/>
          <w:bCs/>
          <w:i w:val="0"/>
          <w:iCs/>
          <w:sz w:val="28"/>
          <w:szCs w:val="28"/>
          <w:lang w:val="en-GB"/>
        </w:rPr>
        <w:t xml:space="preserve"> thousand</w:t>
      </w:r>
      <w:r w:rsidR="00D73F69" w:rsidRPr="00497687">
        <w:rPr>
          <w:rFonts w:asciiTheme="majorHAnsi" w:hAnsiTheme="majorHAnsi" w:cstheme="majorHAnsi"/>
          <w:b w:val="0"/>
          <w:bCs/>
          <w:i w:val="0"/>
          <w:iCs/>
          <w:sz w:val="28"/>
          <w:szCs w:val="28"/>
          <w:lang w:val="en-GB"/>
        </w:rPr>
        <w:t xml:space="preserve"> VND; compared to the same period in 2020 when the Covid-19 pandemic first broke out in Viet</w:t>
      </w:r>
      <w:r w:rsidR="00235AEC">
        <w:rPr>
          <w:rFonts w:asciiTheme="majorHAnsi" w:hAnsiTheme="majorHAnsi" w:cstheme="majorHAnsi"/>
          <w:b w:val="0"/>
          <w:bCs/>
          <w:i w:val="0"/>
          <w:iCs/>
          <w:sz w:val="28"/>
          <w:szCs w:val="28"/>
          <w:lang w:val="en-GB"/>
        </w:rPr>
        <w:t xml:space="preserve"> N</w:t>
      </w:r>
      <w:r w:rsidR="00D73F69" w:rsidRPr="00497687">
        <w:rPr>
          <w:rFonts w:asciiTheme="majorHAnsi" w:hAnsiTheme="majorHAnsi" w:cstheme="majorHAnsi"/>
          <w:b w:val="0"/>
          <w:bCs/>
          <w:i w:val="0"/>
          <w:iCs/>
          <w:sz w:val="28"/>
          <w:szCs w:val="28"/>
          <w:lang w:val="en-GB"/>
        </w:rPr>
        <w:t>am, the average monthly income of workers increased by 19.7</w:t>
      </w:r>
      <w:r w:rsidR="003F4455" w:rsidRPr="00497687">
        <w:rPr>
          <w:rFonts w:asciiTheme="majorHAnsi" w:hAnsiTheme="majorHAnsi" w:cstheme="majorHAnsi"/>
          <w:b w:val="0"/>
          <w:bCs/>
          <w:i w:val="0"/>
          <w:iCs/>
          <w:sz w:val="28"/>
          <w:szCs w:val="28"/>
          <w:lang w:val="en-GB"/>
        </w:rPr>
        <w:t xml:space="preserve"> per cent,</w:t>
      </w:r>
      <w:r w:rsidR="00D73F69" w:rsidRPr="00497687">
        <w:rPr>
          <w:rFonts w:asciiTheme="majorHAnsi" w:hAnsiTheme="majorHAnsi" w:cstheme="majorHAnsi"/>
          <w:b w:val="0"/>
          <w:bCs/>
          <w:i w:val="0"/>
          <w:iCs/>
          <w:sz w:val="28"/>
          <w:szCs w:val="28"/>
          <w:lang w:val="en-GB"/>
        </w:rPr>
        <w:t xml:space="preserve"> equivalent to an increase of nearly 1.1 million VND.</w:t>
      </w:r>
      <w:r w:rsidR="00F77463" w:rsidRPr="00497687">
        <w:rPr>
          <w:rFonts w:asciiTheme="majorHAnsi" w:hAnsiTheme="majorHAnsi" w:cstheme="majorHAnsi"/>
          <w:sz w:val="28"/>
          <w:szCs w:val="28"/>
          <w:lang w:val="en-GB"/>
        </w:rPr>
        <w:t xml:space="preserve"> </w:t>
      </w:r>
      <w:r w:rsidR="00F77463" w:rsidRPr="00497687">
        <w:rPr>
          <w:rFonts w:asciiTheme="majorHAnsi" w:hAnsiTheme="majorHAnsi" w:cstheme="majorHAnsi"/>
          <w:b w:val="0"/>
          <w:bCs/>
          <w:i w:val="0"/>
          <w:iCs/>
          <w:sz w:val="28"/>
          <w:szCs w:val="28"/>
          <w:lang w:val="en-GB"/>
        </w:rPr>
        <w:t>The life of workers has gradually returned to the normal state as before the Covid-19 pandemic.</w:t>
      </w:r>
    </w:p>
    <w:p w:rsidR="00956D9A" w:rsidRPr="00497687" w:rsidRDefault="008D7DAF" w:rsidP="00470FE4">
      <w:pPr>
        <w:spacing w:line="276" w:lineRule="auto"/>
        <w:jc w:val="center"/>
        <w:rPr>
          <w:rFonts w:asciiTheme="majorHAnsi" w:hAnsiTheme="majorHAnsi" w:cstheme="majorHAnsi"/>
          <w:bCs/>
          <w:i w:val="0"/>
          <w:iCs/>
          <w:sz w:val="28"/>
          <w:szCs w:val="28"/>
          <w:lang w:val="en-GB"/>
        </w:rPr>
      </w:pPr>
      <w:r w:rsidRPr="00497687">
        <w:rPr>
          <w:rFonts w:asciiTheme="majorHAnsi" w:hAnsiTheme="majorHAnsi" w:cstheme="majorHAnsi"/>
          <w:bCs/>
          <w:i w:val="0"/>
          <w:iCs/>
          <w:sz w:val="28"/>
          <w:szCs w:val="28"/>
          <w:lang w:val="en-GB"/>
        </w:rPr>
        <w:t>Figure 6</w:t>
      </w:r>
      <w:r w:rsidR="00956D9A" w:rsidRPr="00497687">
        <w:rPr>
          <w:rFonts w:asciiTheme="majorHAnsi" w:hAnsiTheme="majorHAnsi" w:cstheme="majorHAnsi"/>
          <w:bCs/>
          <w:i w:val="0"/>
          <w:iCs/>
          <w:sz w:val="28"/>
          <w:szCs w:val="28"/>
          <w:lang w:val="en-GB"/>
        </w:rPr>
        <w:t xml:space="preserve">: </w:t>
      </w:r>
      <w:r w:rsidR="005A04FF" w:rsidRPr="00497687">
        <w:rPr>
          <w:rFonts w:asciiTheme="majorHAnsi" w:hAnsiTheme="majorHAnsi" w:cstheme="majorHAnsi"/>
          <w:bCs/>
          <w:i w:val="0"/>
          <w:iCs/>
          <w:sz w:val="28"/>
          <w:szCs w:val="28"/>
          <w:lang w:val="en-GB"/>
        </w:rPr>
        <w:t>Average monthly i</w:t>
      </w:r>
      <w:r w:rsidR="0062623A" w:rsidRPr="00497687">
        <w:rPr>
          <w:rFonts w:asciiTheme="majorHAnsi" w:hAnsiTheme="majorHAnsi" w:cstheme="majorHAnsi"/>
          <w:bCs/>
          <w:i w:val="0"/>
          <w:iCs/>
          <w:sz w:val="28"/>
          <w:szCs w:val="28"/>
          <w:lang w:val="en-GB"/>
        </w:rPr>
        <w:t xml:space="preserve">ncome of workers </w:t>
      </w:r>
      <w:r w:rsidRPr="00497687">
        <w:rPr>
          <w:rFonts w:asciiTheme="majorHAnsi" w:hAnsiTheme="majorHAnsi" w:cstheme="majorHAnsi"/>
          <w:bCs/>
          <w:i w:val="0"/>
          <w:iCs/>
          <w:sz w:val="28"/>
          <w:szCs w:val="28"/>
          <w:lang w:val="en-GB"/>
        </w:rPr>
        <w:t>in the first and second</w:t>
      </w:r>
      <w:r w:rsidR="0062623A" w:rsidRPr="00497687">
        <w:rPr>
          <w:rFonts w:asciiTheme="majorHAnsi" w:hAnsiTheme="majorHAnsi" w:cstheme="majorHAnsi"/>
          <w:bCs/>
          <w:i w:val="0"/>
          <w:iCs/>
          <w:sz w:val="28"/>
          <w:szCs w:val="28"/>
          <w:lang w:val="en-GB"/>
        </w:rPr>
        <w:t xml:space="preserve"> quarter</w:t>
      </w:r>
      <w:r w:rsidR="00C955C3">
        <w:rPr>
          <w:rFonts w:asciiTheme="majorHAnsi" w:hAnsiTheme="majorHAnsi" w:cstheme="majorHAnsi"/>
          <w:bCs/>
          <w:i w:val="0"/>
          <w:iCs/>
          <w:sz w:val="28"/>
          <w:szCs w:val="28"/>
          <w:lang w:val="en-GB"/>
        </w:rPr>
        <w:t>s, 2019</w:t>
      </w:r>
      <w:r w:rsidRPr="00497687">
        <w:rPr>
          <w:rFonts w:asciiTheme="majorHAnsi" w:hAnsiTheme="majorHAnsi" w:cstheme="majorHAnsi"/>
          <w:bCs/>
          <w:i w:val="0"/>
          <w:iCs/>
          <w:sz w:val="28"/>
          <w:szCs w:val="28"/>
          <w:lang w:val="en-GB"/>
        </w:rPr>
        <w:t>-2022</w:t>
      </w:r>
    </w:p>
    <w:p w:rsidR="00956D9A" w:rsidRDefault="0062623A" w:rsidP="0099588C">
      <w:pPr>
        <w:spacing w:line="276" w:lineRule="auto"/>
        <w:ind w:firstLine="709"/>
        <w:jc w:val="right"/>
        <w:rPr>
          <w:rFonts w:asciiTheme="majorHAnsi" w:hAnsiTheme="majorHAnsi" w:cstheme="majorHAnsi"/>
          <w:b w:val="0"/>
          <w:bCs/>
          <w:iCs/>
          <w:sz w:val="28"/>
          <w:szCs w:val="28"/>
          <w:lang w:val="en-GB"/>
        </w:rPr>
      </w:pPr>
      <w:r w:rsidRPr="00497687">
        <w:rPr>
          <w:rFonts w:asciiTheme="majorHAnsi" w:hAnsiTheme="majorHAnsi" w:cstheme="majorHAnsi"/>
          <w:b w:val="0"/>
          <w:bCs/>
          <w:iCs/>
          <w:sz w:val="28"/>
          <w:szCs w:val="28"/>
          <w:lang w:val="en-GB"/>
        </w:rPr>
        <w:t xml:space="preserve">Unit: </w:t>
      </w:r>
      <w:r w:rsidR="008D7DAF" w:rsidRPr="00497687">
        <w:rPr>
          <w:rFonts w:asciiTheme="majorHAnsi" w:hAnsiTheme="majorHAnsi" w:cstheme="majorHAnsi"/>
          <w:b w:val="0"/>
          <w:bCs/>
          <w:iCs/>
          <w:sz w:val="28"/>
          <w:szCs w:val="28"/>
          <w:lang w:val="en-GB"/>
        </w:rPr>
        <w:t>Million</w:t>
      </w:r>
      <w:r w:rsidRPr="00497687">
        <w:rPr>
          <w:rFonts w:asciiTheme="majorHAnsi" w:hAnsiTheme="majorHAnsi" w:cstheme="majorHAnsi"/>
          <w:b w:val="0"/>
          <w:bCs/>
          <w:iCs/>
          <w:sz w:val="28"/>
          <w:szCs w:val="28"/>
          <w:lang w:val="en-GB"/>
        </w:rPr>
        <w:t xml:space="preserve"> VND</w:t>
      </w:r>
    </w:p>
    <w:p w:rsidR="008D7DAF" w:rsidRPr="00D900BD" w:rsidRDefault="00D900BD" w:rsidP="00470FE4">
      <w:pPr>
        <w:spacing w:line="276" w:lineRule="auto"/>
        <w:jc w:val="center"/>
        <w:rPr>
          <w:rFonts w:asciiTheme="majorHAnsi" w:hAnsiTheme="majorHAnsi" w:cstheme="majorHAnsi"/>
          <w:bCs/>
          <w:i w:val="0"/>
          <w:iCs/>
          <w:spacing w:val="-8"/>
          <w:sz w:val="28"/>
          <w:szCs w:val="28"/>
          <w:lang w:val="en-GB"/>
        </w:rPr>
      </w:pPr>
      <w:r w:rsidRPr="00497687">
        <w:rPr>
          <w:rFonts w:asciiTheme="majorHAnsi" w:hAnsiTheme="majorHAnsi" w:cstheme="majorHAnsi"/>
          <w:noProof/>
          <w:sz w:val="28"/>
          <w:szCs w:val="28"/>
        </w:rPr>
        <w:drawing>
          <wp:inline distT="0" distB="0" distL="0" distR="0">
            <wp:extent cx="4973320" cy="1778000"/>
            <wp:effectExtent l="0" t="0" r="17780" b="12700"/>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956D9A" w:rsidRPr="00497687" w:rsidRDefault="00155D6E" w:rsidP="003427BF">
      <w:pPr>
        <w:spacing w:before="240" w:after="120" w:line="276" w:lineRule="auto"/>
        <w:ind w:firstLine="709"/>
        <w:jc w:val="both"/>
        <w:rPr>
          <w:rFonts w:asciiTheme="majorHAnsi" w:hAnsiTheme="majorHAnsi" w:cstheme="majorHAnsi"/>
          <w:bCs/>
          <w:i w:val="0"/>
          <w:iCs/>
          <w:spacing w:val="-8"/>
          <w:sz w:val="28"/>
          <w:szCs w:val="28"/>
          <w:lang w:val="en-GB"/>
        </w:rPr>
      </w:pPr>
      <w:r w:rsidRPr="00497687">
        <w:rPr>
          <w:rFonts w:asciiTheme="majorHAnsi" w:hAnsiTheme="majorHAnsi" w:cstheme="majorHAnsi"/>
          <w:bCs/>
          <w:i w:val="0"/>
          <w:iCs/>
          <w:spacing w:val="-8"/>
          <w:sz w:val="28"/>
          <w:szCs w:val="28"/>
          <w:lang w:val="en-GB"/>
        </w:rPr>
        <w:t xml:space="preserve">The average monthly income of workers across socio-economic regions has improved significantly. Compared to the same period last year, the </w:t>
      </w:r>
      <w:r w:rsidR="003427BF" w:rsidRPr="003427BF">
        <w:rPr>
          <w:rFonts w:asciiTheme="majorHAnsi" w:hAnsiTheme="majorHAnsi" w:cstheme="majorHAnsi"/>
          <w:bCs/>
          <w:i w:val="0"/>
          <w:iCs/>
          <w:spacing w:val="-8"/>
          <w:sz w:val="28"/>
          <w:szCs w:val="28"/>
          <w:lang w:val="en-GB"/>
        </w:rPr>
        <w:t xml:space="preserve">North and South Central Coast </w:t>
      </w:r>
      <w:r w:rsidRPr="00497687">
        <w:rPr>
          <w:rFonts w:asciiTheme="majorHAnsi" w:hAnsiTheme="majorHAnsi" w:cstheme="majorHAnsi"/>
          <w:bCs/>
          <w:i w:val="0"/>
          <w:iCs/>
          <w:spacing w:val="-8"/>
          <w:sz w:val="28"/>
          <w:szCs w:val="28"/>
          <w:lang w:val="en-GB"/>
        </w:rPr>
        <w:t>are the regions with the highest average income growth.</w:t>
      </w:r>
    </w:p>
    <w:p w:rsidR="0099588C" w:rsidRDefault="00620CA1" w:rsidP="003427BF">
      <w:pPr>
        <w:spacing w:before="120" w:after="120" w:line="276" w:lineRule="auto"/>
        <w:ind w:firstLine="709"/>
        <w:jc w:val="both"/>
        <w:rPr>
          <w:rFonts w:asciiTheme="majorHAnsi" w:hAnsiTheme="majorHAnsi" w:cstheme="majorHAnsi"/>
          <w:b w:val="0"/>
          <w:bCs/>
          <w:i w:val="0"/>
          <w:iCs/>
          <w:spacing w:val="-4"/>
          <w:sz w:val="28"/>
          <w:szCs w:val="28"/>
          <w:lang w:val="en-GB"/>
        </w:rPr>
      </w:pPr>
      <w:r w:rsidRPr="0099588C">
        <w:rPr>
          <w:rFonts w:asciiTheme="majorHAnsi" w:hAnsiTheme="majorHAnsi" w:cstheme="majorHAnsi"/>
          <w:b w:val="0"/>
          <w:bCs/>
          <w:i w:val="0"/>
          <w:iCs/>
          <w:spacing w:val="-4"/>
          <w:sz w:val="28"/>
          <w:szCs w:val="28"/>
          <w:lang w:val="en-GB"/>
        </w:rPr>
        <w:t xml:space="preserve">The average monthly income of workers in the second quarter of </w:t>
      </w:r>
      <w:r w:rsidR="008D7DAF" w:rsidRPr="0099588C">
        <w:rPr>
          <w:rFonts w:asciiTheme="majorHAnsi" w:hAnsiTheme="majorHAnsi" w:cstheme="majorHAnsi"/>
          <w:b w:val="0"/>
          <w:bCs/>
          <w:i w:val="0"/>
          <w:iCs/>
          <w:spacing w:val="-4"/>
          <w:sz w:val="28"/>
          <w:szCs w:val="28"/>
          <w:lang w:val="en-GB"/>
        </w:rPr>
        <w:t>2022</w:t>
      </w:r>
      <w:r w:rsidRPr="0099588C">
        <w:rPr>
          <w:rFonts w:asciiTheme="majorHAnsi" w:hAnsiTheme="majorHAnsi" w:cstheme="majorHAnsi"/>
          <w:b w:val="0"/>
          <w:bCs/>
          <w:i w:val="0"/>
          <w:iCs/>
          <w:spacing w:val="-4"/>
          <w:sz w:val="28"/>
          <w:szCs w:val="28"/>
          <w:lang w:val="en-GB"/>
        </w:rPr>
        <w:t xml:space="preserve"> in the </w:t>
      </w:r>
      <w:r w:rsidR="003427BF" w:rsidRPr="0099588C">
        <w:rPr>
          <w:rFonts w:asciiTheme="majorHAnsi" w:hAnsiTheme="majorHAnsi" w:cstheme="majorHAnsi"/>
          <w:b w:val="0"/>
          <w:bCs/>
          <w:i w:val="0"/>
          <w:iCs/>
          <w:spacing w:val="-4"/>
          <w:sz w:val="28"/>
          <w:szCs w:val="28"/>
          <w:lang w:val="en-GB"/>
        </w:rPr>
        <w:t>North and South Central Coast</w:t>
      </w:r>
      <w:r w:rsidRPr="0099588C">
        <w:rPr>
          <w:rFonts w:asciiTheme="majorHAnsi" w:hAnsiTheme="majorHAnsi" w:cstheme="majorHAnsi"/>
          <w:b w:val="0"/>
          <w:bCs/>
          <w:i w:val="0"/>
          <w:iCs/>
          <w:spacing w:val="-4"/>
          <w:sz w:val="28"/>
          <w:szCs w:val="28"/>
          <w:lang w:val="en-GB"/>
        </w:rPr>
        <w:t xml:space="preserve"> recorded the highest growth rate among the six socio-</w:t>
      </w:r>
      <w:r w:rsidRPr="0099588C">
        <w:rPr>
          <w:rFonts w:asciiTheme="majorHAnsi" w:eastAsia="Calibri" w:hAnsiTheme="majorHAnsi" w:cstheme="majorHAnsi"/>
          <w:b w:val="0"/>
          <w:i w:val="0"/>
          <w:iCs/>
          <w:spacing w:val="-4"/>
          <w:sz w:val="28"/>
          <w:szCs w:val="28"/>
          <w:lang w:val="en-GB"/>
        </w:rPr>
        <w:t>economic</w:t>
      </w:r>
      <w:r w:rsidRPr="0099588C">
        <w:rPr>
          <w:rFonts w:asciiTheme="majorHAnsi" w:hAnsiTheme="majorHAnsi" w:cstheme="majorHAnsi"/>
          <w:b w:val="0"/>
          <w:bCs/>
          <w:i w:val="0"/>
          <w:iCs/>
          <w:spacing w:val="-4"/>
          <w:sz w:val="28"/>
          <w:szCs w:val="28"/>
          <w:lang w:val="en-GB"/>
        </w:rPr>
        <w:t xml:space="preserve"> regions compared to the same period last year, with the average income of 5.8 million VND, an increase of 12.9</w:t>
      </w:r>
      <w:r w:rsidR="003F4455" w:rsidRPr="0099588C">
        <w:rPr>
          <w:rFonts w:asciiTheme="majorHAnsi" w:hAnsiTheme="majorHAnsi" w:cstheme="majorHAnsi"/>
          <w:b w:val="0"/>
          <w:bCs/>
          <w:i w:val="0"/>
          <w:iCs/>
          <w:spacing w:val="-4"/>
          <w:sz w:val="28"/>
          <w:szCs w:val="28"/>
          <w:lang w:val="en-GB"/>
        </w:rPr>
        <w:t xml:space="preserve"> per cent,</w:t>
      </w:r>
      <w:r w:rsidRPr="0099588C">
        <w:rPr>
          <w:rFonts w:asciiTheme="majorHAnsi" w:hAnsiTheme="majorHAnsi" w:cstheme="majorHAnsi"/>
          <w:b w:val="0"/>
          <w:bCs/>
          <w:i w:val="0"/>
          <w:iCs/>
          <w:spacing w:val="-4"/>
          <w:sz w:val="28"/>
          <w:szCs w:val="28"/>
          <w:lang w:val="en-GB"/>
        </w:rPr>
        <w:t xml:space="preserve"> equivalent to an increase of about 620 </w:t>
      </w:r>
      <w:r w:rsidR="008D7DAF" w:rsidRPr="0099588C">
        <w:rPr>
          <w:rFonts w:asciiTheme="majorHAnsi" w:hAnsiTheme="majorHAnsi" w:cstheme="majorHAnsi"/>
          <w:b w:val="0"/>
          <w:bCs/>
          <w:i w:val="0"/>
          <w:iCs/>
          <w:spacing w:val="-4"/>
          <w:sz w:val="28"/>
          <w:szCs w:val="28"/>
          <w:lang w:val="en-GB"/>
        </w:rPr>
        <w:t>thousand</w:t>
      </w:r>
      <w:r w:rsidRPr="0099588C">
        <w:rPr>
          <w:rFonts w:asciiTheme="majorHAnsi" w:hAnsiTheme="majorHAnsi" w:cstheme="majorHAnsi"/>
          <w:b w:val="0"/>
          <w:bCs/>
          <w:i w:val="0"/>
          <w:iCs/>
          <w:spacing w:val="-4"/>
          <w:sz w:val="28"/>
          <w:szCs w:val="28"/>
          <w:lang w:val="en-GB"/>
        </w:rPr>
        <w:t xml:space="preserve"> VND compared to the same period in 2021.</w:t>
      </w:r>
      <w:r w:rsidR="008D7DAF" w:rsidRPr="0099588C">
        <w:rPr>
          <w:rFonts w:asciiTheme="majorHAnsi" w:hAnsiTheme="majorHAnsi" w:cstheme="majorHAnsi"/>
          <w:b w:val="0"/>
          <w:bCs/>
          <w:i w:val="0"/>
          <w:iCs/>
          <w:spacing w:val="-4"/>
          <w:sz w:val="28"/>
          <w:szCs w:val="28"/>
          <w:lang w:val="en-GB"/>
        </w:rPr>
        <w:t xml:space="preserve"> Da Nang, Khanh Hoa and Thua Thien Hue are the provinces with the most significant growth in average monthly income. C</w:t>
      </w:r>
      <w:r w:rsidRPr="0099588C">
        <w:rPr>
          <w:rFonts w:asciiTheme="majorHAnsi" w:hAnsiTheme="majorHAnsi" w:cstheme="majorHAnsi"/>
          <w:b w:val="0"/>
          <w:bCs/>
          <w:i w:val="0"/>
          <w:iCs/>
          <w:spacing w:val="-4"/>
          <w:sz w:val="28"/>
          <w:szCs w:val="28"/>
          <w:lang w:val="en-GB"/>
        </w:rPr>
        <w:t xml:space="preserve">ompared to the same period in 2021, the average </w:t>
      </w:r>
      <w:r w:rsidRPr="0099588C">
        <w:rPr>
          <w:rFonts w:asciiTheme="majorHAnsi" w:eastAsia="Calibri" w:hAnsiTheme="majorHAnsi" w:cstheme="majorHAnsi"/>
          <w:b w:val="0"/>
          <w:i w:val="0"/>
          <w:iCs/>
          <w:spacing w:val="-4"/>
          <w:sz w:val="28"/>
          <w:szCs w:val="28"/>
          <w:lang w:val="en-GB"/>
        </w:rPr>
        <w:t>income</w:t>
      </w:r>
      <w:r w:rsidRPr="0099588C">
        <w:rPr>
          <w:rFonts w:asciiTheme="majorHAnsi" w:hAnsiTheme="majorHAnsi" w:cstheme="majorHAnsi"/>
          <w:b w:val="0"/>
          <w:bCs/>
          <w:i w:val="0"/>
          <w:iCs/>
          <w:spacing w:val="-4"/>
          <w:sz w:val="28"/>
          <w:szCs w:val="28"/>
          <w:lang w:val="en-GB"/>
        </w:rPr>
        <w:t xml:space="preserve"> of workers in Da Nang was 7.3 million VND, an increase of 9.7</w:t>
      </w:r>
      <w:r w:rsidR="003F4455" w:rsidRPr="0099588C">
        <w:rPr>
          <w:rFonts w:asciiTheme="majorHAnsi" w:hAnsiTheme="majorHAnsi" w:cstheme="majorHAnsi"/>
          <w:b w:val="0"/>
          <w:bCs/>
          <w:i w:val="0"/>
          <w:iCs/>
          <w:spacing w:val="-4"/>
          <w:sz w:val="28"/>
          <w:szCs w:val="28"/>
          <w:lang w:val="en-GB"/>
        </w:rPr>
        <w:t xml:space="preserve"> per cent,</w:t>
      </w:r>
      <w:r w:rsidRPr="0099588C">
        <w:rPr>
          <w:rFonts w:asciiTheme="majorHAnsi" w:hAnsiTheme="majorHAnsi" w:cstheme="majorHAnsi"/>
          <w:b w:val="0"/>
          <w:bCs/>
          <w:i w:val="0"/>
          <w:iCs/>
          <w:spacing w:val="-4"/>
          <w:sz w:val="28"/>
          <w:szCs w:val="28"/>
          <w:lang w:val="en-GB"/>
        </w:rPr>
        <w:t xml:space="preserve"> equivalent to an increase of about 643 thousand VND; workers in Khanh Hoa earned an average income of 6.2 million VND, an increase of 15.5</w:t>
      </w:r>
      <w:r w:rsidR="003F4455" w:rsidRPr="0099588C">
        <w:rPr>
          <w:rFonts w:asciiTheme="majorHAnsi" w:hAnsiTheme="majorHAnsi" w:cstheme="majorHAnsi"/>
          <w:b w:val="0"/>
          <w:bCs/>
          <w:i w:val="0"/>
          <w:iCs/>
          <w:spacing w:val="-4"/>
          <w:sz w:val="28"/>
          <w:szCs w:val="28"/>
          <w:lang w:val="en-GB"/>
        </w:rPr>
        <w:t xml:space="preserve"> per cent,</w:t>
      </w:r>
      <w:r w:rsidRPr="0099588C">
        <w:rPr>
          <w:rFonts w:asciiTheme="majorHAnsi" w:hAnsiTheme="majorHAnsi" w:cstheme="majorHAnsi"/>
          <w:b w:val="0"/>
          <w:bCs/>
          <w:i w:val="0"/>
          <w:iCs/>
          <w:spacing w:val="-4"/>
          <w:sz w:val="28"/>
          <w:szCs w:val="28"/>
          <w:lang w:val="en-GB"/>
        </w:rPr>
        <w:t xml:space="preserve"> equivalent to an increase of about 828 million VND; and workers Thua Thien Hue </w:t>
      </w:r>
      <w:r w:rsidRPr="0099588C">
        <w:rPr>
          <w:rFonts w:asciiTheme="majorHAnsi" w:eastAsia="Calibri" w:hAnsiTheme="majorHAnsi" w:cstheme="majorHAnsi"/>
          <w:b w:val="0"/>
          <w:i w:val="0"/>
          <w:iCs/>
          <w:spacing w:val="-4"/>
          <w:sz w:val="28"/>
          <w:szCs w:val="28"/>
          <w:lang w:val="en-GB"/>
        </w:rPr>
        <w:t>earned</w:t>
      </w:r>
      <w:r w:rsidRPr="0099588C">
        <w:rPr>
          <w:rFonts w:asciiTheme="majorHAnsi" w:hAnsiTheme="majorHAnsi" w:cstheme="majorHAnsi"/>
          <w:b w:val="0"/>
          <w:bCs/>
          <w:i w:val="0"/>
          <w:iCs/>
          <w:spacing w:val="-4"/>
          <w:sz w:val="28"/>
          <w:szCs w:val="28"/>
          <w:lang w:val="en-GB"/>
        </w:rPr>
        <w:t xml:space="preserve"> an </w:t>
      </w:r>
      <w:r w:rsidR="008D7DAF" w:rsidRPr="0099588C">
        <w:rPr>
          <w:rFonts w:asciiTheme="majorHAnsi" w:hAnsiTheme="majorHAnsi" w:cstheme="majorHAnsi"/>
          <w:b w:val="0"/>
          <w:bCs/>
          <w:i w:val="0"/>
          <w:iCs/>
          <w:spacing w:val="-4"/>
          <w:sz w:val="28"/>
          <w:szCs w:val="28"/>
          <w:lang w:val="en-GB"/>
        </w:rPr>
        <w:t xml:space="preserve">average monthly </w:t>
      </w:r>
      <w:r w:rsidRPr="0099588C">
        <w:rPr>
          <w:rFonts w:asciiTheme="majorHAnsi" w:hAnsiTheme="majorHAnsi" w:cstheme="majorHAnsi"/>
          <w:b w:val="0"/>
          <w:bCs/>
          <w:i w:val="0"/>
          <w:iCs/>
          <w:spacing w:val="-4"/>
          <w:sz w:val="28"/>
          <w:szCs w:val="28"/>
          <w:lang w:val="en-GB"/>
        </w:rPr>
        <w:t>income of 5.7 million VND, an increase of 15.8</w:t>
      </w:r>
      <w:r w:rsidR="003F4455" w:rsidRPr="0099588C">
        <w:rPr>
          <w:rFonts w:asciiTheme="majorHAnsi" w:hAnsiTheme="majorHAnsi" w:cstheme="majorHAnsi"/>
          <w:b w:val="0"/>
          <w:bCs/>
          <w:i w:val="0"/>
          <w:iCs/>
          <w:spacing w:val="-4"/>
          <w:sz w:val="28"/>
          <w:szCs w:val="28"/>
          <w:lang w:val="en-GB"/>
        </w:rPr>
        <w:t xml:space="preserve"> per cent,</w:t>
      </w:r>
      <w:r w:rsidRPr="0099588C">
        <w:rPr>
          <w:rFonts w:asciiTheme="majorHAnsi" w:hAnsiTheme="majorHAnsi" w:cstheme="majorHAnsi"/>
          <w:b w:val="0"/>
          <w:bCs/>
          <w:i w:val="0"/>
          <w:iCs/>
          <w:spacing w:val="-4"/>
          <w:sz w:val="28"/>
          <w:szCs w:val="28"/>
          <w:lang w:val="en-GB"/>
        </w:rPr>
        <w:t xml:space="preserve"> equivalent to an increase of about 778 thousand VND.</w:t>
      </w:r>
    </w:p>
    <w:p w:rsidR="00956D9A" w:rsidRPr="00497687" w:rsidRDefault="00620CA1" w:rsidP="003427BF">
      <w:pPr>
        <w:spacing w:line="276" w:lineRule="auto"/>
        <w:jc w:val="center"/>
        <w:rPr>
          <w:rFonts w:asciiTheme="majorHAnsi" w:hAnsiTheme="majorHAnsi" w:cstheme="majorHAnsi"/>
          <w:i w:val="0"/>
          <w:spacing w:val="-8"/>
          <w:sz w:val="28"/>
          <w:szCs w:val="28"/>
          <w:lang w:val="en-GB"/>
        </w:rPr>
      </w:pPr>
      <w:r w:rsidRPr="00497687">
        <w:rPr>
          <w:rFonts w:asciiTheme="majorHAnsi" w:hAnsiTheme="majorHAnsi" w:cstheme="majorHAnsi"/>
          <w:i w:val="0"/>
          <w:spacing w:val="-8"/>
          <w:sz w:val="28"/>
          <w:szCs w:val="28"/>
          <w:lang w:val="en-GB"/>
        </w:rPr>
        <w:t xml:space="preserve">Figure </w:t>
      </w:r>
      <w:r w:rsidR="008D7DAF" w:rsidRPr="00497687">
        <w:rPr>
          <w:rFonts w:asciiTheme="majorHAnsi" w:hAnsiTheme="majorHAnsi" w:cstheme="majorHAnsi"/>
          <w:i w:val="0"/>
          <w:spacing w:val="-8"/>
          <w:sz w:val="28"/>
          <w:szCs w:val="28"/>
          <w:lang w:val="en-GB"/>
        </w:rPr>
        <w:t>7</w:t>
      </w:r>
      <w:r w:rsidRPr="00497687">
        <w:rPr>
          <w:rFonts w:asciiTheme="majorHAnsi" w:hAnsiTheme="majorHAnsi" w:cstheme="majorHAnsi"/>
          <w:i w:val="0"/>
          <w:spacing w:val="-8"/>
          <w:sz w:val="28"/>
          <w:szCs w:val="28"/>
          <w:lang w:val="en-GB"/>
        </w:rPr>
        <w:t xml:space="preserve">: Average monthly income of workers by socio-economic region </w:t>
      </w:r>
      <w:r w:rsidR="008D7DAF" w:rsidRPr="00497687">
        <w:rPr>
          <w:rFonts w:asciiTheme="majorHAnsi" w:hAnsiTheme="majorHAnsi" w:cstheme="majorHAnsi"/>
          <w:i w:val="0"/>
          <w:spacing w:val="-8"/>
          <w:sz w:val="28"/>
          <w:szCs w:val="28"/>
          <w:lang w:val="en-GB"/>
        </w:rPr>
        <w:t>in the second</w:t>
      </w:r>
      <w:r w:rsidRPr="00497687">
        <w:rPr>
          <w:rFonts w:asciiTheme="majorHAnsi" w:hAnsiTheme="majorHAnsi" w:cstheme="majorHAnsi"/>
          <w:i w:val="0"/>
          <w:spacing w:val="-8"/>
          <w:sz w:val="28"/>
          <w:szCs w:val="28"/>
          <w:lang w:val="en-GB"/>
        </w:rPr>
        <w:t xml:space="preserve"> quarter</w:t>
      </w:r>
      <w:r w:rsidR="008D7DAF" w:rsidRPr="00497687">
        <w:rPr>
          <w:rFonts w:asciiTheme="majorHAnsi" w:hAnsiTheme="majorHAnsi" w:cstheme="majorHAnsi"/>
          <w:i w:val="0"/>
          <w:spacing w:val="-8"/>
          <w:sz w:val="28"/>
          <w:szCs w:val="28"/>
          <w:lang w:val="en-GB"/>
        </w:rPr>
        <w:t xml:space="preserve"> of 2021 and the first and second quarters in </w:t>
      </w:r>
      <w:r w:rsidRPr="00497687">
        <w:rPr>
          <w:rFonts w:asciiTheme="majorHAnsi" w:hAnsiTheme="majorHAnsi" w:cstheme="majorHAnsi"/>
          <w:i w:val="0"/>
          <w:spacing w:val="-8"/>
          <w:sz w:val="28"/>
          <w:szCs w:val="28"/>
          <w:lang w:val="en-GB"/>
        </w:rPr>
        <w:t>2022</w:t>
      </w:r>
    </w:p>
    <w:p w:rsidR="008D7DAF" w:rsidRPr="00497687" w:rsidRDefault="00620CA1" w:rsidP="00470FE4">
      <w:pPr>
        <w:spacing w:line="276" w:lineRule="auto"/>
        <w:jc w:val="right"/>
        <w:rPr>
          <w:rFonts w:asciiTheme="majorHAnsi" w:hAnsiTheme="majorHAnsi" w:cstheme="majorHAnsi"/>
          <w:b w:val="0"/>
          <w:bCs/>
          <w:iCs/>
          <w:spacing w:val="-2"/>
          <w:sz w:val="28"/>
          <w:szCs w:val="28"/>
          <w:lang w:val="en-GB"/>
        </w:rPr>
      </w:pPr>
      <w:r w:rsidRPr="00497687">
        <w:rPr>
          <w:rFonts w:asciiTheme="majorHAnsi" w:hAnsiTheme="majorHAnsi" w:cstheme="majorHAnsi"/>
          <w:b w:val="0"/>
          <w:spacing w:val="-8"/>
          <w:sz w:val="28"/>
          <w:szCs w:val="28"/>
          <w:lang w:val="en-GB"/>
        </w:rPr>
        <w:t>Unit: Million VND</w:t>
      </w:r>
    </w:p>
    <w:p w:rsidR="00956D9A" w:rsidRPr="00497687" w:rsidRDefault="008D7DAF" w:rsidP="00470FE4">
      <w:pPr>
        <w:spacing w:after="120" w:line="276" w:lineRule="auto"/>
        <w:jc w:val="right"/>
        <w:rPr>
          <w:rFonts w:asciiTheme="majorHAnsi" w:hAnsiTheme="majorHAnsi" w:cstheme="majorHAnsi"/>
          <w:b w:val="0"/>
          <w:bCs/>
          <w:i w:val="0"/>
          <w:iCs/>
          <w:sz w:val="28"/>
          <w:szCs w:val="28"/>
          <w:lang w:val="en-GB"/>
        </w:rPr>
      </w:pPr>
      <w:r w:rsidRPr="00497687">
        <w:rPr>
          <w:rFonts w:asciiTheme="majorHAnsi" w:hAnsiTheme="majorHAnsi" w:cstheme="majorHAnsi"/>
          <w:noProof/>
          <w:sz w:val="28"/>
          <w:szCs w:val="28"/>
        </w:rPr>
        <w:drawing>
          <wp:inline distT="0" distB="0" distL="0" distR="0">
            <wp:extent cx="5760720" cy="1954519"/>
            <wp:effectExtent l="0" t="0" r="11430" b="27305"/>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956D9A" w:rsidRPr="00497687" w:rsidRDefault="00E02AE0" w:rsidP="00470FE4">
      <w:pPr>
        <w:spacing w:after="120" w:line="276" w:lineRule="auto"/>
        <w:ind w:firstLine="709"/>
        <w:jc w:val="both"/>
        <w:rPr>
          <w:rFonts w:asciiTheme="majorHAnsi" w:hAnsiTheme="majorHAnsi" w:cstheme="majorHAnsi"/>
          <w:b w:val="0"/>
          <w:bCs/>
          <w:i w:val="0"/>
          <w:iCs/>
          <w:spacing w:val="-2"/>
          <w:sz w:val="28"/>
          <w:szCs w:val="28"/>
          <w:lang w:val="en-GB"/>
        </w:rPr>
      </w:pPr>
      <w:r w:rsidRPr="00497687">
        <w:rPr>
          <w:rFonts w:asciiTheme="majorHAnsi" w:hAnsiTheme="majorHAnsi" w:cstheme="majorHAnsi"/>
          <w:b w:val="0"/>
          <w:bCs/>
          <w:i w:val="0"/>
          <w:iCs/>
          <w:spacing w:val="-2"/>
          <w:sz w:val="28"/>
          <w:szCs w:val="28"/>
          <w:lang w:val="en-GB"/>
        </w:rPr>
        <w:t>Meanwhile, t</w:t>
      </w:r>
      <w:r w:rsidR="007D5336" w:rsidRPr="00497687">
        <w:rPr>
          <w:rFonts w:asciiTheme="majorHAnsi" w:hAnsiTheme="majorHAnsi" w:cstheme="majorHAnsi"/>
          <w:b w:val="0"/>
          <w:bCs/>
          <w:i w:val="0"/>
          <w:iCs/>
          <w:spacing w:val="-2"/>
          <w:sz w:val="28"/>
          <w:szCs w:val="28"/>
          <w:lang w:val="en-GB"/>
        </w:rPr>
        <w:t>he average monthly income of</w:t>
      </w:r>
      <w:r w:rsidRPr="00497687">
        <w:rPr>
          <w:rFonts w:asciiTheme="majorHAnsi" w:hAnsiTheme="majorHAnsi" w:cstheme="majorHAnsi"/>
          <w:b w:val="0"/>
          <w:bCs/>
          <w:i w:val="0"/>
          <w:iCs/>
          <w:spacing w:val="-2"/>
          <w:sz w:val="28"/>
          <w:szCs w:val="28"/>
          <w:lang w:val="en-GB"/>
        </w:rPr>
        <w:t xml:space="preserve"> workers in the </w:t>
      </w:r>
      <w:r w:rsidR="007D5336" w:rsidRPr="00497687">
        <w:rPr>
          <w:rFonts w:asciiTheme="majorHAnsi" w:hAnsiTheme="majorHAnsi" w:cstheme="majorHAnsi"/>
          <w:b w:val="0"/>
          <w:bCs/>
          <w:i w:val="0"/>
          <w:iCs/>
          <w:spacing w:val="-2"/>
          <w:sz w:val="28"/>
          <w:szCs w:val="28"/>
          <w:lang w:val="en-GB"/>
        </w:rPr>
        <w:t>Southeast and the Red River Delta still remained high</w:t>
      </w:r>
      <w:r w:rsidRPr="00497687">
        <w:rPr>
          <w:rFonts w:asciiTheme="majorHAnsi" w:hAnsiTheme="majorHAnsi" w:cstheme="majorHAnsi"/>
          <w:b w:val="0"/>
          <w:bCs/>
          <w:i w:val="0"/>
          <w:iCs/>
          <w:spacing w:val="-2"/>
          <w:sz w:val="28"/>
          <w:szCs w:val="28"/>
          <w:lang w:val="en-GB"/>
        </w:rPr>
        <w:t>er</w:t>
      </w:r>
      <w:r w:rsidR="007D5336" w:rsidRPr="00497687">
        <w:rPr>
          <w:rFonts w:asciiTheme="majorHAnsi" w:hAnsiTheme="majorHAnsi" w:cstheme="majorHAnsi"/>
          <w:b w:val="0"/>
          <w:bCs/>
          <w:i w:val="0"/>
          <w:iCs/>
          <w:spacing w:val="-2"/>
          <w:sz w:val="28"/>
          <w:szCs w:val="28"/>
          <w:lang w:val="en-GB"/>
        </w:rPr>
        <w:t xml:space="preserve"> than that of the remaining regions. Compared to the same period last year, the average monthly income of workers in the Southeast was 8.</w:t>
      </w:r>
      <w:r w:rsidR="009633B6" w:rsidRPr="00497687">
        <w:rPr>
          <w:rFonts w:asciiTheme="majorHAnsi" w:hAnsiTheme="majorHAnsi" w:cstheme="majorHAnsi"/>
          <w:b w:val="0"/>
          <w:bCs/>
          <w:i w:val="0"/>
          <w:iCs/>
          <w:spacing w:val="-2"/>
          <w:sz w:val="28"/>
          <w:szCs w:val="28"/>
          <w:lang w:val="en-GB"/>
        </w:rPr>
        <w:t>5</w:t>
      </w:r>
      <w:r w:rsidR="007D5336" w:rsidRPr="00497687">
        <w:rPr>
          <w:rFonts w:asciiTheme="majorHAnsi" w:hAnsiTheme="majorHAnsi" w:cstheme="majorHAnsi"/>
          <w:b w:val="0"/>
          <w:bCs/>
          <w:i w:val="0"/>
          <w:iCs/>
          <w:spacing w:val="-2"/>
          <w:sz w:val="28"/>
          <w:szCs w:val="28"/>
          <w:lang w:val="en-GB"/>
        </w:rPr>
        <w:t xml:space="preserve"> million VND, an increase of 8.5</w:t>
      </w:r>
      <w:r w:rsidR="003F4455" w:rsidRPr="00497687">
        <w:rPr>
          <w:rFonts w:asciiTheme="majorHAnsi" w:hAnsiTheme="majorHAnsi" w:cstheme="majorHAnsi"/>
          <w:b w:val="0"/>
          <w:bCs/>
          <w:i w:val="0"/>
          <w:iCs/>
          <w:spacing w:val="-2"/>
          <w:sz w:val="28"/>
          <w:szCs w:val="28"/>
          <w:lang w:val="en-GB"/>
        </w:rPr>
        <w:t xml:space="preserve"> per cent,</w:t>
      </w:r>
      <w:r w:rsidR="007D5336" w:rsidRPr="00497687">
        <w:rPr>
          <w:rFonts w:asciiTheme="majorHAnsi" w:hAnsiTheme="majorHAnsi" w:cstheme="majorHAnsi"/>
          <w:b w:val="0"/>
          <w:bCs/>
          <w:i w:val="0"/>
          <w:iCs/>
          <w:spacing w:val="-2"/>
          <w:sz w:val="28"/>
          <w:szCs w:val="28"/>
          <w:lang w:val="en-GB"/>
        </w:rPr>
        <w:t xml:space="preserve"> equivalent to an increase of about 480</w:t>
      </w:r>
      <w:r w:rsidR="00490605">
        <w:rPr>
          <w:rFonts w:asciiTheme="majorHAnsi" w:hAnsiTheme="majorHAnsi" w:cstheme="majorHAnsi"/>
          <w:b w:val="0"/>
          <w:bCs/>
          <w:i w:val="0"/>
          <w:iCs/>
          <w:spacing w:val="-2"/>
          <w:sz w:val="28"/>
          <w:szCs w:val="28"/>
          <w:lang w:val="en-GB"/>
        </w:rPr>
        <w:t xml:space="preserve"> thousand</w:t>
      </w:r>
      <w:r w:rsidR="007D5336" w:rsidRPr="00497687">
        <w:rPr>
          <w:rFonts w:asciiTheme="majorHAnsi" w:hAnsiTheme="majorHAnsi" w:cstheme="majorHAnsi"/>
          <w:b w:val="0"/>
          <w:bCs/>
          <w:i w:val="0"/>
          <w:iCs/>
          <w:spacing w:val="-2"/>
          <w:sz w:val="28"/>
          <w:szCs w:val="28"/>
          <w:lang w:val="en-GB"/>
        </w:rPr>
        <w:t xml:space="preserve"> </w:t>
      </w:r>
      <w:r w:rsidR="007D5336" w:rsidRPr="00497687">
        <w:rPr>
          <w:rFonts w:asciiTheme="majorHAnsi" w:eastAsia="Calibri" w:hAnsiTheme="majorHAnsi" w:cstheme="majorHAnsi"/>
          <w:b w:val="0"/>
          <w:i w:val="0"/>
          <w:iCs/>
          <w:sz w:val="28"/>
          <w:szCs w:val="28"/>
          <w:lang w:val="en-GB"/>
        </w:rPr>
        <w:t>VND</w:t>
      </w:r>
      <w:r w:rsidR="007D5336" w:rsidRPr="00497687">
        <w:rPr>
          <w:rFonts w:asciiTheme="majorHAnsi" w:hAnsiTheme="majorHAnsi" w:cstheme="majorHAnsi"/>
          <w:b w:val="0"/>
          <w:bCs/>
          <w:i w:val="0"/>
          <w:iCs/>
          <w:spacing w:val="-2"/>
          <w:sz w:val="28"/>
          <w:szCs w:val="28"/>
          <w:lang w:val="en-GB"/>
        </w:rPr>
        <w:t>. In particular, the income of workers in Ho Chi Minh City and Binh Duong has always topped the country ranking, with the income of 9.1 million VND/person/month and 8.9 million VND/person/month, respectively.</w:t>
      </w:r>
    </w:p>
    <w:p w:rsidR="0099588C" w:rsidRDefault="007D5336" w:rsidP="003427BF">
      <w:pPr>
        <w:spacing w:before="120" w:after="120" w:line="276" w:lineRule="auto"/>
        <w:ind w:firstLine="709"/>
        <w:jc w:val="both"/>
        <w:rPr>
          <w:rFonts w:asciiTheme="majorHAnsi" w:hAnsiTheme="majorHAnsi" w:cstheme="majorHAnsi"/>
          <w:b w:val="0"/>
          <w:bCs/>
          <w:i w:val="0"/>
          <w:iCs/>
          <w:spacing w:val="-2"/>
          <w:sz w:val="28"/>
          <w:szCs w:val="28"/>
          <w:lang w:val="en-GB"/>
        </w:rPr>
      </w:pPr>
      <w:r w:rsidRPr="00497687">
        <w:rPr>
          <w:rFonts w:asciiTheme="majorHAnsi" w:hAnsiTheme="majorHAnsi" w:cstheme="majorHAnsi"/>
          <w:b w:val="0"/>
          <w:bCs/>
          <w:i w:val="0"/>
          <w:iCs/>
          <w:spacing w:val="-2"/>
          <w:sz w:val="28"/>
          <w:szCs w:val="28"/>
          <w:lang w:val="en-GB"/>
        </w:rPr>
        <w:t xml:space="preserve">Workers in the Red River Delta earned an income of 7.7 million VND/person/month, </w:t>
      </w:r>
      <w:r w:rsidRPr="00497687">
        <w:rPr>
          <w:rFonts w:asciiTheme="majorHAnsi" w:eastAsia="Calibri" w:hAnsiTheme="majorHAnsi" w:cstheme="majorHAnsi"/>
          <w:b w:val="0"/>
          <w:i w:val="0"/>
          <w:iCs/>
          <w:sz w:val="28"/>
          <w:szCs w:val="28"/>
          <w:lang w:val="en-GB"/>
        </w:rPr>
        <w:t>which</w:t>
      </w:r>
      <w:r w:rsidRPr="00497687">
        <w:rPr>
          <w:rFonts w:asciiTheme="majorHAnsi" w:hAnsiTheme="majorHAnsi" w:cstheme="majorHAnsi"/>
          <w:b w:val="0"/>
          <w:bCs/>
          <w:i w:val="0"/>
          <w:iCs/>
          <w:spacing w:val="-2"/>
          <w:sz w:val="28"/>
          <w:szCs w:val="28"/>
          <w:lang w:val="en-GB"/>
        </w:rPr>
        <w:t xml:space="preserve"> is the region with encouraging income growth compared to the same period last year, up 12.4</w:t>
      </w:r>
      <w:r w:rsidR="003F4455" w:rsidRPr="00497687">
        <w:rPr>
          <w:rFonts w:asciiTheme="majorHAnsi" w:hAnsiTheme="majorHAnsi" w:cstheme="majorHAnsi"/>
          <w:b w:val="0"/>
          <w:bCs/>
          <w:i w:val="0"/>
          <w:iCs/>
          <w:spacing w:val="-2"/>
          <w:sz w:val="28"/>
          <w:szCs w:val="28"/>
          <w:lang w:val="en-GB"/>
        </w:rPr>
        <w:t xml:space="preserve"> per cent,</w:t>
      </w:r>
      <w:r w:rsidRPr="00497687">
        <w:rPr>
          <w:rFonts w:asciiTheme="majorHAnsi" w:hAnsiTheme="majorHAnsi" w:cstheme="majorHAnsi"/>
          <w:b w:val="0"/>
          <w:bCs/>
          <w:i w:val="0"/>
          <w:iCs/>
          <w:spacing w:val="-2"/>
          <w:sz w:val="28"/>
          <w:szCs w:val="28"/>
          <w:lang w:val="en-GB"/>
        </w:rPr>
        <w:t xml:space="preserve"> equivalent to an increase of about 790 thousand VND/person/month. Workers in Hanoi and Bac Ninh earned the average income among the top five provinces and cities with the highest income in the country; the income of workers in Ha Noi was 8.7 million VND/person/month, an increase of 8.8</w:t>
      </w:r>
      <w:r w:rsidR="003F4455" w:rsidRPr="00497687">
        <w:rPr>
          <w:rFonts w:asciiTheme="majorHAnsi" w:hAnsiTheme="majorHAnsi" w:cstheme="majorHAnsi"/>
          <w:b w:val="0"/>
          <w:bCs/>
          <w:i w:val="0"/>
          <w:iCs/>
          <w:spacing w:val="-2"/>
          <w:sz w:val="28"/>
          <w:szCs w:val="28"/>
          <w:lang w:val="en-GB"/>
        </w:rPr>
        <w:t xml:space="preserve"> per cent,</w:t>
      </w:r>
      <w:r w:rsidRPr="00497687">
        <w:rPr>
          <w:rFonts w:asciiTheme="majorHAnsi" w:hAnsiTheme="majorHAnsi" w:cstheme="majorHAnsi"/>
          <w:b w:val="0"/>
          <w:bCs/>
          <w:i w:val="0"/>
          <w:iCs/>
          <w:spacing w:val="-2"/>
          <w:sz w:val="28"/>
          <w:szCs w:val="28"/>
          <w:lang w:val="en-GB"/>
        </w:rPr>
        <w:t xml:space="preserve"> </w:t>
      </w:r>
      <w:r w:rsidR="00352F2D">
        <w:rPr>
          <w:rFonts w:asciiTheme="majorHAnsi" w:hAnsiTheme="majorHAnsi" w:cstheme="majorHAnsi"/>
          <w:b w:val="0"/>
          <w:bCs/>
          <w:i w:val="0"/>
          <w:iCs/>
          <w:spacing w:val="-2"/>
          <w:sz w:val="28"/>
          <w:szCs w:val="28"/>
          <w:lang w:val="en-GB"/>
        </w:rPr>
        <w:t>equivalent to</w:t>
      </w:r>
      <w:r w:rsidRPr="00497687">
        <w:rPr>
          <w:rFonts w:asciiTheme="majorHAnsi" w:hAnsiTheme="majorHAnsi" w:cstheme="majorHAnsi"/>
          <w:b w:val="0"/>
          <w:bCs/>
          <w:i w:val="0"/>
          <w:iCs/>
          <w:spacing w:val="-2"/>
          <w:sz w:val="28"/>
          <w:szCs w:val="28"/>
          <w:lang w:val="en-GB"/>
        </w:rPr>
        <w:t xml:space="preserve"> an increase of about 704</w:t>
      </w:r>
      <w:r w:rsidR="00490605">
        <w:rPr>
          <w:rFonts w:asciiTheme="majorHAnsi" w:hAnsiTheme="majorHAnsi" w:cstheme="majorHAnsi"/>
          <w:b w:val="0"/>
          <w:bCs/>
          <w:i w:val="0"/>
          <w:iCs/>
          <w:spacing w:val="-2"/>
          <w:sz w:val="28"/>
          <w:szCs w:val="28"/>
          <w:lang w:val="en-GB"/>
        </w:rPr>
        <w:t xml:space="preserve"> thousand</w:t>
      </w:r>
      <w:r w:rsidRPr="00497687">
        <w:rPr>
          <w:rFonts w:asciiTheme="majorHAnsi" w:hAnsiTheme="majorHAnsi" w:cstheme="majorHAnsi"/>
          <w:b w:val="0"/>
          <w:bCs/>
          <w:i w:val="0"/>
          <w:iCs/>
          <w:spacing w:val="-2"/>
          <w:sz w:val="28"/>
          <w:szCs w:val="28"/>
          <w:lang w:val="en-GB"/>
        </w:rPr>
        <w:t xml:space="preserve"> VND, workers in Bac Ninh earned an</w:t>
      </w:r>
      <w:r w:rsidR="009633B6" w:rsidRPr="00497687">
        <w:rPr>
          <w:rFonts w:asciiTheme="majorHAnsi" w:hAnsiTheme="majorHAnsi" w:cstheme="majorHAnsi"/>
          <w:b w:val="0"/>
          <w:bCs/>
          <w:i w:val="0"/>
          <w:iCs/>
          <w:spacing w:val="-2"/>
          <w:sz w:val="28"/>
          <w:szCs w:val="28"/>
          <w:lang w:val="en-GB"/>
        </w:rPr>
        <w:t xml:space="preserve"> average</w:t>
      </w:r>
      <w:r w:rsidRPr="00497687">
        <w:rPr>
          <w:rFonts w:asciiTheme="majorHAnsi" w:hAnsiTheme="majorHAnsi" w:cstheme="majorHAnsi"/>
          <w:b w:val="0"/>
          <w:bCs/>
          <w:i w:val="0"/>
          <w:iCs/>
          <w:spacing w:val="-2"/>
          <w:sz w:val="28"/>
          <w:szCs w:val="28"/>
          <w:lang w:val="en-GB"/>
        </w:rPr>
        <w:t xml:space="preserve"> income </w:t>
      </w:r>
      <w:r w:rsidR="009633B6" w:rsidRPr="00497687">
        <w:rPr>
          <w:rFonts w:asciiTheme="majorHAnsi" w:hAnsiTheme="majorHAnsi" w:cstheme="majorHAnsi"/>
          <w:b w:val="0"/>
          <w:bCs/>
          <w:i w:val="0"/>
          <w:iCs/>
          <w:spacing w:val="-2"/>
          <w:sz w:val="28"/>
          <w:szCs w:val="28"/>
          <w:lang w:val="en-GB"/>
        </w:rPr>
        <w:t>of 8.3 million VND/person/month, an increase of 15.8</w:t>
      </w:r>
      <w:r w:rsidR="00497687">
        <w:rPr>
          <w:rFonts w:asciiTheme="majorHAnsi" w:hAnsiTheme="majorHAnsi" w:cstheme="majorHAnsi"/>
          <w:b w:val="0"/>
          <w:bCs/>
          <w:i w:val="0"/>
          <w:iCs/>
          <w:spacing w:val="-2"/>
          <w:sz w:val="28"/>
          <w:szCs w:val="28"/>
          <w:lang w:val="en-GB"/>
        </w:rPr>
        <w:t xml:space="preserve"> per cent,</w:t>
      </w:r>
      <w:r w:rsidR="009633B6" w:rsidRPr="00497687">
        <w:rPr>
          <w:rFonts w:asciiTheme="majorHAnsi" w:hAnsiTheme="majorHAnsi" w:cstheme="majorHAnsi"/>
          <w:b w:val="0"/>
          <w:bCs/>
          <w:i w:val="0"/>
          <w:iCs/>
          <w:spacing w:val="-2"/>
          <w:sz w:val="28"/>
          <w:szCs w:val="28"/>
          <w:lang w:val="en-GB"/>
        </w:rPr>
        <w:t xml:space="preserve"> equivalent to an increase of about 1.1 million VND relative to the same period in 2021.</w:t>
      </w:r>
    </w:p>
    <w:p w:rsidR="00956D9A" w:rsidRPr="00497687" w:rsidRDefault="00A631C9" w:rsidP="003427BF">
      <w:pPr>
        <w:spacing w:before="120" w:line="276" w:lineRule="auto"/>
        <w:jc w:val="center"/>
        <w:rPr>
          <w:rFonts w:asciiTheme="majorHAnsi" w:hAnsiTheme="majorHAnsi" w:cstheme="majorHAnsi"/>
          <w:i w:val="0"/>
          <w:spacing w:val="-8"/>
          <w:sz w:val="28"/>
          <w:szCs w:val="28"/>
          <w:lang w:val="en-GB"/>
        </w:rPr>
      </w:pPr>
      <w:r w:rsidRPr="00497687">
        <w:rPr>
          <w:rFonts w:asciiTheme="majorHAnsi" w:hAnsiTheme="majorHAnsi" w:cstheme="majorHAnsi"/>
          <w:i w:val="0"/>
          <w:spacing w:val="-8"/>
          <w:sz w:val="28"/>
          <w:szCs w:val="28"/>
          <w:lang w:val="en-GB"/>
        </w:rPr>
        <w:t xml:space="preserve">Figure </w:t>
      </w:r>
      <w:r w:rsidR="009633B6" w:rsidRPr="00497687">
        <w:rPr>
          <w:rFonts w:asciiTheme="majorHAnsi" w:hAnsiTheme="majorHAnsi" w:cstheme="majorHAnsi"/>
          <w:i w:val="0"/>
          <w:spacing w:val="-8"/>
          <w:sz w:val="28"/>
          <w:szCs w:val="28"/>
          <w:lang w:val="en-GB"/>
        </w:rPr>
        <w:t>8</w:t>
      </w:r>
      <w:r w:rsidRPr="00497687">
        <w:rPr>
          <w:rFonts w:asciiTheme="majorHAnsi" w:hAnsiTheme="majorHAnsi" w:cstheme="majorHAnsi"/>
          <w:i w:val="0"/>
          <w:spacing w:val="-8"/>
          <w:sz w:val="28"/>
          <w:szCs w:val="28"/>
          <w:lang w:val="en-GB"/>
        </w:rPr>
        <w:t xml:space="preserve">: </w:t>
      </w:r>
      <w:r w:rsidR="009633B6" w:rsidRPr="00497687">
        <w:rPr>
          <w:rFonts w:asciiTheme="majorHAnsi" w:hAnsiTheme="majorHAnsi" w:cstheme="majorHAnsi"/>
          <w:i w:val="0"/>
          <w:spacing w:val="-8"/>
          <w:sz w:val="28"/>
          <w:szCs w:val="28"/>
          <w:lang w:val="en-GB"/>
        </w:rPr>
        <w:t>Five</w:t>
      </w:r>
      <w:r w:rsidRPr="00497687">
        <w:rPr>
          <w:rFonts w:asciiTheme="majorHAnsi" w:hAnsiTheme="majorHAnsi" w:cstheme="majorHAnsi"/>
          <w:i w:val="0"/>
          <w:spacing w:val="-8"/>
          <w:sz w:val="28"/>
          <w:szCs w:val="28"/>
          <w:lang w:val="en-GB"/>
        </w:rPr>
        <w:t xml:space="preserve"> provinces and cities with the highest average </w:t>
      </w:r>
      <w:r w:rsidR="0011619B" w:rsidRPr="00497687">
        <w:rPr>
          <w:rFonts w:asciiTheme="majorHAnsi" w:hAnsiTheme="majorHAnsi" w:cstheme="majorHAnsi"/>
          <w:i w:val="0"/>
          <w:spacing w:val="-8"/>
          <w:sz w:val="28"/>
          <w:szCs w:val="28"/>
          <w:lang w:val="en-GB"/>
        </w:rPr>
        <w:t xml:space="preserve">monthly </w:t>
      </w:r>
      <w:r w:rsidRPr="00497687">
        <w:rPr>
          <w:rFonts w:asciiTheme="majorHAnsi" w:hAnsiTheme="majorHAnsi" w:cstheme="majorHAnsi"/>
          <w:i w:val="0"/>
          <w:spacing w:val="-8"/>
          <w:sz w:val="28"/>
          <w:szCs w:val="28"/>
          <w:lang w:val="en-GB"/>
        </w:rPr>
        <w:t xml:space="preserve">income of workers, </w:t>
      </w:r>
      <w:r w:rsidR="00A2321C" w:rsidRPr="00497687">
        <w:rPr>
          <w:rFonts w:asciiTheme="majorHAnsi" w:hAnsiTheme="majorHAnsi" w:cstheme="majorHAnsi"/>
          <w:i w:val="0"/>
          <w:spacing w:val="-8"/>
          <w:sz w:val="28"/>
          <w:szCs w:val="28"/>
          <w:lang w:val="en-GB"/>
        </w:rPr>
        <w:t>second quarter</w:t>
      </w:r>
      <w:r w:rsidRPr="00497687">
        <w:rPr>
          <w:rFonts w:asciiTheme="majorHAnsi" w:hAnsiTheme="majorHAnsi" w:cstheme="majorHAnsi"/>
          <w:i w:val="0"/>
          <w:spacing w:val="-8"/>
          <w:sz w:val="28"/>
          <w:szCs w:val="28"/>
          <w:lang w:val="en-GB"/>
        </w:rPr>
        <w:t xml:space="preserve"> of 2022</w:t>
      </w:r>
    </w:p>
    <w:p w:rsidR="00956D9A" w:rsidRPr="00497687" w:rsidRDefault="00A631C9" w:rsidP="00470FE4">
      <w:pPr>
        <w:spacing w:line="276" w:lineRule="auto"/>
        <w:jc w:val="right"/>
        <w:rPr>
          <w:rFonts w:asciiTheme="majorHAnsi" w:hAnsiTheme="majorHAnsi" w:cstheme="majorHAnsi"/>
          <w:b w:val="0"/>
          <w:spacing w:val="-8"/>
          <w:sz w:val="28"/>
          <w:szCs w:val="28"/>
          <w:lang w:val="en-GB"/>
        </w:rPr>
      </w:pPr>
      <w:r w:rsidRPr="00497687">
        <w:rPr>
          <w:rFonts w:asciiTheme="majorHAnsi" w:hAnsiTheme="majorHAnsi" w:cstheme="majorHAnsi"/>
          <w:b w:val="0"/>
          <w:spacing w:val="-8"/>
          <w:sz w:val="28"/>
          <w:szCs w:val="28"/>
          <w:lang w:val="en-GB"/>
        </w:rPr>
        <w:t>Unit: Million VND</w:t>
      </w:r>
    </w:p>
    <w:p w:rsidR="00956D9A" w:rsidRPr="00497687" w:rsidRDefault="009633B6" w:rsidP="003427BF">
      <w:pPr>
        <w:spacing w:before="120" w:line="276" w:lineRule="auto"/>
        <w:jc w:val="both"/>
        <w:rPr>
          <w:rFonts w:asciiTheme="majorHAnsi" w:hAnsiTheme="majorHAnsi" w:cstheme="majorHAnsi"/>
          <w:bCs/>
          <w:iCs/>
          <w:sz w:val="28"/>
          <w:szCs w:val="28"/>
          <w:lang w:val="en-GB"/>
        </w:rPr>
      </w:pPr>
      <w:r w:rsidRPr="00497687">
        <w:rPr>
          <w:rFonts w:asciiTheme="majorHAnsi" w:hAnsiTheme="majorHAnsi" w:cstheme="majorHAnsi"/>
          <w:noProof/>
          <w:sz w:val="28"/>
          <w:szCs w:val="28"/>
        </w:rPr>
        <w:drawing>
          <wp:inline distT="0" distB="0" distL="0" distR="0">
            <wp:extent cx="5597236" cy="2639291"/>
            <wp:effectExtent l="0" t="0" r="22860" b="27940"/>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0C64FD" w:rsidRPr="00497687" w:rsidRDefault="009633B6" w:rsidP="003427BF">
      <w:pPr>
        <w:spacing w:before="120" w:line="276" w:lineRule="auto"/>
        <w:ind w:firstLine="709"/>
        <w:jc w:val="both"/>
        <w:rPr>
          <w:rFonts w:asciiTheme="majorHAnsi" w:hAnsiTheme="majorHAnsi" w:cstheme="majorHAnsi"/>
          <w:bCs/>
          <w:iCs/>
          <w:sz w:val="28"/>
          <w:szCs w:val="28"/>
          <w:lang w:val="en-GB"/>
        </w:rPr>
      </w:pPr>
      <w:r w:rsidRPr="00497687">
        <w:rPr>
          <w:rFonts w:asciiTheme="majorHAnsi" w:hAnsiTheme="majorHAnsi" w:cstheme="majorHAnsi"/>
          <w:bCs/>
          <w:iCs/>
          <w:sz w:val="28"/>
          <w:szCs w:val="28"/>
          <w:lang w:val="en-GB"/>
        </w:rPr>
        <w:t xml:space="preserve">Average monthly income of workers increased in all three economic sectors. Some </w:t>
      </w:r>
      <w:r w:rsidR="00A2321C" w:rsidRPr="00497687">
        <w:rPr>
          <w:rFonts w:asciiTheme="majorHAnsi" w:hAnsiTheme="majorHAnsi" w:cstheme="majorHAnsi"/>
          <w:bCs/>
          <w:iCs/>
          <w:sz w:val="28"/>
          <w:szCs w:val="28"/>
          <w:lang w:val="en-GB"/>
        </w:rPr>
        <w:t xml:space="preserve">broad industries </w:t>
      </w:r>
      <w:r w:rsidRPr="00497687">
        <w:rPr>
          <w:rFonts w:asciiTheme="majorHAnsi" w:hAnsiTheme="majorHAnsi" w:cstheme="majorHAnsi"/>
          <w:bCs/>
          <w:iCs/>
          <w:sz w:val="28"/>
          <w:szCs w:val="28"/>
          <w:lang w:val="en-GB"/>
        </w:rPr>
        <w:t>recorded encouraging growth rates</w:t>
      </w:r>
    </w:p>
    <w:p w:rsidR="0099588C" w:rsidRDefault="009633B6" w:rsidP="003427BF">
      <w:pPr>
        <w:spacing w:before="120" w:after="120" w:line="276" w:lineRule="auto"/>
        <w:ind w:firstLine="709"/>
        <w:jc w:val="both"/>
        <w:rPr>
          <w:rFonts w:asciiTheme="majorHAnsi" w:eastAsia="Calibri" w:hAnsiTheme="majorHAnsi" w:cstheme="majorHAnsi"/>
          <w:b w:val="0"/>
          <w:i w:val="0"/>
          <w:iCs/>
          <w:sz w:val="28"/>
          <w:szCs w:val="28"/>
          <w:lang w:val="en-GB"/>
        </w:rPr>
      </w:pPr>
      <w:r w:rsidRPr="00497687">
        <w:rPr>
          <w:rFonts w:asciiTheme="majorHAnsi" w:eastAsia="Calibri" w:hAnsiTheme="majorHAnsi" w:cstheme="majorHAnsi"/>
          <w:b w:val="0"/>
          <w:i w:val="0"/>
          <w:iCs/>
          <w:sz w:val="28"/>
          <w:szCs w:val="28"/>
          <w:lang w:val="en-GB"/>
        </w:rPr>
        <w:t>In the second quarter of 2022, t</w:t>
      </w:r>
      <w:r w:rsidR="000C64FD" w:rsidRPr="00497687">
        <w:rPr>
          <w:rFonts w:asciiTheme="majorHAnsi" w:eastAsia="Calibri" w:hAnsiTheme="majorHAnsi" w:cstheme="majorHAnsi"/>
          <w:b w:val="0"/>
          <w:i w:val="0"/>
          <w:iCs/>
          <w:sz w:val="28"/>
          <w:szCs w:val="28"/>
          <w:lang w:val="en-GB"/>
        </w:rPr>
        <w:t xml:space="preserve">he income of workers in </w:t>
      </w:r>
      <w:r w:rsidRPr="00497687">
        <w:rPr>
          <w:rFonts w:asciiTheme="majorHAnsi" w:eastAsia="Calibri" w:hAnsiTheme="majorHAnsi" w:cstheme="majorHAnsi"/>
          <w:b w:val="0"/>
          <w:i w:val="0"/>
          <w:iCs/>
          <w:sz w:val="28"/>
          <w:szCs w:val="28"/>
          <w:lang w:val="en-GB"/>
        </w:rPr>
        <w:t xml:space="preserve">all three </w:t>
      </w:r>
      <w:r w:rsidR="000C64FD" w:rsidRPr="00497687">
        <w:rPr>
          <w:rFonts w:asciiTheme="majorHAnsi" w:eastAsia="Calibri" w:hAnsiTheme="majorHAnsi" w:cstheme="majorHAnsi"/>
          <w:b w:val="0"/>
          <w:i w:val="0"/>
          <w:iCs/>
          <w:sz w:val="28"/>
          <w:szCs w:val="28"/>
          <w:lang w:val="en-GB"/>
        </w:rPr>
        <w:t xml:space="preserve">economic sectors has </w:t>
      </w:r>
      <w:r w:rsidRPr="00497687">
        <w:rPr>
          <w:rFonts w:asciiTheme="majorHAnsi" w:eastAsia="Calibri" w:hAnsiTheme="majorHAnsi" w:cstheme="majorHAnsi"/>
          <w:b w:val="0"/>
          <w:i w:val="0"/>
          <w:iCs/>
          <w:sz w:val="28"/>
          <w:szCs w:val="28"/>
          <w:lang w:val="en-GB"/>
        </w:rPr>
        <w:t xml:space="preserve">recorded an encouraging </w:t>
      </w:r>
      <w:r w:rsidR="000C64FD" w:rsidRPr="00497687">
        <w:rPr>
          <w:rFonts w:asciiTheme="majorHAnsi" w:eastAsia="Calibri" w:hAnsiTheme="majorHAnsi" w:cstheme="majorHAnsi"/>
          <w:b w:val="0"/>
          <w:i w:val="0"/>
          <w:iCs/>
          <w:sz w:val="28"/>
          <w:szCs w:val="28"/>
          <w:lang w:val="en-GB"/>
        </w:rPr>
        <w:t>grow</w:t>
      </w:r>
      <w:r w:rsidRPr="00497687">
        <w:rPr>
          <w:rFonts w:asciiTheme="majorHAnsi" w:eastAsia="Calibri" w:hAnsiTheme="majorHAnsi" w:cstheme="majorHAnsi"/>
          <w:b w:val="0"/>
          <w:i w:val="0"/>
          <w:iCs/>
          <w:sz w:val="28"/>
          <w:szCs w:val="28"/>
          <w:lang w:val="en-GB"/>
        </w:rPr>
        <w:t>th rate</w:t>
      </w:r>
      <w:r w:rsidR="000C64FD" w:rsidRPr="00497687">
        <w:rPr>
          <w:rFonts w:asciiTheme="majorHAnsi" w:eastAsia="Calibri" w:hAnsiTheme="majorHAnsi" w:cstheme="majorHAnsi"/>
          <w:b w:val="0"/>
          <w:i w:val="0"/>
          <w:iCs/>
          <w:sz w:val="28"/>
          <w:szCs w:val="28"/>
          <w:lang w:val="en-GB"/>
        </w:rPr>
        <w:t xml:space="preserve">. In particular, workers in industry and construction sector recorded the highest average income growth rate among the three economic sectors. </w:t>
      </w:r>
      <w:r w:rsidRPr="00497687">
        <w:rPr>
          <w:rFonts w:asciiTheme="majorHAnsi" w:eastAsia="Calibri" w:hAnsiTheme="majorHAnsi" w:cstheme="majorHAnsi"/>
          <w:b w:val="0"/>
          <w:i w:val="0"/>
          <w:iCs/>
          <w:sz w:val="28"/>
          <w:szCs w:val="28"/>
          <w:lang w:val="en-GB"/>
        </w:rPr>
        <w:t>Compared to the same period of 2021, t</w:t>
      </w:r>
      <w:r w:rsidR="000C64FD" w:rsidRPr="00497687">
        <w:rPr>
          <w:rFonts w:asciiTheme="majorHAnsi" w:eastAsia="Calibri" w:hAnsiTheme="majorHAnsi" w:cstheme="majorHAnsi"/>
          <w:b w:val="0"/>
          <w:i w:val="0"/>
          <w:iCs/>
          <w:sz w:val="28"/>
          <w:szCs w:val="28"/>
          <w:lang w:val="en-GB"/>
        </w:rPr>
        <w:t>he average monthly income of workers in the industry and construction sector was 7.5 million VND, up 11.5</w:t>
      </w:r>
      <w:r w:rsidR="003F4455" w:rsidRPr="00497687">
        <w:rPr>
          <w:rFonts w:asciiTheme="majorHAnsi" w:eastAsia="Calibri" w:hAnsiTheme="majorHAnsi" w:cstheme="majorHAnsi"/>
          <w:b w:val="0"/>
          <w:i w:val="0"/>
          <w:iCs/>
          <w:sz w:val="28"/>
          <w:szCs w:val="28"/>
          <w:lang w:val="en-GB"/>
        </w:rPr>
        <w:t xml:space="preserve"> per cent,</w:t>
      </w:r>
      <w:r w:rsidR="000C64FD" w:rsidRPr="00497687">
        <w:rPr>
          <w:rFonts w:asciiTheme="majorHAnsi" w:eastAsia="Calibri" w:hAnsiTheme="majorHAnsi" w:cstheme="majorHAnsi"/>
          <w:b w:val="0"/>
          <w:i w:val="0"/>
          <w:iCs/>
          <w:sz w:val="28"/>
          <w:szCs w:val="28"/>
          <w:lang w:val="en-GB"/>
        </w:rPr>
        <w:t xml:space="preserve"> </w:t>
      </w:r>
      <w:r w:rsidR="00352F2D">
        <w:rPr>
          <w:rFonts w:asciiTheme="majorHAnsi" w:eastAsia="Calibri" w:hAnsiTheme="majorHAnsi" w:cstheme="majorHAnsi"/>
          <w:b w:val="0"/>
          <w:i w:val="0"/>
          <w:iCs/>
          <w:sz w:val="28"/>
          <w:szCs w:val="28"/>
          <w:lang w:val="en-GB"/>
        </w:rPr>
        <w:t>equivalent to</w:t>
      </w:r>
      <w:r w:rsidR="000C64FD" w:rsidRPr="00497687">
        <w:rPr>
          <w:rFonts w:asciiTheme="majorHAnsi" w:eastAsia="Calibri" w:hAnsiTheme="majorHAnsi" w:cstheme="majorHAnsi"/>
          <w:b w:val="0"/>
          <w:i w:val="0"/>
          <w:iCs/>
          <w:sz w:val="28"/>
          <w:szCs w:val="28"/>
          <w:lang w:val="en-GB"/>
        </w:rPr>
        <w:t xml:space="preserve"> an increase of </w:t>
      </w:r>
      <w:r w:rsidRPr="00497687">
        <w:rPr>
          <w:rFonts w:asciiTheme="majorHAnsi" w:eastAsia="Calibri" w:hAnsiTheme="majorHAnsi" w:cstheme="majorHAnsi"/>
          <w:b w:val="0"/>
          <w:i w:val="0"/>
          <w:iCs/>
          <w:sz w:val="28"/>
          <w:szCs w:val="28"/>
          <w:lang w:val="en-GB"/>
        </w:rPr>
        <w:t>about</w:t>
      </w:r>
      <w:r w:rsidR="000C64FD" w:rsidRPr="00497687">
        <w:rPr>
          <w:rFonts w:asciiTheme="majorHAnsi" w:eastAsia="Calibri" w:hAnsiTheme="majorHAnsi" w:cstheme="majorHAnsi"/>
          <w:b w:val="0"/>
          <w:i w:val="0"/>
          <w:iCs/>
          <w:sz w:val="28"/>
          <w:szCs w:val="28"/>
          <w:lang w:val="en-GB"/>
        </w:rPr>
        <w:t xml:space="preserve"> 774 thousand VND; workers in the services sector earned an average income of VND 7.8 million, an increase of 8.7</w:t>
      </w:r>
      <w:r w:rsidR="001722D5" w:rsidRPr="00497687">
        <w:rPr>
          <w:rFonts w:asciiTheme="majorHAnsi" w:eastAsia="Calibri" w:hAnsiTheme="majorHAnsi" w:cstheme="majorHAnsi"/>
          <w:b w:val="0"/>
          <w:i w:val="0"/>
          <w:iCs/>
          <w:sz w:val="28"/>
          <w:szCs w:val="28"/>
          <w:lang w:val="en-GB"/>
        </w:rPr>
        <w:t xml:space="preserve"> per cent </w:t>
      </w:r>
      <w:r w:rsidR="000C64FD" w:rsidRPr="00497687">
        <w:rPr>
          <w:rFonts w:asciiTheme="majorHAnsi" w:eastAsia="Calibri" w:hAnsiTheme="majorHAnsi" w:cstheme="majorHAnsi"/>
          <w:b w:val="0"/>
          <w:i w:val="0"/>
          <w:iCs/>
          <w:sz w:val="28"/>
          <w:szCs w:val="28"/>
          <w:lang w:val="en-GB"/>
        </w:rPr>
        <w:t xml:space="preserve">compared to the previous quarter, a corresponding increase of </w:t>
      </w:r>
      <w:r w:rsidRPr="00497687">
        <w:rPr>
          <w:rFonts w:asciiTheme="majorHAnsi" w:eastAsia="Calibri" w:hAnsiTheme="majorHAnsi" w:cstheme="majorHAnsi"/>
          <w:b w:val="0"/>
          <w:i w:val="0"/>
          <w:iCs/>
          <w:sz w:val="28"/>
          <w:szCs w:val="28"/>
          <w:lang w:val="en-GB"/>
        </w:rPr>
        <w:t>about</w:t>
      </w:r>
      <w:r w:rsidR="000C64FD" w:rsidRPr="00497687">
        <w:rPr>
          <w:rFonts w:asciiTheme="majorHAnsi" w:eastAsia="Calibri" w:hAnsiTheme="majorHAnsi" w:cstheme="majorHAnsi"/>
          <w:b w:val="0"/>
          <w:i w:val="0"/>
          <w:iCs/>
          <w:sz w:val="28"/>
          <w:szCs w:val="28"/>
          <w:lang w:val="en-GB"/>
        </w:rPr>
        <w:t xml:space="preserve"> 623 thousand</w:t>
      </w:r>
      <w:r w:rsidRPr="00497687">
        <w:rPr>
          <w:rFonts w:asciiTheme="majorHAnsi" w:eastAsia="Calibri" w:hAnsiTheme="majorHAnsi" w:cstheme="majorHAnsi"/>
          <w:b w:val="0"/>
          <w:i w:val="0"/>
          <w:iCs/>
          <w:sz w:val="28"/>
          <w:szCs w:val="28"/>
          <w:lang w:val="en-GB"/>
        </w:rPr>
        <w:t xml:space="preserve"> VND</w:t>
      </w:r>
      <w:r w:rsidR="000C64FD" w:rsidRPr="00497687">
        <w:rPr>
          <w:rFonts w:asciiTheme="majorHAnsi" w:eastAsia="Calibri" w:hAnsiTheme="majorHAnsi" w:cstheme="majorHAnsi"/>
          <w:b w:val="0"/>
          <w:i w:val="0"/>
          <w:iCs/>
          <w:sz w:val="28"/>
          <w:szCs w:val="28"/>
          <w:lang w:val="en-GB"/>
        </w:rPr>
        <w:t xml:space="preserve">. </w:t>
      </w:r>
      <w:r w:rsidRPr="00497687">
        <w:rPr>
          <w:rFonts w:asciiTheme="majorHAnsi" w:eastAsia="Calibri" w:hAnsiTheme="majorHAnsi" w:cstheme="majorHAnsi"/>
          <w:b w:val="0"/>
          <w:i w:val="0"/>
          <w:iCs/>
          <w:sz w:val="28"/>
          <w:szCs w:val="28"/>
          <w:lang w:val="en-GB"/>
        </w:rPr>
        <w:t>Workers</w:t>
      </w:r>
      <w:r w:rsidR="000C64FD" w:rsidRPr="00497687">
        <w:rPr>
          <w:rFonts w:asciiTheme="majorHAnsi" w:eastAsia="Calibri" w:hAnsiTheme="majorHAnsi" w:cstheme="majorHAnsi"/>
          <w:b w:val="0"/>
          <w:i w:val="0"/>
          <w:iCs/>
          <w:sz w:val="28"/>
          <w:szCs w:val="28"/>
          <w:lang w:val="en-GB"/>
        </w:rPr>
        <w:t xml:space="preserve"> </w:t>
      </w:r>
      <w:r w:rsidRPr="00497687">
        <w:rPr>
          <w:rFonts w:asciiTheme="majorHAnsi" w:eastAsia="Calibri" w:hAnsiTheme="majorHAnsi" w:cstheme="majorHAnsi"/>
          <w:b w:val="0"/>
          <w:i w:val="0"/>
          <w:iCs/>
          <w:sz w:val="28"/>
          <w:szCs w:val="28"/>
          <w:lang w:val="en-GB"/>
        </w:rPr>
        <w:t xml:space="preserve">in AFF sector earned </w:t>
      </w:r>
      <w:r w:rsidR="000C64FD" w:rsidRPr="00497687">
        <w:rPr>
          <w:rFonts w:asciiTheme="majorHAnsi" w:eastAsia="Calibri" w:hAnsiTheme="majorHAnsi" w:cstheme="majorHAnsi"/>
          <w:b w:val="0"/>
          <w:i w:val="0"/>
          <w:iCs/>
          <w:sz w:val="28"/>
          <w:szCs w:val="28"/>
          <w:lang w:val="en-GB"/>
        </w:rPr>
        <w:t xml:space="preserve">an average </w:t>
      </w:r>
      <w:r w:rsidRPr="00497687">
        <w:rPr>
          <w:rFonts w:asciiTheme="majorHAnsi" w:eastAsia="Calibri" w:hAnsiTheme="majorHAnsi" w:cstheme="majorHAnsi"/>
          <w:b w:val="0"/>
          <w:i w:val="0"/>
          <w:iCs/>
          <w:sz w:val="28"/>
          <w:szCs w:val="28"/>
          <w:lang w:val="en-GB"/>
        </w:rPr>
        <w:t xml:space="preserve">monthly </w:t>
      </w:r>
      <w:r w:rsidR="000C64FD" w:rsidRPr="00497687">
        <w:rPr>
          <w:rFonts w:asciiTheme="majorHAnsi" w:eastAsia="Calibri" w:hAnsiTheme="majorHAnsi" w:cstheme="majorHAnsi"/>
          <w:b w:val="0"/>
          <w:i w:val="0"/>
          <w:iCs/>
          <w:sz w:val="28"/>
          <w:szCs w:val="28"/>
          <w:lang w:val="en-GB"/>
        </w:rPr>
        <w:t>income of 3.8 million VND, an increase of 3.6</w:t>
      </w:r>
      <w:r w:rsidR="001722D5" w:rsidRPr="00497687">
        <w:rPr>
          <w:rFonts w:asciiTheme="majorHAnsi" w:eastAsia="Calibri" w:hAnsiTheme="majorHAnsi" w:cstheme="majorHAnsi"/>
          <w:b w:val="0"/>
          <w:i w:val="0"/>
          <w:iCs/>
          <w:sz w:val="28"/>
          <w:szCs w:val="28"/>
          <w:lang w:val="en-GB"/>
        </w:rPr>
        <w:t xml:space="preserve"> per cent </w:t>
      </w:r>
      <w:r w:rsidR="000C64FD" w:rsidRPr="00497687">
        <w:rPr>
          <w:rFonts w:asciiTheme="majorHAnsi" w:eastAsia="Calibri" w:hAnsiTheme="majorHAnsi" w:cstheme="majorHAnsi"/>
          <w:b w:val="0"/>
          <w:i w:val="0"/>
          <w:iCs/>
          <w:sz w:val="28"/>
          <w:szCs w:val="28"/>
          <w:lang w:val="en-GB"/>
        </w:rPr>
        <w:t>quarter on qu</w:t>
      </w:r>
      <w:r w:rsidRPr="00497687">
        <w:rPr>
          <w:rFonts w:asciiTheme="majorHAnsi" w:eastAsia="Calibri" w:hAnsiTheme="majorHAnsi" w:cstheme="majorHAnsi"/>
          <w:b w:val="0"/>
          <w:i w:val="0"/>
          <w:iCs/>
          <w:sz w:val="28"/>
          <w:szCs w:val="28"/>
          <w:lang w:val="en-GB"/>
        </w:rPr>
        <w:t>arter, or increase of about 132 thousand</w:t>
      </w:r>
      <w:r w:rsidR="000C64FD" w:rsidRPr="00497687">
        <w:rPr>
          <w:rFonts w:asciiTheme="majorHAnsi" w:eastAsia="Calibri" w:hAnsiTheme="majorHAnsi" w:cstheme="majorHAnsi"/>
          <w:b w:val="0"/>
          <w:i w:val="0"/>
          <w:iCs/>
          <w:sz w:val="28"/>
          <w:szCs w:val="28"/>
          <w:lang w:val="en-GB"/>
        </w:rPr>
        <w:t xml:space="preserve"> VND.</w:t>
      </w:r>
    </w:p>
    <w:p w:rsidR="0099588C" w:rsidRDefault="0099588C">
      <w:pPr>
        <w:spacing w:after="240"/>
        <w:ind w:left="1559" w:hanging="1559"/>
        <w:jc w:val="both"/>
        <w:rPr>
          <w:rFonts w:asciiTheme="majorHAnsi" w:eastAsia="Calibri" w:hAnsiTheme="majorHAnsi" w:cstheme="majorHAnsi"/>
          <w:b w:val="0"/>
          <w:i w:val="0"/>
          <w:iCs/>
          <w:sz w:val="28"/>
          <w:szCs w:val="28"/>
          <w:lang w:val="en-GB"/>
        </w:rPr>
      </w:pPr>
      <w:r>
        <w:rPr>
          <w:rFonts w:asciiTheme="majorHAnsi" w:eastAsia="Calibri" w:hAnsiTheme="majorHAnsi" w:cstheme="majorHAnsi"/>
          <w:b w:val="0"/>
          <w:i w:val="0"/>
          <w:iCs/>
          <w:sz w:val="28"/>
          <w:szCs w:val="28"/>
          <w:lang w:val="en-GB"/>
        </w:rPr>
        <w:br w:type="page"/>
      </w:r>
    </w:p>
    <w:p w:rsidR="00470FE4" w:rsidRDefault="000C64FD" w:rsidP="00470FE4">
      <w:pPr>
        <w:spacing w:line="276" w:lineRule="auto"/>
        <w:jc w:val="center"/>
        <w:rPr>
          <w:rFonts w:asciiTheme="majorHAnsi" w:hAnsiTheme="majorHAnsi" w:cstheme="majorHAnsi"/>
          <w:i w:val="0"/>
          <w:spacing w:val="-8"/>
          <w:sz w:val="28"/>
          <w:szCs w:val="28"/>
          <w:lang w:val="en-GB"/>
        </w:rPr>
      </w:pPr>
      <w:r w:rsidRPr="00497687">
        <w:rPr>
          <w:rFonts w:asciiTheme="majorHAnsi" w:hAnsiTheme="majorHAnsi" w:cstheme="majorHAnsi"/>
          <w:i w:val="0"/>
          <w:spacing w:val="-8"/>
          <w:sz w:val="28"/>
          <w:szCs w:val="28"/>
          <w:lang w:val="en-GB"/>
        </w:rPr>
        <w:t>Figure</w:t>
      </w:r>
      <w:r w:rsidR="00956D9A" w:rsidRPr="00497687">
        <w:rPr>
          <w:rFonts w:asciiTheme="majorHAnsi" w:hAnsiTheme="majorHAnsi" w:cstheme="majorHAnsi"/>
          <w:i w:val="0"/>
          <w:spacing w:val="-8"/>
          <w:sz w:val="28"/>
          <w:szCs w:val="28"/>
          <w:lang w:val="en-GB"/>
        </w:rPr>
        <w:t xml:space="preserve"> </w:t>
      </w:r>
      <w:r w:rsidR="009633B6" w:rsidRPr="00497687">
        <w:rPr>
          <w:rFonts w:asciiTheme="majorHAnsi" w:hAnsiTheme="majorHAnsi" w:cstheme="majorHAnsi"/>
          <w:i w:val="0"/>
          <w:spacing w:val="-8"/>
          <w:sz w:val="28"/>
          <w:szCs w:val="28"/>
          <w:lang w:val="en-GB"/>
        </w:rPr>
        <w:t>9</w:t>
      </w:r>
      <w:r w:rsidR="00956D9A" w:rsidRPr="00497687">
        <w:rPr>
          <w:rFonts w:asciiTheme="majorHAnsi" w:hAnsiTheme="majorHAnsi" w:cstheme="majorHAnsi"/>
          <w:i w:val="0"/>
          <w:spacing w:val="-8"/>
          <w:sz w:val="28"/>
          <w:szCs w:val="28"/>
          <w:lang w:val="en-GB"/>
        </w:rPr>
        <w:t xml:space="preserve">: </w:t>
      </w:r>
      <w:r w:rsidRPr="00497687">
        <w:rPr>
          <w:rFonts w:asciiTheme="majorHAnsi" w:hAnsiTheme="majorHAnsi" w:cstheme="majorHAnsi"/>
          <w:i w:val="0"/>
          <w:spacing w:val="-8"/>
          <w:sz w:val="28"/>
          <w:szCs w:val="28"/>
          <w:lang w:val="en-GB"/>
        </w:rPr>
        <w:t>Average monthly income of workers by economic sector</w:t>
      </w:r>
    </w:p>
    <w:p w:rsidR="00956D9A" w:rsidRPr="00497687" w:rsidRDefault="000C64FD" w:rsidP="00470FE4">
      <w:pPr>
        <w:spacing w:line="276" w:lineRule="auto"/>
        <w:jc w:val="center"/>
        <w:rPr>
          <w:rFonts w:asciiTheme="majorHAnsi" w:hAnsiTheme="majorHAnsi" w:cstheme="majorHAnsi"/>
          <w:i w:val="0"/>
          <w:spacing w:val="-8"/>
          <w:sz w:val="28"/>
          <w:szCs w:val="28"/>
          <w:lang w:val="en-GB"/>
        </w:rPr>
      </w:pPr>
      <w:r w:rsidRPr="00497687">
        <w:rPr>
          <w:rFonts w:asciiTheme="majorHAnsi" w:hAnsiTheme="majorHAnsi" w:cstheme="majorHAnsi"/>
          <w:i w:val="0"/>
          <w:spacing w:val="-8"/>
          <w:sz w:val="28"/>
          <w:szCs w:val="28"/>
          <w:lang w:val="en-GB"/>
        </w:rPr>
        <w:t xml:space="preserve"> in second quarters, </w:t>
      </w:r>
      <w:r w:rsidR="00956D9A" w:rsidRPr="00497687">
        <w:rPr>
          <w:rFonts w:asciiTheme="majorHAnsi" w:hAnsiTheme="majorHAnsi" w:cstheme="majorHAnsi"/>
          <w:i w:val="0"/>
          <w:spacing w:val="-8"/>
          <w:sz w:val="28"/>
          <w:szCs w:val="28"/>
          <w:lang w:val="en-GB"/>
        </w:rPr>
        <w:t>2020-2022</w:t>
      </w:r>
    </w:p>
    <w:p w:rsidR="00956D9A" w:rsidRPr="00497687" w:rsidRDefault="000C64FD" w:rsidP="003427BF">
      <w:pPr>
        <w:spacing w:line="276" w:lineRule="auto"/>
        <w:ind w:firstLine="709"/>
        <w:jc w:val="right"/>
        <w:rPr>
          <w:rFonts w:asciiTheme="majorHAnsi" w:hAnsiTheme="majorHAnsi" w:cstheme="majorHAnsi"/>
          <w:b w:val="0"/>
          <w:bCs/>
          <w:iCs/>
          <w:sz w:val="28"/>
          <w:szCs w:val="28"/>
          <w:lang w:val="en-GB"/>
        </w:rPr>
      </w:pPr>
      <w:r w:rsidRPr="00497687">
        <w:rPr>
          <w:rFonts w:asciiTheme="majorHAnsi" w:hAnsiTheme="majorHAnsi" w:cstheme="majorHAnsi"/>
          <w:b w:val="0"/>
          <w:bCs/>
          <w:iCs/>
          <w:sz w:val="28"/>
          <w:szCs w:val="28"/>
          <w:lang w:val="en-GB"/>
        </w:rPr>
        <w:t>Unit: Million VND</w:t>
      </w:r>
    </w:p>
    <w:p w:rsidR="00956D9A" w:rsidRPr="00497687" w:rsidRDefault="009633B6" w:rsidP="00470FE4">
      <w:pPr>
        <w:spacing w:after="120" w:line="276" w:lineRule="auto"/>
        <w:jc w:val="center"/>
        <w:rPr>
          <w:rFonts w:asciiTheme="majorHAnsi" w:hAnsiTheme="majorHAnsi" w:cstheme="majorHAnsi"/>
          <w:b w:val="0"/>
          <w:bCs/>
          <w:i w:val="0"/>
          <w:iCs/>
          <w:sz w:val="28"/>
          <w:szCs w:val="28"/>
          <w:lang w:val="en-GB"/>
        </w:rPr>
      </w:pPr>
      <w:r w:rsidRPr="00497687">
        <w:rPr>
          <w:rFonts w:asciiTheme="majorHAnsi" w:hAnsiTheme="majorHAnsi" w:cstheme="majorHAnsi"/>
          <w:noProof/>
          <w:sz w:val="28"/>
          <w:szCs w:val="28"/>
        </w:rPr>
        <w:drawing>
          <wp:inline distT="0" distB="0" distL="0" distR="0">
            <wp:extent cx="5760720" cy="1990235"/>
            <wp:effectExtent l="0" t="0" r="0" b="0"/>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2861FB" w:rsidRPr="00497687" w:rsidRDefault="002861FB" w:rsidP="003427BF">
      <w:pPr>
        <w:spacing w:before="120" w:after="120" w:line="276" w:lineRule="auto"/>
        <w:ind w:firstLine="709"/>
        <w:jc w:val="both"/>
        <w:rPr>
          <w:rFonts w:asciiTheme="majorHAnsi" w:hAnsiTheme="majorHAnsi" w:cstheme="majorHAnsi"/>
          <w:b w:val="0"/>
          <w:bCs/>
          <w:i w:val="0"/>
          <w:iCs/>
          <w:sz w:val="28"/>
          <w:szCs w:val="28"/>
          <w:lang w:val="en-GB"/>
        </w:rPr>
      </w:pPr>
      <w:r w:rsidRPr="00497687">
        <w:rPr>
          <w:rFonts w:asciiTheme="majorHAnsi" w:hAnsiTheme="majorHAnsi" w:cstheme="majorHAnsi"/>
          <w:b w:val="0"/>
          <w:bCs/>
          <w:i w:val="0"/>
          <w:iCs/>
          <w:sz w:val="28"/>
          <w:szCs w:val="28"/>
          <w:lang w:val="en-GB"/>
        </w:rPr>
        <w:t>The second quarter of 2022 also witnessed an increase in the average monthly income of workers employed in all 21 broad industries compared to the same period in 2021. Some industries recorded encouraging growth rates: Mining and quarrying reached 9.7 million VND, up 17.1</w:t>
      </w:r>
      <w:r w:rsidR="00497687">
        <w:rPr>
          <w:rFonts w:asciiTheme="majorHAnsi" w:hAnsiTheme="majorHAnsi" w:cstheme="majorHAnsi"/>
          <w:b w:val="0"/>
          <w:bCs/>
          <w:i w:val="0"/>
          <w:iCs/>
          <w:sz w:val="28"/>
          <w:szCs w:val="28"/>
          <w:lang w:val="en-GB"/>
        </w:rPr>
        <w:t xml:space="preserve"> per cent,</w:t>
      </w:r>
      <w:r w:rsidRPr="00497687">
        <w:rPr>
          <w:rFonts w:asciiTheme="majorHAnsi" w:hAnsiTheme="majorHAnsi" w:cstheme="majorHAnsi"/>
          <w:b w:val="0"/>
          <w:bCs/>
          <w:i w:val="0"/>
          <w:iCs/>
          <w:sz w:val="28"/>
          <w:szCs w:val="28"/>
          <w:lang w:val="en-GB"/>
        </w:rPr>
        <w:t xml:space="preserve"> equivalent to an increase of 1.4 million VND over the same period last year; processing and manufacturing </w:t>
      </w:r>
      <w:r w:rsidRPr="00497687">
        <w:rPr>
          <w:rFonts w:asciiTheme="majorHAnsi" w:eastAsia="Calibri" w:hAnsiTheme="majorHAnsi" w:cstheme="majorHAnsi"/>
          <w:b w:val="0"/>
          <w:i w:val="0"/>
          <w:iCs/>
          <w:sz w:val="28"/>
          <w:szCs w:val="28"/>
          <w:lang w:val="en-GB"/>
        </w:rPr>
        <w:t>reached</w:t>
      </w:r>
      <w:r w:rsidRPr="00497687">
        <w:rPr>
          <w:rFonts w:asciiTheme="majorHAnsi" w:hAnsiTheme="majorHAnsi" w:cstheme="majorHAnsi"/>
          <w:b w:val="0"/>
          <w:bCs/>
          <w:i w:val="0"/>
          <w:iCs/>
          <w:sz w:val="28"/>
          <w:szCs w:val="28"/>
          <w:lang w:val="en-GB"/>
        </w:rPr>
        <w:t xml:space="preserve"> 7.4 million VND, up 12.4</w:t>
      </w:r>
      <w:r w:rsidR="00497687">
        <w:rPr>
          <w:rFonts w:asciiTheme="majorHAnsi" w:hAnsiTheme="majorHAnsi" w:cstheme="majorHAnsi"/>
          <w:b w:val="0"/>
          <w:bCs/>
          <w:i w:val="0"/>
          <w:iCs/>
          <w:sz w:val="28"/>
          <w:szCs w:val="28"/>
          <w:lang w:val="en-GB"/>
        </w:rPr>
        <w:t xml:space="preserve"> per cent,</w:t>
      </w:r>
      <w:r w:rsidRPr="00497687">
        <w:rPr>
          <w:rFonts w:asciiTheme="majorHAnsi" w:hAnsiTheme="majorHAnsi" w:cstheme="majorHAnsi"/>
          <w:b w:val="0"/>
          <w:bCs/>
          <w:i w:val="0"/>
          <w:iCs/>
          <w:sz w:val="28"/>
          <w:szCs w:val="28"/>
          <w:lang w:val="en-GB"/>
        </w:rPr>
        <w:t xml:space="preserve"> equivalent to an increase of about 818 thousand VND; electricity production and distribution reached 9.6 million VND, up 10.7</w:t>
      </w:r>
      <w:r w:rsidR="00497687">
        <w:rPr>
          <w:rFonts w:asciiTheme="majorHAnsi" w:hAnsiTheme="majorHAnsi" w:cstheme="majorHAnsi"/>
          <w:b w:val="0"/>
          <w:bCs/>
          <w:i w:val="0"/>
          <w:iCs/>
          <w:sz w:val="28"/>
          <w:szCs w:val="28"/>
          <w:lang w:val="en-GB"/>
        </w:rPr>
        <w:t xml:space="preserve"> per cent,</w:t>
      </w:r>
      <w:r w:rsidRPr="00497687">
        <w:rPr>
          <w:rFonts w:asciiTheme="majorHAnsi" w:hAnsiTheme="majorHAnsi" w:cstheme="majorHAnsi"/>
          <w:b w:val="0"/>
          <w:bCs/>
          <w:i w:val="0"/>
          <w:iCs/>
          <w:sz w:val="28"/>
          <w:szCs w:val="28"/>
          <w:lang w:val="en-GB"/>
        </w:rPr>
        <w:t xml:space="preserve"> equivalent to an increase of 928 thousand VND; accommodation and food services activities reached 6.2 million VND, up 10.2</w:t>
      </w:r>
      <w:r w:rsidR="00497687">
        <w:rPr>
          <w:rFonts w:asciiTheme="majorHAnsi" w:hAnsiTheme="majorHAnsi" w:cstheme="majorHAnsi"/>
          <w:b w:val="0"/>
          <w:bCs/>
          <w:i w:val="0"/>
          <w:iCs/>
          <w:sz w:val="28"/>
          <w:szCs w:val="28"/>
          <w:lang w:val="en-GB"/>
        </w:rPr>
        <w:t xml:space="preserve"> per cent,</w:t>
      </w:r>
      <w:r w:rsidRPr="00497687">
        <w:rPr>
          <w:rFonts w:asciiTheme="majorHAnsi" w:hAnsiTheme="majorHAnsi" w:cstheme="majorHAnsi"/>
          <w:b w:val="0"/>
          <w:bCs/>
          <w:i w:val="0"/>
          <w:iCs/>
          <w:sz w:val="28"/>
          <w:szCs w:val="28"/>
          <w:lang w:val="en-GB"/>
        </w:rPr>
        <w:t xml:space="preserve"> equivalent to 572 thousand VND. Even the industry that faced many difficulties due to fluctuations in gasoline prices such as the transportation and warehousing also recorded an encouraging income growth rate, reaching 8.9 million VND in the second quarter of 2022, up 4.2</w:t>
      </w:r>
      <w:r w:rsidR="00497687">
        <w:rPr>
          <w:rFonts w:asciiTheme="majorHAnsi" w:hAnsiTheme="majorHAnsi" w:cstheme="majorHAnsi"/>
          <w:b w:val="0"/>
          <w:bCs/>
          <w:i w:val="0"/>
          <w:iCs/>
          <w:sz w:val="28"/>
          <w:szCs w:val="28"/>
          <w:lang w:val="en-GB"/>
        </w:rPr>
        <w:t xml:space="preserve"> per cent </w:t>
      </w:r>
      <w:r w:rsidRPr="00497687">
        <w:rPr>
          <w:rFonts w:asciiTheme="majorHAnsi" w:hAnsiTheme="majorHAnsi" w:cstheme="majorHAnsi"/>
          <w:b w:val="0"/>
          <w:bCs/>
          <w:i w:val="0"/>
          <w:iCs/>
          <w:sz w:val="28"/>
          <w:szCs w:val="28"/>
          <w:lang w:val="en-GB"/>
        </w:rPr>
        <w:t>relative to the previous quarter and 9.9</w:t>
      </w:r>
      <w:r w:rsidR="00497687">
        <w:rPr>
          <w:rFonts w:asciiTheme="majorHAnsi" w:hAnsiTheme="majorHAnsi" w:cstheme="majorHAnsi"/>
          <w:b w:val="0"/>
          <w:bCs/>
          <w:i w:val="0"/>
          <w:iCs/>
          <w:sz w:val="28"/>
          <w:szCs w:val="28"/>
          <w:lang w:val="en-GB"/>
        </w:rPr>
        <w:t xml:space="preserve"> per cent </w:t>
      </w:r>
      <w:r w:rsidRPr="00497687">
        <w:rPr>
          <w:rFonts w:asciiTheme="majorHAnsi" w:hAnsiTheme="majorHAnsi" w:cstheme="majorHAnsi"/>
          <w:b w:val="0"/>
          <w:bCs/>
          <w:i w:val="0"/>
          <w:iCs/>
          <w:sz w:val="28"/>
          <w:szCs w:val="28"/>
          <w:lang w:val="en-GB"/>
        </w:rPr>
        <w:t xml:space="preserve">over the same period last year. </w:t>
      </w:r>
    </w:p>
    <w:p w:rsidR="00945F6B" w:rsidRPr="00497687" w:rsidRDefault="00B24338" w:rsidP="003427BF">
      <w:pPr>
        <w:spacing w:before="120" w:after="120" w:line="276" w:lineRule="auto"/>
        <w:ind w:firstLine="709"/>
        <w:jc w:val="both"/>
        <w:rPr>
          <w:rFonts w:asciiTheme="majorHAnsi" w:hAnsiTheme="majorHAnsi" w:cstheme="majorHAnsi"/>
          <w:b w:val="0"/>
          <w:bCs/>
          <w:i w:val="0"/>
          <w:iCs/>
          <w:sz w:val="28"/>
          <w:szCs w:val="28"/>
          <w:lang w:val="en-GB"/>
        </w:rPr>
      </w:pPr>
      <w:r w:rsidRPr="00497687">
        <w:rPr>
          <w:rFonts w:asciiTheme="majorHAnsi" w:hAnsiTheme="majorHAnsi" w:cstheme="majorHAnsi"/>
          <w:bCs/>
          <w:iCs/>
          <w:sz w:val="28"/>
          <w:szCs w:val="28"/>
          <w:lang w:val="en-GB"/>
        </w:rPr>
        <w:t xml:space="preserve">The Covid-19 pandemic has </w:t>
      </w:r>
      <w:r w:rsidR="00F40AB4" w:rsidRPr="00497687">
        <w:rPr>
          <w:rFonts w:asciiTheme="majorHAnsi" w:hAnsiTheme="majorHAnsi" w:cstheme="majorHAnsi"/>
          <w:bCs/>
          <w:iCs/>
          <w:sz w:val="28"/>
          <w:szCs w:val="28"/>
          <w:lang w:val="en-GB"/>
        </w:rPr>
        <w:t xml:space="preserve">now been brought under control and the </w:t>
      </w:r>
      <w:r w:rsidRPr="00497687">
        <w:rPr>
          <w:rFonts w:asciiTheme="majorHAnsi" w:hAnsiTheme="majorHAnsi" w:cstheme="majorHAnsi"/>
          <w:bCs/>
          <w:iCs/>
          <w:sz w:val="28"/>
          <w:szCs w:val="28"/>
          <w:lang w:val="en-GB"/>
        </w:rPr>
        <w:t xml:space="preserve">production and business activities have returned to the normal state as before the Covid-19 pandemic. The tasks and solutions of Resolution </w:t>
      </w:r>
      <w:r w:rsidR="002861FB" w:rsidRPr="00497687">
        <w:rPr>
          <w:rFonts w:asciiTheme="majorHAnsi" w:hAnsiTheme="majorHAnsi" w:cstheme="majorHAnsi"/>
          <w:bCs/>
          <w:iCs/>
          <w:sz w:val="28"/>
          <w:szCs w:val="28"/>
          <w:lang w:val="en-GB"/>
        </w:rPr>
        <w:t xml:space="preserve">No. </w:t>
      </w:r>
      <w:r w:rsidRPr="00497687">
        <w:rPr>
          <w:rFonts w:asciiTheme="majorHAnsi" w:hAnsiTheme="majorHAnsi" w:cstheme="majorHAnsi"/>
          <w:bCs/>
          <w:iCs/>
          <w:sz w:val="28"/>
          <w:szCs w:val="28"/>
          <w:lang w:val="en-GB"/>
        </w:rPr>
        <w:t xml:space="preserve">01/NQ-CP, Resolution No. 11/NQ-CP on the </w:t>
      </w:r>
      <w:r w:rsidR="001A28D6">
        <w:rPr>
          <w:rFonts w:asciiTheme="majorHAnsi" w:hAnsiTheme="majorHAnsi" w:cstheme="majorHAnsi"/>
          <w:bCs/>
          <w:iCs/>
          <w:sz w:val="28"/>
          <w:szCs w:val="28"/>
          <w:lang w:val="en-GB"/>
        </w:rPr>
        <w:t>Socio-Economic Recovery and Development Programme</w:t>
      </w:r>
      <w:r w:rsidRPr="00497687">
        <w:rPr>
          <w:rFonts w:asciiTheme="majorHAnsi" w:hAnsiTheme="majorHAnsi" w:cstheme="majorHAnsi"/>
          <w:bCs/>
          <w:iCs/>
          <w:sz w:val="28"/>
          <w:szCs w:val="28"/>
          <w:lang w:val="en-GB"/>
        </w:rPr>
        <w:t xml:space="preserve"> effectively implemented by ministries, sectors and subnational authorities have translated into the decrease in unemployment rate quarter on quarter and year on year.</w:t>
      </w:r>
    </w:p>
    <w:p w:rsidR="002861FB" w:rsidRPr="00497687" w:rsidRDefault="001E122A" w:rsidP="003427BF">
      <w:pPr>
        <w:spacing w:before="120" w:after="120" w:line="276" w:lineRule="auto"/>
        <w:ind w:firstLine="709"/>
        <w:jc w:val="both"/>
        <w:rPr>
          <w:rFonts w:asciiTheme="majorHAnsi" w:eastAsia="Calibri" w:hAnsiTheme="majorHAnsi" w:cstheme="majorHAnsi"/>
          <w:b w:val="0"/>
          <w:bCs/>
          <w:i w:val="0"/>
          <w:iCs/>
          <w:spacing w:val="-2"/>
          <w:sz w:val="28"/>
          <w:szCs w:val="28"/>
          <w:lang w:val="en-GB"/>
        </w:rPr>
      </w:pPr>
      <w:r w:rsidRPr="00497687">
        <w:rPr>
          <w:rFonts w:asciiTheme="majorHAnsi" w:eastAsia="Calibri" w:hAnsiTheme="majorHAnsi" w:cstheme="majorHAnsi"/>
          <w:b w:val="0"/>
          <w:bCs/>
          <w:i w:val="0"/>
          <w:iCs/>
          <w:spacing w:val="-2"/>
          <w:sz w:val="28"/>
          <w:szCs w:val="28"/>
          <w:lang w:val="en-GB"/>
        </w:rPr>
        <w:t xml:space="preserve">So that it contributes to helping the economy overcome difficulties rapidly after two years of severe impacts by the </w:t>
      </w:r>
      <w:r w:rsidR="00497687" w:rsidRPr="00497687">
        <w:rPr>
          <w:rFonts w:asciiTheme="majorHAnsi" w:eastAsia="Calibri" w:hAnsiTheme="majorHAnsi" w:cstheme="majorHAnsi"/>
          <w:b w:val="0"/>
          <w:bCs/>
          <w:i w:val="0"/>
          <w:iCs/>
          <w:spacing w:val="-2"/>
          <w:sz w:val="28"/>
          <w:szCs w:val="28"/>
          <w:lang w:val="en-GB"/>
        </w:rPr>
        <w:t>Covid</w:t>
      </w:r>
      <w:r w:rsidRPr="00497687">
        <w:rPr>
          <w:rFonts w:asciiTheme="majorHAnsi" w:eastAsia="Calibri" w:hAnsiTheme="majorHAnsi" w:cstheme="majorHAnsi"/>
          <w:b w:val="0"/>
          <w:bCs/>
          <w:i w:val="0"/>
          <w:iCs/>
          <w:spacing w:val="-2"/>
          <w:sz w:val="28"/>
          <w:szCs w:val="28"/>
          <w:lang w:val="en-GB"/>
        </w:rPr>
        <w:t xml:space="preserve">-19 pandemic and does not miss out the opportunity to </w:t>
      </w:r>
      <w:r w:rsidRPr="00497687">
        <w:rPr>
          <w:rFonts w:asciiTheme="majorHAnsi" w:eastAsia="Calibri" w:hAnsiTheme="majorHAnsi" w:cstheme="majorHAnsi"/>
          <w:b w:val="0"/>
          <w:i w:val="0"/>
          <w:iCs/>
          <w:sz w:val="28"/>
          <w:szCs w:val="28"/>
          <w:lang w:val="en-GB"/>
        </w:rPr>
        <w:t>catch</w:t>
      </w:r>
      <w:r w:rsidRPr="00497687">
        <w:rPr>
          <w:rFonts w:asciiTheme="majorHAnsi" w:eastAsia="Calibri" w:hAnsiTheme="majorHAnsi" w:cstheme="majorHAnsi"/>
          <w:b w:val="0"/>
          <w:bCs/>
          <w:i w:val="0"/>
          <w:iCs/>
          <w:spacing w:val="-2"/>
          <w:sz w:val="28"/>
          <w:szCs w:val="28"/>
          <w:lang w:val="en-GB"/>
        </w:rPr>
        <w:t xml:space="preserve"> up with the global economic recovery, on January 30, 2022, the Government issued the Resolution No. 11/NQ-CP on the Socio-Economic Development and Recovery Program</w:t>
      </w:r>
      <w:r w:rsidR="001A28D6">
        <w:rPr>
          <w:rFonts w:asciiTheme="majorHAnsi" w:eastAsia="Calibri" w:hAnsiTheme="majorHAnsi" w:cstheme="majorHAnsi"/>
          <w:b w:val="0"/>
          <w:bCs/>
          <w:i w:val="0"/>
          <w:iCs/>
          <w:spacing w:val="-2"/>
          <w:sz w:val="28"/>
          <w:szCs w:val="28"/>
          <w:lang w:val="en-GB"/>
        </w:rPr>
        <w:t>me</w:t>
      </w:r>
      <w:r w:rsidRPr="00497687">
        <w:rPr>
          <w:rFonts w:asciiTheme="majorHAnsi" w:eastAsia="Calibri" w:hAnsiTheme="majorHAnsi" w:cstheme="majorHAnsi"/>
          <w:b w:val="0"/>
          <w:bCs/>
          <w:i w:val="0"/>
          <w:iCs/>
          <w:spacing w:val="-2"/>
          <w:sz w:val="28"/>
          <w:szCs w:val="28"/>
          <w:lang w:val="en-GB"/>
        </w:rPr>
        <w:t xml:space="preserve"> </w:t>
      </w:r>
      <w:r w:rsidR="001A28D6">
        <w:rPr>
          <w:rFonts w:asciiTheme="majorHAnsi" w:eastAsia="Calibri" w:hAnsiTheme="majorHAnsi" w:cstheme="majorHAnsi"/>
          <w:b w:val="0"/>
          <w:bCs/>
          <w:i w:val="0"/>
          <w:iCs/>
          <w:spacing w:val="-2"/>
          <w:sz w:val="28"/>
          <w:szCs w:val="28"/>
          <w:lang w:val="en-GB"/>
        </w:rPr>
        <w:t>me</w:t>
      </w:r>
      <w:r w:rsidRPr="00497687">
        <w:rPr>
          <w:rFonts w:asciiTheme="majorHAnsi" w:eastAsia="Calibri" w:hAnsiTheme="majorHAnsi" w:cstheme="majorHAnsi"/>
          <w:b w:val="0"/>
          <w:bCs/>
          <w:i w:val="0"/>
          <w:iCs/>
          <w:spacing w:val="-2"/>
          <w:sz w:val="28"/>
          <w:szCs w:val="28"/>
          <w:lang w:val="en-GB"/>
        </w:rPr>
        <w:t>and guided the implementation of the Resolution No. 43/2022/QH15 of the National Assembly on fiscal and monetary policies to support the Program</w:t>
      </w:r>
      <w:r w:rsidR="001A28D6">
        <w:rPr>
          <w:rFonts w:asciiTheme="majorHAnsi" w:eastAsia="Calibri" w:hAnsiTheme="majorHAnsi" w:cstheme="majorHAnsi"/>
          <w:b w:val="0"/>
          <w:bCs/>
          <w:i w:val="0"/>
          <w:iCs/>
          <w:spacing w:val="-2"/>
          <w:sz w:val="28"/>
          <w:szCs w:val="28"/>
          <w:lang w:val="en-GB"/>
        </w:rPr>
        <w:t>me</w:t>
      </w:r>
      <w:r w:rsidRPr="00497687">
        <w:rPr>
          <w:rFonts w:asciiTheme="majorHAnsi" w:eastAsia="Calibri" w:hAnsiTheme="majorHAnsi" w:cstheme="majorHAnsi"/>
          <w:b w:val="0"/>
          <w:bCs/>
          <w:i w:val="0"/>
          <w:iCs/>
          <w:spacing w:val="-2"/>
          <w:sz w:val="28"/>
          <w:szCs w:val="28"/>
          <w:lang w:val="en-GB"/>
        </w:rPr>
        <w:t xml:space="preserve"> (Resolution 11). This Program</w:t>
      </w:r>
      <w:r w:rsidR="001A28D6">
        <w:rPr>
          <w:rFonts w:asciiTheme="majorHAnsi" w:eastAsia="Calibri" w:hAnsiTheme="majorHAnsi" w:cstheme="majorHAnsi"/>
          <w:b w:val="0"/>
          <w:bCs/>
          <w:i w:val="0"/>
          <w:iCs/>
          <w:spacing w:val="-2"/>
          <w:sz w:val="28"/>
          <w:szCs w:val="28"/>
          <w:lang w:val="en-GB"/>
        </w:rPr>
        <w:t>me</w:t>
      </w:r>
      <w:r w:rsidRPr="00497687">
        <w:rPr>
          <w:rFonts w:asciiTheme="majorHAnsi" w:eastAsia="Calibri" w:hAnsiTheme="majorHAnsi" w:cstheme="majorHAnsi"/>
          <w:b w:val="0"/>
          <w:bCs/>
          <w:i w:val="0"/>
          <w:iCs/>
          <w:spacing w:val="-2"/>
          <w:sz w:val="28"/>
          <w:szCs w:val="28"/>
          <w:lang w:val="en-GB"/>
        </w:rPr>
        <w:t xml:space="preserve"> has helped businesses and people promptly overcome challenges and difficulties during and after the pandemic, and served as the driving force for the country</w:t>
      </w:r>
      <w:r w:rsidR="00F622A3">
        <w:rPr>
          <w:rFonts w:asciiTheme="majorHAnsi" w:eastAsia="Calibri" w:hAnsiTheme="majorHAnsi" w:cstheme="majorHAnsi"/>
          <w:b w:val="0"/>
          <w:bCs/>
          <w:i w:val="0"/>
          <w:iCs/>
          <w:spacing w:val="-2"/>
          <w:sz w:val="28"/>
          <w:szCs w:val="28"/>
          <w:lang w:val="en-GB"/>
        </w:rPr>
        <w:t>’</w:t>
      </w:r>
      <w:r w:rsidRPr="00497687">
        <w:rPr>
          <w:rFonts w:asciiTheme="majorHAnsi" w:eastAsia="Calibri" w:hAnsiTheme="majorHAnsi" w:cstheme="majorHAnsi"/>
          <w:b w:val="0"/>
          <w:bCs/>
          <w:i w:val="0"/>
          <w:iCs/>
          <w:spacing w:val="-2"/>
          <w:sz w:val="28"/>
          <w:szCs w:val="28"/>
          <w:lang w:val="en-GB"/>
        </w:rPr>
        <w:t>s socio-economic activities to return to operation in the new normal</w:t>
      </w:r>
      <w:r w:rsidR="00A105A2" w:rsidRPr="00497687">
        <w:rPr>
          <w:rFonts w:asciiTheme="majorHAnsi" w:eastAsia="Calibri" w:hAnsiTheme="majorHAnsi" w:cstheme="majorHAnsi"/>
          <w:b w:val="0"/>
          <w:bCs/>
          <w:i w:val="0"/>
          <w:iCs/>
          <w:spacing w:val="-2"/>
          <w:sz w:val="28"/>
          <w:szCs w:val="28"/>
          <w:lang w:val="en-GB"/>
        </w:rPr>
        <w:t xml:space="preserve"> state</w:t>
      </w:r>
      <w:r w:rsidRPr="00497687">
        <w:rPr>
          <w:rFonts w:asciiTheme="majorHAnsi" w:eastAsia="Calibri" w:hAnsiTheme="majorHAnsi" w:cstheme="majorHAnsi"/>
          <w:b w:val="0"/>
          <w:bCs/>
          <w:i w:val="0"/>
          <w:iCs/>
          <w:spacing w:val="-2"/>
          <w:sz w:val="28"/>
          <w:szCs w:val="28"/>
          <w:lang w:val="en-GB"/>
        </w:rPr>
        <w:t xml:space="preserve">. </w:t>
      </w:r>
    </w:p>
    <w:p w:rsidR="00E3032B" w:rsidRPr="00497687" w:rsidRDefault="001E122A" w:rsidP="003427BF">
      <w:pPr>
        <w:spacing w:after="120" w:line="276" w:lineRule="auto"/>
        <w:ind w:firstLine="709"/>
        <w:jc w:val="both"/>
        <w:rPr>
          <w:rFonts w:asciiTheme="majorHAnsi" w:eastAsia="Calibri" w:hAnsiTheme="majorHAnsi" w:cstheme="majorHAnsi"/>
          <w:b w:val="0"/>
          <w:bCs/>
          <w:i w:val="0"/>
          <w:iCs/>
          <w:spacing w:val="-2"/>
          <w:sz w:val="28"/>
          <w:szCs w:val="28"/>
          <w:lang w:val="en-GB"/>
        </w:rPr>
      </w:pPr>
      <w:r w:rsidRPr="00497687">
        <w:rPr>
          <w:rFonts w:asciiTheme="majorHAnsi" w:eastAsia="Calibri" w:hAnsiTheme="majorHAnsi" w:cstheme="majorHAnsi"/>
          <w:b w:val="0"/>
          <w:bCs/>
          <w:i w:val="0"/>
          <w:iCs/>
          <w:spacing w:val="-2"/>
          <w:sz w:val="28"/>
          <w:szCs w:val="28"/>
          <w:lang w:val="en-GB"/>
        </w:rPr>
        <w:t xml:space="preserve">As of June 22, 2022, the whole country recorded 25,660 workers (equivalent to VND 14,124 billion) with rent support from the relief package under the Resolution </w:t>
      </w:r>
      <w:r w:rsidR="002861FB" w:rsidRPr="00497687">
        <w:rPr>
          <w:rFonts w:asciiTheme="majorHAnsi" w:eastAsia="Calibri" w:hAnsiTheme="majorHAnsi" w:cstheme="majorHAnsi"/>
          <w:b w:val="0"/>
          <w:bCs/>
          <w:i w:val="0"/>
          <w:iCs/>
          <w:spacing w:val="-2"/>
          <w:sz w:val="28"/>
          <w:szCs w:val="28"/>
          <w:lang w:val="en-GB"/>
        </w:rPr>
        <w:t xml:space="preserve">No. </w:t>
      </w:r>
      <w:r w:rsidRPr="00497687">
        <w:rPr>
          <w:rFonts w:asciiTheme="majorHAnsi" w:eastAsia="Calibri" w:hAnsiTheme="majorHAnsi" w:cstheme="majorHAnsi"/>
          <w:b w:val="0"/>
          <w:bCs/>
          <w:i w:val="0"/>
          <w:iCs/>
          <w:spacing w:val="-2"/>
          <w:sz w:val="28"/>
          <w:szCs w:val="28"/>
          <w:lang w:val="en-GB"/>
        </w:rPr>
        <w:t>11/NQ-CP, which has essentially generated more motivation to help workers feel secure to return to work. Besides, tourism demand has increased sharply along with the recent SEA Games 31 event held in Viet Nam, rendering commercial and service activities bustling and dynamic.</w:t>
      </w:r>
      <w:r w:rsidR="002861FB" w:rsidRPr="00497687">
        <w:rPr>
          <w:rFonts w:asciiTheme="majorHAnsi" w:eastAsia="Calibri" w:hAnsiTheme="majorHAnsi" w:cstheme="majorHAnsi"/>
          <w:b w:val="0"/>
          <w:bCs/>
          <w:i w:val="0"/>
          <w:iCs/>
          <w:spacing w:val="-2"/>
          <w:sz w:val="28"/>
          <w:szCs w:val="28"/>
          <w:lang w:val="en-GB"/>
        </w:rPr>
        <w:t xml:space="preserve"> As a result, the unemployment rate in the second quarter of 2022 decreased significantly. </w:t>
      </w:r>
      <w:r w:rsidRPr="00497687">
        <w:rPr>
          <w:rFonts w:asciiTheme="majorHAnsi" w:eastAsia="Calibri" w:hAnsiTheme="majorHAnsi" w:cstheme="majorHAnsi"/>
          <w:b w:val="0"/>
          <w:bCs/>
          <w:i w:val="0"/>
          <w:iCs/>
          <w:spacing w:val="-2"/>
          <w:sz w:val="28"/>
          <w:szCs w:val="28"/>
          <w:lang w:val="en-GB"/>
        </w:rPr>
        <w:t xml:space="preserve">The number of </w:t>
      </w:r>
      <w:r w:rsidR="00497687">
        <w:rPr>
          <w:rFonts w:asciiTheme="majorHAnsi" w:eastAsia="Calibri" w:hAnsiTheme="majorHAnsi" w:cstheme="majorHAnsi"/>
          <w:b w:val="0"/>
          <w:bCs/>
          <w:i w:val="0"/>
          <w:iCs/>
          <w:spacing w:val="-2"/>
          <w:sz w:val="28"/>
          <w:szCs w:val="28"/>
          <w:lang w:val="en-GB"/>
        </w:rPr>
        <w:t>statutory working-age</w:t>
      </w:r>
      <w:r w:rsidRPr="00497687">
        <w:rPr>
          <w:rFonts w:asciiTheme="majorHAnsi" w:eastAsia="Calibri" w:hAnsiTheme="majorHAnsi" w:cstheme="majorHAnsi"/>
          <w:b w:val="0"/>
          <w:bCs/>
          <w:i w:val="0"/>
          <w:iCs/>
          <w:spacing w:val="-2"/>
          <w:sz w:val="28"/>
          <w:szCs w:val="28"/>
          <w:lang w:val="en-GB"/>
        </w:rPr>
        <w:t xml:space="preserve"> unemployed people in </w:t>
      </w:r>
      <w:r w:rsidR="00722938" w:rsidRPr="00497687">
        <w:rPr>
          <w:rFonts w:asciiTheme="majorHAnsi" w:hAnsiTheme="majorHAnsi" w:cstheme="majorHAnsi"/>
          <w:b w:val="0"/>
          <w:bCs/>
          <w:i w:val="0"/>
          <w:iCs/>
          <w:sz w:val="28"/>
          <w:szCs w:val="28"/>
          <w:lang w:val="en-GB"/>
        </w:rPr>
        <w:t xml:space="preserve">the second quarter of </w:t>
      </w:r>
      <w:r w:rsidRPr="00497687">
        <w:rPr>
          <w:rFonts w:asciiTheme="majorHAnsi" w:eastAsia="Calibri" w:hAnsiTheme="majorHAnsi" w:cstheme="majorHAnsi"/>
          <w:b w:val="0"/>
          <w:bCs/>
          <w:i w:val="0"/>
          <w:iCs/>
          <w:spacing w:val="-2"/>
          <w:sz w:val="28"/>
          <w:szCs w:val="28"/>
          <w:lang w:val="en-GB"/>
        </w:rPr>
        <w:t xml:space="preserve">2022 was nearly 1.1 million people, down 41.6 thousand people compared to the previous quarter and 112.0 thousand people down over the same period last year. </w:t>
      </w:r>
      <w:r w:rsidR="00497687">
        <w:rPr>
          <w:rFonts w:asciiTheme="majorHAnsi" w:eastAsia="Calibri" w:hAnsiTheme="majorHAnsi" w:cstheme="majorHAnsi"/>
          <w:b w:val="0"/>
          <w:bCs/>
          <w:i w:val="0"/>
          <w:iCs/>
          <w:spacing w:val="-2"/>
          <w:sz w:val="28"/>
          <w:szCs w:val="28"/>
          <w:lang w:val="en-GB"/>
        </w:rPr>
        <w:t>The statutory working-age</w:t>
      </w:r>
      <w:r w:rsidRPr="00497687">
        <w:rPr>
          <w:rFonts w:asciiTheme="majorHAnsi" w:eastAsia="Calibri" w:hAnsiTheme="majorHAnsi" w:cstheme="majorHAnsi"/>
          <w:b w:val="0"/>
          <w:bCs/>
          <w:i w:val="0"/>
          <w:iCs/>
          <w:spacing w:val="-2"/>
          <w:sz w:val="28"/>
          <w:szCs w:val="28"/>
          <w:lang w:val="en-GB"/>
        </w:rPr>
        <w:t xml:space="preserve"> unemployment rate in </w:t>
      </w:r>
      <w:r w:rsidR="00722938" w:rsidRPr="00497687">
        <w:rPr>
          <w:rFonts w:asciiTheme="majorHAnsi" w:hAnsiTheme="majorHAnsi" w:cstheme="majorHAnsi"/>
          <w:b w:val="0"/>
          <w:bCs/>
          <w:i w:val="0"/>
          <w:iCs/>
          <w:sz w:val="28"/>
          <w:szCs w:val="28"/>
          <w:lang w:val="en-GB"/>
        </w:rPr>
        <w:t xml:space="preserve">the second quarter of </w:t>
      </w:r>
      <w:r w:rsidRPr="00497687">
        <w:rPr>
          <w:rFonts w:asciiTheme="majorHAnsi" w:eastAsia="Calibri" w:hAnsiTheme="majorHAnsi" w:cstheme="majorHAnsi"/>
          <w:b w:val="0"/>
          <w:bCs/>
          <w:i w:val="0"/>
          <w:iCs/>
          <w:spacing w:val="-2"/>
          <w:sz w:val="28"/>
          <w:szCs w:val="28"/>
          <w:lang w:val="en-GB"/>
        </w:rPr>
        <w:t>2022 was 2.32</w:t>
      </w:r>
      <w:r w:rsidR="003F4455" w:rsidRPr="00497687">
        <w:rPr>
          <w:rFonts w:asciiTheme="majorHAnsi" w:eastAsia="Calibri" w:hAnsiTheme="majorHAnsi" w:cstheme="majorHAnsi"/>
          <w:b w:val="0"/>
          <w:bCs/>
          <w:i w:val="0"/>
          <w:iCs/>
          <w:spacing w:val="-2"/>
          <w:sz w:val="28"/>
          <w:szCs w:val="28"/>
          <w:lang w:val="en-GB"/>
        </w:rPr>
        <w:t xml:space="preserve"> per cent,</w:t>
      </w:r>
      <w:r w:rsidRPr="00497687">
        <w:rPr>
          <w:rFonts w:asciiTheme="majorHAnsi" w:eastAsia="Calibri" w:hAnsiTheme="majorHAnsi" w:cstheme="majorHAnsi"/>
          <w:b w:val="0"/>
          <w:bCs/>
          <w:i w:val="0"/>
          <w:iCs/>
          <w:spacing w:val="-2"/>
          <w:sz w:val="28"/>
          <w:szCs w:val="28"/>
          <w:lang w:val="en-GB"/>
        </w:rPr>
        <w:t xml:space="preserve"> down 0.14 percentage points compared to the previous quarter and down 0.30 percentage points over the same period last year.</w:t>
      </w:r>
      <w:r w:rsidR="001F619B" w:rsidRPr="00497687">
        <w:rPr>
          <w:rFonts w:asciiTheme="majorHAnsi" w:eastAsia="Calibri" w:hAnsiTheme="majorHAnsi" w:cstheme="majorHAnsi"/>
          <w:b w:val="0"/>
          <w:bCs/>
          <w:i w:val="0"/>
          <w:iCs/>
          <w:spacing w:val="-2"/>
          <w:sz w:val="28"/>
          <w:szCs w:val="28"/>
          <w:lang w:val="en-GB"/>
        </w:rPr>
        <w:t xml:space="preserve"> </w:t>
      </w:r>
    </w:p>
    <w:p w:rsidR="001F619B" w:rsidRPr="00497687" w:rsidRDefault="00D8500B" w:rsidP="003427BF">
      <w:pPr>
        <w:spacing w:after="240" w:line="276" w:lineRule="auto"/>
        <w:jc w:val="center"/>
        <w:rPr>
          <w:rFonts w:asciiTheme="majorHAnsi" w:eastAsia="Calibri" w:hAnsiTheme="majorHAnsi" w:cstheme="majorHAnsi"/>
          <w:bCs/>
          <w:i w:val="0"/>
          <w:iCs/>
          <w:sz w:val="28"/>
          <w:szCs w:val="28"/>
          <w:lang w:val="en-GB"/>
        </w:rPr>
      </w:pPr>
      <w:r w:rsidRPr="00497687">
        <w:rPr>
          <w:rFonts w:asciiTheme="majorHAnsi" w:eastAsia="Calibri" w:hAnsiTheme="majorHAnsi" w:cstheme="majorHAnsi"/>
          <w:bCs/>
          <w:i w:val="0"/>
          <w:iCs/>
          <w:sz w:val="28"/>
          <w:szCs w:val="28"/>
          <w:lang w:val="en-GB"/>
        </w:rPr>
        <w:t>Figure 1</w:t>
      </w:r>
      <w:r w:rsidR="002861FB" w:rsidRPr="00497687">
        <w:rPr>
          <w:rFonts w:asciiTheme="majorHAnsi" w:eastAsia="Calibri" w:hAnsiTheme="majorHAnsi" w:cstheme="majorHAnsi"/>
          <w:bCs/>
          <w:i w:val="0"/>
          <w:iCs/>
          <w:sz w:val="28"/>
          <w:szCs w:val="28"/>
          <w:lang w:val="en-GB"/>
        </w:rPr>
        <w:t>0</w:t>
      </w:r>
      <w:r w:rsidRPr="00497687">
        <w:rPr>
          <w:rFonts w:asciiTheme="majorHAnsi" w:eastAsia="Calibri" w:hAnsiTheme="majorHAnsi" w:cstheme="majorHAnsi"/>
          <w:bCs/>
          <w:i w:val="0"/>
          <w:iCs/>
          <w:sz w:val="28"/>
          <w:szCs w:val="28"/>
          <w:lang w:val="en-GB"/>
        </w:rPr>
        <w:t xml:space="preserve">: </w:t>
      </w:r>
      <w:r w:rsidR="00A105A2" w:rsidRPr="00497687">
        <w:rPr>
          <w:rFonts w:asciiTheme="majorHAnsi" w:eastAsia="Calibri" w:hAnsiTheme="majorHAnsi" w:cstheme="majorHAnsi"/>
          <w:bCs/>
          <w:i w:val="0"/>
          <w:iCs/>
          <w:sz w:val="28"/>
          <w:szCs w:val="28"/>
          <w:lang w:val="en-GB"/>
        </w:rPr>
        <w:t xml:space="preserve">Number and rate of </w:t>
      </w:r>
      <w:r w:rsidR="00497687">
        <w:rPr>
          <w:rFonts w:asciiTheme="majorHAnsi" w:eastAsia="Calibri" w:hAnsiTheme="majorHAnsi" w:cstheme="majorHAnsi"/>
          <w:bCs/>
          <w:i w:val="0"/>
          <w:iCs/>
          <w:sz w:val="28"/>
          <w:szCs w:val="28"/>
          <w:lang w:val="en-GB"/>
        </w:rPr>
        <w:t>statutory working-age</w:t>
      </w:r>
      <w:r w:rsidR="00992B8C" w:rsidRPr="00497687">
        <w:rPr>
          <w:rFonts w:asciiTheme="majorHAnsi" w:eastAsia="Calibri" w:hAnsiTheme="majorHAnsi" w:cstheme="majorHAnsi"/>
          <w:bCs/>
          <w:i w:val="0"/>
          <w:iCs/>
          <w:sz w:val="28"/>
          <w:szCs w:val="28"/>
          <w:lang w:val="en-GB"/>
        </w:rPr>
        <w:t xml:space="preserve"> unemployment </w:t>
      </w:r>
      <w:r w:rsidR="00A105A2" w:rsidRPr="00497687">
        <w:rPr>
          <w:rFonts w:asciiTheme="majorHAnsi" w:eastAsia="Calibri" w:hAnsiTheme="majorHAnsi" w:cstheme="majorHAnsi"/>
          <w:bCs/>
          <w:i w:val="0"/>
          <w:iCs/>
          <w:sz w:val="28"/>
          <w:szCs w:val="28"/>
          <w:lang w:val="en-GB"/>
        </w:rPr>
        <w:t>by quarter</w:t>
      </w:r>
      <w:r w:rsidR="001F619B" w:rsidRPr="00497687">
        <w:rPr>
          <w:rFonts w:asciiTheme="majorHAnsi" w:eastAsia="Calibri" w:hAnsiTheme="majorHAnsi" w:cstheme="majorHAnsi"/>
          <w:bCs/>
          <w:i w:val="0"/>
          <w:iCs/>
          <w:sz w:val="28"/>
          <w:szCs w:val="28"/>
          <w:lang w:val="en-GB"/>
        </w:rPr>
        <w:t>,</w:t>
      </w:r>
      <w:r w:rsidR="00D9347E" w:rsidRPr="00497687">
        <w:rPr>
          <w:rFonts w:asciiTheme="majorHAnsi" w:eastAsia="Calibri" w:hAnsiTheme="majorHAnsi" w:cstheme="majorHAnsi"/>
          <w:bCs/>
          <w:i w:val="0"/>
          <w:iCs/>
          <w:sz w:val="28"/>
          <w:szCs w:val="28"/>
          <w:lang w:val="en-GB"/>
        </w:rPr>
        <w:t xml:space="preserve"> 2020-</w:t>
      </w:r>
      <w:r w:rsidR="00B74283" w:rsidRPr="00497687">
        <w:rPr>
          <w:rFonts w:asciiTheme="majorHAnsi" w:eastAsia="Calibri" w:hAnsiTheme="majorHAnsi" w:cstheme="majorHAnsi"/>
          <w:bCs/>
          <w:i w:val="0"/>
          <w:iCs/>
          <w:sz w:val="28"/>
          <w:szCs w:val="28"/>
          <w:lang w:val="en-GB"/>
        </w:rPr>
        <w:t>2022</w:t>
      </w:r>
    </w:p>
    <w:p w:rsidR="001F619B" w:rsidRPr="00497687" w:rsidRDefault="002861FB" w:rsidP="003427BF">
      <w:pPr>
        <w:spacing w:after="120" w:line="276" w:lineRule="auto"/>
        <w:jc w:val="center"/>
        <w:rPr>
          <w:rFonts w:asciiTheme="majorHAnsi" w:eastAsia="Calibri" w:hAnsiTheme="majorHAnsi" w:cstheme="majorHAnsi"/>
          <w:b w:val="0"/>
          <w:i w:val="0"/>
          <w:iCs/>
          <w:sz w:val="28"/>
          <w:szCs w:val="28"/>
          <w:lang w:val="en-GB"/>
        </w:rPr>
      </w:pPr>
      <w:r w:rsidRPr="00497687">
        <w:rPr>
          <w:rFonts w:asciiTheme="majorHAnsi" w:hAnsiTheme="majorHAnsi" w:cstheme="majorHAnsi"/>
          <w:noProof/>
          <w:sz w:val="28"/>
          <w:szCs w:val="28"/>
        </w:rPr>
        <w:drawing>
          <wp:inline distT="0" distB="0" distL="0" distR="0">
            <wp:extent cx="5534025" cy="2952750"/>
            <wp:effectExtent l="0" t="0" r="9525" b="19050"/>
            <wp:docPr id="4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470FE4" w:rsidRDefault="00470FE4">
      <w:pPr>
        <w:spacing w:after="240"/>
        <w:ind w:left="1559" w:hanging="1559"/>
        <w:jc w:val="both"/>
        <w:rPr>
          <w:rFonts w:asciiTheme="majorHAnsi" w:hAnsiTheme="majorHAnsi" w:cstheme="majorHAnsi"/>
          <w:bCs/>
          <w:iCs/>
          <w:spacing w:val="-2"/>
          <w:sz w:val="28"/>
          <w:szCs w:val="28"/>
          <w:lang w:val="en-GB"/>
        </w:rPr>
      </w:pPr>
      <w:r>
        <w:rPr>
          <w:rFonts w:asciiTheme="majorHAnsi" w:hAnsiTheme="majorHAnsi" w:cstheme="majorHAnsi"/>
          <w:bCs/>
          <w:iCs/>
          <w:spacing w:val="-2"/>
          <w:sz w:val="28"/>
          <w:szCs w:val="28"/>
          <w:lang w:val="en-GB"/>
        </w:rPr>
        <w:br w:type="page"/>
      </w:r>
    </w:p>
    <w:p w:rsidR="00D8500B" w:rsidRPr="00497687" w:rsidRDefault="00D8500B" w:rsidP="003427BF">
      <w:pPr>
        <w:spacing w:before="60" w:line="276" w:lineRule="auto"/>
        <w:ind w:firstLine="709"/>
        <w:jc w:val="both"/>
        <w:rPr>
          <w:rFonts w:asciiTheme="majorHAnsi" w:hAnsiTheme="majorHAnsi" w:cstheme="majorHAnsi"/>
          <w:bCs/>
          <w:iCs/>
          <w:spacing w:val="-2"/>
          <w:sz w:val="28"/>
          <w:szCs w:val="28"/>
          <w:lang w:val="en-GB"/>
        </w:rPr>
      </w:pPr>
      <w:r w:rsidRPr="00497687">
        <w:rPr>
          <w:rFonts w:asciiTheme="majorHAnsi" w:hAnsiTheme="majorHAnsi" w:cstheme="majorHAnsi"/>
          <w:bCs/>
          <w:iCs/>
          <w:spacing w:val="-2"/>
          <w:sz w:val="28"/>
          <w:szCs w:val="28"/>
          <w:lang w:val="en-GB"/>
        </w:rPr>
        <w:t>The youth unemploy</w:t>
      </w:r>
      <w:r w:rsidR="002861FB" w:rsidRPr="00497687">
        <w:rPr>
          <w:rFonts w:asciiTheme="majorHAnsi" w:hAnsiTheme="majorHAnsi" w:cstheme="majorHAnsi"/>
          <w:bCs/>
          <w:iCs/>
          <w:spacing w:val="-2"/>
          <w:sz w:val="28"/>
          <w:szCs w:val="28"/>
          <w:lang w:val="en-GB"/>
        </w:rPr>
        <w:t>ment rate (aged 15 to 24 years) and the</w:t>
      </w:r>
      <w:r w:rsidR="00970FC6">
        <w:rPr>
          <w:rFonts w:asciiTheme="majorHAnsi" w:hAnsiTheme="majorHAnsi" w:cstheme="majorHAnsi"/>
          <w:bCs/>
          <w:iCs/>
          <w:spacing w:val="-2"/>
          <w:sz w:val="28"/>
          <w:szCs w:val="28"/>
          <w:lang w:val="en-GB"/>
        </w:rPr>
        <w:t xml:space="preserve"> Youth N</w:t>
      </w:r>
      <w:r w:rsidRPr="00497687">
        <w:rPr>
          <w:rFonts w:asciiTheme="majorHAnsi" w:hAnsiTheme="majorHAnsi" w:cstheme="majorHAnsi"/>
          <w:bCs/>
          <w:iCs/>
          <w:spacing w:val="-2"/>
          <w:sz w:val="28"/>
          <w:szCs w:val="28"/>
          <w:lang w:val="en-GB"/>
        </w:rPr>
        <w:t xml:space="preserve">ot in Education, Employment or Training (NEET) </w:t>
      </w:r>
      <w:r w:rsidR="002861FB" w:rsidRPr="00497687">
        <w:rPr>
          <w:rFonts w:asciiTheme="majorHAnsi" w:hAnsiTheme="majorHAnsi" w:cstheme="majorHAnsi"/>
          <w:bCs/>
          <w:iCs/>
          <w:spacing w:val="-2"/>
          <w:sz w:val="28"/>
          <w:szCs w:val="28"/>
          <w:lang w:val="en-GB"/>
        </w:rPr>
        <w:t xml:space="preserve">both decreased relative to </w:t>
      </w:r>
      <w:r w:rsidRPr="00497687">
        <w:rPr>
          <w:rFonts w:asciiTheme="majorHAnsi" w:hAnsiTheme="majorHAnsi" w:cstheme="majorHAnsi"/>
          <w:bCs/>
          <w:iCs/>
          <w:spacing w:val="-2"/>
          <w:sz w:val="28"/>
          <w:szCs w:val="28"/>
          <w:lang w:val="en-GB"/>
        </w:rPr>
        <w:t>the previous quarter.</w:t>
      </w:r>
    </w:p>
    <w:p w:rsidR="001F619B" w:rsidRPr="00497687" w:rsidRDefault="00D8500B" w:rsidP="003427BF">
      <w:pPr>
        <w:spacing w:before="120" w:after="120" w:line="276" w:lineRule="auto"/>
        <w:ind w:firstLine="709"/>
        <w:jc w:val="both"/>
        <w:rPr>
          <w:rFonts w:asciiTheme="majorHAnsi" w:eastAsia="Calibri" w:hAnsiTheme="majorHAnsi" w:cstheme="majorHAnsi"/>
          <w:b w:val="0"/>
          <w:i w:val="0"/>
          <w:sz w:val="28"/>
          <w:szCs w:val="28"/>
          <w:lang w:val="en-GB"/>
        </w:rPr>
      </w:pPr>
      <w:r w:rsidRPr="00497687">
        <w:rPr>
          <w:rFonts w:asciiTheme="majorHAnsi" w:eastAsia="Calibri" w:hAnsiTheme="majorHAnsi" w:cstheme="majorHAnsi"/>
          <w:b w:val="0"/>
          <w:i w:val="0"/>
          <w:sz w:val="28"/>
          <w:szCs w:val="28"/>
          <w:lang w:val="en-GB"/>
        </w:rPr>
        <w:t>In the second quarter of 2022, t</w:t>
      </w:r>
      <w:r w:rsidR="002861FB" w:rsidRPr="00497687">
        <w:rPr>
          <w:rFonts w:asciiTheme="majorHAnsi" w:eastAsia="Calibri" w:hAnsiTheme="majorHAnsi" w:cstheme="majorHAnsi"/>
          <w:b w:val="0"/>
          <w:i w:val="0"/>
          <w:sz w:val="28"/>
          <w:szCs w:val="28"/>
          <w:lang w:val="en-GB"/>
        </w:rPr>
        <w:t>he youth unemployment rate</w:t>
      </w:r>
      <w:r w:rsidR="00A105A2" w:rsidRPr="00497687">
        <w:rPr>
          <w:rFonts w:asciiTheme="majorHAnsi" w:eastAsia="Calibri" w:hAnsiTheme="majorHAnsi" w:cstheme="majorHAnsi"/>
          <w:b w:val="0"/>
          <w:i w:val="0"/>
          <w:sz w:val="28"/>
          <w:szCs w:val="28"/>
          <w:lang w:val="en-GB"/>
        </w:rPr>
        <w:t xml:space="preserve"> was 7.63</w:t>
      </w:r>
      <w:r w:rsidR="003F4455" w:rsidRPr="00497687">
        <w:rPr>
          <w:rFonts w:asciiTheme="majorHAnsi" w:eastAsia="Calibri" w:hAnsiTheme="majorHAnsi" w:cstheme="majorHAnsi"/>
          <w:b w:val="0"/>
          <w:i w:val="0"/>
          <w:sz w:val="28"/>
          <w:szCs w:val="28"/>
          <w:lang w:val="en-GB"/>
        </w:rPr>
        <w:t xml:space="preserve"> per cent,</w:t>
      </w:r>
      <w:r w:rsidR="00A105A2" w:rsidRPr="00497687">
        <w:rPr>
          <w:rFonts w:asciiTheme="majorHAnsi" w:eastAsia="Calibri" w:hAnsiTheme="majorHAnsi" w:cstheme="majorHAnsi"/>
          <w:b w:val="0"/>
          <w:i w:val="0"/>
          <w:sz w:val="28"/>
          <w:szCs w:val="28"/>
          <w:lang w:val="en-GB"/>
        </w:rPr>
        <w:t xml:space="preserve"> down 0.30 </w:t>
      </w:r>
      <w:r w:rsidR="00A105A2" w:rsidRPr="00497687">
        <w:rPr>
          <w:rFonts w:asciiTheme="majorHAnsi" w:eastAsia="Calibri" w:hAnsiTheme="majorHAnsi" w:cstheme="majorHAnsi"/>
          <w:b w:val="0"/>
          <w:i w:val="0"/>
          <w:iCs/>
          <w:sz w:val="28"/>
          <w:szCs w:val="28"/>
          <w:lang w:val="en-GB"/>
        </w:rPr>
        <w:t>percentage</w:t>
      </w:r>
      <w:r w:rsidR="00A105A2" w:rsidRPr="00497687">
        <w:rPr>
          <w:rFonts w:asciiTheme="majorHAnsi" w:eastAsia="Calibri" w:hAnsiTheme="majorHAnsi" w:cstheme="majorHAnsi"/>
          <w:b w:val="0"/>
          <w:i w:val="0"/>
          <w:sz w:val="28"/>
          <w:szCs w:val="28"/>
          <w:lang w:val="en-GB"/>
        </w:rPr>
        <w:t xml:space="preserve"> points compared to the previous quarter. The youth unemployment rate in urban areas was 9.13</w:t>
      </w:r>
      <w:r w:rsidR="003F4455" w:rsidRPr="00497687">
        <w:rPr>
          <w:rFonts w:asciiTheme="majorHAnsi" w:eastAsia="Calibri" w:hAnsiTheme="majorHAnsi" w:cstheme="majorHAnsi"/>
          <w:b w:val="0"/>
          <w:i w:val="0"/>
          <w:sz w:val="28"/>
          <w:szCs w:val="28"/>
          <w:lang w:val="en-GB"/>
        </w:rPr>
        <w:t xml:space="preserve"> per cent,</w:t>
      </w:r>
      <w:r w:rsidR="00A105A2" w:rsidRPr="00497687">
        <w:rPr>
          <w:rFonts w:asciiTheme="majorHAnsi" w:eastAsia="Calibri" w:hAnsiTheme="majorHAnsi" w:cstheme="majorHAnsi"/>
          <w:b w:val="0"/>
          <w:i w:val="0"/>
          <w:sz w:val="28"/>
          <w:szCs w:val="28"/>
          <w:lang w:val="en-GB"/>
        </w:rPr>
        <w:t xml:space="preserve"> 2.30 percentage points higher than in rural areas.</w:t>
      </w:r>
      <w:r w:rsidR="001F619B" w:rsidRPr="00497687">
        <w:rPr>
          <w:rFonts w:asciiTheme="majorHAnsi" w:eastAsia="Calibri" w:hAnsiTheme="majorHAnsi" w:cstheme="majorHAnsi"/>
          <w:b w:val="0"/>
          <w:i w:val="0"/>
          <w:sz w:val="28"/>
          <w:szCs w:val="28"/>
          <w:lang w:val="en-GB"/>
        </w:rPr>
        <w:t xml:space="preserve"> </w:t>
      </w:r>
      <w:r w:rsidR="002861FB" w:rsidRPr="00497687">
        <w:rPr>
          <w:rFonts w:asciiTheme="majorHAnsi" w:eastAsia="Calibri" w:hAnsiTheme="majorHAnsi" w:cstheme="majorHAnsi"/>
          <w:b w:val="0"/>
          <w:i w:val="0"/>
          <w:sz w:val="28"/>
          <w:szCs w:val="28"/>
          <w:lang w:val="en-GB"/>
        </w:rPr>
        <w:t xml:space="preserve">Compared to the previous quarter, this rate decreased in both urban and rural areas, by 0.17 percentage points and 0.37 percentage points, respectively. </w:t>
      </w:r>
      <w:r w:rsidR="00214741" w:rsidRPr="00497687">
        <w:rPr>
          <w:rFonts w:asciiTheme="majorHAnsi" w:eastAsia="Calibri" w:hAnsiTheme="majorHAnsi" w:cstheme="majorHAnsi"/>
          <w:b w:val="0"/>
          <w:i w:val="0"/>
          <w:sz w:val="28"/>
          <w:szCs w:val="28"/>
          <w:lang w:val="en-GB"/>
        </w:rPr>
        <w:t>The youth unemployment rate in Ho Chi Minh City in the second quarter of 2022 was 11.15</w:t>
      </w:r>
      <w:r w:rsidR="003F4455" w:rsidRPr="00497687">
        <w:rPr>
          <w:rFonts w:asciiTheme="majorHAnsi" w:eastAsia="Calibri" w:hAnsiTheme="majorHAnsi" w:cstheme="majorHAnsi"/>
          <w:b w:val="0"/>
          <w:i w:val="0"/>
          <w:sz w:val="28"/>
          <w:szCs w:val="28"/>
          <w:lang w:val="en-GB"/>
        </w:rPr>
        <w:t xml:space="preserve"> per cent,</w:t>
      </w:r>
      <w:r w:rsidR="00214741" w:rsidRPr="00497687">
        <w:rPr>
          <w:rFonts w:asciiTheme="majorHAnsi" w:eastAsia="Calibri" w:hAnsiTheme="majorHAnsi" w:cstheme="majorHAnsi"/>
          <w:b w:val="0"/>
          <w:i w:val="0"/>
          <w:sz w:val="28"/>
          <w:szCs w:val="28"/>
          <w:lang w:val="en-GB"/>
        </w:rPr>
        <w:t xml:space="preserve"> </w:t>
      </w:r>
      <w:r w:rsidR="002861FB" w:rsidRPr="00497687">
        <w:rPr>
          <w:rFonts w:asciiTheme="majorHAnsi" w:eastAsia="Calibri" w:hAnsiTheme="majorHAnsi" w:cstheme="majorHAnsi"/>
          <w:b w:val="0"/>
          <w:i w:val="0"/>
          <w:sz w:val="28"/>
          <w:szCs w:val="28"/>
          <w:lang w:val="en-GB"/>
        </w:rPr>
        <w:t xml:space="preserve">down 1.09 percentage points </w:t>
      </w:r>
      <w:r w:rsidR="00703E47" w:rsidRPr="00497687">
        <w:rPr>
          <w:rFonts w:asciiTheme="majorHAnsi" w:eastAsia="Calibri" w:hAnsiTheme="majorHAnsi" w:cstheme="majorHAnsi"/>
          <w:b w:val="0"/>
          <w:i w:val="0"/>
          <w:sz w:val="28"/>
          <w:szCs w:val="28"/>
          <w:lang w:val="en-GB"/>
        </w:rPr>
        <w:t>relative</w:t>
      </w:r>
      <w:r w:rsidR="00214741" w:rsidRPr="00497687">
        <w:rPr>
          <w:rFonts w:asciiTheme="majorHAnsi" w:eastAsia="Calibri" w:hAnsiTheme="majorHAnsi" w:cstheme="majorHAnsi"/>
          <w:b w:val="0"/>
          <w:i w:val="0"/>
          <w:sz w:val="28"/>
          <w:szCs w:val="28"/>
          <w:lang w:val="en-GB"/>
        </w:rPr>
        <w:t xml:space="preserve"> to the previous quarter, this rate </w:t>
      </w:r>
      <w:r w:rsidR="00FA08A1" w:rsidRPr="00497687">
        <w:rPr>
          <w:rFonts w:asciiTheme="majorHAnsi" w:eastAsia="Calibri" w:hAnsiTheme="majorHAnsi" w:cstheme="majorHAnsi"/>
          <w:b w:val="0"/>
          <w:i w:val="0"/>
          <w:sz w:val="28"/>
          <w:szCs w:val="28"/>
          <w:lang w:val="en-GB"/>
        </w:rPr>
        <w:t>in Ha Noi</w:t>
      </w:r>
      <w:r w:rsidR="00214741" w:rsidRPr="00497687">
        <w:rPr>
          <w:rFonts w:asciiTheme="majorHAnsi" w:eastAsia="Calibri" w:hAnsiTheme="majorHAnsi" w:cstheme="majorHAnsi"/>
          <w:b w:val="0"/>
          <w:i w:val="0"/>
          <w:sz w:val="28"/>
          <w:szCs w:val="28"/>
          <w:lang w:val="en-GB"/>
        </w:rPr>
        <w:t xml:space="preserve"> </w:t>
      </w:r>
      <w:r w:rsidR="00FA08A1" w:rsidRPr="00497687">
        <w:rPr>
          <w:rFonts w:asciiTheme="majorHAnsi" w:eastAsia="Calibri" w:hAnsiTheme="majorHAnsi" w:cstheme="majorHAnsi"/>
          <w:b w:val="0"/>
          <w:i w:val="0"/>
          <w:sz w:val="28"/>
          <w:szCs w:val="28"/>
          <w:lang w:val="en-GB"/>
        </w:rPr>
        <w:t>was</w:t>
      </w:r>
      <w:r w:rsidR="00214741" w:rsidRPr="00497687">
        <w:rPr>
          <w:rFonts w:asciiTheme="majorHAnsi" w:eastAsia="Calibri" w:hAnsiTheme="majorHAnsi" w:cstheme="majorHAnsi"/>
          <w:b w:val="0"/>
          <w:i w:val="0"/>
          <w:sz w:val="28"/>
          <w:szCs w:val="28"/>
          <w:lang w:val="en-GB"/>
        </w:rPr>
        <w:t xml:space="preserve"> 1</w:t>
      </w:r>
      <w:r w:rsidR="00FA08A1" w:rsidRPr="00497687">
        <w:rPr>
          <w:rFonts w:asciiTheme="majorHAnsi" w:eastAsia="Calibri" w:hAnsiTheme="majorHAnsi" w:cstheme="majorHAnsi"/>
          <w:b w:val="0"/>
          <w:i w:val="0"/>
          <w:sz w:val="28"/>
          <w:szCs w:val="28"/>
          <w:lang w:val="en-GB"/>
        </w:rPr>
        <w:t>0</w:t>
      </w:r>
      <w:r w:rsidR="00214741" w:rsidRPr="00497687">
        <w:rPr>
          <w:rFonts w:asciiTheme="majorHAnsi" w:eastAsia="Calibri" w:hAnsiTheme="majorHAnsi" w:cstheme="majorHAnsi"/>
          <w:b w:val="0"/>
          <w:i w:val="0"/>
          <w:sz w:val="28"/>
          <w:szCs w:val="28"/>
          <w:lang w:val="en-GB"/>
        </w:rPr>
        <w:t>.</w:t>
      </w:r>
      <w:r w:rsidR="00FA08A1" w:rsidRPr="00497687">
        <w:rPr>
          <w:rFonts w:asciiTheme="majorHAnsi" w:eastAsia="Calibri" w:hAnsiTheme="majorHAnsi" w:cstheme="majorHAnsi"/>
          <w:b w:val="0"/>
          <w:i w:val="0"/>
          <w:sz w:val="28"/>
          <w:szCs w:val="28"/>
          <w:lang w:val="en-GB"/>
        </w:rPr>
        <w:t>21</w:t>
      </w:r>
      <w:r w:rsidR="00214741" w:rsidRPr="00497687">
        <w:rPr>
          <w:rFonts w:asciiTheme="majorHAnsi" w:eastAsia="Calibri" w:hAnsiTheme="majorHAnsi" w:cstheme="majorHAnsi"/>
          <w:b w:val="0"/>
          <w:i w:val="0"/>
          <w:sz w:val="28"/>
          <w:szCs w:val="28"/>
          <w:lang w:val="en-GB"/>
        </w:rPr>
        <w:t xml:space="preserve"> per</w:t>
      </w:r>
      <w:r w:rsidR="00FA08A1" w:rsidRPr="00497687">
        <w:rPr>
          <w:rFonts w:asciiTheme="majorHAnsi" w:eastAsia="Calibri" w:hAnsiTheme="majorHAnsi" w:cstheme="majorHAnsi"/>
          <w:b w:val="0"/>
          <w:i w:val="0"/>
          <w:sz w:val="28"/>
          <w:szCs w:val="28"/>
          <w:lang w:val="en-GB"/>
        </w:rPr>
        <w:t xml:space="preserve"> </w:t>
      </w:r>
      <w:r w:rsidR="00214741" w:rsidRPr="00497687">
        <w:rPr>
          <w:rFonts w:asciiTheme="majorHAnsi" w:eastAsia="Calibri" w:hAnsiTheme="majorHAnsi" w:cstheme="majorHAnsi"/>
          <w:b w:val="0"/>
          <w:i w:val="0"/>
          <w:sz w:val="28"/>
          <w:szCs w:val="28"/>
          <w:lang w:val="en-GB"/>
        </w:rPr>
        <w:t>cent</w:t>
      </w:r>
      <w:r w:rsidR="00FA08A1" w:rsidRPr="00497687">
        <w:rPr>
          <w:rFonts w:asciiTheme="majorHAnsi" w:eastAsia="Calibri" w:hAnsiTheme="majorHAnsi" w:cstheme="majorHAnsi"/>
          <w:b w:val="0"/>
          <w:i w:val="0"/>
          <w:sz w:val="28"/>
          <w:szCs w:val="28"/>
          <w:lang w:val="en-GB"/>
        </w:rPr>
        <w:t>, up</w:t>
      </w:r>
      <w:r w:rsidR="00214741" w:rsidRPr="00497687">
        <w:rPr>
          <w:rFonts w:asciiTheme="majorHAnsi" w:eastAsia="Calibri" w:hAnsiTheme="majorHAnsi" w:cstheme="majorHAnsi"/>
          <w:b w:val="0"/>
          <w:i w:val="0"/>
          <w:sz w:val="28"/>
          <w:szCs w:val="28"/>
          <w:lang w:val="en-GB"/>
        </w:rPr>
        <w:t xml:space="preserve"> </w:t>
      </w:r>
      <w:r w:rsidR="00B96736" w:rsidRPr="00497687">
        <w:rPr>
          <w:rFonts w:asciiTheme="majorHAnsi" w:eastAsia="Calibri" w:hAnsiTheme="majorHAnsi" w:cstheme="majorHAnsi"/>
          <w:b w:val="0"/>
          <w:i w:val="0"/>
          <w:sz w:val="28"/>
          <w:szCs w:val="28"/>
          <w:lang w:val="en-GB"/>
        </w:rPr>
        <w:t>0.84 percentage points</w:t>
      </w:r>
      <w:r w:rsidR="00214741" w:rsidRPr="00497687">
        <w:rPr>
          <w:rFonts w:asciiTheme="majorHAnsi" w:eastAsia="Calibri" w:hAnsiTheme="majorHAnsi" w:cstheme="majorHAnsi"/>
          <w:b w:val="0"/>
          <w:i w:val="0"/>
          <w:sz w:val="28"/>
          <w:szCs w:val="28"/>
          <w:lang w:val="en-GB"/>
        </w:rPr>
        <w:t>.</w:t>
      </w:r>
    </w:p>
    <w:p w:rsidR="00B96736" w:rsidRPr="00497687" w:rsidRDefault="00B96736" w:rsidP="003427BF">
      <w:pPr>
        <w:spacing w:before="120" w:after="120" w:line="276" w:lineRule="auto"/>
        <w:ind w:firstLine="709"/>
        <w:jc w:val="both"/>
        <w:rPr>
          <w:rFonts w:asciiTheme="majorHAnsi" w:eastAsia="Calibri" w:hAnsiTheme="majorHAnsi" w:cstheme="majorHAnsi"/>
          <w:b w:val="0"/>
          <w:i w:val="0"/>
          <w:iCs/>
          <w:sz w:val="28"/>
          <w:szCs w:val="28"/>
          <w:lang w:val="en-GB"/>
        </w:rPr>
      </w:pPr>
      <w:r w:rsidRPr="00497687">
        <w:rPr>
          <w:rFonts w:asciiTheme="majorHAnsi" w:eastAsia="Calibri" w:hAnsiTheme="majorHAnsi" w:cstheme="majorHAnsi"/>
          <w:b w:val="0"/>
          <w:i w:val="0"/>
          <w:iCs/>
          <w:sz w:val="28"/>
          <w:szCs w:val="28"/>
          <w:lang w:val="en-GB"/>
        </w:rPr>
        <w:t>In the second quarter of 2022, the whole country recorded about 1.5 million young people aged 15-24 not in Education, Employment or Training (accounting for 11.7</w:t>
      </w:r>
      <w:r w:rsidR="001722D5" w:rsidRPr="00497687">
        <w:rPr>
          <w:rFonts w:asciiTheme="majorHAnsi" w:eastAsia="Calibri" w:hAnsiTheme="majorHAnsi" w:cstheme="majorHAnsi"/>
          <w:b w:val="0"/>
          <w:i w:val="0"/>
          <w:iCs/>
          <w:sz w:val="28"/>
          <w:szCs w:val="28"/>
          <w:lang w:val="en-GB"/>
        </w:rPr>
        <w:t xml:space="preserve"> per cent </w:t>
      </w:r>
      <w:r w:rsidRPr="00497687">
        <w:rPr>
          <w:rFonts w:asciiTheme="majorHAnsi" w:eastAsia="Calibri" w:hAnsiTheme="majorHAnsi" w:cstheme="majorHAnsi"/>
          <w:b w:val="0"/>
          <w:i w:val="0"/>
          <w:iCs/>
          <w:sz w:val="28"/>
          <w:szCs w:val="28"/>
          <w:lang w:val="en-GB"/>
        </w:rPr>
        <w:t>of the total young people), a decrease of 190.2 thousand people compared to the previous quarter and a decrease of 508.2 thousand people compared to the same period last year. The NEET was higher in rural areas than in urban areas, 13.3</w:t>
      </w:r>
      <w:r w:rsidR="001722D5" w:rsidRPr="00497687">
        <w:rPr>
          <w:rFonts w:asciiTheme="majorHAnsi" w:eastAsia="Calibri" w:hAnsiTheme="majorHAnsi" w:cstheme="majorHAnsi"/>
          <w:b w:val="0"/>
          <w:i w:val="0"/>
          <w:iCs/>
          <w:sz w:val="28"/>
          <w:szCs w:val="28"/>
          <w:lang w:val="en-GB"/>
        </w:rPr>
        <w:t xml:space="preserve"> per cent </w:t>
      </w:r>
      <w:r w:rsidRPr="00497687">
        <w:rPr>
          <w:rFonts w:asciiTheme="majorHAnsi" w:eastAsia="Calibri" w:hAnsiTheme="majorHAnsi" w:cstheme="majorHAnsi"/>
          <w:b w:val="0"/>
          <w:i w:val="0"/>
          <w:iCs/>
          <w:sz w:val="28"/>
          <w:szCs w:val="28"/>
          <w:lang w:val="en-GB"/>
        </w:rPr>
        <w:t>versus 9.3</w:t>
      </w:r>
      <w:r w:rsidR="003F4455" w:rsidRPr="00497687">
        <w:rPr>
          <w:rFonts w:asciiTheme="majorHAnsi" w:eastAsia="Calibri" w:hAnsiTheme="majorHAnsi" w:cstheme="majorHAnsi"/>
          <w:b w:val="0"/>
          <w:i w:val="0"/>
          <w:iCs/>
          <w:sz w:val="28"/>
          <w:szCs w:val="28"/>
          <w:lang w:val="en-GB"/>
        </w:rPr>
        <w:t xml:space="preserve"> per cent,</w:t>
      </w:r>
      <w:r w:rsidRPr="00497687">
        <w:rPr>
          <w:rFonts w:asciiTheme="majorHAnsi" w:eastAsia="Calibri" w:hAnsiTheme="majorHAnsi" w:cstheme="majorHAnsi"/>
          <w:b w:val="0"/>
          <w:i w:val="0"/>
          <w:iCs/>
          <w:sz w:val="28"/>
          <w:szCs w:val="28"/>
          <w:lang w:val="en-GB"/>
        </w:rPr>
        <w:t xml:space="preserve"> and higher among young women than young men, 13.8</w:t>
      </w:r>
      <w:r w:rsidR="001722D5" w:rsidRPr="00497687">
        <w:rPr>
          <w:rFonts w:asciiTheme="majorHAnsi" w:eastAsia="Calibri" w:hAnsiTheme="majorHAnsi" w:cstheme="majorHAnsi"/>
          <w:b w:val="0"/>
          <w:i w:val="0"/>
          <w:iCs/>
          <w:sz w:val="28"/>
          <w:szCs w:val="28"/>
          <w:lang w:val="en-GB"/>
        </w:rPr>
        <w:t xml:space="preserve"> per cent </w:t>
      </w:r>
      <w:r w:rsidRPr="00497687">
        <w:rPr>
          <w:rFonts w:asciiTheme="majorHAnsi" w:eastAsia="Calibri" w:hAnsiTheme="majorHAnsi" w:cstheme="majorHAnsi"/>
          <w:b w:val="0"/>
          <w:i w:val="0"/>
          <w:iCs/>
          <w:sz w:val="28"/>
          <w:szCs w:val="28"/>
          <w:lang w:val="en-GB"/>
        </w:rPr>
        <w:t>versus 9.</w:t>
      </w:r>
      <w:r w:rsidR="00B275A0" w:rsidRPr="00497687">
        <w:rPr>
          <w:rFonts w:asciiTheme="majorHAnsi" w:eastAsia="Calibri" w:hAnsiTheme="majorHAnsi" w:cstheme="majorHAnsi"/>
          <w:b w:val="0"/>
          <w:i w:val="0"/>
          <w:iCs/>
          <w:sz w:val="28"/>
          <w:szCs w:val="28"/>
          <w:lang w:val="en-GB"/>
        </w:rPr>
        <w:t>8</w:t>
      </w:r>
      <w:r w:rsidR="003F4455" w:rsidRPr="00497687">
        <w:rPr>
          <w:rFonts w:asciiTheme="majorHAnsi" w:eastAsia="Calibri" w:hAnsiTheme="majorHAnsi" w:cstheme="majorHAnsi"/>
          <w:b w:val="0"/>
          <w:i w:val="0"/>
          <w:iCs/>
          <w:sz w:val="28"/>
          <w:szCs w:val="28"/>
          <w:lang w:val="en-GB"/>
        </w:rPr>
        <w:t xml:space="preserve"> per cent.</w:t>
      </w:r>
      <w:r w:rsidR="00B275A0" w:rsidRPr="00497687">
        <w:rPr>
          <w:rFonts w:asciiTheme="majorHAnsi" w:eastAsia="Calibri" w:hAnsiTheme="majorHAnsi" w:cstheme="majorHAnsi"/>
          <w:b w:val="0"/>
          <w:i w:val="0"/>
          <w:iCs/>
          <w:sz w:val="28"/>
          <w:szCs w:val="28"/>
          <w:lang w:val="en-GB"/>
        </w:rPr>
        <w:t xml:space="preserve"> Compared to the previous quarter, this rate decreased in both urban and rural areas as well as among male and female workers (0.78 percentage points; 2.0 percentage points; 1.74 percentage points; 1.27 percentage points, respectively).</w:t>
      </w:r>
    </w:p>
    <w:p w:rsidR="00470FE4" w:rsidRDefault="00B96736" w:rsidP="003427BF">
      <w:pPr>
        <w:spacing w:line="276" w:lineRule="auto"/>
        <w:ind w:firstLine="709"/>
        <w:jc w:val="center"/>
        <w:rPr>
          <w:rFonts w:asciiTheme="majorHAnsi" w:eastAsia="Calibri" w:hAnsiTheme="majorHAnsi" w:cstheme="majorHAnsi"/>
          <w:bCs/>
          <w:i w:val="0"/>
          <w:iCs/>
          <w:sz w:val="28"/>
          <w:szCs w:val="28"/>
          <w:lang w:val="en-GB"/>
        </w:rPr>
      </w:pPr>
      <w:r w:rsidRPr="00497687">
        <w:rPr>
          <w:rFonts w:asciiTheme="majorHAnsi" w:eastAsia="Calibri" w:hAnsiTheme="majorHAnsi" w:cstheme="majorHAnsi"/>
          <w:bCs/>
          <w:i w:val="0"/>
          <w:iCs/>
          <w:sz w:val="28"/>
          <w:szCs w:val="28"/>
          <w:lang w:val="en-GB"/>
        </w:rPr>
        <w:t>Figure 1</w:t>
      </w:r>
      <w:r w:rsidR="00902D52" w:rsidRPr="00497687">
        <w:rPr>
          <w:rFonts w:asciiTheme="majorHAnsi" w:eastAsia="Calibri" w:hAnsiTheme="majorHAnsi" w:cstheme="majorHAnsi"/>
          <w:bCs/>
          <w:i w:val="0"/>
          <w:iCs/>
          <w:sz w:val="28"/>
          <w:szCs w:val="28"/>
          <w:lang w:val="en-GB"/>
        </w:rPr>
        <w:t>1</w:t>
      </w:r>
      <w:r w:rsidRPr="00497687">
        <w:rPr>
          <w:rFonts w:asciiTheme="majorHAnsi" w:eastAsia="Calibri" w:hAnsiTheme="majorHAnsi" w:cstheme="majorHAnsi"/>
          <w:bCs/>
          <w:i w:val="0"/>
          <w:iCs/>
          <w:sz w:val="28"/>
          <w:szCs w:val="28"/>
          <w:lang w:val="en-GB"/>
        </w:rPr>
        <w:t xml:space="preserve">: Youth not in Education, Employment or Training </w:t>
      </w:r>
    </w:p>
    <w:p w:rsidR="00B96736" w:rsidRPr="00497687" w:rsidRDefault="00B96736" w:rsidP="003427BF">
      <w:pPr>
        <w:spacing w:line="276" w:lineRule="auto"/>
        <w:ind w:firstLine="709"/>
        <w:jc w:val="center"/>
        <w:rPr>
          <w:rFonts w:asciiTheme="majorHAnsi" w:eastAsia="Calibri" w:hAnsiTheme="majorHAnsi" w:cstheme="majorHAnsi"/>
          <w:bCs/>
          <w:i w:val="0"/>
          <w:iCs/>
          <w:sz w:val="28"/>
          <w:szCs w:val="28"/>
          <w:lang w:val="en-GB"/>
        </w:rPr>
      </w:pPr>
      <w:r w:rsidRPr="00497687">
        <w:rPr>
          <w:rFonts w:asciiTheme="majorHAnsi" w:eastAsia="Calibri" w:hAnsiTheme="majorHAnsi" w:cstheme="majorHAnsi"/>
          <w:bCs/>
          <w:i w:val="0"/>
          <w:iCs/>
          <w:sz w:val="28"/>
          <w:szCs w:val="28"/>
          <w:lang w:val="en-GB"/>
        </w:rPr>
        <w:t>by quarter, 2021-2022</w:t>
      </w:r>
    </w:p>
    <w:p w:rsidR="00B96736" w:rsidRPr="00497687" w:rsidRDefault="00B96736" w:rsidP="003427BF">
      <w:pPr>
        <w:spacing w:line="276" w:lineRule="auto"/>
        <w:ind w:firstLine="709"/>
        <w:jc w:val="right"/>
        <w:rPr>
          <w:rFonts w:asciiTheme="majorHAnsi" w:eastAsia="Calibri" w:hAnsiTheme="majorHAnsi" w:cstheme="majorHAnsi"/>
          <w:b w:val="0"/>
          <w:i w:val="0"/>
          <w:iCs/>
          <w:sz w:val="28"/>
          <w:szCs w:val="28"/>
          <w:lang w:val="en-GB"/>
        </w:rPr>
      </w:pPr>
      <w:r w:rsidRPr="00497687">
        <w:rPr>
          <w:rFonts w:asciiTheme="majorHAnsi" w:eastAsia="Calibri" w:hAnsiTheme="majorHAnsi" w:cstheme="majorHAnsi"/>
          <w:b w:val="0"/>
          <w:bCs/>
          <w:iCs/>
          <w:sz w:val="28"/>
          <w:szCs w:val="28"/>
          <w:lang w:val="en-GB"/>
        </w:rPr>
        <w:t xml:space="preserve">Unit: </w:t>
      </w:r>
      <w:r w:rsidR="003F4455" w:rsidRPr="00497687">
        <w:rPr>
          <w:rFonts w:asciiTheme="majorHAnsi" w:eastAsia="Calibri" w:hAnsiTheme="majorHAnsi" w:cstheme="majorHAnsi"/>
          <w:b w:val="0"/>
          <w:bCs/>
          <w:iCs/>
          <w:sz w:val="28"/>
          <w:szCs w:val="28"/>
          <w:lang w:val="en-GB"/>
        </w:rPr>
        <w:t>Per cent</w:t>
      </w:r>
    </w:p>
    <w:p w:rsidR="00902D52" w:rsidRPr="00497687" w:rsidRDefault="00902D52" w:rsidP="003427BF">
      <w:pPr>
        <w:spacing w:before="60" w:line="276" w:lineRule="auto"/>
        <w:ind w:firstLine="709"/>
        <w:jc w:val="both"/>
        <w:rPr>
          <w:rFonts w:asciiTheme="majorHAnsi" w:eastAsia="Calibri" w:hAnsiTheme="majorHAnsi" w:cstheme="majorHAnsi"/>
          <w:b w:val="0"/>
          <w:i w:val="0"/>
          <w:iCs/>
          <w:sz w:val="28"/>
          <w:szCs w:val="28"/>
          <w:lang w:val="en-GB"/>
        </w:rPr>
      </w:pPr>
      <w:r w:rsidRPr="00497687">
        <w:rPr>
          <w:rFonts w:asciiTheme="majorHAnsi" w:hAnsiTheme="majorHAnsi" w:cstheme="majorHAnsi"/>
          <w:noProof/>
          <w:sz w:val="28"/>
          <w:szCs w:val="28"/>
        </w:rPr>
        <w:drawing>
          <wp:inline distT="0" distB="0" distL="0" distR="0">
            <wp:extent cx="4754880" cy="2209800"/>
            <wp:effectExtent l="0" t="0" r="7620" b="0"/>
            <wp:docPr id="4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B96736" w:rsidRPr="00497687" w:rsidRDefault="001C10C2" w:rsidP="003427BF">
      <w:pPr>
        <w:spacing w:before="120" w:after="120" w:line="276" w:lineRule="auto"/>
        <w:ind w:firstLine="709"/>
        <w:jc w:val="both"/>
        <w:rPr>
          <w:rFonts w:asciiTheme="majorHAnsi" w:eastAsia="Calibri" w:hAnsiTheme="majorHAnsi" w:cstheme="majorHAnsi"/>
          <w:b w:val="0"/>
          <w:i w:val="0"/>
          <w:iCs/>
          <w:spacing w:val="-6"/>
          <w:sz w:val="28"/>
          <w:szCs w:val="28"/>
          <w:lang w:val="en-GB"/>
        </w:rPr>
      </w:pPr>
      <w:r w:rsidRPr="00497687">
        <w:rPr>
          <w:rFonts w:asciiTheme="majorHAnsi" w:eastAsia="Calibri" w:hAnsiTheme="majorHAnsi" w:cstheme="majorHAnsi"/>
          <w:b w:val="0"/>
          <w:i w:val="0"/>
          <w:iCs/>
          <w:sz w:val="28"/>
          <w:szCs w:val="28"/>
          <w:lang w:val="en-GB"/>
        </w:rPr>
        <w:t>Comparing among six socio-economic regions, Mekong River Delta recorded the highest NEET with 17.4</w:t>
      </w:r>
      <w:r w:rsidR="003F4455" w:rsidRPr="00497687">
        <w:rPr>
          <w:rFonts w:asciiTheme="majorHAnsi" w:eastAsia="Calibri" w:hAnsiTheme="majorHAnsi" w:cstheme="majorHAnsi"/>
          <w:b w:val="0"/>
          <w:i w:val="0"/>
          <w:iCs/>
          <w:sz w:val="28"/>
          <w:szCs w:val="28"/>
          <w:lang w:val="en-GB"/>
        </w:rPr>
        <w:t xml:space="preserve"> per cent,</w:t>
      </w:r>
      <w:r w:rsidR="002B0671" w:rsidRPr="00497687">
        <w:rPr>
          <w:rFonts w:asciiTheme="majorHAnsi" w:eastAsia="Calibri" w:hAnsiTheme="majorHAnsi" w:cstheme="majorHAnsi"/>
          <w:b w:val="0"/>
          <w:i w:val="0"/>
          <w:iCs/>
          <w:sz w:val="28"/>
          <w:szCs w:val="28"/>
          <w:lang w:val="en-GB"/>
        </w:rPr>
        <w:t xml:space="preserve"> down 1.7 percentage points relative to the previous quarter,</w:t>
      </w:r>
      <w:r w:rsidRPr="00497687">
        <w:rPr>
          <w:rFonts w:asciiTheme="majorHAnsi" w:eastAsia="Calibri" w:hAnsiTheme="majorHAnsi" w:cstheme="majorHAnsi"/>
          <w:b w:val="0"/>
          <w:i w:val="0"/>
          <w:iCs/>
          <w:sz w:val="28"/>
          <w:szCs w:val="28"/>
          <w:lang w:val="en-GB"/>
        </w:rPr>
        <w:t xml:space="preserve"> followed by</w:t>
      </w:r>
      <w:r w:rsidR="002B0671" w:rsidRPr="00497687">
        <w:rPr>
          <w:rFonts w:asciiTheme="majorHAnsi" w:eastAsia="Calibri" w:hAnsiTheme="majorHAnsi" w:cstheme="majorHAnsi"/>
          <w:b w:val="0"/>
          <w:i w:val="0"/>
          <w:iCs/>
          <w:sz w:val="28"/>
          <w:szCs w:val="28"/>
          <w:lang w:val="en-GB"/>
        </w:rPr>
        <w:t xml:space="preserve"> North Midlands and Mountains </w:t>
      </w:r>
      <w:r w:rsidRPr="00497687">
        <w:rPr>
          <w:rFonts w:asciiTheme="majorHAnsi" w:eastAsia="Calibri" w:hAnsiTheme="majorHAnsi" w:cstheme="majorHAnsi"/>
          <w:b w:val="0"/>
          <w:i w:val="0"/>
          <w:iCs/>
          <w:sz w:val="28"/>
          <w:szCs w:val="28"/>
          <w:lang w:val="en-GB"/>
        </w:rPr>
        <w:t>with 1</w:t>
      </w:r>
      <w:r w:rsidR="002B0671" w:rsidRPr="00497687">
        <w:rPr>
          <w:rFonts w:asciiTheme="majorHAnsi" w:eastAsia="Calibri" w:hAnsiTheme="majorHAnsi" w:cstheme="majorHAnsi"/>
          <w:b w:val="0"/>
          <w:i w:val="0"/>
          <w:iCs/>
          <w:sz w:val="28"/>
          <w:szCs w:val="28"/>
          <w:lang w:val="en-GB"/>
        </w:rPr>
        <w:t>6</w:t>
      </w:r>
      <w:r w:rsidRPr="00497687">
        <w:rPr>
          <w:rFonts w:asciiTheme="majorHAnsi" w:eastAsia="Calibri" w:hAnsiTheme="majorHAnsi" w:cstheme="majorHAnsi"/>
          <w:b w:val="0"/>
          <w:i w:val="0"/>
          <w:iCs/>
          <w:sz w:val="28"/>
          <w:szCs w:val="28"/>
          <w:lang w:val="en-GB"/>
        </w:rPr>
        <w:t>.</w:t>
      </w:r>
      <w:r w:rsidR="002B0671" w:rsidRPr="00497687">
        <w:rPr>
          <w:rFonts w:asciiTheme="majorHAnsi" w:eastAsia="Calibri" w:hAnsiTheme="majorHAnsi" w:cstheme="majorHAnsi"/>
          <w:b w:val="0"/>
          <w:i w:val="0"/>
          <w:iCs/>
          <w:sz w:val="28"/>
          <w:szCs w:val="28"/>
          <w:lang w:val="en-GB"/>
        </w:rPr>
        <w:t>1</w:t>
      </w:r>
      <w:r w:rsidR="003F4455" w:rsidRPr="00497687">
        <w:rPr>
          <w:rFonts w:asciiTheme="majorHAnsi" w:eastAsia="Calibri" w:hAnsiTheme="majorHAnsi" w:cstheme="majorHAnsi"/>
          <w:b w:val="0"/>
          <w:i w:val="0"/>
          <w:iCs/>
          <w:sz w:val="28"/>
          <w:szCs w:val="28"/>
          <w:lang w:val="en-GB"/>
        </w:rPr>
        <w:t xml:space="preserve"> per cent,</w:t>
      </w:r>
      <w:r w:rsidRPr="00497687">
        <w:rPr>
          <w:rFonts w:asciiTheme="majorHAnsi" w:eastAsia="Calibri" w:hAnsiTheme="majorHAnsi" w:cstheme="majorHAnsi"/>
          <w:b w:val="0"/>
          <w:i w:val="0"/>
          <w:iCs/>
          <w:sz w:val="28"/>
          <w:szCs w:val="28"/>
          <w:lang w:val="en-GB"/>
        </w:rPr>
        <w:t xml:space="preserve"> down </w:t>
      </w:r>
      <w:r w:rsidR="002B0671" w:rsidRPr="00497687">
        <w:rPr>
          <w:rFonts w:asciiTheme="majorHAnsi" w:eastAsia="Calibri" w:hAnsiTheme="majorHAnsi" w:cstheme="majorHAnsi"/>
          <w:b w:val="0"/>
          <w:i w:val="0"/>
          <w:iCs/>
          <w:sz w:val="28"/>
          <w:szCs w:val="28"/>
          <w:lang w:val="en-GB"/>
        </w:rPr>
        <w:t xml:space="preserve">4.3 </w:t>
      </w:r>
      <w:r w:rsidRPr="00497687">
        <w:rPr>
          <w:rFonts w:asciiTheme="majorHAnsi" w:eastAsia="Calibri" w:hAnsiTheme="majorHAnsi" w:cstheme="majorHAnsi"/>
          <w:b w:val="0"/>
          <w:i w:val="0"/>
          <w:iCs/>
          <w:sz w:val="28"/>
          <w:szCs w:val="28"/>
          <w:lang w:val="en-GB"/>
        </w:rPr>
        <w:t>percentage points. The NEET in Ho Chi Minh City in the second quarter of 2022 was 7.7</w:t>
      </w:r>
      <w:r w:rsidR="003F4455" w:rsidRPr="00497687">
        <w:rPr>
          <w:rFonts w:asciiTheme="majorHAnsi" w:eastAsia="Calibri" w:hAnsiTheme="majorHAnsi" w:cstheme="majorHAnsi"/>
          <w:b w:val="0"/>
          <w:i w:val="0"/>
          <w:iCs/>
          <w:sz w:val="28"/>
          <w:szCs w:val="28"/>
          <w:lang w:val="en-GB"/>
        </w:rPr>
        <w:t xml:space="preserve"> per cent,</w:t>
      </w:r>
      <w:r w:rsidRPr="00497687">
        <w:rPr>
          <w:rFonts w:asciiTheme="majorHAnsi" w:eastAsia="Calibri" w:hAnsiTheme="majorHAnsi" w:cstheme="majorHAnsi"/>
          <w:b w:val="0"/>
          <w:i w:val="0"/>
          <w:iCs/>
          <w:sz w:val="28"/>
          <w:szCs w:val="28"/>
          <w:lang w:val="en-GB"/>
        </w:rPr>
        <w:t xml:space="preserve"> higher than in Ha Noi (6.5</w:t>
      </w:r>
      <w:r w:rsidR="003F4455" w:rsidRPr="00497687">
        <w:rPr>
          <w:rFonts w:asciiTheme="majorHAnsi" w:eastAsia="Calibri" w:hAnsiTheme="majorHAnsi" w:cstheme="majorHAnsi"/>
          <w:b w:val="0"/>
          <w:i w:val="0"/>
          <w:iCs/>
          <w:sz w:val="28"/>
          <w:szCs w:val="28"/>
          <w:lang w:val="en-GB"/>
        </w:rPr>
        <w:t xml:space="preserve"> per cent)</w:t>
      </w:r>
      <w:r w:rsidR="002B0671" w:rsidRPr="00497687">
        <w:rPr>
          <w:rFonts w:asciiTheme="majorHAnsi" w:eastAsia="Calibri" w:hAnsiTheme="majorHAnsi" w:cstheme="majorHAnsi"/>
          <w:b w:val="0"/>
          <w:i w:val="0"/>
          <w:iCs/>
          <w:sz w:val="28"/>
          <w:szCs w:val="28"/>
          <w:lang w:val="en-GB"/>
        </w:rPr>
        <w:t>; c</w:t>
      </w:r>
      <w:r w:rsidRPr="00497687">
        <w:rPr>
          <w:rFonts w:asciiTheme="majorHAnsi" w:eastAsia="Calibri" w:hAnsiTheme="majorHAnsi" w:cstheme="majorHAnsi"/>
          <w:b w:val="0"/>
          <w:i w:val="0"/>
          <w:iCs/>
          <w:sz w:val="28"/>
          <w:szCs w:val="28"/>
          <w:lang w:val="en-GB"/>
        </w:rPr>
        <w:t>ompared to the previous quarter, this rate in Ho Chi Minh City and Ha Noi both decreased, by 1.4 percentage points and 0.7 percentage points, respectively.</w:t>
      </w:r>
    </w:p>
    <w:p w:rsidR="00B96736" w:rsidRPr="00497687" w:rsidRDefault="002B0671" w:rsidP="003427BF">
      <w:pPr>
        <w:spacing w:before="60" w:line="276" w:lineRule="auto"/>
        <w:ind w:firstLine="709"/>
        <w:jc w:val="both"/>
        <w:rPr>
          <w:rFonts w:asciiTheme="majorHAnsi" w:eastAsia="Calibri" w:hAnsiTheme="majorHAnsi" w:cstheme="majorHAnsi"/>
          <w:sz w:val="28"/>
          <w:szCs w:val="28"/>
          <w:lang w:val="en-GB"/>
        </w:rPr>
      </w:pPr>
      <w:r w:rsidRPr="00497687">
        <w:rPr>
          <w:rFonts w:asciiTheme="majorHAnsi" w:eastAsia="Calibri" w:hAnsiTheme="majorHAnsi" w:cstheme="majorHAnsi"/>
          <w:sz w:val="28"/>
          <w:szCs w:val="28"/>
          <w:lang w:val="en-GB"/>
        </w:rPr>
        <w:t>The labour underutilization rate and subsistence workers rate in the agricultural sector continued to decline, reaching the lowest level since the outbreak of the Covid-19 pandemic in Viet Nam.</w:t>
      </w:r>
    </w:p>
    <w:p w:rsidR="00B96736" w:rsidRPr="00497687" w:rsidRDefault="002E0075" w:rsidP="003427BF">
      <w:pPr>
        <w:spacing w:before="120" w:after="120" w:line="276" w:lineRule="auto"/>
        <w:ind w:firstLine="709"/>
        <w:jc w:val="both"/>
        <w:rPr>
          <w:rFonts w:asciiTheme="majorHAnsi" w:eastAsia="Calibri" w:hAnsiTheme="majorHAnsi" w:cstheme="majorHAnsi"/>
          <w:b w:val="0"/>
          <w:i w:val="0"/>
          <w:iCs/>
          <w:sz w:val="28"/>
          <w:szCs w:val="28"/>
          <w:lang w:val="en-GB"/>
        </w:rPr>
      </w:pPr>
      <w:r w:rsidRPr="00497687">
        <w:rPr>
          <w:rFonts w:asciiTheme="majorHAnsi" w:eastAsia="Calibri" w:hAnsiTheme="majorHAnsi" w:cstheme="majorHAnsi"/>
          <w:b w:val="0"/>
          <w:i w:val="0"/>
          <w:iCs/>
          <w:sz w:val="28"/>
          <w:szCs w:val="28"/>
          <w:lang w:val="en-GB"/>
        </w:rPr>
        <w:t>Labour underutilization</w:t>
      </w:r>
      <w:r w:rsidRPr="00497687">
        <w:rPr>
          <w:rFonts w:asciiTheme="majorHAnsi" w:eastAsia="Calibri" w:hAnsiTheme="majorHAnsi" w:cstheme="majorHAnsi"/>
          <w:b w:val="0"/>
          <w:i w:val="0"/>
          <w:iCs/>
          <w:sz w:val="28"/>
          <w:szCs w:val="28"/>
          <w:vertAlign w:val="superscript"/>
          <w:lang w:val="en-GB"/>
        </w:rPr>
        <w:footnoteReference w:id="7"/>
      </w:r>
      <w:r w:rsidRPr="00497687">
        <w:rPr>
          <w:rFonts w:asciiTheme="majorHAnsi" w:eastAsia="Calibri" w:hAnsiTheme="majorHAnsi" w:cstheme="majorHAnsi"/>
          <w:b w:val="0"/>
          <w:i w:val="0"/>
          <w:iCs/>
          <w:sz w:val="28"/>
          <w:szCs w:val="28"/>
          <w:lang w:val="en-GB"/>
        </w:rPr>
        <w:t xml:space="preserve"> rate is an aggregate indicator that indicates the </w:t>
      </w:r>
      <w:r w:rsidR="00F622A3">
        <w:rPr>
          <w:rFonts w:asciiTheme="majorHAnsi" w:eastAsia="Calibri" w:hAnsiTheme="majorHAnsi" w:cstheme="majorHAnsi"/>
          <w:b w:val="0"/>
          <w:i w:val="0"/>
          <w:iCs/>
          <w:sz w:val="28"/>
          <w:szCs w:val="28"/>
          <w:lang w:val="en-GB"/>
        </w:rPr>
        <w:t>“</w:t>
      </w:r>
      <w:r w:rsidRPr="00497687">
        <w:rPr>
          <w:rFonts w:asciiTheme="majorHAnsi" w:eastAsia="Calibri" w:hAnsiTheme="majorHAnsi" w:cstheme="majorHAnsi"/>
          <w:b w:val="0"/>
          <w:i w:val="0"/>
          <w:iCs/>
          <w:sz w:val="28"/>
          <w:szCs w:val="28"/>
          <w:lang w:val="en-GB"/>
        </w:rPr>
        <w:t>mismatch</w:t>
      </w:r>
      <w:r w:rsidR="00F622A3">
        <w:rPr>
          <w:rFonts w:asciiTheme="majorHAnsi" w:eastAsia="Calibri" w:hAnsiTheme="majorHAnsi" w:cstheme="majorHAnsi"/>
          <w:b w:val="0"/>
          <w:i w:val="0"/>
          <w:iCs/>
          <w:sz w:val="28"/>
          <w:szCs w:val="28"/>
          <w:lang w:val="en-GB"/>
        </w:rPr>
        <w:t>”</w:t>
      </w:r>
      <w:r w:rsidRPr="00497687">
        <w:rPr>
          <w:rFonts w:asciiTheme="majorHAnsi" w:eastAsia="Calibri" w:hAnsiTheme="majorHAnsi" w:cstheme="majorHAnsi"/>
          <w:b w:val="0"/>
          <w:i w:val="0"/>
          <w:iCs/>
          <w:sz w:val="28"/>
          <w:szCs w:val="28"/>
          <w:lang w:val="en-GB"/>
        </w:rPr>
        <w:t xml:space="preserve"> between the supply and demand of labour in the market, reflecting the redundancy in labour supply. In the context of normal economic development, the rate of labour underutilization always exists. This rate often rises when the market suffers from socio-economic shocks.</w:t>
      </w:r>
    </w:p>
    <w:p w:rsidR="00B96736" w:rsidRPr="00497687" w:rsidRDefault="00B81C3E" w:rsidP="003427BF">
      <w:pPr>
        <w:spacing w:before="120" w:after="120" w:line="276" w:lineRule="auto"/>
        <w:ind w:firstLine="709"/>
        <w:jc w:val="both"/>
        <w:rPr>
          <w:rFonts w:asciiTheme="majorHAnsi" w:eastAsia="Calibri" w:hAnsiTheme="majorHAnsi" w:cstheme="majorHAnsi"/>
          <w:b w:val="0"/>
          <w:i w:val="0"/>
          <w:iCs/>
          <w:sz w:val="28"/>
          <w:szCs w:val="28"/>
          <w:lang w:val="en-GB"/>
        </w:rPr>
      </w:pPr>
      <w:r w:rsidRPr="00497687">
        <w:rPr>
          <w:rFonts w:asciiTheme="majorHAnsi" w:eastAsia="Calibri" w:hAnsiTheme="majorHAnsi" w:cstheme="majorHAnsi"/>
          <w:b w:val="0"/>
          <w:i w:val="0"/>
          <w:iCs/>
          <w:sz w:val="28"/>
          <w:szCs w:val="28"/>
          <w:lang w:val="en-GB"/>
        </w:rPr>
        <w:t>In previous years, the labour underutilization rate in Viet Nam often hovered around 4</w:t>
      </w:r>
      <w:r w:rsidR="003F4455" w:rsidRPr="00497687">
        <w:rPr>
          <w:rFonts w:asciiTheme="majorHAnsi" w:eastAsia="Calibri" w:hAnsiTheme="majorHAnsi" w:cstheme="majorHAnsi"/>
          <w:b w:val="0"/>
          <w:i w:val="0"/>
          <w:iCs/>
          <w:sz w:val="28"/>
          <w:szCs w:val="28"/>
          <w:lang w:val="en-GB"/>
        </w:rPr>
        <w:t xml:space="preserve"> per cent.</w:t>
      </w:r>
      <w:r w:rsidRPr="00497687">
        <w:rPr>
          <w:rFonts w:asciiTheme="majorHAnsi" w:eastAsia="Calibri" w:hAnsiTheme="majorHAnsi" w:cstheme="majorHAnsi"/>
          <w:b w:val="0"/>
          <w:i w:val="0"/>
          <w:iCs/>
          <w:sz w:val="28"/>
          <w:szCs w:val="28"/>
          <w:lang w:val="en-GB"/>
        </w:rPr>
        <w:t xml:space="preserve"> From the first quarter of 2020 to the third quarter of 2021, this rate increased very rapidly and reached a record high of 10.4</w:t>
      </w:r>
      <w:r w:rsidR="001722D5" w:rsidRPr="00497687">
        <w:rPr>
          <w:rFonts w:asciiTheme="majorHAnsi" w:eastAsia="Calibri" w:hAnsiTheme="majorHAnsi" w:cstheme="majorHAnsi"/>
          <w:b w:val="0"/>
          <w:i w:val="0"/>
          <w:iCs/>
          <w:sz w:val="28"/>
          <w:szCs w:val="28"/>
          <w:lang w:val="en-GB"/>
        </w:rPr>
        <w:t xml:space="preserve"> per cent </w:t>
      </w:r>
      <w:r w:rsidRPr="00497687">
        <w:rPr>
          <w:rFonts w:asciiTheme="majorHAnsi" w:eastAsia="Calibri" w:hAnsiTheme="majorHAnsi" w:cstheme="majorHAnsi"/>
          <w:b w:val="0"/>
          <w:i w:val="0"/>
          <w:iCs/>
          <w:sz w:val="28"/>
          <w:szCs w:val="28"/>
          <w:lang w:val="en-GB"/>
        </w:rPr>
        <w:t>in the third quarter of 2021. As socio-economic activities resumed almost fully, the labour underutilization rate decreased rapidly from 10.4</w:t>
      </w:r>
      <w:r w:rsidR="001722D5" w:rsidRPr="00497687">
        <w:rPr>
          <w:rFonts w:asciiTheme="majorHAnsi" w:eastAsia="Calibri" w:hAnsiTheme="majorHAnsi" w:cstheme="majorHAnsi"/>
          <w:b w:val="0"/>
          <w:i w:val="0"/>
          <w:iCs/>
          <w:sz w:val="28"/>
          <w:szCs w:val="28"/>
          <w:lang w:val="en-GB"/>
        </w:rPr>
        <w:t xml:space="preserve"> per cent </w:t>
      </w:r>
      <w:r w:rsidRPr="00497687">
        <w:rPr>
          <w:rFonts w:asciiTheme="majorHAnsi" w:eastAsia="Calibri" w:hAnsiTheme="majorHAnsi" w:cstheme="majorHAnsi"/>
          <w:b w:val="0"/>
          <w:i w:val="0"/>
          <w:iCs/>
          <w:sz w:val="28"/>
          <w:szCs w:val="28"/>
          <w:lang w:val="en-GB"/>
        </w:rPr>
        <w:t xml:space="preserve">to </w:t>
      </w:r>
      <w:r w:rsidR="003F3BCA" w:rsidRPr="00497687">
        <w:rPr>
          <w:rFonts w:asciiTheme="majorHAnsi" w:eastAsia="Calibri" w:hAnsiTheme="majorHAnsi" w:cstheme="majorHAnsi"/>
          <w:b w:val="0"/>
          <w:i w:val="0"/>
          <w:iCs/>
          <w:sz w:val="28"/>
          <w:szCs w:val="28"/>
          <w:lang w:val="en-GB"/>
        </w:rPr>
        <w:t>6.1</w:t>
      </w:r>
      <w:r w:rsidR="001722D5" w:rsidRPr="00497687">
        <w:rPr>
          <w:rFonts w:asciiTheme="majorHAnsi" w:eastAsia="Calibri" w:hAnsiTheme="majorHAnsi" w:cstheme="majorHAnsi"/>
          <w:b w:val="0"/>
          <w:i w:val="0"/>
          <w:iCs/>
          <w:sz w:val="28"/>
          <w:szCs w:val="28"/>
          <w:lang w:val="en-GB"/>
        </w:rPr>
        <w:t xml:space="preserve"> per cent </w:t>
      </w:r>
      <w:r w:rsidRPr="00497687">
        <w:rPr>
          <w:rFonts w:asciiTheme="majorHAnsi" w:eastAsia="Calibri" w:hAnsiTheme="majorHAnsi" w:cstheme="majorHAnsi"/>
          <w:b w:val="0"/>
          <w:i w:val="0"/>
          <w:iCs/>
          <w:sz w:val="28"/>
          <w:szCs w:val="28"/>
          <w:lang w:val="en-GB"/>
        </w:rPr>
        <w:t xml:space="preserve">in the </w:t>
      </w:r>
      <w:r w:rsidR="00AA3797" w:rsidRPr="00497687">
        <w:rPr>
          <w:rFonts w:asciiTheme="majorHAnsi" w:eastAsia="Calibri" w:hAnsiTheme="majorHAnsi" w:cstheme="majorHAnsi"/>
          <w:b w:val="0"/>
          <w:i w:val="0"/>
          <w:iCs/>
          <w:sz w:val="28"/>
          <w:szCs w:val="28"/>
          <w:lang w:val="en-GB"/>
        </w:rPr>
        <w:t>first</w:t>
      </w:r>
      <w:r w:rsidRPr="00497687">
        <w:rPr>
          <w:rFonts w:asciiTheme="majorHAnsi" w:eastAsia="Calibri" w:hAnsiTheme="majorHAnsi" w:cstheme="majorHAnsi"/>
          <w:b w:val="0"/>
          <w:i w:val="0"/>
          <w:iCs/>
          <w:sz w:val="28"/>
          <w:szCs w:val="28"/>
          <w:lang w:val="en-GB"/>
        </w:rPr>
        <w:t xml:space="preserve"> quarter of 202</w:t>
      </w:r>
      <w:r w:rsidR="00AA3797" w:rsidRPr="00497687">
        <w:rPr>
          <w:rFonts w:asciiTheme="majorHAnsi" w:eastAsia="Calibri" w:hAnsiTheme="majorHAnsi" w:cstheme="majorHAnsi"/>
          <w:b w:val="0"/>
          <w:i w:val="0"/>
          <w:iCs/>
          <w:sz w:val="28"/>
          <w:szCs w:val="28"/>
          <w:lang w:val="en-GB"/>
        </w:rPr>
        <w:t>2</w:t>
      </w:r>
      <w:r w:rsidRPr="00497687">
        <w:rPr>
          <w:rFonts w:asciiTheme="majorHAnsi" w:eastAsia="Calibri" w:hAnsiTheme="majorHAnsi" w:cstheme="majorHAnsi"/>
          <w:b w:val="0"/>
          <w:i w:val="0"/>
          <w:iCs/>
          <w:sz w:val="28"/>
          <w:szCs w:val="28"/>
          <w:lang w:val="en-GB"/>
        </w:rPr>
        <w:t xml:space="preserve"> and further decreased to </w:t>
      </w:r>
      <w:r w:rsidR="00AA3797" w:rsidRPr="00497687">
        <w:rPr>
          <w:rFonts w:asciiTheme="majorHAnsi" w:eastAsia="Calibri" w:hAnsiTheme="majorHAnsi" w:cstheme="majorHAnsi"/>
          <w:b w:val="0"/>
          <w:i w:val="0"/>
          <w:iCs/>
          <w:sz w:val="28"/>
          <w:szCs w:val="28"/>
          <w:lang w:val="en-GB"/>
        </w:rPr>
        <w:t>4.2</w:t>
      </w:r>
      <w:r w:rsidR="001722D5" w:rsidRPr="00497687">
        <w:rPr>
          <w:rFonts w:asciiTheme="majorHAnsi" w:eastAsia="Calibri" w:hAnsiTheme="majorHAnsi" w:cstheme="majorHAnsi"/>
          <w:b w:val="0"/>
          <w:i w:val="0"/>
          <w:iCs/>
          <w:sz w:val="28"/>
          <w:szCs w:val="28"/>
          <w:lang w:val="en-GB"/>
        </w:rPr>
        <w:t xml:space="preserve"> per cent </w:t>
      </w:r>
      <w:r w:rsidRPr="00497687">
        <w:rPr>
          <w:rFonts w:asciiTheme="majorHAnsi" w:eastAsia="Calibri" w:hAnsiTheme="majorHAnsi" w:cstheme="majorHAnsi"/>
          <w:b w:val="0"/>
          <w:i w:val="0"/>
          <w:iCs/>
          <w:sz w:val="28"/>
          <w:szCs w:val="28"/>
          <w:lang w:val="en-GB"/>
        </w:rPr>
        <w:t xml:space="preserve">in the </w:t>
      </w:r>
      <w:r w:rsidR="00AA3797" w:rsidRPr="00497687">
        <w:rPr>
          <w:rFonts w:asciiTheme="majorHAnsi" w:eastAsia="Calibri" w:hAnsiTheme="majorHAnsi" w:cstheme="majorHAnsi"/>
          <w:b w:val="0"/>
          <w:i w:val="0"/>
          <w:iCs/>
          <w:sz w:val="28"/>
          <w:szCs w:val="28"/>
          <w:lang w:val="en-GB"/>
        </w:rPr>
        <w:t>second</w:t>
      </w:r>
      <w:r w:rsidRPr="00497687">
        <w:rPr>
          <w:rFonts w:asciiTheme="majorHAnsi" w:eastAsia="Calibri" w:hAnsiTheme="majorHAnsi" w:cstheme="majorHAnsi"/>
          <w:b w:val="0"/>
          <w:i w:val="0"/>
          <w:iCs/>
          <w:sz w:val="28"/>
          <w:szCs w:val="28"/>
          <w:lang w:val="en-GB"/>
        </w:rPr>
        <w:t xml:space="preserve"> quarter of 2022.</w:t>
      </w:r>
      <w:r w:rsidR="00B96736" w:rsidRPr="00497687">
        <w:rPr>
          <w:rFonts w:asciiTheme="majorHAnsi" w:eastAsia="Calibri" w:hAnsiTheme="majorHAnsi" w:cstheme="majorHAnsi"/>
          <w:b w:val="0"/>
          <w:i w:val="0"/>
          <w:iCs/>
          <w:sz w:val="28"/>
          <w:szCs w:val="28"/>
          <w:lang w:val="en-GB"/>
        </w:rPr>
        <w:t xml:space="preserve"> </w:t>
      </w:r>
    </w:p>
    <w:p w:rsidR="00B96736" w:rsidRPr="00497687" w:rsidRDefault="00B81C3E" w:rsidP="003427BF">
      <w:pPr>
        <w:spacing w:before="120" w:line="276" w:lineRule="auto"/>
        <w:jc w:val="center"/>
        <w:rPr>
          <w:rFonts w:asciiTheme="majorHAnsi" w:eastAsia="Calibri" w:hAnsiTheme="majorHAnsi" w:cstheme="majorHAnsi"/>
          <w:i w:val="0"/>
          <w:sz w:val="28"/>
          <w:szCs w:val="28"/>
          <w:lang w:val="en-GB"/>
        </w:rPr>
      </w:pPr>
      <w:r w:rsidRPr="00497687">
        <w:rPr>
          <w:rFonts w:asciiTheme="majorHAnsi" w:hAnsiTheme="majorHAnsi" w:cstheme="majorHAnsi"/>
          <w:bCs/>
          <w:i w:val="0"/>
          <w:iCs/>
          <w:spacing w:val="-6"/>
          <w:sz w:val="28"/>
          <w:szCs w:val="28"/>
          <w:lang w:val="en-GB"/>
        </w:rPr>
        <w:t>Figure</w:t>
      </w:r>
      <w:r w:rsidR="00B96736" w:rsidRPr="00497687">
        <w:rPr>
          <w:rFonts w:asciiTheme="majorHAnsi" w:hAnsiTheme="majorHAnsi" w:cstheme="majorHAnsi"/>
          <w:bCs/>
          <w:i w:val="0"/>
          <w:iCs/>
          <w:spacing w:val="-6"/>
          <w:sz w:val="28"/>
          <w:szCs w:val="28"/>
          <w:lang w:val="en-GB"/>
        </w:rPr>
        <w:t xml:space="preserve"> 1</w:t>
      </w:r>
      <w:r w:rsidR="00AA3797" w:rsidRPr="00497687">
        <w:rPr>
          <w:rFonts w:asciiTheme="majorHAnsi" w:hAnsiTheme="majorHAnsi" w:cstheme="majorHAnsi"/>
          <w:bCs/>
          <w:i w:val="0"/>
          <w:iCs/>
          <w:spacing w:val="-6"/>
          <w:sz w:val="28"/>
          <w:szCs w:val="28"/>
          <w:lang w:val="en-GB"/>
        </w:rPr>
        <w:t>2</w:t>
      </w:r>
      <w:r w:rsidR="00B96736" w:rsidRPr="00497687">
        <w:rPr>
          <w:rFonts w:asciiTheme="majorHAnsi" w:hAnsiTheme="majorHAnsi" w:cstheme="majorHAnsi"/>
          <w:bCs/>
          <w:i w:val="0"/>
          <w:iCs/>
          <w:spacing w:val="-6"/>
          <w:sz w:val="28"/>
          <w:szCs w:val="28"/>
          <w:lang w:val="en-GB"/>
        </w:rPr>
        <w:t xml:space="preserve">: </w:t>
      </w:r>
      <w:r w:rsidRPr="00497687">
        <w:rPr>
          <w:rFonts w:asciiTheme="majorHAnsi" w:hAnsiTheme="majorHAnsi" w:cstheme="majorHAnsi"/>
          <w:bCs/>
          <w:i w:val="0"/>
          <w:iCs/>
          <w:spacing w:val="-6"/>
          <w:sz w:val="28"/>
          <w:szCs w:val="28"/>
          <w:lang w:val="en-GB"/>
        </w:rPr>
        <w:t>The labour underutilization rate by quarter, 2019-2022</w:t>
      </w:r>
    </w:p>
    <w:p w:rsidR="00B96736" w:rsidRPr="00497687" w:rsidRDefault="00B81C3E" w:rsidP="003427BF">
      <w:pPr>
        <w:spacing w:line="276" w:lineRule="auto"/>
        <w:jc w:val="right"/>
        <w:rPr>
          <w:rFonts w:asciiTheme="majorHAnsi" w:eastAsia="Calibri" w:hAnsiTheme="majorHAnsi" w:cstheme="majorHAnsi"/>
          <w:b w:val="0"/>
          <w:sz w:val="28"/>
          <w:szCs w:val="28"/>
          <w:lang w:val="en-GB"/>
        </w:rPr>
      </w:pPr>
      <w:r w:rsidRPr="00497687">
        <w:rPr>
          <w:rFonts w:asciiTheme="majorHAnsi" w:eastAsia="Calibri" w:hAnsiTheme="majorHAnsi" w:cstheme="majorHAnsi"/>
          <w:b w:val="0"/>
          <w:sz w:val="28"/>
          <w:szCs w:val="28"/>
          <w:lang w:val="en-GB"/>
        </w:rPr>
        <w:t>Unit</w:t>
      </w:r>
      <w:r w:rsidR="00B96736" w:rsidRPr="00497687">
        <w:rPr>
          <w:rFonts w:asciiTheme="majorHAnsi" w:eastAsia="Calibri" w:hAnsiTheme="majorHAnsi" w:cstheme="majorHAnsi"/>
          <w:b w:val="0"/>
          <w:sz w:val="28"/>
          <w:szCs w:val="28"/>
          <w:lang w:val="en-GB"/>
        </w:rPr>
        <w:t xml:space="preserve">: </w:t>
      </w:r>
      <w:r w:rsidR="001722D5" w:rsidRPr="00497687">
        <w:rPr>
          <w:rFonts w:asciiTheme="majorHAnsi" w:eastAsia="Calibri" w:hAnsiTheme="majorHAnsi" w:cstheme="majorHAnsi"/>
          <w:b w:val="0"/>
          <w:sz w:val="28"/>
          <w:szCs w:val="28"/>
          <w:lang w:val="en-GB"/>
        </w:rPr>
        <w:t>Per cent</w:t>
      </w:r>
    </w:p>
    <w:p w:rsidR="00B96736" w:rsidRPr="00497687" w:rsidRDefault="00AA3797" w:rsidP="003427BF">
      <w:pPr>
        <w:spacing w:line="276" w:lineRule="auto"/>
        <w:jc w:val="center"/>
        <w:rPr>
          <w:rFonts w:asciiTheme="majorHAnsi" w:eastAsia="Calibri" w:hAnsiTheme="majorHAnsi" w:cstheme="majorHAnsi"/>
          <w:b w:val="0"/>
          <w:i w:val="0"/>
          <w:color w:val="FF0000"/>
          <w:sz w:val="28"/>
          <w:szCs w:val="28"/>
          <w:lang w:val="en-GB"/>
        </w:rPr>
      </w:pPr>
      <w:r w:rsidRPr="00497687">
        <w:rPr>
          <w:rFonts w:asciiTheme="majorHAnsi" w:eastAsia="Calibri" w:hAnsiTheme="majorHAnsi" w:cstheme="majorHAnsi"/>
          <w:b w:val="0"/>
          <w:i w:val="0"/>
          <w:noProof/>
          <w:sz w:val="28"/>
          <w:szCs w:val="28"/>
        </w:rPr>
        <w:drawing>
          <wp:inline distT="0" distB="0" distL="0" distR="0">
            <wp:extent cx="5760720" cy="2355722"/>
            <wp:effectExtent l="0" t="0" r="11430" b="2603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B96736" w:rsidRPr="00497687" w:rsidRDefault="00B81C3E" w:rsidP="003427BF">
      <w:pPr>
        <w:spacing w:before="120" w:after="120" w:line="276" w:lineRule="auto"/>
        <w:ind w:firstLine="709"/>
        <w:jc w:val="both"/>
        <w:rPr>
          <w:rFonts w:asciiTheme="majorHAnsi" w:eastAsia="Calibri" w:hAnsiTheme="majorHAnsi" w:cstheme="majorHAnsi"/>
          <w:b w:val="0"/>
          <w:i w:val="0"/>
          <w:sz w:val="28"/>
          <w:szCs w:val="28"/>
          <w:lang w:val="en-GB"/>
        </w:rPr>
      </w:pPr>
      <w:r w:rsidRPr="00497687">
        <w:rPr>
          <w:rFonts w:asciiTheme="majorHAnsi" w:eastAsia="Calibri" w:hAnsiTheme="majorHAnsi" w:cstheme="majorHAnsi"/>
          <w:b w:val="0"/>
          <w:i w:val="0"/>
          <w:sz w:val="28"/>
          <w:szCs w:val="28"/>
          <w:lang w:val="en-GB"/>
        </w:rPr>
        <w:t xml:space="preserve">The labour underutilization rate in the </w:t>
      </w:r>
      <w:r w:rsidR="00AA3797" w:rsidRPr="00497687">
        <w:rPr>
          <w:rFonts w:asciiTheme="majorHAnsi" w:eastAsia="Calibri" w:hAnsiTheme="majorHAnsi" w:cstheme="majorHAnsi"/>
          <w:b w:val="0"/>
          <w:i w:val="0"/>
          <w:sz w:val="28"/>
          <w:szCs w:val="28"/>
          <w:lang w:val="en-GB"/>
        </w:rPr>
        <w:t>second</w:t>
      </w:r>
      <w:r w:rsidRPr="00497687">
        <w:rPr>
          <w:rFonts w:asciiTheme="majorHAnsi" w:eastAsia="Calibri" w:hAnsiTheme="majorHAnsi" w:cstheme="majorHAnsi"/>
          <w:b w:val="0"/>
          <w:i w:val="0"/>
          <w:sz w:val="28"/>
          <w:szCs w:val="28"/>
          <w:lang w:val="en-GB"/>
        </w:rPr>
        <w:t xml:space="preserve"> quarter of 2022 in both urban and rural areas </w:t>
      </w:r>
      <w:r w:rsidR="00AA3797" w:rsidRPr="00497687">
        <w:rPr>
          <w:rFonts w:asciiTheme="majorHAnsi" w:eastAsia="Calibri" w:hAnsiTheme="majorHAnsi" w:cstheme="majorHAnsi"/>
          <w:b w:val="0"/>
          <w:i w:val="0"/>
          <w:sz w:val="28"/>
          <w:szCs w:val="28"/>
          <w:lang w:val="en-GB"/>
        </w:rPr>
        <w:t xml:space="preserve">decreased relative to </w:t>
      </w:r>
      <w:r w:rsidRPr="00497687">
        <w:rPr>
          <w:rFonts w:asciiTheme="majorHAnsi" w:eastAsia="Calibri" w:hAnsiTheme="majorHAnsi" w:cstheme="majorHAnsi"/>
          <w:b w:val="0"/>
          <w:i w:val="0"/>
          <w:sz w:val="28"/>
          <w:szCs w:val="28"/>
          <w:lang w:val="en-GB"/>
        </w:rPr>
        <w:t xml:space="preserve">the previous quarter, especially in </w:t>
      </w:r>
      <w:r w:rsidR="00AA3797" w:rsidRPr="00497687">
        <w:rPr>
          <w:rFonts w:asciiTheme="majorHAnsi" w:eastAsia="Calibri" w:hAnsiTheme="majorHAnsi" w:cstheme="majorHAnsi"/>
          <w:b w:val="0"/>
          <w:i w:val="0"/>
          <w:sz w:val="28"/>
          <w:szCs w:val="28"/>
          <w:lang w:val="en-GB"/>
        </w:rPr>
        <w:t>the latter</w:t>
      </w:r>
      <w:r w:rsidRPr="00497687">
        <w:rPr>
          <w:rFonts w:asciiTheme="majorHAnsi" w:eastAsia="Calibri" w:hAnsiTheme="majorHAnsi" w:cstheme="majorHAnsi"/>
          <w:b w:val="0"/>
          <w:i w:val="0"/>
          <w:sz w:val="28"/>
          <w:szCs w:val="28"/>
          <w:lang w:val="en-GB"/>
        </w:rPr>
        <w:t xml:space="preserve">. </w:t>
      </w:r>
      <w:r w:rsidR="00AA3797" w:rsidRPr="00497687">
        <w:rPr>
          <w:rFonts w:asciiTheme="majorHAnsi" w:eastAsia="Calibri" w:hAnsiTheme="majorHAnsi" w:cstheme="majorHAnsi"/>
          <w:b w:val="0"/>
          <w:i w:val="0"/>
          <w:sz w:val="28"/>
          <w:szCs w:val="28"/>
          <w:lang w:val="en-GB"/>
        </w:rPr>
        <w:t>This rate in urban areas decreased from 6.3</w:t>
      </w:r>
      <w:r w:rsidR="00497687">
        <w:rPr>
          <w:rFonts w:asciiTheme="majorHAnsi" w:eastAsia="Calibri" w:hAnsiTheme="majorHAnsi" w:cstheme="majorHAnsi"/>
          <w:b w:val="0"/>
          <w:i w:val="0"/>
          <w:sz w:val="28"/>
          <w:szCs w:val="28"/>
          <w:lang w:val="en-GB"/>
        </w:rPr>
        <w:t xml:space="preserve"> per cent </w:t>
      </w:r>
      <w:r w:rsidR="00AA3797" w:rsidRPr="00497687">
        <w:rPr>
          <w:rFonts w:asciiTheme="majorHAnsi" w:eastAsia="Calibri" w:hAnsiTheme="majorHAnsi" w:cstheme="majorHAnsi"/>
          <w:b w:val="0"/>
          <w:i w:val="0"/>
          <w:sz w:val="28"/>
          <w:szCs w:val="28"/>
          <w:lang w:val="en-GB"/>
        </w:rPr>
        <w:t>in the first quarter of 2022 to 4.6</w:t>
      </w:r>
      <w:r w:rsidR="00497687">
        <w:rPr>
          <w:rFonts w:asciiTheme="majorHAnsi" w:eastAsia="Calibri" w:hAnsiTheme="majorHAnsi" w:cstheme="majorHAnsi"/>
          <w:b w:val="0"/>
          <w:i w:val="0"/>
          <w:sz w:val="28"/>
          <w:szCs w:val="28"/>
          <w:lang w:val="en-GB"/>
        </w:rPr>
        <w:t xml:space="preserve"> per cent </w:t>
      </w:r>
      <w:r w:rsidR="00AA3797" w:rsidRPr="00497687">
        <w:rPr>
          <w:rFonts w:asciiTheme="majorHAnsi" w:eastAsia="Calibri" w:hAnsiTheme="majorHAnsi" w:cstheme="majorHAnsi"/>
          <w:b w:val="0"/>
          <w:i w:val="0"/>
          <w:sz w:val="28"/>
          <w:szCs w:val="28"/>
          <w:lang w:val="en-GB"/>
        </w:rPr>
        <w:t>in the second quarter of 2022; in urban areas, this rate decreased from 5.9</w:t>
      </w:r>
      <w:r w:rsidR="00497687">
        <w:rPr>
          <w:rFonts w:asciiTheme="majorHAnsi" w:eastAsia="Calibri" w:hAnsiTheme="majorHAnsi" w:cstheme="majorHAnsi"/>
          <w:b w:val="0"/>
          <w:i w:val="0"/>
          <w:sz w:val="28"/>
          <w:szCs w:val="28"/>
          <w:lang w:val="en-GB"/>
        </w:rPr>
        <w:t xml:space="preserve"> per cent </w:t>
      </w:r>
      <w:r w:rsidR="00AA3797" w:rsidRPr="00497687">
        <w:rPr>
          <w:rFonts w:asciiTheme="majorHAnsi" w:eastAsia="Calibri" w:hAnsiTheme="majorHAnsi" w:cstheme="majorHAnsi"/>
          <w:b w:val="0"/>
          <w:i w:val="0"/>
          <w:sz w:val="28"/>
          <w:szCs w:val="28"/>
          <w:lang w:val="en-GB"/>
        </w:rPr>
        <w:t>to 4.6</w:t>
      </w:r>
      <w:r w:rsidR="00497687">
        <w:rPr>
          <w:rFonts w:asciiTheme="majorHAnsi" w:eastAsia="Calibri" w:hAnsiTheme="majorHAnsi" w:cstheme="majorHAnsi"/>
          <w:b w:val="0"/>
          <w:i w:val="0"/>
          <w:sz w:val="28"/>
          <w:szCs w:val="28"/>
          <w:lang w:val="en-GB"/>
        </w:rPr>
        <w:t xml:space="preserve"> per cent.</w:t>
      </w:r>
      <w:r w:rsidR="00AA3797" w:rsidRPr="00497687">
        <w:rPr>
          <w:rFonts w:asciiTheme="majorHAnsi" w:eastAsia="Calibri" w:hAnsiTheme="majorHAnsi" w:cstheme="majorHAnsi"/>
          <w:b w:val="0"/>
          <w:i w:val="0"/>
          <w:sz w:val="28"/>
          <w:szCs w:val="28"/>
          <w:lang w:val="en-GB"/>
        </w:rPr>
        <w:t xml:space="preserve"> </w:t>
      </w:r>
      <w:r w:rsidRPr="00497687">
        <w:rPr>
          <w:rFonts w:asciiTheme="majorHAnsi" w:eastAsia="Calibri" w:hAnsiTheme="majorHAnsi" w:cstheme="majorHAnsi"/>
          <w:b w:val="0"/>
          <w:i w:val="0"/>
          <w:sz w:val="28"/>
          <w:szCs w:val="28"/>
          <w:lang w:val="en-GB"/>
        </w:rPr>
        <w:t>The majority of underutilized workers, i.e., people who do not fulfil their potential, are those aged 15-34 (</w:t>
      </w:r>
      <w:r w:rsidR="00AA3797" w:rsidRPr="00497687">
        <w:rPr>
          <w:rFonts w:asciiTheme="majorHAnsi" w:eastAsia="Calibri" w:hAnsiTheme="majorHAnsi" w:cstheme="majorHAnsi"/>
          <w:b w:val="0"/>
          <w:i w:val="0"/>
          <w:sz w:val="28"/>
          <w:szCs w:val="28"/>
          <w:lang w:val="en-GB"/>
        </w:rPr>
        <w:t>55.6</w:t>
      </w:r>
      <w:r w:rsidR="003F4455" w:rsidRPr="00497687">
        <w:rPr>
          <w:rFonts w:asciiTheme="majorHAnsi" w:eastAsia="Calibri" w:hAnsiTheme="majorHAnsi" w:cstheme="majorHAnsi"/>
          <w:b w:val="0"/>
          <w:i w:val="0"/>
          <w:sz w:val="28"/>
          <w:szCs w:val="28"/>
          <w:lang w:val="en-GB"/>
        </w:rPr>
        <w:t xml:space="preserve"> per cent)</w:t>
      </w:r>
      <w:r w:rsidRPr="00497687">
        <w:rPr>
          <w:rFonts w:asciiTheme="majorHAnsi" w:eastAsia="Calibri" w:hAnsiTheme="majorHAnsi" w:cstheme="majorHAnsi"/>
          <w:b w:val="0"/>
          <w:i w:val="0"/>
          <w:sz w:val="28"/>
          <w:szCs w:val="28"/>
          <w:lang w:val="en-GB"/>
        </w:rPr>
        <w:t xml:space="preserve">, much higher than the share of workers in this age group in the </w:t>
      </w:r>
      <w:r w:rsidR="008C4EBB" w:rsidRPr="00497687">
        <w:rPr>
          <w:rFonts w:asciiTheme="majorHAnsi" w:eastAsia="Calibri" w:hAnsiTheme="majorHAnsi" w:cstheme="majorHAnsi"/>
          <w:b w:val="0"/>
          <w:i w:val="0"/>
          <w:sz w:val="28"/>
          <w:szCs w:val="28"/>
          <w:lang w:val="en-GB"/>
        </w:rPr>
        <w:t xml:space="preserve">labour </w:t>
      </w:r>
      <w:r w:rsidRPr="00497687">
        <w:rPr>
          <w:rFonts w:asciiTheme="majorHAnsi" w:eastAsia="Calibri" w:hAnsiTheme="majorHAnsi" w:cstheme="majorHAnsi"/>
          <w:b w:val="0"/>
          <w:i w:val="0"/>
          <w:sz w:val="28"/>
          <w:szCs w:val="28"/>
          <w:lang w:val="en-GB"/>
        </w:rPr>
        <w:t>force, 34.</w:t>
      </w:r>
      <w:r w:rsidR="00AA3797" w:rsidRPr="00497687">
        <w:rPr>
          <w:rFonts w:asciiTheme="majorHAnsi" w:eastAsia="Calibri" w:hAnsiTheme="majorHAnsi" w:cstheme="majorHAnsi"/>
          <w:b w:val="0"/>
          <w:i w:val="0"/>
          <w:sz w:val="28"/>
          <w:szCs w:val="28"/>
          <w:lang w:val="en-GB"/>
        </w:rPr>
        <w:t>4</w:t>
      </w:r>
      <w:r w:rsidR="003F4455" w:rsidRPr="00497687">
        <w:rPr>
          <w:rFonts w:asciiTheme="majorHAnsi" w:eastAsia="Calibri" w:hAnsiTheme="majorHAnsi" w:cstheme="majorHAnsi"/>
          <w:b w:val="0"/>
          <w:i w:val="0"/>
          <w:sz w:val="28"/>
          <w:szCs w:val="28"/>
          <w:lang w:val="en-GB"/>
        </w:rPr>
        <w:t xml:space="preserve"> per cent.</w:t>
      </w:r>
      <w:r w:rsidRPr="00497687">
        <w:rPr>
          <w:rFonts w:asciiTheme="majorHAnsi" w:eastAsia="Calibri" w:hAnsiTheme="majorHAnsi" w:cstheme="majorHAnsi"/>
          <w:b w:val="0"/>
          <w:i w:val="0"/>
          <w:sz w:val="28"/>
          <w:szCs w:val="28"/>
          <w:lang w:val="en-GB"/>
        </w:rPr>
        <w:t xml:space="preserve"> This </w:t>
      </w:r>
      <w:r w:rsidRPr="00497687">
        <w:rPr>
          <w:rFonts w:asciiTheme="majorHAnsi" w:hAnsiTheme="majorHAnsi" w:cstheme="majorHAnsi"/>
          <w:b w:val="0"/>
          <w:i w:val="0"/>
          <w:color w:val="000000" w:themeColor="text1"/>
          <w:sz w:val="28"/>
          <w:szCs w:val="28"/>
          <w:lang w:val="en-GB"/>
        </w:rPr>
        <w:t>suggests</w:t>
      </w:r>
      <w:r w:rsidR="00235AEC">
        <w:rPr>
          <w:rFonts w:asciiTheme="majorHAnsi" w:eastAsia="Calibri" w:hAnsiTheme="majorHAnsi" w:cstheme="majorHAnsi"/>
          <w:b w:val="0"/>
          <w:i w:val="0"/>
          <w:sz w:val="28"/>
          <w:szCs w:val="28"/>
          <w:lang w:val="en-GB"/>
        </w:rPr>
        <w:t xml:space="preserve"> that Viet N</w:t>
      </w:r>
      <w:r w:rsidRPr="00497687">
        <w:rPr>
          <w:rFonts w:asciiTheme="majorHAnsi" w:eastAsia="Calibri" w:hAnsiTheme="majorHAnsi" w:cstheme="majorHAnsi"/>
          <w:b w:val="0"/>
          <w:i w:val="0"/>
          <w:sz w:val="28"/>
          <w:szCs w:val="28"/>
          <w:lang w:val="en-GB"/>
        </w:rPr>
        <w:t>am still has a large untapped potential workforce, especially young workers. In the context of the complicated development of the Covid-19 pandemic, it becomes all the more necessary to study policies to harness the full potential of this group of workers</w:t>
      </w:r>
      <w:r w:rsidR="00B96736" w:rsidRPr="00497687">
        <w:rPr>
          <w:rFonts w:asciiTheme="majorHAnsi" w:eastAsia="Calibri" w:hAnsiTheme="majorHAnsi" w:cstheme="majorHAnsi"/>
          <w:b w:val="0"/>
          <w:i w:val="0"/>
          <w:sz w:val="28"/>
          <w:szCs w:val="28"/>
          <w:lang w:val="en-GB"/>
        </w:rPr>
        <w:t>.</w:t>
      </w:r>
    </w:p>
    <w:p w:rsidR="0099588C" w:rsidRDefault="00B81C3E" w:rsidP="003427BF">
      <w:pPr>
        <w:spacing w:line="276" w:lineRule="auto"/>
        <w:ind w:left="1555" w:hanging="1555"/>
        <w:jc w:val="center"/>
        <w:rPr>
          <w:rFonts w:asciiTheme="majorHAnsi" w:hAnsiTheme="majorHAnsi" w:cstheme="majorHAnsi"/>
          <w:bCs/>
          <w:i w:val="0"/>
          <w:iCs/>
          <w:spacing w:val="-6"/>
          <w:sz w:val="28"/>
          <w:szCs w:val="28"/>
          <w:lang w:val="en-GB"/>
        </w:rPr>
      </w:pPr>
      <w:r w:rsidRPr="00497687">
        <w:rPr>
          <w:rFonts w:asciiTheme="majorHAnsi" w:hAnsiTheme="majorHAnsi" w:cstheme="majorHAnsi"/>
          <w:bCs/>
          <w:i w:val="0"/>
          <w:iCs/>
          <w:spacing w:val="-6"/>
          <w:sz w:val="28"/>
          <w:szCs w:val="28"/>
          <w:lang w:val="en-GB"/>
        </w:rPr>
        <w:t>Figure 1</w:t>
      </w:r>
      <w:r w:rsidR="00AA3797" w:rsidRPr="00497687">
        <w:rPr>
          <w:rFonts w:asciiTheme="majorHAnsi" w:hAnsiTheme="majorHAnsi" w:cstheme="majorHAnsi"/>
          <w:bCs/>
          <w:i w:val="0"/>
          <w:iCs/>
          <w:spacing w:val="-6"/>
          <w:sz w:val="28"/>
          <w:szCs w:val="28"/>
          <w:lang w:val="en-GB"/>
        </w:rPr>
        <w:t>3</w:t>
      </w:r>
      <w:r w:rsidRPr="00497687">
        <w:rPr>
          <w:rFonts w:asciiTheme="majorHAnsi" w:hAnsiTheme="majorHAnsi" w:cstheme="majorHAnsi"/>
          <w:bCs/>
          <w:i w:val="0"/>
          <w:iCs/>
          <w:spacing w:val="-6"/>
          <w:sz w:val="28"/>
          <w:szCs w:val="28"/>
          <w:lang w:val="en-GB"/>
        </w:rPr>
        <w:t xml:space="preserve">: Age structure of </w:t>
      </w:r>
      <w:r w:rsidR="008C4EBB" w:rsidRPr="00497687">
        <w:rPr>
          <w:rFonts w:asciiTheme="majorHAnsi" w:hAnsiTheme="majorHAnsi" w:cstheme="majorHAnsi"/>
          <w:bCs/>
          <w:i w:val="0"/>
          <w:iCs/>
          <w:spacing w:val="-6"/>
          <w:sz w:val="28"/>
          <w:szCs w:val="28"/>
          <w:lang w:val="en-GB"/>
        </w:rPr>
        <w:t xml:space="preserve">labour </w:t>
      </w:r>
      <w:r w:rsidRPr="00497687">
        <w:rPr>
          <w:rFonts w:asciiTheme="majorHAnsi" w:hAnsiTheme="majorHAnsi" w:cstheme="majorHAnsi"/>
          <w:bCs/>
          <w:i w:val="0"/>
          <w:iCs/>
          <w:spacing w:val="-6"/>
          <w:sz w:val="28"/>
          <w:szCs w:val="28"/>
          <w:lang w:val="en-GB"/>
        </w:rPr>
        <w:t xml:space="preserve">force and underutilized </w:t>
      </w:r>
      <w:r w:rsidR="008C4EBB" w:rsidRPr="00497687">
        <w:rPr>
          <w:rFonts w:asciiTheme="majorHAnsi" w:hAnsiTheme="majorHAnsi" w:cstheme="majorHAnsi"/>
          <w:bCs/>
          <w:i w:val="0"/>
          <w:iCs/>
          <w:spacing w:val="-6"/>
          <w:sz w:val="28"/>
          <w:szCs w:val="28"/>
          <w:lang w:val="en-GB"/>
        </w:rPr>
        <w:t xml:space="preserve">labour </w:t>
      </w:r>
      <w:r w:rsidRPr="00497687">
        <w:rPr>
          <w:rFonts w:asciiTheme="majorHAnsi" w:hAnsiTheme="majorHAnsi" w:cstheme="majorHAnsi"/>
          <w:bCs/>
          <w:i w:val="0"/>
          <w:iCs/>
          <w:spacing w:val="-6"/>
          <w:sz w:val="28"/>
          <w:szCs w:val="28"/>
          <w:lang w:val="en-GB"/>
        </w:rPr>
        <w:t xml:space="preserve">force, </w:t>
      </w:r>
    </w:p>
    <w:p w:rsidR="00B96736" w:rsidRPr="00497687" w:rsidRDefault="00497687" w:rsidP="003427BF">
      <w:pPr>
        <w:spacing w:line="276" w:lineRule="auto"/>
        <w:ind w:left="1555" w:hanging="1555"/>
        <w:jc w:val="center"/>
        <w:rPr>
          <w:rFonts w:asciiTheme="majorHAnsi" w:hAnsiTheme="majorHAnsi" w:cstheme="majorHAnsi"/>
          <w:bCs/>
          <w:i w:val="0"/>
          <w:iCs/>
          <w:spacing w:val="-6"/>
          <w:sz w:val="28"/>
          <w:szCs w:val="28"/>
          <w:lang w:val="en-GB"/>
        </w:rPr>
      </w:pPr>
      <w:r>
        <w:rPr>
          <w:rFonts w:asciiTheme="majorHAnsi" w:hAnsiTheme="majorHAnsi" w:cstheme="majorHAnsi"/>
          <w:bCs/>
          <w:i w:val="0"/>
          <w:iCs/>
          <w:spacing w:val="-6"/>
          <w:sz w:val="28"/>
          <w:szCs w:val="28"/>
          <w:lang w:val="en-GB"/>
        </w:rPr>
        <w:t>second quarter</w:t>
      </w:r>
      <w:r w:rsidR="00B81C3E" w:rsidRPr="00497687">
        <w:rPr>
          <w:rFonts w:asciiTheme="majorHAnsi" w:hAnsiTheme="majorHAnsi" w:cstheme="majorHAnsi"/>
          <w:bCs/>
          <w:i w:val="0"/>
          <w:iCs/>
          <w:spacing w:val="-6"/>
          <w:sz w:val="28"/>
          <w:szCs w:val="28"/>
          <w:lang w:val="en-GB"/>
        </w:rPr>
        <w:t xml:space="preserve"> of 2022</w:t>
      </w:r>
    </w:p>
    <w:p w:rsidR="00B96736" w:rsidRPr="00497687" w:rsidRDefault="00B81C3E" w:rsidP="00470FE4">
      <w:pPr>
        <w:spacing w:line="276" w:lineRule="auto"/>
        <w:ind w:left="1559" w:hanging="1559"/>
        <w:jc w:val="right"/>
        <w:rPr>
          <w:rFonts w:asciiTheme="majorHAnsi" w:eastAsia="Calibri" w:hAnsiTheme="majorHAnsi" w:cstheme="majorHAnsi"/>
          <w:b w:val="0"/>
          <w:i w:val="0"/>
          <w:noProof/>
          <w:color w:val="FF0000"/>
          <w:sz w:val="28"/>
          <w:szCs w:val="28"/>
          <w:lang w:val="en-GB"/>
        </w:rPr>
      </w:pPr>
      <w:r w:rsidRPr="00497687">
        <w:rPr>
          <w:rFonts w:asciiTheme="majorHAnsi" w:eastAsia="Calibri" w:hAnsiTheme="majorHAnsi" w:cstheme="majorHAnsi"/>
          <w:b w:val="0"/>
          <w:sz w:val="28"/>
          <w:szCs w:val="28"/>
          <w:lang w:val="en-GB"/>
        </w:rPr>
        <w:t>Unit</w:t>
      </w:r>
      <w:r w:rsidR="00B96736" w:rsidRPr="00497687">
        <w:rPr>
          <w:rFonts w:asciiTheme="majorHAnsi" w:eastAsia="Calibri" w:hAnsiTheme="majorHAnsi" w:cstheme="majorHAnsi"/>
          <w:b w:val="0"/>
          <w:sz w:val="28"/>
          <w:szCs w:val="28"/>
          <w:lang w:val="en-GB"/>
        </w:rPr>
        <w:t xml:space="preserve">: </w:t>
      </w:r>
      <w:r w:rsidR="001722D5" w:rsidRPr="00497687">
        <w:rPr>
          <w:rFonts w:asciiTheme="majorHAnsi" w:eastAsia="Calibri" w:hAnsiTheme="majorHAnsi" w:cstheme="majorHAnsi"/>
          <w:b w:val="0"/>
          <w:sz w:val="28"/>
          <w:szCs w:val="28"/>
          <w:lang w:val="en-GB"/>
        </w:rPr>
        <w:t xml:space="preserve">Per cent </w:t>
      </w:r>
    </w:p>
    <w:p w:rsidR="00B96736" w:rsidRPr="00497687" w:rsidRDefault="00AA3797" w:rsidP="00470FE4">
      <w:pPr>
        <w:spacing w:line="276" w:lineRule="auto"/>
        <w:ind w:firstLine="709"/>
        <w:jc w:val="both"/>
        <w:rPr>
          <w:rFonts w:asciiTheme="majorHAnsi" w:eastAsia="Calibri" w:hAnsiTheme="majorHAnsi" w:cstheme="majorHAnsi"/>
          <w:b w:val="0"/>
          <w:i w:val="0"/>
          <w:iCs/>
          <w:color w:val="FF0000"/>
          <w:spacing w:val="-6"/>
          <w:sz w:val="28"/>
          <w:szCs w:val="28"/>
          <w:lang w:val="en-GB"/>
        </w:rPr>
      </w:pPr>
      <w:r w:rsidRPr="00497687">
        <w:rPr>
          <w:rFonts w:asciiTheme="majorHAnsi" w:eastAsia="Calibri" w:hAnsiTheme="majorHAnsi" w:cstheme="majorHAnsi"/>
          <w:i w:val="0"/>
          <w:noProof/>
          <w:sz w:val="28"/>
          <w:szCs w:val="28"/>
        </w:rPr>
        <w:drawing>
          <wp:inline distT="0" distB="0" distL="0" distR="0">
            <wp:extent cx="4658995" cy="2146300"/>
            <wp:effectExtent l="0" t="0" r="27305" b="2540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bookmarkStart w:id="13" w:name="_GoBack"/>
      <w:bookmarkEnd w:id="13"/>
    </w:p>
    <w:p w:rsidR="00B96736" w:rsidRPr="00497687" w:rsidRDefault="007B27B7" w:rsidP="003427BF">
      <w:pPr>
        <w:spacing w:before="120" w:after="120" w:line="276" w:lineRule="auto"/>
        <w:ind w:firstLine="709"/>
        <w:jc w:val="both"/>
        <w:rPr>
          <w:rFonts w:asciiTheme="majorHAnsi" w:hAnsiTheme="majorHAnsi" w:cstheme="majorHAnsi"/>
          <w:b w:val="0"/>
          <w:i w:val="0"/>
          <w:color w:val="000000" w:themeColor="text1"/>
          <w:sz w:val="28"/>
          <w:szCs w:val="28"/>
          <w:lang w:val="en-GB"/>
        </w:rPr>
      </w:pPr>
      <w:r w:rsidRPr="00497687">
        <w:rPr>
          <w:rFonts w:asciiTheme="majorHAnsi" w:hAnsiTheme="majorHAnsi" w:cstheme="majorHAnsi"/>
          <w:b w:val="0"/>
          <w:i w:val="0"/>
          <w:color w:val="000000" w:themeColor="text1"/>
          <w:sz w:val="28"/>
          <w:szCs w:val="28"/>
          <w:lang w:val="en-GB"/>
        </w:rPr>
        <w:t xml:space="preserve">The number of subsistence workers in the </w:t>
      </w:r>
      <w:r w:rsidR="00751C8A" w:rsidRPr="00497687">
        <w:rPr>
          <w:rFonts w:asciiTheme="majorHAnsi" w:hAnsiTheme="majorHAnsi" w:cstheme="majorHAnsi"/>
          <w:b w:val="0"/>
          <w:i w:val="0"/>
          <w:color w:val="000000" w:themeColor="text1"/>
          <w:sz w:val="28"/>
          <w:szCs w:val="28"/>
          <w:lang w:val="en-GB"/>
        </w:rPr>
        <w:t>second</w:t>
      </w:r>
      <w:r w:rsidRPr="00497687">
        <w:rPr>
          <w:rFonts w:asciiTheme="majorHAnsi" w:hAnsiTheme="majorHAnsi" w:cstheme="majorHAnsi"/>
          <w:b w:val="0"/>
          <w:i w:val="0"/>
          <w:color w:val="000000" w:themeColor="text1"/>
          <w:sz w:val="28"/>
          <w:szCs w:val="28"/>
          <w:lang w:val="en-GB"/>
        </w:rPr>
        <w:t xml:space="preserve"> quarter of 2022 was 4.</w:t>
      </w:r>
      <w:r w:rsidR="00751C8A" w:rsidRPr="00497687">
        <w:rPr>
          <w:rFonts w:asciiTheme="majorHAnsi" w:hAnsiTheme="majorHAnsi" w:cstheme="majorHAnsi"/>
          <w:b w:val="0"/>
          <w:i w:val="0"/>
          <w:color w:val="000000" w:themeColor="text1"/>
          <w:sz w:val="28"/>
          <w:szCs w:val="28"/>
          <w:lang w:val="en-GB"/>
        </w:rPr>
        <w:t xml:space="preserve">3 million, </w:t>
      </w:r>
      <w:r w:rsidRPr="00497687">
        <w:rPr>
          <w:rFonts w:asciiTheme="majorHAnsi" w:hAnsiTheme="majorHAnsi" w:cstheme="majorHAnsi"/>
          <w:b w:val="0"/>
          <w:i w:val="0"/>
          <w:color w:val="000000" w:themeColor="text1"/>
          <w:sz w:val="28"/>
          <w:szCs w:val="28"/>
          <w:lang w:val="en-GB"/>
        </w:rPr>
        <w:t>0.</w:t>
      </w:r>
      <w:r w:rsidR="00751C8A" w:rsidRPr="00497687">
        <w:rPr>
          <w:rFonts w:asciiTheme="majorHAnsi" w:hAnsiTheme="majorHAnsi" w:cstheme="majorHAnsi"/>
          <w:b w:val="0"/>
          <w:i w:val="0"/>
          <w:color w:val="000000" w:themeColor="text1"/>
          <w:sz w:val="28"/>
          <w:szCs w:val="28"/>
          <w:lang w:val="en-GB"/>
        </w:rPr>
        <w:t>4</w:t>
      </w:r>
      <w:r w:rsidRPr="00497687">
        <w:rPr>
          <w:rFonts w:asciiTheme="majorHAnsi" w:hAnsiTheme="majorHAnsi" w:cstheme="majorHAnsi"/>
          <w:b w:val="0"/>
          <w:i w:val="0"/>
          <w:color w:val="000000" w:themeColor="text1"/>
          <w:sz w:val="28"/>
          <w:szCs w:val="28"/>
          <w:lang w:val="en-GB"/>
        </w:rPr>
        <w:t xml:space="preserve"> million lower than the previous quarter but still </w:t>
      </w:r>
      <w:r w:rsidR="00751C8A" w:rsidRPr="00497687">
        <w:rPr>
          <w:rFonts w:asciiTheme="majorHAnsi" w:hAnsiTheme="majorHAnsi" w:cstheme="majorHAnsi"/>
          <w:b w:val="0"/>
          <w:i w:val="0"/>
          <w:color w:val="000000" w:themeColor="text1"/>
          <w:sz w:val="28"/>
          <w:szCs w:val="28"/>
          <w:lang w:val="en-GB"/>
        </w:rPr>
        <w:t>0</w:t>
      </w:r>
      <w:r w:rsidRPr="00497687">
        <w:rPr>
          <w:rFonts w:asciiTheme="majorHAnsi" w:hAnsiTheme="majorHAnsi" w:cstheme="majorHAnsi"/>
          <w:b w:val="0"/>
          <w:i w:val="0"/>
          <w:color w:val="000000" w:themeColor="text1"/>
          <w:sz w:val="28"/>
          <w:szCs w:val="28"/>
          <w:lang w:val="en-GB"/>
        </w:rPr>
        <w:t>.1 million higher th</w:t>
      </w:r>
      <w:r w:rsidR="00751C8A" w:rsidRPr="00497687">
        <w:rPr>
          <w:rFonts w:asciiTheme="majorHAnsi" w:hAnsiTheme="majorHAnsi" w:cstheme="majorHAnsi"/>
          <w:b w:val="0"/>
          <w:i w:val="0"/>
          <w:color w:val="000000" w:themeColor="text1"/>
          <w:sz w:val="28"/>
          <w:szCs w:val="28"/>
          <w:lang w:val="en-GB"/>
        </w:rPr>
        <w:t>an the same period last year; t</w:t>
      </w:r>
      <w:r w:rsidRPr="00497687">
        <w:rPr>
          <w:rFonts w:asciiTheme="majorHAnsi" w:hAnsiTheme="majorHAnsi" w:cstheme="majorHAnsi"/>
          <w:b w:val="0"/>
          <w:i w:val="0"/>
          <w:color w:val="000000" w:themeColor="text1"/>
          <w:sz w:val="28"/>
          <w:szCs w:val="28"/>
          <w:lang w:val="en-GB"/>
        </w:rPr>
        <w:t xml:space="preserve">his number of workers </w:t>
      </w:r>
      <w:r w:rsidR="00751C8A" w:rsidRPr="00497687">
        <w:rPr>
          <w:rFonts w:asciiTheme="majorHAnsi" w:hAnsiTheme="majorHAnsi" w:cstheme="majorHAnsi"/>
          <w:b w:val="0"/>
          <w:i w:val="0"/>
          <w:color w:val="000000" w:themeColor="text1"/>
          <w:sz w:val="28"/>
          <w:szCs w:val="28"/>
          <w:lang w:val="en-GB"/>
        </w:rPr>
        <w:t xml:space="preserve">is </w:t>
      </w:r>
      <w:r w:rsidRPr="00497687">
        <w:rPr>
          <w:rFonts w:asciiTheme="majorHAnsi" w:hAnsiTheme="majorHAnsi" w:cstheme="majorHAnsi"/>
          <w:b w:val="0"/>
          <w:i w:val="0"/>
          <w:color w:val="000000" w:themeColor="text1"/>
          <w:sz w:val="28"/>
          <w:szCs w:val="28"/>
          <w:lang w:val="en-GB"/>
        </w:rPr>
        <w:t xml:space="preserve">mainly </w:t>
      </w:r>
      <w:r w:rsidR="00751C8A" w:rsidRPr="00497687">
        <w:rPr>
          <w:rFonts w:asciiTheme="majorHAnsi" w:hAnsiTheme="majorHAnsi" w:cstheme="majorHAnsi"/>
          <w:b w:val="0"/>
          <w:i w:val="0"/>
          <w:color w:val="000000" w:themeColor="text1"/>
          <w:sz w:val="28"/>
          <w:szCs w:val="28"/>
          <w:lang w:val="en-GB"/>
        </w:rPr>
        <w:t xml:space="preserve">concentrated </w:t>
      </w:r>
      <w:r w:rsidRPr="00497687">
        <w:rPr>
          <w:rFonts w:asciiTheme="majorHAnsi" w:hAnsiTheme="majorHAnsi" w:cstheme="majorHAnsi"/>
          <w:b w:val="0"/>
          <w:i w:val="0"/>
          <w:color w:val="000000" w:themeColor="text1"/>
          <w:sz w:val="28"/>
          <w:szCs w:val="28"/>
          <w:lang w:val="en-GB"/>
        </w:rPr>
        <w:t>in rural areas.</w:t>
      </w:r>
      <w:r w:rsidR="00B96736" w:rsidRPr="00497687">
        <w:rPr>
          <w:rFonts w:asciiTheme="majorHAnsi" w:hAnsiTheme="majorHAnsi" w:cstheme="majorHAnsi"/>
          <w:b w:val="0"/>
          <w:i w:val="0"/>
          <w:color w:val="000000" w:themeColor="text1"/>
          <w:sz w:val="28"/>
          <w:szCs w:val="28"/>
          <w:lang w:val="en-GB"/>
        </w:rPr>
        <w:t xml:space="preserve"> </w:t>
      </w:r>
    </w:p>
    <w:p w:rsidR="00B96736" w:rsidRPr="00497687" w:rsidRDefault="007B27B7" w:rsidP="003427BF">
      <w:pPr>
        <w:spacing w:before="120" w:after="120" w:line="276" w:lineRule="auto"/>
        <w:ind w:firstLine="709"/>
        <w:jc w:val="both"/>
        <w:rPr>
          <w:rFonts w:asciiTheme="majorHAnsi" w:hAnsiTheme="majorHAnsi" w:cstheme="majorHAnsi"/>
          <w:b w:val="0"/>
          <w:i w:val="0"/>
          <w:color w:val="000000" w:themeColor="text1"/>
          <w:sz w:val="28"/>
          <w:szCs w:val="28"/>
          <w:lang w:val="en-GB"/>
        </w:rPr>
      </w:pPr>
      <w:r w:rsidRPr="00497687">
        <w:rPr>
          <w:rFonts w:asciiTheme="majorHAnsi" w:hAnsiTheme="majorHAnsi" w:cstheme="majorHAnsi"/>
          <w:b w:val="0"/>
          <w:i w:val="0"/>
          <w:color w:val="000000" w:themeColor="text1"/>
          <w:sz w:val="28"/>
          <w:szCs w:val="28"/>
          <w:lang w:val="en-GB"/>
        </w:rPr>
        <w:t xml:space="preserve">Nearly two-thirds of the people producing subsistence products in the </w:t>
      </w:r>
      <w:r w:rsidR="00751C8A" w:rsidRPr="00497687">
        <w:rPr>
          <w:rFonts w:asciiTheme="majorHAnsi" w:hAnsiTheme="majorHAnsi" w:cstheme="majorHAnsi"/>
          <w:b w:val="0"/>
          <w:i w:val="0"/>
          <w:color w:val="000000" w:themeColor="text1"/>
          <w:sz w:val="28"/>
          <w:szCs w:val="28"/>
          <w:lang w:val="en-GB"/>
        </w:rPr>
        <w:t>second</w:t>
      </w:r>
      <w:r w:rsidRPr="00497687">
        <w:rPr>
          <w:rFonts w:asciiTheme="majorHAnsi" w:hAnsiTheme="majorHAnsi" w:cstheme="majorHAnsi"/>
          <w:b w:val="0"/>
          <w:i w:val="0"/>
          <w:color w:val="000000" w:themeColor="text1"/>
          <w:sz w:val="28"/>
          <w:szCs w:val="28"/>
          <w:lang w:val="en-GB"/>
        </w:rPr>
        <w:t xml:space="preserve"> quarter of 2022 are </w:t>
      </w:r>
      <w:r w:rsidRPr="00497687">
        <w:rPr>
          <w:rFonts w:asciiTheme="majorHAnsi" w:eastAsia="Calibri" w:hAnsiTheme="majorHAnsi" w:cstheme="majorHAnsi"/>
          <w:b w:val="0"/>
          <w:i w:val="0"/>
          <w:iCs/>
          <w:sz w:val="28"/>
          <w:szCs w:val="28"/>
          <w:lang w:val="en-GB"/>
        </w:rPr>
        <w:t>women</w:t>
      </w:r>
      <w:r w:rsidRPr="00497687">
        <w:rPr>
          <w:rFonts w:asciiTheme="majorHAnsi" w:hAnsiTheme="majorHAnsi" w:cstheme="majorHAnsi"/>
          <w:b w:val="0"/>
          <w:i w:val="0"/>
          <w:color w:val="000000" w:themeColor="text1"/>
          <w:sz w:val="28"/>
          <w:szCs w:val="28"/>
          <w:lang w:val="en-GB"/>
        </w:rPr>
        <w:t xml:space="preserve"> (6</w:t>
      </w:r>
      <w:r w:rsidR="00751C8A" w:rsidRPr="00497687">
        <w:rPr>
          <w:rFonts w:asciiTheme="majorHAnsi" w:hAnsiTheme="majorHAnsi" w:cstheme="majorHAnsi"/>
          <w:b w:val="0"/>
          <w:i w:val="0"/>
          <w:color w:val="000000" w:themeColor="text1"/>
          <w:sz w:val="28"/>
          <w:szCs w:val="28"/>
          <w:lang w:val="en-GB"/>
        </w:rPr>
        <w:t>3</w:t>
      </w:r>
      <w:r w:rsidRPr="00497687">
        <w:rPr>
          <w:rFonts w:asciiTheme="majorHAnsi" w:hAnsiTheme="majorHAnsi" w:cstheme="majorHAnsi"/>
          <w:b w:val="0"/>
          <w:i w:val="0"/>
          <w:color w:val="000000" w:themeColor="text1"/>
          <w:sz w:val="28"/>
          <w:szCs w:val="28"/>
          <w:lang w:val="en-GB"/>
        </w:rPr>
        <w:t>.</w:t>
      </w:r>
      <w:r w:rsidR="00751C8A" w:rsidRPr="00497687">
        <w:rPr>
          <w:rFonts w:asciiTheme="majorHAnsi" w:hAnsiTheme="majorHAnsi" w:cstheme="majorHAnsi"/>
          <w:b w:val="0"/>
          <w:i w:val="0"/>
          <w:color w:val="000000" w:themeColor="text1"/>
          <w:sz w:val="28"/>
          <w:szCs w:val="28"/>
          <w:lang w:val="en-GB"/>
        </w:rPr>
        <w:t>2</w:t>
      </w:r>
      <w:r w:rsidR="003F4455" w:rsidRPr="00497687">
        <w:rPr>
          <w:rFonts w:asciiTheme="majorHAnsi" w:hAnsiTheme="majorHAnsi" w:cstheme="majorHAnsi"/>
          <w:b w:val="0"/>
          <w:i w:val="0"/>
          <w:color w:val="000000" w:themeColor="text1"/>
          <w:sz w:val="28"/>
          <w:szCs w:val="28"/>
          <w:lang w:val="en-GB"/>
        </w:rPr>
        <w:t xml:space="preserve"> per cent)</w:t>
      </w:r>
      <w:r w:rsidRPr="00497687">
        <w:rPr>
          <w:rFonts w:asciiTheme="majorHAnsi" w:hAnsiTheme="majorHAnsi" w:cstheme="majorHAnsi"/>
          <w:b w:val="0"/>
          <w:i w:val="0"/>
          <w:color w:val="000000" w:themeColor="text1"/>
          <w:sz w:val="28"/>
          <w:szCs w:val="28"/>
          <w:lang w:val="en-GB"/>
        </w:rPr>
        <w:t>. Of a total of more than 4.</w:t>
      </w:r>
      <w:r w:rsidR="00751C8A" w:rsidRPr="00497687">
        <w:rPr>
          <w:rFonts w:asciiTheme="majorHAnsi" w:hAnsiTheme="majorHAnsi" w:cstheme="majorHAnsi"/>
          <w:b w:val="0"/>
          <w:i w:val="0"/>
          <w:color w:val="000000" w:themeColor="text1"/>
          <w:sz w:val="28"/>
          <w:szCs w:val="28"/>
          <w:lang w:val="en-GB"/>
        </w:rPr>
        <w:t>3</w:t>
      </w:r>
      <w:r w:rsidRPr="00497687">
        <w:rPr>
          <w:rFonts w:asciiTheme="majorHAnsi" w:hAnsiTheme="majorHAnsi" w:cstheme="majorHAnsi"/>
          <w:b w:val="0"/>
          <w:i w:val="0"/>
          <w:color w:val="000000" w:themeColor="text1"/>
          <w:sz w:val="28"/>
          <w:szCs w:val="28"/>
          <w:lang w:val="en-GB"/>
        </w:rPr>
        <w:t xml:space="preserve"> million people who are subsistence producers, </w:t>
      </w:r>
      <w:r w:rsidR="00751C8A" w:rsidRPr="00497687">
        <w:rPr>
          <w:rFonts w:asciiTheme="majorHAnsi" w:hAnsiTheme="majorHAnsi" w:cstheme="majorHAnsi"/>
          <w:b w:val="0"/>
          <w:i w:val="0"/>
          <w:color w:val="000000" w:themeColor="text1"/>
          <w:sz w:val="28"/>
          <w:szCs w:val="28"/>
          <w:lang w:val="en-GB"/>
        </w:rPr>
        <w:t xml:space="preserve">nearly </w:t>
      </w:r>
      <w:r w:rsidRPr="00497687">
        <w:rPr>
          <w:rFonts w:asciiTheme="majorHAnsi" w:hAnsiTheme="majorHAnsi" w:cstheme="majorHAnsi"/>
          <w:b w:val="0"/>
          <w:i w:val="0"/>
          <w:color w:val="000000" w:themeColor="text1"/>
          <w:sz w:val="28"/>
          <w:szCs w:val="28"/>
          <w:lang w:val="en-GB"/>
        </w:rPr>
        <w:t>more than 2.</w:t>
      </w:r>
      <w:r w:rsidR="00751C8A" w:rsidRPr="00497687">
        <w:rPr>
          <w:rFonts w:asciiTheme="majorHAnsi" w:hAnsiTheme="majorHAnsi" w:cstheme="majorHAnsi"/>
          <w:b w:val="0"/>
          <w:i w:val="0"/>
          <w:color w:val="000000" w:themeColor="text1"/>
          <w:sz w:val="28"/>
          <w:szCs w:val="28"/>
          <w:lang w:val="en-GB"/>
        </w:rPr>
        <w:t>3</w:t>
      </w:r>
      <w:r w:rsidRPr="00497687">
        <w:rPr>
          <w:rFonts w:asciiTheme="majorHAnsi" w:hAnsiTheme="majorHAnsi" w:cstheme="majorHAnsi"/>
          <w:b w:val="0"/>
          <w:i w:val="0"/>
          <w:color w:val="000000" w:themeColor="text1"/>
          <w:sz w:val="28"/>
          <w:szCs w:val="28"/>
          <w:lang w:val="en-GB"/>
        </w:rPr>
        <w:t xml:space="preserve"> million people are of working age (accounting for 5</w:t>
      </w:r>
      <w:r w:rsidR="00751C8A" w:rsidRPr="00497687">
        <w:rPr>
          <w:rFonts w:asciiTheme="majorHAnsi" w:hAnsiTheme="majorHAnsi" w:cstheme="majorHAnsi"/>
          <w:b w:val="0"/>
          <w:i w:val="0"/>
          <w:color w:val="000000" w:themeColor="text1"/>
          <w:sz w:val="28"/>
          <w:szCs w:val="28"/>
          <w:lang w:val="en-GB"/>
        </w:rPr>
        <w:t>2</w:t>
      </w:r>
      <w:r w:rsidRPr="00497687">
        <w:rPr>
          <w:rFonts w:asciiTheme="majorHAnsi" w:hAnsiTheme="majorHAnsi" w:cstheme="majorHAnsi"/>
          <w:b w:val="0"/>
          <w:i w:val="0"/>
          <w:color w:val="000000" w:themeColor="text1"/>
          <w:sz w:val="28"/>
          <w:szCs w:val="28"/>
          <w:lang w:val="en-GB"/>
        </w:rPr>
        <w:t>.</w:t>
      </w:r>
      <w:r w:rsidR="00751C8A" w:rsidRPr="00497687">
        <w:rPr>
          <w:rFonts w:asciiTheme="majorHAnsi" w:hAnsiTheme="majorHAnsi" w:cstheme="majorHAnsi"/>
          <w:b w:val="0"/>
          <w:i w:val="0"/>
          <w:color w:val="000000" w:themeColor="text1"/>
          <w:sz w:val="28"/>
          <w:szCs w:val="28"/>
          <w:lang w:val="en-GB"/>
        </w:rPr>
        <w:t>2</w:t>
      </w:r>
      <w:r w:rsidR="003F4455" w:rsidRPr="00497687">
        <w:rPr>
          <w:rFonts w:asciiTheme="majorHAnsi" w:hAnsiTheme="majorHAnsi" w:cstheme="majorHAnsi"/>
          <w:b w:val="0"/>
          <w:i w:val="0"/>
          <w:color w:val="000000" w:themeColor="text1"/>
          <w:sz w:val="28"/>
          <w:szCs w:val="28"/>
          <w:lang w:val="en-GB"/>
        </w:rPr>
        <w:t xml:space="preserve"> per cent)</w:t>
      </w:r>
      <w:r w:rsidRPr="00497687">
        <w:rPr>
          <w:rFonts w:asciiTheme="majorHAnsi" w:hAnsiTheme="majorHAnsi" w:cstheme="majorHAnsi"/>
          <w:b w:val="0"/>
          <w:i w:val="0"/>
          <w:color w:val="000000" w:themeColor="text1"/>
          <w:sz w:val="28"/>
          <w:szCs w:val="28"/>
          <w:lang w:val="en-GB"/>
        </w:rPr>
        <w:t>.</w:t>
      </w:r>
    </w:p>
    <w:p w:rsidR="0099588C" w:rsidRDefault="0011166A" w:rsidP="003427BF">
      <w:pPr>
        <w:spacing w:before="120" w:after="120" w:line="276" w:lineRule="auto"/>
        <w:ind w:firstLine="709"/>
        <w:jc w:val="both"/>
        <w:rPr>
          <w:rFonts w:asciiTheme="majorHAnsi" w:eastAsia="Calibri" w:hAnsiTheme="majorHAnsi" w:cstheme="majorHAnsi"/>
          <w:b w:val="0"/>
          <w:i w:val="0"/>
          <w:iCs/>
          <w:sz w:val="28"/>
          <w:szCs w:val="28"/>
          <w:lang w:val="en-GB"/>
        </w:rPr>
      </w:pPr>
      <w:r w:rsidRPr="00497687">
        <w:rPr>
          <w:rFonts w:asciiTheme="majorHAnsi" w:eastAsia="Calibri" w:hAnsiTheme="majorHAnsi" w:cstheme="majorHAnsi"/>
          <w:b w:val="0"/>
          <w:i w:val="0"/>
          <w:iCs/>
          <w:sz w:val="28"/>
          <w:szCs w:val="28"/>
          <w:lang w:val="en-GB"/>
        </w:rPr>
        <w:t xml:space="preserve">Subsistence workers are mainly aged 55 and older (accounting for </w:t>
      </w:r>
      <w:r w:rsidR="00751C8A" w:rsidRPr="00497687">
        <w:rPr>
          <w:rFonts w:asciiTheme="majorHAnsi" w:eastAsia="Calibri" w:hAnsiTheme="majorHAnsi" w:cstheme="majorHAnsi"/>
          <w:b w:val="0"/>
          <w:i w:val="0"/>
          <w:iCs/>
          <w:sz w:val="28"/>
          <w:szCs w:val="28"/>
          <w:lang w:val="en-GB"/>
        </w:rPr>
        <w:t>53.4</w:t>
      </w:r>
      <w:r w:rsidR="003F4455" w:rsidRPr="00497687">
        <w:rPr>
          <w:rFonts w:asciiTheme="majorHAnsi" w:eastAsia="Calibri" w:hAnsiTheme="majorHAnsi" w:cstheme="majorHAnsi"/>
          <w:b w:val="0"/>
          <w:i w:val="0"/>
          <w:iCs/>
          <w:sz w:val="28"/>
          <w:szCs w:val="28"/>
          <w:lang w:val="en-GB"/>
        </w:rPr>
        <w:t xml:space="preserve"> per cent)</w:t>
      </w:r>
      <w:r w:rsidRPr="00497687">
        <w:rPr>
          <w:rFonts w:asciiTheme="majorHAnsi" w:eastAsia="Calibri" w:hAnsiTheme="majorHAnsi" w:cstheme="majorHAnsi"/>
          <w:b w:val="0"/>
          <w:i w:val="0"/>
          <w:iCs/>
          <w:sz w:val="28"/>
          <w:szCs w:val="28"/>
          <w:lang w:val="en-GB"/>
        </w:rPr>
        <w:t>. The data also shows that, out of 4.</w:t>
      </w:r>
      <w:r w:rsidR="00751C8A" w:rsidRPr="00497687">
        <w:rPr>
          <w:rFonts w:asciiTheme="majorHAnsi" w:eastAsia="Calibri" w:hAnsiTheme="majorHAnsi" w:cstheme="majorHAnsi"/>
          <w:b w:val="0"/>
          <w:i w:val="0"/>
          <w:iCs/>
          <w:sz w:val="28"/>
          <w:szCs w:val="28"/>
          <w:lang w:val="en-GB"/>
        </w:rPr>
        <w:t>3</w:t>
      </w:r>
      <w:r w:rsidRPr="00497687">
        <w:rPr>
          <w:rFonts w:asciiTheme="majorHAnsi" w:eastAsia="Calibri" w:hAnsiTheme="majorHAnsi" w:cstheme="majorHAnsi"/>
          <w:b w:val="0"/>
          <w:i w:val="0"/>
          <w:iCs/>
          <w:sz w:val="28"/>
          <w:szCs w:val="28"/>
          <w:lang w:val="en-GB"/>
        </w:rPr>
        <w:t xml:space="preserve"> million subsistence workers, </w:t>
      </w:r>
      <w:r w:rsidR="00751C8A" w:rsidRPr="00497687">
        <w:rPr>
          <w:rFonts w:asciiTheme="majorHAnsi" w:eastAsia="Calibri" w:hAnsiTheme="majorHAnsi" w:cstheme="majorHAnsi"/>
          <w:b w:val="0"/>
          <w:i w:val="0"/>
          <w:iCs/>
          <w:sz w:val="28"/>
          <w:szCs w:val="28"/>
          <w:lang w:val="en-GB"/>
        </w:rPr>
        <w:t>only some</w:t>
      </w:r>
      <w:r w:rsidRPr="00497687">
        <w:rPr>
          <w:rFonts w:asciiTheme="majorHAnsi" w:eastAsia="Calibri" w:hAnsiTheme="majorHAnsi" w:cstheme="majorHAnsi"/>
          <w:b w:val="0"/>
          <w:i w:val="0"/>
          <w:iCs/>
          <w:sz w:val="28"/>
          <w:szCs w:val="28"/>
          <w:lang w:val="en-GB"/>
        </w:rPr>
        <w:t xml:space="preserve"> </w:t>
      </w:r>
      <w:r w:rsidR="00751C8A" w:rsidRPr="00497687">
        <w:rPr>
          <w:rFonts w:asciiTheme="majorHAnsi" w:eastAsia="Calibri" w:hAnsiTheme="majorHAnsi" w:cstheme="majorHAnsi"/>
          <w:b w:val="0"/>
          <w:i w:val="0"/>
          <w:iCs/>
          <w:sz w:val="28"/>
          <w:szCs w:val="28"/>
          <w:lang w:val="en-GB"/>
        </w:rPr>
        <w:t>248 thousand</w:t>
      </w:r>
      <w:r w:rsidRPr="00497687">
        <w:rPr>
          <w:rFonts w:asciiTheme="majorHAnsi" w:eastAsia="Calibri" w:hAnsiTheme="majorHAnsi" w:cstheme="majorHAnsi"/>
          <w:b w:val="0"/>
          <w:i w:val="0"/>
          <w:iCs/>
          <w:sz w:val="28"/>
          <w:szCs w:val="28"/>
          <w:lang w:val="en-GB"/>
        </w:rPr>
        <w:t xml:space="preserve"> people reported to have still been affected by the Covid-19 pandemic (accounting for </w:t>
      </w:r>
      <w:r w:rsidR="00751C8A" w:rsidRPr="00497687">
        <w:rPr>
          <w:rFonts w:asciiTheme="majorHAnsi" w:eastAsia="Calibri" w:hAnsiTheme="majorHAnsi" w:cstheme="majorHAnsi"/>
          <w:b w:val="0"/>
          <w:i w:val="0"/>
          <w:iCs/>
          <w:sz w:val="28"/>
          <w:szCs w:val="28"/>
          <w:lang w:val="en-GB"/>
        </w:rPr>
        <w:t>5.5</w:t>
      </w:r>
      <w:r w:rsidR="003F4455" w:rsidRPr="00497687">
        <w:rPr>
          <w:rFonts w:asciiTheme="majorHAnsi" w:eastAsia="Calibri" w:hAnsiTheme="majorHAnsi" w:cstheme="majorHAnsi"/>
          <w:b w:val="0"/>
          <w:i w:val="0"/>
          <w:iCs/>
          <w:sz w:val="28"/>
          <w:szCs w:val="28"/>
          <w:lang w:val="en-GB"/>
        </w:rPr>
        <w:t xml:space="preserve"> per cent)</w:t>
      </w:r>
      <w:r w:rsidRPr="00497687">
        <w:rPr>
          <w:rFonts w:asciiTheme="majorHAnsi" w:eastAsia="Calibri" w:hAnsiTheme="majorHAnsi" w:cstheme="majorHAnsi"/>
          <w:b w:val="0"/>
          <w:i w:val="0"/>
          <w:iCs/>
          <w:sz w:val="28"/>
          <w:szCs w:val="28"/>
          <w:lang w:val="en-GB"/>
        </w:rPr>
        <w:t>.</w:t>
      </w:r>
    </w:p>
    <w:p w:rsidR="0099588C" w:rsidRDefault="0099588C">
      <w:pPr>
        <w:spacing w:after="240"/>
        <w:ind w:left="1559" w:hanging="1559"/>
        <w:jc w:val="both"/>
        <w:rPr>
          <w:rFonts w:asciiTheme="majorHAnsi" w:eastAsia="Calibri" w:hAnsiTheme="majorHAnsi" w:cstheme="majorHAnsi"/>
          <w:b w:val="0"/>
          <w:i w:val="0"/>
          <w:iCs/>
          <w:sz w:val="28"/>
          <w:szCs w:val="28"/>
          <w:lang w:val="en-GB"/>
        </w:rPr>
      </w:pPr>
      <w:r>
        <w:rPr>
          <w:rFonts w:asciiTheme="majorHAnsi" w:eastAsia="Calibri" w:hAnsiTheme="majorHAnsi" w:cstheme="majorHAnsi"/>
          <w:b w:val="0"/>
          <w:i w:val="0"/>
          <w:iCs/>
          <w:sz w:val="28"/>
          <w:szCs w:val="28"/>
          <w:lang w:val="en-GB"/>
        </w:rPr>
        <w:br w:type="page"/>
      </w:r>
    </w:p>
    <w:p w:rsidR="00B96736" w:rsidRPr="00497687" w:rsidRDefault="0011166A" w:rsidP="003427BF">
      <w:pPr>
        <w:spacing w:before="120" w:after="120" w:line="276" w:lineRule="auto"/>
        <w:ind w:left="1559" w:hanging="1559"/>
        <w:jc w:val="center"/>
        <w:rPr>
          <w:rFonts w:asciiTheme="majorHAnsi" w:eastAsia="Calibri" w:hAnsiTheme="majorHAnsi" w:cstheme="majorHAnsi"/>
          <w:i w:val="0"/>
          <w:sz w:val="28"/>
          <w:szCs w:val="28"/>
          <w:lang w:val="en-GB"/>
        </w:rPr>
      </w:pPr>
      <w:r w:rsidRPr="00497687">
        <w:rPr>
          <w:rFonts w:asciiTheme="majorHAnsi" w:eastAsia="Calibri" w:hAnsiTheme="majorHAnsi" w:cstheme="majorHAnsi"/>
          <w:i w:val="0"/>
          <w:sz w:val="28"/>
          <w:szCs w:val="28"/>
          <w:lang w:val="en-GB"/>
        </w:rPr>
        <w:t xml:space="preserve">Figure </w:t>
      </w:r>
      <w:r w:rsidR="00B96736" w:rsidRPr="00497687">
        <w:rPr>
          <w:rFonts w:asciiTheme="majorHAnsi" w:eastAsia="Calibri" w:hAnsiTheme="majorHAnsi" w:cstheme="majorHAnsi"/>
          <w:i w:val="0"/>
          <w:sz w:val="28"/>
          <w:szCs w:val="28"/>
          <w:lang w:val="en-GB"/>
        </w:rPr>
        <w:t>1</w:t>
      </w:r>
      <w:r w:rsidR="00D0725B" w:rsidRPr="00497687">
        <w:rPr>
          <w:rFonts w:asciiTheme="majorHAnsi" w:eastAsia="Calibri" w:hAnsiTheme="majorHAnsi" w:cstheme="majorHAnsi"/>
          <w:i w:val="0"/>
          <w:sz w:val="28"/>
          <w:szCs w:val="28"/>
          <w:lang w:val="en-GB"/>
        </w:rPr>
        <w:t>4</w:t>
      </w:r>
      <w:r w:rsidR="00B96736" w:rsidRPr="00497687">
        <w:rPr>
          <w:rFonts w:asciiTheme="majorHAnsi" w:eastAsia="Calibri" w:hAnsiTheme="majorHAnsi" w:cstheme="majorHAnsi"/>
          <w:i w:val="0"/>
          <w:sz w:val="28"/>
          <w:szCs w:val="28"/>
          <w:lang w:val="en-GB"/>
        </w:rPr>
        <w:t xml:space="preserve">: </w:t>
      </w:r>
      <w:r w:rsidR="00497687" w:rsidRPr="00497687">
        <w:rPr>
          <w:rFonts w:asciiTheme="majorHAnsi" w:eastAsia="Calibri" w:hAnsiTheme="majorHAnsi" w:cstheme="majorHAnsi"/>
          <w:i w:val="0"/>
          <w:sz w:val="28"/>
          <w:szCs w:val="28"/>
          <w:lang w:val="en-GB"/>
        </w:rPr>
        <w:t>Number of s</w:t>
      </w:r>
      <w:r w:rsidRPr="00497687">
        <w:rPr>
          <w:rFonts w:asciiTheme="majorHAnsi" w:eastAsia="Calibri" w:hAnsiTheme="majorHAnsi" w:cstheme="majorHAnsi"/>
          <w:i w:val="0"/>
          <w:sz w:val="28"/>
          <w:szCs w:val="28"/>
          <w:lang w:val="en-GB"/>
        </w:rPr>
        <w:t>ubsistence workers</w:t>
      </w:r>
      <w:r w:rsidR="003F4455" w:rsidRPr="00497687">
        <w:rPr>
          <w:rFonts w:asciiTheme="majorHAnsi" w:eastAsia="Calibri" w:hAnsiTheme="majorHAnsi" w:cstheme="majorHAnsi"/>
          <w:i w:val="0"/>
          <w:sz w:val="28"/>
          <w:szCs w:val="28"/>
          <w:lang w:val="en-GB"/>
        </w:rPr>
        <w:t xml:space="preserve"> by quarter, 2020 - 2022</w:t>
      </w:r>
    </w:p>
    <w:p w:rsidR="00B96736" w:rsidRPr="00497687" w:rsidRDefault="00B96736" w:rsidP="003427BF">
      <w:pPr>
        <w:spacing w:before="120" w:after="120" w:line="276" w:lineRule="auto"/>
        <w:ind w:left="1559" w:hanging="1559"/>
        <w:jc w:val="both"/>
        <w:rPr>
          <w:rFonts w:asciiTheme="majorHAnsi" w:eastAsia="Calibri" w:hAnsiTheme="majorHAnsi" w:cstheme="majorHAnsi"/>
          <w:b w:val="0"/>
          <w:i w:val="0"/>
          <w:sz w:val="28"/>
          <w:szCs w:val="28"/>
          <w:lang w:val="en-GB"/>
        </w:rPr>
      </w:pPr>
      <w:r w:rsidRPr="00497687">
        <w:rPr>
          <w:rFonts w:asciiTheme="majorHAnsi" w:eastAsia="Calibri" w:hAnsiTheme="majorHAnsi" w:cstheme="majorHAnsi"/>
          <w:b w:val="0"/>
          <w:sz w:val="28"/>
          <w:szCs w:val="28"/>
          <w:lang w:val="en-GB"/>
        </w:rPr>
        <w:t xml:space="preserve">                                                                     </w:t>
      </w:r>
      <w:r w:rsidR="00497687">
        <w:rPr>
          <w:rFonts w:asciiTheme="majorHAnsi" w:eastAsia="Calibri" w:hAnsiTheme="majorHAnsi" w:cstheme="majorHAnsi"/>
          <w:b w:val="0"/>
          <w:sz w:val="28"/>
          <w:szCs w:val="28"/>
          <w:lang w:val="en-GB"/>
        </w:rPr>
        <w:t xml:space="preserve">                          </w:t>
      </w:r>
      <w:r w:rsidR="0011166A" w:rsidRPr="00497687">
        <w:rPr>
          <w:rFonts w:asciiTheme="majorHAnsi" w:eastAsia="Calibri" w:hAnsiTheme="majorHAnsi" w:cstheme="majorHAnsi"/>
          <w:b w:val="0"/>
          <w:sz w:val="28"/>
          <w:szCs w:val="28"/>
          <w:lang w:val="en-GB"/>
        </w:rPr>
        <w:t>Unit: Million people</w:t>
      </w:r>
      <w:r w:rsidRPr="00497687">
        <w:rPr>
          <w:rFonts w:asciiTheme="majorHAnsi" w:eastAsia="Calibri" w:hAnsiTheme="majorHAnsi" w:cstheme="majorHAnsi"/>
          <w:b w:val="0"/>
          <w:i w:val="0"/>
          <w:sz w:val="28"/>
          <w:szCs w:val="28"/>
          <w:lang w:val="en-GB"/>
        </w:rPr>
        <w:t xml:space="preserve"> </w:t>
      </w:r>
    </w:p>
    <w:p w:rsidR="00B96736" w:rsidRPr="00497687" w:rsidRDefault="00D0725B" w:rsidP="003427BF">
      <w:pPr>
        <w:spacing w:after="120" w:line="276" w:lineRule="auto"/>
        <w:jc w:val="center"/>
        <w:rPr>
          <w:rFonts w:asciiTheme="majorHAnsi" w:eastAsia="Calibri" w:hAnsiTheme="majorHAnsi" w:cstheme="majorHAnsi"/>
          <w:b w:val="0"/>
          <w:i w:val="0"/>
          <w:iCs/>
          <w:color w:val="FF0000"/>
          <w:sz w:val="28"/>
          <w:szCs w:val="28"/>
          <w:lang w:val="en-GB"/>
        </w:rPr>
      </w:pPr>
      <w:r w:rsidRPr="00497687">
        <w:rPr>
          <w:rFonts w:asciiTheme="majorHAnsi" w:eastAsia="Calibri" w:hAnsiTheme="majorHAnsi" w:cstheme="majorHAnsi"/>
          <w:b w:val="0"/>
          <w:i w:val="0"/>
          <w:iCs/>
          <w:noProof/>
          <w:color w:val="FF0000"/>
          <w:sz w:val="28"/>
          <w:szCs w:val="28"/>
        </w:rPr>
        <w:drawing>
          <wp:inline distT="0" distB="0" distL="0" distR="0">
            <wp:extent cx="4911090" cy="2095500"/>
            <wp:effectExtent l="0" t="0" r="381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2A6402" w:rsidRPr="00497687" w:rsidRDefault="0011166A" w:rsidP="003427BF">
      <w:pPr>
        <w:spacing w:before="120" w:after="120" w:line="276" w:lineRule="auto"/>
        <w:ind w:firstLine="709"/>
        <w:jc w:val="both"/>
        <w:rPr>
          <w:rFonts w:asciiTheme="majorHAnsi" w:hAnsiTheme="majorHAnsi" w:cstheme="majorHAnsi"/>
          <w:b w:val="0"/>
          <w:i w:val="0"/>
          <w:color w:val="000000" w:themeColor="text1"/>
          <w:sz w:val="28"/>
          <w:szCs w:val="28"/>
          <w:lang w:val="en-GB"/>
        </w:rPr>
      </w:pPr>
      <w:r w:rsidRPr="00497687">
        <w:rPr>
          <w:rFonts w:asciiTheme="majorHAnsi" w:hAnsiTheme="majorHAnsi" w:cstheme="majorHAnsi"/>
          <w:b w:val="0"/>
          <w:i w:val="0"/>
          <w:color w:val="000000" w:themeColor="text1"/>
          <w:sz w:val="28"/>
          <w:szCs w:val="28"/>
          <w:lang w:val="en-GB"/>
        </w:rPr>
        <w:t>On average, per week, subsistence workers spend 1</w:t>
      </w:r>
      <w:r w:rsidR="008F7B53" w:rsidRPr="00497687">
        <w:rPr>
          <w:rFonts w:asciiTheme="majorHAnsi" w:hAnsiTheme="majorHAnsi" w:cstheme="majorHAnsi"/>
          <w:b w:val="0"/>
          <w:i w:val="0"/>
          <w:color w:val="000000" w:themeColor="text1"/>
          <w:sz w:val="28"/>
          <w:szCs w:val="28"/>
          <w:lang w:val="en-GB"/>
        </w:rPr>
        <w:t>9</w:t>
      </w:r>
      <w:r w:rsidRPr="00497687">
        <w:rPr>
          <w:rFonts w:asciiTheme="majorHAnsi" w:hAnsiTheme="majorHAnsi" w:cstheme="majorHAnsi"/>
          <w:b w:val="0"/>
          <w:i w:val="0"/>
          <w:color w:val="000000" w:themeColor="text1"/>
          <w:sz w:val="28"/>
          <w:szCs w:val="28"/>
          <w:lang w:val="en-GB"/>
        </w:rPr>
        <w:t xml:space="preserve"> hours on agricultural work (equivalent to 2.</w:t>
      </w:r>
      <w:r w:rsidR="008F7B53" w:rsidRPr="00497687">
        <w:rPr>
          <w:rFonts w:asciiTheme="majorHAnsi" w:hAnsiTheme="majorHAnsi" w:cstheme="majorHAnsi"/>
          <w:b w:val="0"/>
          <w:i w:val="0"/>
          <w:color w:val="000000" w:themeColor="text1"/>
          <w:sz w:val="28"/>
          <w:szCs w:val="28"/>
          <w:lang w:val="en-GB"/>
        </w:rPr>
        <w:t>7</w:t>
      </w:r>
      <w:r w:rsidRPr="00497687">
        <w:rPr>
          <w:rFonts w:asciiTheme="majorHAnsi" w:hAnsiTheme="majorHAnsi" w:cstheme="majorHAnsi"/>
          <w:b w:val="0"/>
          <w:i w:val="0"/>
          <w:color w:val="000000" w:themeColor="text1"/>
          <w:sz w:val="28"/>
          <w:szCs w:val="28"/>
          <w:lang w:val="en-GB"/>
        </w:rPr>
        <w:t xml:space="preserve"> hours/day) and 1</w:t>
      </w:r>
      <w:r w:rsidR="008F7B53" w:rsidRPr="00497687">
        <w:rPr>
          <w:rFonts w:asciiTheme="majorHAnsi" w:hAnsiTheme="majorHAnsi" w:cstheme="majorHAnsi"/>
          <w:b w:val="0"/>
          <w:i w:val="0"/>
          <w:color w:val="000000" w:themeColor="text1"/>
          <w:sz w:val="28"/>
          <w:szCs w:val="28"/>
          <w:lang w:val="en-GB"/>
        </w:rPr>
        <w:t>5</w:t>
      </w:r>
      <w:r w:rsidRPr="00497687">
        <w:rPr>
          <w:rFonts w:asciiTheme="majorHAnsi" w:hAnsiTheme="majorHAnsi" w:cstheme="majorHAnsi"/>
          <w:b w:val="0"/>
          <w:i w:val="0"/>
          <w:color w:val="000000" w:themeColor="text1"/>
          <w:sz w:val="28"/>
          <w:szCs w:val="28"/>
          <w:lang w:val="en-GB"/>
        </w:rPr>
        <w:t>.</w:t>
      </w:r>
      <w:r w:rsidR="008F7B53" w:rsidRPr="00497687">
        <w:rPr>
          <w:rFonts w:asciiTheme="majorHAnsi" w:hAnsiTheme="majorHAnsi" w:cstheme="majorHAnsi"/>
          <w:b w:val="0"/>
          <w:i w:val="0"/>
          <w:color w:val="000000" w:themeColor="text1"/>
          <w:sz w:val="28"/>
          <w:szCs w:val="28"/>
          <w:lang w:val="en-GB"/>
        </w:rPr>
        <w:t>7</w:t>
      </w:r>
      <w:r w:rsidRPr="00497687">
        <w:rPr>
          <w:rFonts w:asciiTheme="majorHAnsi" w:hAnsiTheme="majorHAnsi" w:cstheme="majorHAnsi"/>
          <w:b w:val="0"/>
          <w:i w:val="0"/>
          <w:color w:val="000000" w:themeColor="text1"/>
          <w:sz w:val="28"/>
          <w:szCs w:val="28"/>
          <w:lang w:val="en-GB"/>
        </w:rPr>
        <w:t xml:space="preserve"> hours on housework (equivalent to 2.</w:t>
      </w:r>
      <w:r w:rsidR="008F7B53" w:rsidRPr="00497687">
        <w:rPr>
          <w:rFonts w:asciiTheme="majorHAnsi" w:hAnsiTheme="majorHAnsi" w:cstheme="majorHAnsi"/>
          <w:b w:val="0"/>
          <w:i w:val="0"/>
          <w:color w:val="000000" w:themeColor="text1"/>
          <w:sz w:val="28"/>
          <w:szCs w:val="28"/>
          <w:lang w:val="en-GB"/>
        </w:rPr>
        <w:t>2</w:t>
      </w:r>
      <w:r w:rsidRPr="00497687">
        <w:rPr>
          <w:rFonts w:asciiTheme="majorHAnsi" w:hAnsiTheme="majorHAnsi" w:cstheme="majorHAnsi"/>
          <w:b w:val="0"/>
          <w:i w:val="0"/>
          <w:color w:val="000000" w:themeColor="text1"/>
          <w:sz w:val="28"/>
          <w:szCs w:val="28"/>
          <w:lang w:val="en-GB"/>
        </w:rPr>
        <w:t xml:space="preserve"> hours/day). On average, per week, subsistence female workers have to spend 1</w:t>
      </w:r>
      <w:r w:rsidR="008F7B53" w:rsidRPr="00497687">
        <w:rPr>
          <w:rFonts w:asciiTheme="majorHAnsi" w:hAnsiTheme="majorHAnsi" w:cstheme="majorHAnsi"/>
          <w:b w:val="0"/>
          <w:i w:val="0"/>
          <w:color w:val="000000" w:themeColor="text1"/>
          <w:sz w:val="28"/>
          <w:szCs w:val="28"/>
          <w:lang w:val="en-GB"/>
        </w:rPr>
        <w:t>8</w:t>
      </w:r>
      <w:r w:rsidRPr="00497687">
        <w:rPr>
          <w:rFonts w:asciiTheme="majorHAnsi" w:hAnsiTheme="majorHAnsi" w:cstheme="majorHAnsi"/>
          <w:b w:val="0"/>
          <w:i w:val="0"/>
          <w:color w:val="000000" w:themeColor="text1"/>
          <w:sz w:val="28"/>
          <w:szCs w:val="28"/>
          <w:lang w:val="en-GB"/>
        </w:rPr>
        <w:t>.</w:t>
      </w:r>
      <w:r w:rsidR="008F7B53" w:rsidRPr="00497687">
        <w:rPr>
          <w:rFonts w:asciiTheme="majorHAnsi" w:hAnsiTheme="majorHAnsi" w:cstheme="majorHAnsi"/>
          <w:b w:val="0"/>
          <w:i w:val="0"/>
          <w:color w:val="000000" w:themeColor="text1"/>
          <w:sz w:val="28"/>
          <w:szCs w:val="28"/>
          <w:lang w:val="en-GB"/>
        </w:rPr>
        <w:t>4</w:t>
      </w:r>
      <w:r w:rsidRPr="00497687">
        <w:rPr>
          <w:rFonts w:asciiTheme="majorHAnsi" w:hAnsiTheme="majorHAnsi" w:cstheme="majorHAnsi"/>
          <w:b w:val="0"/>
          <w:i w:val="0"/>
          <w:color w:val="000000" w:themeColor="text1"/>
          <w:sz w:val="28"/>
          <w:szCs w:val="28"/>
          <w:lang w:val="en-GB"/>
        </w:rPr>
        <w:t xml:space="preserve"> hours on household </w:t>
      </w:r>
      <w:r w:rsidR="003F4455" w:rsidRPr="00497687">
        <w:rPr>
          <w:rFonts w:asciiTheme="majorHAnsi" w:hAnsiTheme="majorHAnsi" w:cstheme="majorHAnsi"/>
          <w:b w:val="0"/>
          <w:i w:val="0"/>
          <w:color w:val="000000" w:themeColor="text1"/>
          <w:sz w:val="28"/>
          <w:szCs w:val="28"/>
          <w:lang w:val="en-GB"/>
        </w:rPr>
        <w:t>chores</w:t>
      </w:r>
      <w:r w:rsidRPr="00497687">
        <w:rPr>
          <w:rFonts w:asciiTheme="majorHAnsi" w:hAnsiTheme="majorHAnsi" w:cstheme="majorHAnsi"/>
          <w:b w:val="0"/>
          <w:i w:val="0"/>
          <w:color w:val="000000" w:themeColor="text1"/>
          <w:sz w:val="28"/>
          <w:szCs w:val="28"/>
          <w:lang w:val="en-GB"/>
        </w:rPr>
        <w:t xml:space="preserve"> while this figure for men is </w:t>
      </w:r>
      <w:r w:rsidR="008F7B53" w:rsidRPr="00497687">
        <w:rPr>
          <w:rFonts w:asciiTheme="majorHAnsi" w:hAnsiTheme="majorHAnsi" w:cstheme="majorHAnsi"/>
          <w:b w:val="0"/>
          <w:i w:val="0"/>
          <w:color w:val="000000" w:themeColor="text1"/>
          <w:sz w:val="28"/>
          <w:szCs w:val="28"/>
          <w:lang w:val="en-GB"/>
        </w:rPr>
        <w:t>11.1</w:t>
      </w:r>
      <w:r w:rsidRPr="00497687">
        <w:rPr>
          <w:rFonts w:asciiTheme="majorHAnsi" w:hAnsiTheme="majorHAnsi" w:cstheme="majorHAnsi"/>
          <w:b w:val="0"/>
          <w:i w:val="0"/>
          <w:color w:val="000000" w:themeColor="text1"/>
          <w:sz w:val="28"/>
          <w:szCs w:val="28"/>
          <w:lang w:val="en-GB"/>
        </w:rPr>
        <w:t xml:space="preserve"> hours.</w:t>
      </w:r>
    </w:p>
    <w:p w:rsidR="00526B72" w:rsidRPr="00497687" w:rsidRDefault="00722938" w:rsidP="003427BF">
      <w:pPr>
        <w:overflowPunct w:val="0"/>
        <w:autoSpaceDE w:val="0"/>
        <w:autoSpaceDN w:val="0"/>
        <w:adjustRightInd w:val="0"/>
        <w:spacing w:before="120" w:after="120" w:line="276" w:lineRule="auto"/>
        <w:ind w:firstLine="720"/>
        <w:jc w:val="both"/>
        <w:rPr>
          <w:rFonts w:asciiTheme="majorHAnsi" w:eastAsia="Calibri" w:hAnsiTheme="majorHAnsi" w:cstheme="majorHAnsi"/>
          <w:i w:val="0"/>
          <w:sz w:val="28"/>
          <w:szCs w:val="28"/>
          <w:lang w:val="en-GB"/>
        </w:rPr>
      </w:pPr>
      <w:r w:rsidRPr="00497687">
        <w:rPr>
          <w:rFonts w:asciiTheme="majorHAnsi" w:eastAsia="Calibri" w:hAnsiTheme="majorHAnsi" w:cstheme="majorHAnsi"/>
          <w:i w:val="0"/>
          <w:sz w:val="28"/>
          <w:szCs w:val="28"/>
          <w:lang w:val="en-GB"/>
        </w:rPr>
        <w:t xml:space="preserve">3. </w:t>
      </w:r>
      <w:r w:rsidR="00526B72" w:rsidRPr="00497687">
        <w:rPr>
          <w:rFonts w:asciiTheme="majorHAnsi" w:eastAsia="Calibri" w:hAnsiTheme="majorHAnsi" w:cstheme="majorHAnsi"/>
          <w:i w:val="0"/>
          <w:sz w:val="28"/>
          <w:szCs w:val="28"/>
          <w:lang w:val="en-GB"/>
        </w:rPr>
        <w:t>Conclusions and recommendations</w:t>
      </w:r>
    </w:p>
    <w:p w:rsidR="001D1BB8" w:rsidRPr="00497687" w:rsidRDefault="001D1BB8" w:rsidP="003427BF">
      <w:pPr>
        <w:spacing w:before="120" w:after="120" w:line="276" w:lineRule="auto"/>
        <w:ind w:firstLine="709"/>
        <w:jc w:val="both"/>
        <w:rPr>
          <w:rFonts w:asciiTheme="majorHAnsi" w:hAnsiTheme="majorHAnsi" w:cstheme="majorHAnsi"/>
          <w:b w:val="0"/>
          <w:i w:val="0"/>
          <w:color w:val="000000" w:themeColor="text1"/>
          <w:sz w:val="28"/>
          <w:szCs w:val="28"/>
          <w:lang w:val="en-GB"/>
        </w:rPr>
      </w:pPr>
      <w:r w:rsidRPr="00497687">
        <w:rPr>
          <w:rFonts w:asciiTheme="majorHAnsi" w:hAnsiTheme="majorHAnsi" w:cstheme="majorHAnsi"/>
          <w:b w:val="0"/>
          <w:i w:val="0"/>
          <w:color w:val="000000" w:themeColor="text1"/>
          <w:sz w:val="28"/>
          <w:szCs w:val="28"/>
          <w:lang w:val="en-GB"/>
        </w:rPr>
        <w:t xml:space="preserve">It was thanks to the strong </w:t>
      </w:r>
      <w:r w:rsidR="00F306FF" w:rsidRPr="00497687">
        <w:rPr>
          <w:rFonts w:asciiTheme="majorHAnsi" w:hAnsiTheme="majorHAnsi" w:cstheme="majorHAnsi"/>
          <w:b w:val="0"/>
          <w:i w:val="0"/>
          <w:color w:val="000000" w:themeColor="text1"/>
          <w:sz w:val="28"/>
          <w:szCs w:val="28"/>
          <w:lang w:val="en-GB"/>
        </w:rPr>
        <w:t>motto</w:t>
      </w:r>
      <w:r w:rsidRPr="00497687">
        <w:rPr>
          <w:rFonts w:asciiTheme="majorHAnsi" w:hAnsiTheme="majorHAnsi" w:cstheme="majorHAnsi"/>
          <w:b w:val="0"/>
          <w:i w:val="0"/>
          <w:color w:val="000000" w:themeColor="text1"/>
          <w:sz w:val="28"/>
          <w:szCs w:val="28"/>
          <w:lang w:val="en-GB"/>
        </w:rPr>
        <w:t xml:space="preserve"> of </w:t>
      </w:r>
      <w:r w:rsidR="00F622A3">
        <w:rPr>
          <w:rFonts w:asciiTheme="majorHAnsi" w:hAnsiTheme="majorHAnsi" w:cstheme="majorHAnsi"/>
          <w:b w:val="0"/>
          <w:i w:val="0"/>
          <w:color w:val="000000" w:themeColor="text1"/>
          <w:sz w:val="28"/>
          <w:szCs w:val="28"/>
          <w:lang w:val="en-GB"/>
        </w:rPr>
        <w:t>“</w:t>
      </w:r>
      <w:r w:rsidRPr="00497687">
        <w:rPr>
          <w:rFonts w:asciiTheme="majorHAnsi" w:hAnsiTheme="majorHAnsi" w:cstheme="majorHAnsi"/>
          <w:b w:val="0"/>
          <w:i w:val="0"/>
          <w:color w:val="000000" w:themeColor="text1"/>
          <w:sz w:val="28"/>
          <w:szCs w:val="28"/>
          <w:lang w:val="en-GB"/>
        </w:rPr>
        <w:t>Safe and flexible adaptation to and effective control of the Covid-19 pandemic</w:t>
      </w:r>
      <w:r w:rsidR="00F622A3">
        <w:rPr>
          <w:rFonts w:asciiTheme="majorHAnsi" w:hAnsiTheme="majorHAnsi" w:cstheme="majorHAnsi"/>
          <w:b w:val="0"/>
          <w:i w:val="0"/>
          <w:color w:val="000000" w:themeColor="text1"/>
          <w:sz w:val="28"/>
          <w:szCs w:val="28"/>
          <w:lang w:val="en-GB"/>
        </w:rPr>
        <w:t>”</w:t>
      </w:r>
      <w:r w:rsidRPr="00497687">
        <w:rPr>
          <w:rFonts w:asciiTheme="majorHAnsi" w:hAnsiTheme="majorHAnsi" w:cstheme="majorHAnsi"/>
          <w:b w:val="0"/>
          <w:i w:val="0"/>
          <w:color w:val="000000" w:themeColor="text1"/>
          <w:sz w:val="28"/>
          <w:szCs w:val="28"/>
          <w:lang w:val="en-GB"/>
        </w:rPr>
        <w:t xml:space="preserve"> along with appropriate and bold solutions taken by the Government and sectors at different levels in the implementation of the </w:t>
      </w:r>
      <w:r w:rsidR="001A28D6">
        <w:rPr>
          <w:rFonts w:asciiTheme="majorHAnsi" w:hAnsiTheme="majorHAnsi" w:cstheme="majorHAnsi"/>
          <w:b w:val="0"/>
          <w:i w:val="0"/>
          <w:color w:val="000000" w:themeColor="text1"/>
          <w:sz w:val="28"/>
          <w:szCs w:val="28"/>
          <w:lang w:val="en-GB"/>
        </w:rPr>
        <w:t>Socio-Economic Recovery and Development Programme</w:t>
      </w:r>
      <w:r w:rsidRPr="00497687">
        <w:rPr>
          <w:rFonts w:asciiTheme="majorHAnsi" w:hAnsiTheme="majorHAnsi" w:cstheme="majorHAnsi"/>
          <w:b w:val="0"/>
          <w:i w:val="0"/>
          <w:color w:val="000000" w:themeColor="text1"/>
          <w:sz w:val="28"/>
          <w:szCs w:val="28"/>
          <w:lang w:val="en-GB"/>
        </w:rPr>
        <w:t xml:space="preserve"> in the spirit of Resolution No. 11/NQ-CP that Viet Nam</w:t>
      </w:r>
      <w:r w:rsidR="00F622A3">
        <w:rPr>
          <w:rFonts w:asciiTheme="majorHAnsi" w:hAnsiTheme="majorHAnsi" w:cstheme="majorHAnsi"/>
          <w:b w:val="0"/>
          <w:i w:val="0"/>
          <w:color w:val="000000" w:themeColor="text1"/>
          <w:sz w:val="28"/>
          <w:szCs w:val="28"/>
          <w:lang w:val="en-GB"/>
        </w:rPr>
        <w:t>’</w:t>
      </w:r>
      <w:r w:rsidRPr="00497687">
        <w:rPr>
          <w:rFonts w:asciiTheme="majorHAnsi" w:hAnsiTheme="majorHAnsi" w:cstheme="majorHAnsi"/>
          <w:b w:val="0"/>
          <w:i w:val="0"/>
          <w:color w:val="000000" w:themeColor="text1"/>
          <w:sz w:val="28"/>
          <w:szCs w:val="28"/>
          <w:lang w:val="en-GB"/>
        </w:rPr>
        <w:t xml:space="preserve">s </w:t>
      </w:r>
      <w:r w:rsidR="00497687" w:rsidRPr="00497687">
        <w:rPr>
          <w:rFonts w:asciiTheme="majorHAnsi" w:hAnsiTheme="majorHAnsi" w:cstheme="majorHAnsi"/>
          <w:b w:val="0"/>
          <w:i w:val="0"/>
          <w:color w:val="000000" w:themeColor="text1"/>
          <w:sz w:val="28"/>
          <w:szCs w:val="28"/>
          <w:lang w:val="en-GB"/>
        </w:rPr>
        <w:t xml:space="preserve">labour </w:t>
      </w:r>
      <w:r w:rsidRPr="00497687">
        <w:rPr>
          <w:rFonts w:asciiTheme="majorHAnsi" w:hAnsiTheme="majorHAnsi" w:cstheme="majorHAnsi"/>
          <w:b w:val="0"/>
          <w:i w:val="0"/>
          <w:color w:val="000000" w:themeColor="text1"/>
          <w:sz w:val="28"/>
          <w:szCs w:val="28"/>
          <w:lang w:val="en-GB"/>
        </w:rPr>
        <w:t xml:space="preserve">market in the second quarter of 2022 has prospered. The number of workers negatively affected by the Covid-19 pandemic has decreased sharply, the number of people entering the </w:t>
      </w:r>
      <w:r w:rsidR="00497687" w:rsidRPr="00497687">
        <w:rPr>
          <w:rFonts w:asciiTheme="majorHAnsi" w:hAnsiTheme="majorHAnsi" w:cstheme="majorHAnsi"/>
          <w:b w:val="0"/>
          <w:i w:val="0"/>
          <w:color w:val="000000" w:themeColor="text1"/>
          <w:sz w:val="28"/>
          <w:szCs w:val="28"/>
          <w:lang w:val="en-GB"/>
        </w:rPr>
        <w:t xml:space="preserve">labour </w:t>
      </w:r>
      <w:r w:rsidRPr="00497687">
        <w:rPr>
          <w:rFonts w:asciiTheme="majorHAnsi" w:hAnsiTheme="majorHAnsi" w:cstheme="majorHAnsi"/>
          <w:b w:val="0"/>
          <w:i w:val="0"/>
          <w:color w:val="000000" w:themeColor="text1"/>
          <w:sz w:val="28"/>
          <w:szCs w:val="28"/>
          <w:lang w:val="en-GB"/>
        </w:rPr>
        <w:t xml:space="preserve">force continued to increase, and the number of employed workers has increased sharply, especially in the services sector. </w:t>
      </w:r>
      <w:r w:rsidR="00497687" w:rsidRPr="00497687">
        <w:rPr>
          <w:rFonts w:asciiTheme="majorHAnsi" w:hAnsiTheme="majorHAnsi" w:cstheme="majorHAnsi"/>
          <w:b w:val="0"/>
          <w:i w:val="0"/>
          <w:color w:val="000000" w:themeColor="text1"/>
          <w:sz w:val="28"/>
          <w:szCs w:val="28"/>
          <w:lang w:val="en-GB"/>
        </w:rPr>
        <w:t xml:space="preserve">Labour </w:t>
      </w:r>
      <w:r w:rsidRPr="00497687">
        <w:rPr>
          <w:rFonts w:asciiTheme="majorHAnsi" w:hAnsiTheme="majorHAnsi" w:cstheme="majorHAnsi"/>
          <w:b w:val="0"/>
          <w:i w:val="0"/>
          <w:color w:val="000000" w:themeColor="text1"/>
          <w:sz w:val="28"/>
          <w:szCs w:val="28"/>
          <w:lang w:val="en-GB"/>
        </w:rPr>
        <w:t>market growth has become more sustainable with the increase concentrated mainly in formally employed workers. Unemployment and underemployment both fell. Workers</w:t>
      </w:r>
      <w:r w:rsidR="00F622A3">
        <w:rPr>
          <w:rFonts w:asciiTheme="majorHAnsi" w:hAnsiTheme="majorHAnsi" w:cstheme="majorHAnsi"/>
          <w:b w:val="0"/>
          <w:i w:val="0"/>
          <w:color w:val="000000" w:themeColor="text1"/>
          <w:sz w:val="28"/>
          <w:szCs w:val="28"/>
          <w:lang w:val="en-GB"/>
        </w:rPr>
        <w:t>’</w:t>
      </w:r>
      <w:r w:rsidRPr="00497687">
        <w:rPr>
          <w:rFonts w:asciiTheme="majorHAnsi" w:hAnsiTheme="majorHAnsi" w:cstheme="majorHAnsi"/>
          <w:b w:val="0"/>
          <w:i w:val="0"/>
          <w:color w:val="000000" w:themeColor="text1"/>
          <w:sz w:val="28"/>
          <w:szCs w:val="28"/>
          <w:lang w:val="en-GB"/>
        </w:rPr>
        <w:t xml:space="preserve"> income continued to improve.</w:t>
      </w:r>
    </w:p>
    <w:p w:rsidR="001D1BB8" w:rsidRPr="00497687" w:rsidRDefault="00F306FF" w:rsidP="003427BF">
      <w:pPr>
        <w:spacing w:before="120" w:after="120" w:line="276" w:lineRule="auto"/>
        <w:ind w:firstLine="709"/>
        <w:jc w:val="both"/>
        <w:rPr>
          <w:rFonts w:asciiTheme="majorHAnsi" w:hAnsiTheme="majorHAnsi" w:cstheme="majorHAnsi"/>
          <w:b w:val="0"/>
          <w:i w:val="0"/>
          <w:color w:val="000000" w:themeColor="text1"/>
          <w:sz w:val="28"/>
          <w:szCs w:val="28"/>
          <w:lang w:val="en-GB"/>
        </w:rPr>
      </w:pPr>
      <w:r w:rsidRPr="00497687">
        <w:rPr>
          <w:rFonts w:asciiTheme="majorHAnsi" w:hAnsiTheme="majorHAnsi" w:cstheme="majorHAnsi"/>
          <w:b w:val="0"/>
          <w:i w:val="0"/>
          <w:color w:val="000000" w:themeColor="text1"/>
          <w:sz w:val="28"/>
          <w:szCs w:val="28"/>
          <w:lang w:val="en-GB"/>
        </w:rPr>
        <w:t>Nevertheless, going forward, Viet Nam</w:t>
      </w:r>
      <w:r w:rsidR="00F622A3">
        <w:rPr>
          <w:rFonts w:asciiTheme="majorHAnsi" w:hAnsiTheme="majorHAnsi" w:cstheme="majorHAnsi"/>
          <w:b w:val="0"/>
          <w:i w:val="0"/>
          <w:color w:val="000000" w:themeColor="text1"/>
          <w:sz w:val="28"/>
          <w:szCs w:val="28"/>
          <w:lang w:val="en-GB"/>
        </w:rPr>
        <w:t>’</w:t>
      </w:r>
      <w:r w:rsidRPr="00497687">
        <w:rPr>
          <w:rFonts w:asciiTheme="majorHAnsi" w:hAnsiTheme="majorHAnsi" w:cstheme="majorHAnsi"/>
          <w:b w:val="0"/>
          <w:i w:val="0"/>
          <w:color w:val="000000" w:themeColor="text1"/>
          <w:sz w:val="28"/>
          <w:szCs w:val="28"/>
          <w:lang w:val="en-GB"/>
        </w:rPr>
        <w:t xml:space="preserve">s </w:t>
      </w:r>
      <w:r w:rsidR="00497687" w:rsidRPr="00497687">
        <w:rPr>
          <w:rFonts w:asciiTheme="majorHAnsi" w:hAnsiTheme="majorHAnsi" w:cstheme="majorHAnsi"/>
          <w:b w:val="0"/>
          <w:i w:val="0"/>
          <w:color w:val="000000" w:themeColor="text1"/>
          <w:sz w:val="28"/>
          <w:szCs w:val="28"/>
          <w:lang w:val="en-GB"/>
        </w:rPr>
        <w:t xml:space="preserve">labour </w:t>
      </w:r>
      <w:r w:rsidRPr="00497687">
        <w:rPr>
          <w:rFonts w:asciiTheme="majorHAnsi" w:hAnsiTheme="majorHAnsi" w:cstheme="majorHAnsi"/>
          <w:b w:val="0"/>
          <w:i w:val="0"/>
          <w:color w:val="000000" w:themeColor="text1"/>
          <w:sz w:val="28"/>
          <w:szCs w:val="28"/>
          <w:lang w:val="en-GB"/>
        </w:rPr>
        <w:t>market may still face many difficulties and challenges due to the pressure of increasing prices in gasoline and essential commodities attributable to the Russia-Ukraine crisis. Against this situation, the General Statistics Office hereby proposes a number of solutions as follows:</w:t>
      </w:r>
    </w:p>
    <w:p w:rsidR="001D1BB8" w:rsidRPr="00497687" w:rsidRDefault="00F306FF" w:rsidP="003427BF">
      <w:pPr>
        <w:spacing w:before="120" w:after="120" w:line="276" w:lineRule="auto"/>
        <w:ind w:firstLine="709"/>
        <w:jc w:val="both"/>
        <w:rPr>
          <w:rFonts w:asciiTheme="majorHAnsi" w:hAnsiTheme="majorHAnsi" w:cstheme="majorHAnsi"/>
          <w:b w:val="0"/>
          <w:i w:val="0"/>
          <w:color w:val="000000" w:themeColor="text1"/>
          <w:sz w:val="28"/>
          <w:szCs w:val="28"/>
          <w:lang w:val="en-GB"/>
        </w:rPr>
      </w:pPr>
      <w:r w:rsidRPr="00497687">
        <w:rPr>
          <w:rFonts w:asciiTheme="majorHAnsi" w:hAnsiTheme="majorHAnsi" w:cstheme="majorHAnsi"/>
          <w:b w:val="0"/>
          <w:i w:val="0"/>
          <w:color w:val="000000" w:themeColor="text1"/>
          <w:sz w:val="28"/>
          <w:szCs w:val="28"/>
          <w:lang w:val="en-GB"/>
        </w:rPr>
        <w:t xml:space="preserve">- Continue to adhere consistently to the motto </w:t>
      </w:r>
      <w:r w:rsidR="00F622A3">
        <w:rPr>
          <w:rFonts w:asciiTheme="majorHAnsi" w:hAnsiTheme="majorHAnsi" w:cstheme="majorHAnsi"/>
          <w:b w:val="0"/>
          <w:i w:val="0"/>
          <w:color w:val="000000" w:themeColor="text1"/>
          <w:sz w:val="28"/>
          <w:szCs w:val="28"/>
          <w:lang w:val="en-GB"/>
        </w:rPr>
        <w:t>“</w:t>
      </w:r>
      <w:r w:rsidRPr="00497687">
        <w:rPr>
          <w:rFonts w:asciiTheme="majorHAnsi" w:hAnsiTheme="majorHAnsi" w:cstheme="majorHAnsi"/>
          <w:b w:val="0"/>
          <w:i w:val="0"/>
          <w:color w:val="000000" w:themeColor="text1"/>
          <w:sz w:val="28"/>
          <w:szCs w:val="28"/>
          <w:lang w:val="en-GB"/>
        </w:rPr>
        <w:t>safe and flexible adaptation to and effective control of the Covid-19 pandemic</w:t>
      </w:r>
      <w:r w:rsidR="00F622A3">
        <w:rPr>
          <w:rFonts w:asciiTheme="majorHAnsi" w:hAnsiTheme="majorHAnsi" w:cstheme="majorHAnsi"/>
          <w:b w:val="0"/>
          <w:i w:val="0"/>
          <w:color w:val="000000" w:themeColor="text1"/>
          <w:sz w:val="28"/>
          <w:szCs w:val="28"/>
          <w:lang w:val="en-GB"/>
        </w:rPr>
        <w:t>”</w:t>
      </w:r>
      <w:r w:rsidRPr="00497687">
        <w:rPr>
          <w:rFonts w:asciiTheme="majorHAnsi" w:hAnsiTheme="majorHAnsi" w:cstheme="majorHAnsi"/>
          <w:b w:val="0"/>
          <w:i w:val="0"/>
          <w:color w:val="000000" w:themeColor="text1"/>
          <w:sz w:val="28"/>
          <w:szCs w:val="28"/>
          <w:lang w:val="en-GB"/>
        </w:rPr>
        <w:t xml:space="preserve">; without being subjective or negligent </w:t>
      </w:r>
      <w:r w:rsidR="00F622A3">
        <w:rPr>
          <w:rFonts w:asciiTheme="majorHAnsi" w:hAnsiTheme="majorHAnsi" w:cstheme="majorHAnsi"/>
          <w:b w:val="0"/>
          <w:i w:val="0"/>
          <w:color w:val="000000" w:themeColor="text1"/>
          <w:sz w:val="28"/>
          <w:szCs w:val="28"/>
          <w:lang w:val="en-GB"/>
        </w:rPr>
        <w:t>about</w:t>
      </w:r>
      <w:r w:rsidRPr="00497687">
        <w:rPr>
          <w:rFonts w:asciiTheme="majorHAnsi" w:hAnsiTheme="majorHAnsi" w:cstheme="majorHAnsi"/>
          <w:b w:val="0"/>
          <w:i w:val="0"/>
          <w:color w:val="000000" w:themeColor="text1"/>
          <w:sz w:val="28"/>
          <w:szCs w:val="28"/>
          <w:lang w:val="en-GB"/>
        </w:rPr>
        <w:t xml:space="preserve"> the complicated and unpredictable developments of the pandemic and the occurrence of new variants. It is necessary to already </w:t>
      </w:r>
      <w:r w:rsidR="00F622A3">
        <w:rPr>
          <w:rFonts w:asciiTheme="majorHAnsi" w:hAnsiTheme="majorHAnsi" w:cstheme="majorHAnsi"/>
          <w:b w:val="0"/>
          <w:i w:val="0"/>
          <w:color w:val="000000" w:themeColor="text1"/>
          <w:sz w:val="28"/>
          <w:szCs w:val="28"/>
          <w:lang w:val="en-GB"/>
        </w:rPr>
        <w:t>formulate</w:t>
      </w:r>
      <w:r w:rsidRPr="00497687">
        <w:rPr>
          <w:rFonts w:asciiTheme="majorHAnsi" w:hAnsiTheme="majorHAnsi" w:cstheme="majorHAnsi"/>
          <w:b w:val="0"/>
          <w:i w:val="0"/>
          <w:color w:val="000000" w:themeColor="text1"/>
          <w:sz w:val="28"/>
          <w:szCs w:val="28"/>
          <w:lang w:val="en-GB"/>
        </w:rPr>
        <w:t xml:space="preserve"> scenarios to </w:t>
      </w:r>
      <w:r w:rsidR="00D620E3">
        <w:rPr>
          <w:rFonts w:asciiTheme="majorHAnsi" w:hAnsiTheme="majorHAnsi" w:cstheme="majorHAnsi"/>
          <w:b w:val="0"/>
          <w:i w:val="0"/>
          <w:color w:val="000000" w:themeColor="text1"/>
          <w:sz w:val="28"/>
          <w:szCs w:val="28"/>
          <w:lang w:val="en-GB"/>
        </w:rPr>
        <w:t>cope</w:t>
      </w:r>
      <w:r w:rsidRPr="00497687">
        <w:rPr>
          <w:rFonts w:asciiTheme="majorHAnsi" w:hAnsiTheme="majorHAnsi" w:cstheme="majorHAnsi"/>
          <w:b w:val="0"/>
          <w:i w:val="0"/>
          <w:color w:val="000000" w:themeColor="text1"/>
          <w:sz w:val="28"/>
          <w:szCs w:val="28"/>
          <w:lang w:val="en-GB"/>
        </w:rPr>
        <w:t xml:space="preserve"> with new variants of the pandemi</w:t>
      </w:r>
      <w:r w:rsidR="00235AEC">
        <w:rPr>
          <w:rFonts w:asciiTheme="majorHAnsi" w:hAnsiTheme="majorHAnsi" w:cstheme="majorHAnsi"/>
          <w:b w:val="0"/>
          <w:i w:val="0"/>
          <w:color w:val="000000" w:themeColor="text1"/>
          <w:sz w:val="28"/>
          <w:szCs w:val="28"/>
          <w:lang w:val="en-GB"/>
        </w:rPr>
        <w:t>c that are likely to enter Viet N</w:t>
      </w:r>
      <w:r w:rsidRPr="00497687">
        <w:rPr>
          <w:rFonts w:asciiTheme="majorHAnsi" w:hAnsiTheme="majorHAnsi" w:cstheme="majorHAnsi"/>
          <w:b w:val="0"/>
          <w:i w:val="0"/>
          <w:color w:val="000000" w:themeColor="text1"/>
          <w:sz w:val="28"/>
          <w:szCs w:val="28"/>
          <w:lang w:val="en-GB"/>
        </w:rPr>
        <w:t>am going forward.</w:t>
      </w:r>
    </w:p>
    <w:p w:rsidR="00F306FF" w:rsidRPr="00497687" w:rsidRDefault="00F306FF" w:rsidP="003427BF">
      <w:pPr>
        <w:spacing w:before="120" w:after="120" w:line="276" w:lineRule="auto"/>
        <w:ind w:firstLine="709"/>
        <w:jc w:val="both"/>
        <w:rPr>
          <w:rFonts w:asciiTheme="majorHAnsi" w:hAnsiTheme="majorHAnsi" w:cstheme="majorHAnsi"/>
          <w:b w:val="0"/>
          <w:i w:val="0"/>
          <w:color w:val="000000" w:themeColor="text1"/>
          <w:sz w:val="28"/>
          <w:szCs w:val="28"/>
          <w:lang w:val="en-GB"/>
        </w:rPr>
      </w:pPr>
      <w:r w:rsidRPr="00497687">
        <w:rPr>
          <w:rFonts w:asciiTheme="majorHAnsi" w:hAnsiTheme="majorHAnsi" w:cstheme="majorHAnsi"/>
          <w:b w:val="0"/>
          <w:i w:val="0"/>
          <w:color w:val="000000" w:themeColor="text1"/>
          <w:sz w:val="28"/>
          <w:szCs w:val="28"/>
          <w:lang w:val="en-GB"/>
        </w:rPr>
        <w:t>- Stabilize the macroeconomic conditions; take proactive, flexible and coherent monetary policy measures in close coordination with fiscal and other macroeconomic measures to control inflation, contribute to stabilization of the economy, and focus on creating and placing jobs for workers.</w:t>
      </w:r>
    </w:p>
    <w:p w:rsidR="00AD056E" w:rsidRPr="00497687" w:rsidRDefault="00F306FF" w:rsidP="003427BF">
      <w:pPr>
        <w:spacing w:before="120" w:after="120" w:line="276" w:lineRule="auto"/>
        <w:ind w:firstLine="709"/>
        <w:jc w:val="both"/>
        <w:rPr>
          <w:rFonts w:asciiTheme="majorHAnsi" w:hAnsiTheme="majorHAnsi" w:cstheme="majorHAnsi"/>
          <w:b w:val="0"/>
          <w:i w:val="0"/>
          <w:color w:val="000000" w:themeColor="text1"/>
          <w:sz w:val="28"/>
          <w:szCs w:val="28"/>
          <w:lang w:val="en-GB"/>
        </w:rPr>
      </w:pPr>
      <w:r w:rsidRPr="00497687">
        <w:rPr>
          <w:rFonts w:asciiTheme="majorHAnsi" w:hAnsiTheme="majorHAnsi" w:cstheme="majorHAnsi"/>
          <w:b w:val="0"/>
          <w:i w:val="0"/>
          <w:color w:val="000000" w:themeColor="text1"/>
          <w:sz w:val="28"/>
          <w:szCs w:val="28"/>
          <w:lang w:val="en-GB"/>
        </w:rPr>
        <w:t>- Pay attention to controlling inflation, lowering gasoline prices to stabilize social security, contributing to stabilizing the lives of workers, especially those severely affected by the Covid-19 pandemic.</w:t>
      </w:r>
    </w:p>
    <w:p w:rsidR="00FB03B3" w:rsidRPr="00497687" w:rsidRDefault="00722938" w:rsidP="003427BF">
      <w:pPr>
        <w:overflowPunct w:val="0"/>
        <w:autoSpaceDE w:val="0"/>
        <w:autoSpaceDN w:val="0"/>
        <w:adjustRightInd w:val="0"/>
        <w:spacing w:before="120" w:after="120" w:line="276" w:lineRule="auto"/>
        <w:ind w:left="720" w:firstLine="720"/>
        <w:rPr>
          <w:rFonts w:asciiTheme="majorHAnsi" w:eastAsia="Calibri" w:hAnsiTheme="majorHAnsi" w:cstheme="majorHAnsi"/>
          <w:b w:val="0"/>
          <w:i w:val="0"/>
          <w:sz w:val="28"/>
          <w:szCs w:val="28"/>
          <w:lang w:val="en-GB"/>
        </w:rPr>
      </w:pPr>
      <w:r w:rsidRPr="00497687">
        <w:rPr>
          <w:rFonts w:asciiTheme="majorHAnsi" w:eastAsia="Calibri" w:hAnsiTheme="majorHAnsi" w:cstheme="majorHAnsi"/>
          <w:i w:val="0"/>
          <w:sz w:val="28"/>
          <w:szCs w:val="28"/>
          <w:lang w:val="en-GB"/>
        </w:rPr>
        <w:t xml:space="preserve">              </w:t>
      </w:r>
      <w:r w:rsidR="00497687">
        <w:rPr>
          <w:rFonts w:asciiTheme="majorHAnsi" w:eastAsia="Calibri" w:hAnsiTheme="majorHAnsi" w:cstheme="majorHAnsi"/>
          <w:i w:val="0"/>
          <w:sz w:val="28"/>
          <w:szCs w:val="28"/>
          <w:lang w:val="en-GB"/>
        </w:rPr>
        <w:t xml:space="preserve">         </w:t>
      </w:r>
    </w:p>
    <w:sectPr w:rsidR="00FB03B3" w:rsidRPr="00497687" w:rsidSect="003F4455">
      <w:headerReference w:type="even" r:id="rId22"/>
      <w:headerReference w:type="default" r:id="rId23"/>
      <w:footerReference w:type="even" r:id="rId24"/>
      <w:footerReference w:type="default" r:id="rId25"/>
      <w:headerReference w:type="first" r:id="rId26"/>
      <w:footerReference w:type="first" r:id="rId27"/>
      <w:pgSz w:w="11907" w:h="16839" w:code="9"/>
      <w:pgMar w:top="1134" w:right="1134" w:bottom="1134" w:left="1701" w:header="720" w:footer="556"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1A2D" w:rsidRDefault="00941A2D" w:rsidP="00FC3FE0">
      <w:r>
        <w:separator/>
      </w:r>
    </w:p>
  </w:endnote>
  <w:endnote w:type="continuationSeparator" w:id="0">
    <w:p w:rsidR="00941A2D" w:rsidRDefault="00941A2D" w:rsidP="00FC3FE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Bold">
    <w:panose1 w:val="02020803070505020304"/>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59745284"/>
      <w:docPartObj>
        <w:docPartGallery w:val="Page Numbers (Bottom of Page)"/>
        <w:docPartUnique/>
      </w:docPartObj>
    </w:sdtPr>
    <w:sdtEndPr>
      <w:rPr>
        <w:b w:val="0"/>
        <w:i w:val="0"/>
        <w:noProof/>
      </w:rPr>
    </w:sdtEndPr>
    <w:sdtContent>
      <w:p w:rsidR="0023399A" w:rsidRPr="003F4455" w:rsidRDefault="00552FA5">
        <w:pPr>
          <w:pStyle w:val="Footer"/>
          <w:jc w:val="center"/>
          <w:rPr>
            <w:b w:val="0"/>
            <w:i w:val="0"/>
          </w:rPr>
        </w:pPr>
        <w:r w:rsidRPr="003F4455">
          <w:rPr>
            <w:b w:val="0"/>
            <w:i w:val="0"/>
          </w:rPr>
          <w:fldChar w:fldCharType="begin"/>
        </w:r>
        <w:r w:rsidR="0023399A" w:rsidRPr="003F4455">
          <w:rPr>
            <w:b w:val="0"/>
            <w:i w:val="0"/>
          </w:rPr>
          <w:instrText xml:space="preserve"> PAGE   \* MERGEFORMAT </w:instrText>
        </w:r>
        <w:r w:rsidRPr="003F4455">
          <w:rPr>
            <w:b w:val="0"/>
            <w:i w:val="0"/>
          </w:rPr>
          <w:fldChar w:fldCharType="separate"/>
        </w:r>
        <w:r w:rsidR="0023399A">
          <w:rPr>
            <w:b w:val="0"/>
            <w:i w:val="0"/>
            <w:noProof/>
          </w:rPr>
          <w:t>30</w:t>
        </w:r>
        <w:r w:rsidRPr="003F4455">
          <w:rPr>
            <w:b w:val="0"/>
            <w:i w:val="0"/>
            <w:noProof/>
          </w:rPr>
          <w:fldChar w:fldCharType="end"/>
        </w:r>
      </w:p>
    </w:sdtContent>
  </w:sdt>
  <w:p w:rsidR="0023399A" w:rsidRDefault="0023399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inorHAnsi" w:eastAsiaTheme="minorEastAsia" w:hAnsiTheme="minorHAnsi" w:cstheme="minorBidi"/>
        <w:sz w:val="22"/>
        <w:szCs w:val="22"/>
      </w:rPr>
      <w:id w:val="-79767528"/>
      <w:docPartObj>
        <w:docPartGallery w:val="Page Numbers (Bottom of Page)"/>
        <w:docPartUnique/>
      </w:docPartObj>
    </w:sdtPr>
    <w:sdtEndPr>
      <w:rPr>
        <w:rFonts w:asciiTheme="majorHAnsi" w:eastAsiaTheme="majorEastAsia" w:hAnsiTheme="majorHAnsi" w:cstheme="majorHAnsi"/>
        <w:b w:val="0"/>
        <w:i w:val="0"/>
        <w:noProof/>
        <w:sz w:val="24"/>
        <w:szCs w:val="24"/>
      </w:rPr>
    </w:sdtEndPr>
    <w:sdtContent>
      <w:p w:rsidR="0023399A" w:rsidRPr="00970FC6" w:rsidRDefault="00552FA5">
        <w:pPr>
          <w:pStyle w:val="Footer"/>
          <w:jc w:val="center"/>
          <w:rPr>
            <w:rFonts w:asciiTheme="majorHAnsi" w:eastAsiaTheme="majorEastAsia" w:hAnsiTheme="majorHAnsi" w:cstheme="majorHAnsi"/>
            <w:b w:val="0"/>
            <w:i w:val="0"/>
          </w:rPr>
        </w:pPr>
        <w:r w:rsidRPr="00552FA5">
          <w:rPr>
            <w:rFonts w:asciiTheme="majorHAnsi" w:eastAsiaTheme="minorEastAsia" w:hAnsiTheme="majorHAnsi" w:cstheme="majorHAnsi"/>
            <w:b w:val="0"/>
            <w:i w:val="0"/>
          </w:rPr>
          <w:fldChar w:fldCharType="begin"/>
        </w:r>
        <w:r w:rsidR="0023399A" w:rsidRPr="00970FC6">
          <w:rPr>
            <w:rFonts w:asciiTheme="majorHAnsi" w:hAnsiTheme="majorHAnsi" w:cstheme="majorHAnsi"/>
            <w:b w:val="0"/>
            <w:i w:val="0"/>
          </w:rPr>
          <w:instrText xml:space="preserve"> PAGE   \* MERGEFORMAT </w:instrText>
        </w:r>
        <w:r w:rsidRPr="00552FA5">
          <w:rPr>
            <w:rFonts w:asciiTheme="majorHAnsi" w:eastAsiaTheme="minorEastAsia" w:hAnsiTheme="majorHAnsi" w:cstheme="majorHAnsi"/>
            <w:b w:val="0"/>
            <w:i w:val="0"/>
          </w:rPr>
          <w:fldChar w:fldCharType="separate"/>
        </w:r>
        <w:r w:rsidR="00C70B5C" w:rsidRPr="00C70B5C">
          <w:rPr>
            <w:rFonts w:asciiTheme="majorHAnsi" w:eastAsiaTheme="majorEastAsia" w:hAnsiTheme="majorHAnsi" w:cstheme="majorHAnsi"/>
            <w:b w:val="0"/>
            <w:i w:val="0"/>
            <w:noProof/>
          </w:rPr>
          <w:t>18</w:t>
        </w:r>
        <w:r w:rsidRPr="00970FC6">
          <w:rPr>
            <w:rFonts w:asciiTheme="majorHAnsi" w:eastAsiaTheme="majorEastAsia" w:hAnsiTheme="majorHAnsi" w:cstheme="majorHAnsi"/>
            <w:b w:val="0"/>
            <w:i w:val="0"/>
            <w:noProof/>
          </w:rPr>
          <w:fldChar w:fldCharType="end"/>
        </w:r>
      </w:p>
    </w:sdtContent>
  </w:sdt>
  <w:p w:rsidR="0023399A" w:rsidRDefault="0023399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399A" w:rsidRDefault="0023399A">
    <w:pPr>
      <w:pStyle w:val="Footer"/>
      <w:jc w:val="right"/>
      <w:rPr>
        <w:b w:val="0"/>
        <w:i w:val="0"/>
      </w:rPr>
    </w:pPr>
  </w:p>
  <w:p w:rsidR="0023399A" w:rsidRDefault="0023399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1A2D" w:rsidRDefault="00941A2D" w:rsidP="00FC3FE0">
      <w:r>
        <w:separator/>
      </w:r>
    </w:p>
  </w:footnote>
  <w:footnote w:type="continuationSeparator" w:id="0">
    <w:p w:rsidR="00941A2D" w:rsidRDefault="00941A2D" w:rsidP="00FC3FE0">
      <w:r>
        <w:continuationSeparator/>
      </w:r>
    </w:p>
  </w:footnote>
  <w:footnote w:id="1">
    <w:p w:rsidR="0023399A" w:rsidRPr="00F0643B" w:rsidRDefault="0023399A" w:rsidP="00470FE4">
      <w:pPr>
        <w:pStyle w:val="FootnoteText"/>
        <w:jc w:val="both"/>
        <w:rPr>
          <w:lang w:val="en-GB"/>
        </w:rPr>
      </w:pPr>
      <w:r w:rsidRPr="00F0643B">
        <w:rPr>
          <w:rStyle w:val="FootnoteReference"/>
          <w:lang w:val="en-GB"/>
        </w:rPr>
        <w:footnoteRef/>
      </w:r>
      <w:r w:rsidRPr="00F0643B">
        <w:rPr>
          <w:lang w:val="en-GB"/>
        </w:rPr>
        <w:t xml:space="preserve"> </w:t>
      </w:r>
      <w:r w:rsidRPr="00F0643B">
        <w:rPr>
          <w:b w:val="0"/>
          <w:lang w:val="en-GB"/>
        </w:rPr>
        <w:t>The data for the quarters of 2019 and 2020 in this report are recalculated according to the new ICLS 19 conceptual framework.</w:t>
      </w:r>
    </w:p>
  </w:footnote>
  <w:footnote w:id="2">
    <w:p w:rsidR="00D939E2" w:rsidRPr="00F0643B" w:rsidRDefault="00D939E2" w:rsidP="00D939E2">
      <w:pPr>
        <w:pStyle w:val="FootnoteText"/>
        <w:rPr>
          <w:b w:val="0"/>
          <w:lang w:val="en-GB"/>
        </w:rPr>
      </w:pPr>
      <w:r w:rsidRPr="00F0643B">
        <w:rPr>
          <w:rStyle w:val="FootnoteReference"/>
          <w:b w:val="0"/>
          <w:lang w:val="en-GB"/>
        </w:rPr>
        <w:footnoteRef/>
      </w:r>
      <w:r w:rsidRPr="00F0643B">
        <w:rPr>
          <w:b w:val="0"/>
          <w:lang w:val="en-GB"/>
        </w:rPr>
        <w:t xml:space="preserve"> ILO Monitor on the world of work. </w:t>
      </w:r>
      <w:r>
        <w:rPr>
          <w:b w:val="0"/>
          <w:lang w:val="en-GB"/>
        </w:rPr>
        <w:t>9</w:t>
      </w:r>
      <w:r w:rsidRPr="00F0643B">
        <w:rPr>
          <w:b w:val="0"/>
          <w:vertAlign w:val="superscript"/>
          <w:lang w:val="en-GB"/>
        </w:rPr>
        <w:t>th</w:t>
      </w:r>
      <w:r>
        <w:rPr>
          <w:b w:val="0"/>
          <w:lang w:val="en-GB"/>
        </w:rPr>
        <w:t xml:space="preserve"> e</w:t>
      </w:r>
      <w:r w:rsidRPr="00F0643B">
        <w:rPr>
          <w:b w:val="0"/>
          <w:lang w:val="en-GB"/>
        </w:rPr>
        <w:t>dition. 23 May 2022.</w:t>
      </w:r>
    </w:p>
  </w:footnote>
  <w:footnote w:id="3">
    <w:p w:rsidR="0023399A" w:rsidRPr="00470FE4" w:rsidRDefault="0023399A">
      <w:pPr>
        <w:pStyle w:val="FootnoteText"/>
        <w:rPr>
          <w:b w:val="0"/>
          <w:lang w:val="en-GB"/>
        </w:rPr>
      </w:pPr>
      <w:r w:rsidRPr="00470FE4">
        <w:rPr>
          <w:rStyle w:val="FootnoteReference"/>
          <w:b w:val="0"/>
          <w:lang w:val="en-GB"/>
        </w:rPr>
        <w:footnoteRef/>
      </w:r>
      <w:r w:rsidRPr="00470FE4">
        <w:rPr>
          <w:b w:val="0"/>
          <w:lang w:val="en-GB"/>
        </w:rPr>
        <w:t xml:space="preserve"> The growth rates of employed workers of men and women were 0.79 per cent and 1.25 per cent, respectively, relative to the previous quarter, and 1.40 per cent and 1.42 per cent, relative to the previous year.</w:t>
      </w:r>
    </w:p>
  </w:footnote>
  <w:footnote w:id="4">
    <w:p w:rsidR="000551D9" w:rsidRPr="000551D9" w:rsidRDefault="000551D9">
      <w:pPr>
        <w:pStyle w:val="FootnoteText"/>
        <w:rPr>
          <w:b w:val="0"/>
        </w:rPr>
      </w:pPr>
      <w:r w:rsidRPr="000551D9">
        <w:rPr>
          <w:rStyle w:val="FootnoteReference"/>
          <w:b w:val="0"/>
        </w:rPr>
        <w:footnoteRef/>
      </w:r>
      <w:r w:rsidRPr="000551D9">
        <w:rPr>
          <w:b w:val="0"/>
        </w:rPr>
        <w:t xml:space="preserve"> The AFF sector decreased by more than 100</w:t>
      </w:r>
      <w:r w:rsidR="00490605">
        <w:rPr>
          <w:b w:val="0"/>
        </w:rPr>
        <w:t xml:space="preserve"> thousand</w:t>
      </w:r>
      <w:r w:rsidRPr="000551D9">
        <w:rPr>
          <w:b w:val="0"/>
        </w:rPr>
        <w:t xml:space="preserve"> people on average; the Industry and Construction</w:t>
      </w:r>
      <w:r w:rsidR="00490605">
        <w:rPr>
          <w:b w:val="0"/>
        </w:rPr>
        <w:t xml:space="preserve"> sector increased by nearly 400 thousand</w:t>
      </w:r>
      <w:r w:rsidRPr="000551D9">
        <w:rPr>
          <w:b w:val="0"/>
        </w:rPr>
        <w:t xml:space="preserve"> people on average.</w:t>
      </w:r>
    </w:p>
  </w:footnote>
  <w:footnote w:id="5">
    <w:p w:rsidR="0023399A" w:rsidRPr="00F0643B" w:rsidRDefault="0023399A" w:rsidP="0047476C">
      <w:pPr>
        <w:pStyle w:val="FootnoteText"/>
        <w:spacing w:before="120"/>
        <w:ind w:left="142" w:hanging="142"/>
        <w:jc w:val="both"/>
        <w:rPr>
          <w:lang w:val="en-GB"/>
        </w:rPr>
      </w:pPr>
      <w:r w:rsidRPr="00F0643B">
        <w:rPr>
          <w:rStyle w:val="FootnoteReference"/>
          <w:lang w:val="en-GB"/>
        </w:rPr>
        <w:footnoteRef/>
      </w:r>
      <w:r w:rsidRPr="00F0643B">
        <w:rPr>
          <w:lang w:val="en-GB"/>
        </w:rPr>
        <w:t xml:space="preserve"> </w:t>
      </w:r>
      <w:r w:rsidRPr="00F0643B">
        <w:rPr>
          <w:b w:val="0"/>
          <w:lang w:val="en-GB"/>
        </w:rPr>
        <w:t xml:space="preserve">According to the provisions of the 2019 </w:t>
      </w:r>
      <w:r w:rsidR="00F0643B" w:rsidRPr="00F0643B">
        <w:rPr>
          <w:b w:val="0"/>
          <w:lang w:val="en-GB"/>
        </w:rPr>
        <w:t>Labour</w:t>
      </w:r>
      <w:r w:rsidRPr="00F0643B">
        <w:rPr>
          <w:b w:val="0"/>
          <w:lang w:val="en-GB"/>
        </w:rPr>
        <w:t xml:space="preserve"> Code, the statutory working age limit includes from 15 to 59 years old for men and from 15 to 54 for women (as of 2020 and earlier); from 15 to under 60 years old 3 months for men and from 15 to under 55 years old 4 months for women (in 2021); from 15 to under 60 years old 6 months for men and from 15 to less than 55 years 8 months for women (in 2022).</w:t>
      </w:r>
    </w:p>
  </w:footnote>
  <w:footnote w:id="6">
    <w:p w:rsidR="0023399A" w:rsidRPr="00F0643B" w:rsidRDefault="0023399A" w:rsidP="00064D61">
      <w:pPr>
        <w:pStyle w:val="FootnoteText"/>
        <w:jc w:val="both"/>
        <w:rPr>
          <w:lang w:val="en-GB"/>
        </w:rPr>
      </w:pPr>
      <w:r w:rsidRPr="00F0643B">
        <w:rPr>
          <w:rStyle w:val="FootnoteReference"/>
          <w:lang w:val="en-GB"/>
        </w:rPr>
        <w:footnoteRef/>
      </w:r>
      <w:r w:rsidRPr="00F0643B">
        <w:rPr>
          <w:lang w:val="en-GB"/>
        </w:rPr>
        <w:t xml:space="preserve"> </w:t>
      </w:r>
      <w:r w:rsidRPr="00F0643B">
        <w:rPr>
          <w:b w:val="0"/>
          <w:lang w:val="en-GB"/>
        </w:rPr>
        <w:t>The underemployment rate by quarter in 2020 was 1.07 per cent (Q1), 2.36 per cent (Q2), 1.96 per cent (Q3), 1.10 per cent (Q4) in urban areas; and 2.47 per cent (Q1), 3.32 per cent (Q2), 3.14 per cent (Q3), 2.20 per cent (Q4) in rural areas. The underemployment rate by quarter of 2021 was 1.52 per cent (Q1), 2.80 per cent (Q2), 5.33 per cent (Q3), 4.06 per cent (Q4) in urban areas; and 2.60 per cent (Q1), 2.49 per cent (Q2), 3.94 per cent (Q3), 2.95 per cent (Q4) in rural areas.</w:t>
      </w:r>
    </w:p>
  </w:footnote>
  <w:footnote w:id="7">
    <w:p w:rsidR="0023399A" w:rsidRPr="00F0643B" w:rsidRDefault="0023399A" w:rsidP="002E0075">
      <w:pPr>
        <w:pStyle w:val="FootnoteText"/>
        <w:jc w:val="both"/>
        <w:rPr>
          <w:lang w:val="en-GB"/>
        </w:rPr>
      </w:pPr>
      <w:r w:rsidRPr="00F0643B">
        <w:rPr>
          <w:rStyle w:val="FootnoteReference"/>
          <w:lang w:val="en-GB"/>
        </w:rPr>
        <w:footnoteRef/>
      </w:r>
      <w:r w:rsidRPr="00F0643B">
        <w:rPr>
          <w:lang w:val="en-GB"/>
        </w:rPr>
        <w:t xml:space="preserve"> </w:t>
      </w:r>
      <w:r w:rsidRPr="00F0643B">
        <w:rPr>
          <w:b w:val="0"/>
          <w:lang w:val="en-GB"/>
        </w:rPr>
        <w:t>Workers who have a need to work but do not have enough work (also known as underutilized workers/labour underutilization) include the unemployed, underemployed, and those outside the labour force who are available for employment although they are not seeking or who are seeking employment although they are not immediately available. Labour underutilization rate is expressed by workers who have a need to work but do not have enough work as a share of the total workforce with a need for employment in the economy.</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399A" w:rsidRPr="0001363C" w:rsidRDefault="0023399A" w:rsidP="003F4455">
    <w:pPr>
      <w:pStyle w:val="Header"/>
      <w:rPr>
        <w:b w:val="0"/>
        <w:i w:val="0"/>
      </w:rPr>
    </w:pPr>
  </w:p>
  <w:p w:rsidR="0023399A" w:rsidRPr="0001363C" w:rsidRDefault="0023399A">
    <w:pPr>
      <w:pStyle w:val="Header"/>
      <w:rPr>
        <w:b w:val="0"/>
        <w:i w:val="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399A" w:rsidRPr="00691E6E" w:rsidRDefault="0023399A">
    <w:pPr>
      <w:pStyle w:val="Header"/>
      <w:jc w:val="right"/>
      <w:rPr>
        <w:b w:val="0"/>
        <w:i w:val="0"/>
      </w:rPr>
    </w:pPr>
  </w:p>
  <w:p w:rsidR="0023399A" w:rsidRDefault="0023399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82618920"/>
      <w:docPartObj>
        <w:docPartGallery w:val="Page Numbers (Top of Page)"/>
        <w:docPartUnique/>
      </w:docPartObj>
    </w:sdtPr>
    <w:sdtEndPr>
      <w:rPr>
        <w:i w:val="0"/>
        <w:noProof/>
      </w:rPr>
    </w:sdtEndPr>
    <w:sdtContent>
      <w:p w:rsidR="0023399A" w:rsidRPr="00691E6E" w:rsidRDefault="00552FA5">
        <w:pPr>
          <w:pStyle w:val="Header"/>
          <w:jc w:val="right"/>
          <w:rPr>
            <w:i w:val="0"/>
          </w:rPr>
        </w:pPr>
      </w:p>
    </w:sdtContent>
  </w:sdt>
  <w:p w:rsidR="0023399A" w:rsidRDefault="0023399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92382"/>
    <w:multiLevelType w:val="hybridMultilevel"/>
    <w:tmpl w:val="B1349FCC"/>
    <w:lvl w:ilvl="0" w:tplc="0409000F">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263359E"/>
    <w:multiLevelType w:val="hybridMultilevel"/>
    <w:tmpl w:val="878C8B64"/>
    <w:lvl w:ilvl="0" w:tplc="E1F2AFFE">
      <w:start w:val="1"/>
      <w:numFmt w:val="upperRoman"/>
      <w:suff w:val="space"/>
      <w:lvlText w:val="%1."/>
      <w:lvlJc w:val="left"/>
      <w:pPr>
        <w:ind w:left="1429" w:hanging="72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nsid w:val="042F2B66"/>
    <w:multiLevelType w:val="hybridMultilevel"/>
    <w:tmpl w:val="08FE6DD8"/>
    <w:lvl w:ilvl="0" w:tplc="6178A9FE">
      <w:start w:val="4"/>
      <w:numFmt w:val="lowerLetter"/>
      <w:lvlText w:val="%1."/>
      <w:lvlJc w:val="left"/>
      <w:pPr>
        <w:ind w:left="1080" w:hanging="360"/>
      </w:pPr>
      <w:rPr>
        <w:rFonts w:hint="default"/>
        <w:b/>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8D045EF"/>
    <w:multiLevelType w:val="hybridMultilevel"/>
    <w:tmpl w:val="71BEE550"/>
    <w:lvl w:ilvl="0" w:tplc="E990D258">
      <w:start w:val="1"/>
      <w:numFmt w:val="lowerLetter"/>
      <w:lvlText w:val="%1."/>
      <w:lvlJc w:val="left"/>
      <w:pPr>
        <w:ind w:left="1080" w:hanging="360"/>
      </w:pPr>
      <w:rPr>
        <w:rFonts w:hint="default"/>
        <w:b/>
        <w:i/>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210740F3"/>
    <w:multiLevelType w:val="hybridMultilevel"/>
    <w:tmpl w:val="F13EA114"/>
    <w:lvl w:ilvl="0" w:tplc="04090001">
      <w:start w:val="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82603D7"/>
    <w:multiLevelType w:val="hybridMultilevel"/>
    <w:tmpl w:val="BC5A3D6E"/>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AF40559"/>
    <w:multiLevelType w:val="hybridMultilevel"/>
    <w:tmpl w:val="142650E4"/>
    <w:lvl w:ilvl="0" w:tplc="9EB4094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nsid w:val="2FE1181C"/>
    <w:multiLevelType w:val="hybridMultilevel"/>
    <w:tmpl w:val="09C6435A"/>
    <w:lvl w:ilvl="0" w:tplc="04090001">
      <w:start w:val="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43F705F"/>
    <w:multiLevelType w:val="hybridMultilevel"/>
    <w:tmpl w:val="1B4A3C8C"/>
    <w:lvl w:ilvl="0" w:tplc="DD2698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9EF22FE"/>
    <w:multiLevelType w:val="hybridMultilevel"/>
    <w:tmpl w:val="330234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A166907"/>
    <w:multiLevelType w:val="hybridMultilevel"/>
    <w:tmpl w:val="A6B60970"/>
    <w:lvl w:ilvl="0" w:tplc="718215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C0C3594"/>
    <w:multiLevelType w:val="hybridMultilevel"/>
    <w:tmpl w:val="68702B34"/>
    <w:lvl w:ilvl="0" w:tplc="04090001">
      <w:start w:val="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E067C04"/>
    <w:multiLevelType w:val="hybridMultilevel"/>
    <w:tmpl w:val="48EE67BC"/>
    <w:lvl w:ilvl="0" w:tplc="E200DF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59AC5D6B"/>
    <w:multiLevelType w:val="hybridMultilevel"/>
    <w:tmpl w:val="15606A68"/>
    <w:lvl w:ilvl="0" w:tplc="15DE59F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DB11050"/>
    <w:multiLevelType w:val="hybridMultilevel"/>
    <w:tmpl w:val="2806CD54"/>
    <w:lvl w:ilvl="0" w:tplc="674434AC">
      <w:start w:val="1"/>
      <w:numFmt w:val="lowerLetter"/>
      <w:lvlText w:val="%1."/>
      <w:lvlJc w:val="left"/>
      <w:pPr>
        <w:ind w:left="1080" w:hanging="360"/>
      </w:pPr>
      <w:rPr>
        <w:rFonts w:hint="default"/>
        <w:b/>
        <w:i/>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5EE070A4"/>
    <w:multiLevelType w:val="multilevel"/>
    <w:tmpl w:val="D5769F7E"/>
    <w:lvl w:ilvl="0">
      <w:start w:val="1"/>
      <w:numFmt w:val="decimal"/>
      <w:lvlText w:val="%1."/>
      <w:lvlJc w:val="left"/>
      <w:pPr>
        <w:ind w:left="108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6">
    <w:nsid w:val="61FF323B"/>
    <w:multiLevelType w:val="hybridMultilevel"/>
    <w:tmpl w:val="8D2C70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93C6C91"/>
    <w:multiLevelType w:val="hybridMultilevel"/>
    <w:tmpl w:val="BCB03B5E"/>
    <w:lvl w:ilvl="0" w:tplc="BB3C6C6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BB1292D"/>
    <w:multiLevelType w:val="hybridMultilevel"/>
    <w:tmpl w:val="51547E52"/>
    <w:lvl w:ilvl="0" w:tplc="A53EA68E">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DDD0D6D"/>
    <w:multiLevelType w:val="hybridMultilevel"/>
    <w:tmpl w:val="952E79A2"/>
    <w:lvl w:ilvl="0" w:tplc="8CAC4D3E">
      <w:start w:val="1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EAD3882"/>
    <w:multiLevelType w:val="hybridMultilevel"/>
    <w:tmpl w:val="61AA2040"/>
    <w:lvl w:ilvl="0" w:tplc="8A844E90">
      <w:start w:val="3"/>
      <w:numFmt w:val="bullet"/>
      <w:lvlText w:val="-"/>
      <w:lvlJc w:val="left"/>
      <w:pPr>
        <w:ind w:left="3375" w:hanging="360"/>
      </w:pPr>
      <w:rPr>
        <w:rFonts w:ascii="Times New Roman" w:eastAsia="Times New Roman" w:hAnsi="Times New Roman" w:cs="Times New Roman" w:hint="default"/>
      </w:rPr>
    </w:lvl>
    <w:lvl w:ilvl="1" w:tplc="04090003" w:tentative="1">
      <w:start w:val="1"/>
      <w:numFmt w:val="bullet"/>
      <w:lvlText w:val="o"/>
      <w:lvlJc w:val="left"/>
      <w:pPr>
        <w:ind w:left="4095" w:hanging="360"/>
      </w:pPr>
      <w:rPr>
        <w:rFonts w:ascii="Courier New" w:hAnsi="Courier New" w:cs="Courier New" w:hint="default"/>
      </w:rPr>
    </w:lvl>
    <w:lvl w:ilvl="2" w:tplc="04090005" w:tentative="1">
      <w:start w:val="1"/>
      <w:numFmt w:val="bullet"/>
      <w:lvlText w:val=""/>
      <w:lvlJc w:val="left"/>
      <w:pPr>
        <w:ind w:left="4815" w:hanging="360"/>
      </w:pPr>
      <w:rPr>
        <w:rFonts w:ascii="Wingdings" w:hAnsi="Wingdings" w:hint="default"/>
      </w:rPr>
    </w:lvl>
    <w:lvl w:ilvl="3" w:tplc="04090001" w:tentative="1">
      <w:start w:val="1"/>
      <w:numFmt w:val="bullet"/>
      <w:lvlText w:val=""/>
      <w:lvlJc w:val="left"/>
      <w:pPr>
        <w:ind w:left="5535" w:hanging="360"/>
      </w:pPr>
      <w:rPr>
        <w:rFonts w:ascii="Symbol" w:hAnsi="Symbol" w:hint="default"/>
      </w:rPr>
    </w:lvl>
    <w:lvl w:ilvl="4" w:tplc="04090003" w:tentative="1">
      <w:start w:val="1"/>
      <w:numFmt w:val="bullet"/>
      <w:lvlText w:val="o"/>
      <w:lvlJc w:val="left"/>
      <w:pPr>
        <w:ind w:left="6255" w:hanging="360"/>
      </w:pPr>
      <w:rPr>
        <w:rFonts w:ascii="Courier New" w:hAnsi="Courier New" w:cs="Courier New" w:hint="default"/>
      </w:rPr>
    </w:lvl>
    <w:lvl w:ilvl="5" w:tplc="04090005" w:tentative="1">
      <w:start w:val="1"/>
      <w:numFmt w:val="bullet"/>
      <w:lvlText w:val=""/>
      <w:lvlJc w:val="left"/>
      <w:pPr>
        <w:ind w:left="6975" w:hanging="360"/>
      </w:pPr>
      <w:rPr>
        <w:rFonts w:ascii="Wingdings" w:hAnsi="Wingdings" w:hint="default"/>
      </w:rPr>
    </w:lvl>
    <w:lvl w:ilvl="6" w:tplc="04090001" w:tentative="1">
      <w:start w:val="1"/>
      <w:numFmt w:val="bullet"/>
      <w:lvlText w:val=""/>
      <w:lvlJc w:val="left"/>
      <w:pPr>
        <w:ind w:left="7695" w:hanging="360"/>
      </w:pPr>
      <w:rPr>
        <w:rFonts w:ascii="Symbol" w:hAnsi="Symbol" w:hint="default"/>
      </w:rPr>
    </w:lvl>
    <w:lvl w:ilvl="7" w:tplc="04090003" w:tentative="1">
      <w:start w:val="1"/>
      <w:numFmt w:val="bullet"/>
      <w:lvlText w:val="o"/>
      <w:lvlJc w:val="left"/>
      <w:pPr>
        <w:ind w:left="8415" w:hanging="360"/>
      </w:pPr>
      <w:rPr>
        <w:rFonts w:ascii="Courier New" w:hAnsi="Courier New" w:cs="Courier New" w:hint="default"/>
      </w:rPr>
    </w:lvl>
    <w:lvl w:ilvl="8" w:tplc="04090005" w:tentative="1">
      <w:start w:val="1"/>
      <w:numFmt w:val="bullet"/>
      <w:lvlText w:val=""/>
      <w:lvlJc w:val="left"/>
      <w:pPr>
        <w:ind w:left="9135" w:hanging="360"/>
      </w:pPr>
      <w:rPr>
        <w:rFonts w:ascii="Wingdings" w:hAnsi="Wingdings" w:hint="default"/>
      </w:rPr>
    </w:lvl>
  </w:abstractNum>
  <w:abstractNum w:abstractNumId="21">
    <w:nsid w:val="753250AB"/>
    <w:multiLevelType w:val="hybridMultilevel"/>
    <w:tmpl w:val="95B2543A"/>
    <w:lvl w:ilvl="0" w:tplc="F9B2AAF2">
      <w:start w:val="1"/>
      <w:numFmt w:val="decimal"/>
      <w:lvlText w:val="%1."/>
      <w:lvlJc w:val="left"/>
      <w:pPr>
        <w:ind w:left="1080" w:hanging="360"/>
      </w:pPr>
      <w:rPr>
        <w:rFonts w:ascii="Calibri" w:hAnsi="Calibri"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77D46413"/>
    <w:multiLevelType w:val="hybridMultilevel"/>
    <w:tmpl w:val="4C584D10"/>
    <w:lvl w:ilvl="0" w:tplc="043606A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7F1E66A0"/>
    <w:multiLevelType w:val="hybridMultilevel"/>
    <w:tmpl w:val="CBF02B64"/>
    <w:lvl w:ilvl="0" w:tplc="C464B114">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4">
    <w:nsid w:val="7FC86CA3"/>
    <w:multiLevelType w:val="hybridMultilevel"/>
    <w:tmpl w:val="07280E6A"/>
    <w:lvl w:ilvl="0" w:tplc="0409000F">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18"/>
  </w:num>
  <w:num w:numId="2">
    <w:abstractNumId w:val="7"/>
  </w:num>
  <w:num w:numId="3">
    <w:abstractNumId w:val="4"/>
  </w:num>
  <w:num w:numId="4">
    <w:abstractNumId w:val="11"/>
  </w:num>
  <w:num w:numId="5">
    <w:abstractNumId w:val="12"/>
  </w:num>
  <w:num w:numId="6">
    <w:abstractNumId w:val="3"/>
  </w:num>
  <w:num w:numId="7">
    <w:abstractNumId w:val="14"/>
  </w:num>
  <w:num w:numId="8">
    <w:abstractNumId w:val="2"/>
  </w:num>
  <w:num w:numId="9">
    <w:abstractNumId w:val="5"/>
  </w:num>
  <w:num w:numId="10">
    <w:abstractNumId w:val="9"/>
  </w:num>
  <w:num w:numId="11">
    <w:abstractNumId w:val="19"/>
  </w:num>
  <w:num w:numId="12">
    <w:abstractNumId w:val="20"/>
  </w:num>
  <w:num w:numId="13">
    <w:abstractNumId w:val="13"/>
  </w:num>
  <w:num w:numId="1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17"/>
  </w:num>
  <w:num w:numId="17">
    <w:abstractNumId w:val="22"/>
  </w:num>
  <w:num w:numId="18">
    <w:abstractNumId w:val="10"/>
  </w:num>
  <w:num w:numId="19">
    <w:abstractNumId w:val="21"/>
  </w:num>
  <w:num w:numId="20">
    <w:abstractNumId w:val="8"/>
  </w:num>
  <w:num w:numId="21">
    <w:abstractNumId w:val="1"/>
  </w:num>
  <w:num w:numId="22">
    <w:abstractNumId w:val="23"/>
  </w:num>
  <w:num w:numId="23">
    <w:abstractNumId w:val="16"/>
  </w:num>
  <w:num w:numId="24">
    <w:abstractNumId w:val="24"/>
  </w:num>
  <w:num w:numId="25">
    <w:abstractNumId w:val="6"/>
  </w:num>
  <w:num w:numId="2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drawingGridHorizontalSpacing w:val="241"/>
  <w:characterSpacingControl w:val="doNotCompress"/>
  <w:hdrShapeDefaults>
    <o:shapedefaults v:ext="edit" spidmax="4097"/>
  </w:hdrShapeDefaults>
  <w:footnotePr>
    <w:footnote w:id="-1"/>
    <w:footnote w:id="0"/>
  </w:footnotePr>
  <w:endnotePr>
    <w:endnote w:id="-1"/>
    <w:endnote w:id="0"/>
  </w:endnotePr>
  <w:compat/>
  <w:rsids>
    <w:rsidRoot w:val="003A3CBC"/>
    <w:rsid w:val="0000101C"/>
    <w:rsid w:val="000014F5"/>
    <w:rsid w:val="0000386C"/>
    <w:rsid w:val="00004CAA"/>
    <w:rsid w:val="00004DB0"/>
    <w:rsid w:val="00007536"/>
    <w:rsid w:val="0001042E"/>
    <w:rsid w:val="00010BCC"/>
    <w:rsid w:val="00011750"/>
    <w:rsid w:val="0001363C"/>
    <w:rsid w:val="00014069"/>
    <w:rsid w:val="00016D3B"/>
    <w:rsid w:val="000179A5"/>
    <w:rsid w:val="0002036D"/>
    <w:rsid w:val="00021B0A"/>
    <w:rsid w:val="000226C4"/>
    <w:rsid w:val="00022B8F"/>
    <w:rsid w:val="0002402F"/>
    <w:rsid w:val="0002441F"/>
    <w:rsid w:val="000251A0"/>
    <w:rsid w:val="00026B83"/>
    <w:rsid w:val="000276F2"/>
    <w:rsid w:val="00031215"/>
    <w:rsid w:val="000333CC"/>
    <w:rsid w:val="0003393F"/>
    <w:rsid w:val="00033A16"/>
    <w:rsid w:val="00034433"/>
    <w:rsid w:val="0003742D"/>
    <w:rsid w:val="00037663"/>
    <w:rsid w:val="000376B8"/>
    <w:rsid w:val="00037A61"/>
    <w:rsid w:val="00040B9C"/>
    <w:rsid w:val="00041D87"/>
    <w:rsid w:val="00043F3C"/>
    <w:rsid w:val="0004435E"/>
    <w:rsid w:val="000452CF"/>
    <w:rsid w:val="00046D65"/>
    <w:rsid w:val="0004754A"/>
    <w:rsid w:val="00050255"/>
    <w:rsid w:val="00050E10"/>
    <w:rsid w:val="000528B2"/>
    <w:rsid w:val="00052B63"/>
    <w:rsid w:val="0005381B"/>
    <w:rsid w:val="00054636"/>
    <w:rsid w:val="00054695"/>
    <w:rsid w:val="000551D9"/>
    <w:rsid w:val="0005558F"/>
    <w:rsid w:val="00056031"/>
    <w:rsid w:val="00057EFC"/>
    <w:rsid w:val="000611F7"/>
    <w:rsid w:val="0006191F"/>
    <w:rsid w:val="00064D61"/>
    <w:rsid w:val="00065BAB"/>
    <w:rsid w:val="00066364"/>
    <w:rsid w:val="000708C9"/>
    <w:rsid w:val="00072E15"/>
    <w:rsid w:val="00077E96"/>
    <w:rsid w:val="00080AD2"/>
    <w:rsid w:val="00081E1F"/>
    <w:rsid w:val="00085411"/>
    <w:rsid w:val="0008674D"/>
    <w:rsid w:val="00086C31"/>
    <w:rsid w:val="00086DEF"/>
    <w:rsid w:val="00086E73"/>
    <w:rsid w:val="00090F22"/>
    <w:rsid w:val="000929B5"/>
    <w:rsid w:val="00094604"/>
    <w:rsid w:val="00094F25"/>
    <w:rsid w:val="00096467"/>
    <w:rsid w:val="000964AF"/>
    <w:rsid w:val="00097C75"/>
    <w:rsid w:val="000A3BD3"/>
    <w:rsid w:val="000A58A3"/>
    <w:rsid w:val="000A618B"/>
    <w:rsid w:val="000A638A"/>
    <w:rsid w:val="000A6A1A"/>
    <w:rsid w:val="000A77F6"/>
    <w:rsid w:val="000B0103"/>
    <w:rsid w:val="000B056C"/>
    <w:rsid w:val="000B07B4"/>
    <w:rsid w:val="000B10D0"/>
    <w:rsid w:val="000B2019"/>
    <w:rsid w:val="000B3369"/>
    <w:rsid w:val="000B395F"/>
    <w:rsid w:val="000B56E2"/>
    <w:rsid w:val="000B65DF"/>
    <w:rsid w:val="000C30A2"/>
    <w:rsid w:val="000C3CB4"/>
    <w:rsid w:val="000C4F9B"/>
    <w:rsid w:val="000C64FD"/>
    <w:rsid w:val="000C65E6"/>
    <w:rsid w:val="000C6780"/>
    <w:rsid w:val="000D06E3"/>
    <w:rsid w:val="000D18AA"/>
    <w:rsid w:val="000D1C42"/>
    <w:rsid w:val="000D1ED6"/>
    <w:rsid w:val="000D2807"/>
    <w:rsid w:val="000D2BCD"/>
    <w:rsid w:val="000D5368"/>
    <w:rsid w:val="000D59C8"/>
    <w:rsid w:val="000D72A7"/>
    <w:rsid w:val="000D72C4"/>
    <w:rsid w:val="000D7F65"/>
    <w:rsid w:val="000E3C75"/>
    <w:rsid w:val="000E3E93"/>
    <w:rsid w:val="000E5D5B"/>
    <w:rsid w:val="000E5E75"/>
    <w:rsid w:val="000F0F2B"/>
    <w:rsid w:val="000F1304"/>
    <w:rsid w:val="000F217F"/>
    <w:rsid w:val="000F3727"/>
    <w:rsid w:val="000F4705"/>
    <w:rsid w:val="000F6AA2"/>
    <w:rsid w:val="000F6FC8"/>
    <w:rsid w:val="000F7C34"/>
    <w:rsid w:val="00100DB7"/>
    <w:rsid w:val="00101662"/>
    <w:rsid w:val="00101E83"/>
    <w:rsid w:val="001023D9"/>
    <w:rsid w:val="0010267E"/>
    <w:rsid w:val="00104A42"/>
    <w:rsid w:val="00106F4C"/>
    <w:rsid w:val="001104B1"/>
    <w:rsid w:val="0011166A"/>
    <w:rsid w:val="00112047"/>
    <w:rsid w:val="00113BA9"/>
    <w:rsid w:val="0011530E"/>
    <w:rsid w:val="00115A33"/>
    <w:rsid w:val="0011619B"/>
    <w:rsid w:val="0011757E"/>
    <w:rsid w:val="00117925"/>
    <w:rsid w:val="001201C9"/>
    <w:rsid w:val="00121D5C"/>
    <w:rsid w:val="001220C4"/>
    <w:rsid w:val="00122899"/>
    <w:rsid w:val="00122EE2"/>
    <w:rsid w:val="0012310C"/>
    <w:rsid w:val="00125408"/>
    <w:rsid w:val="001257AC"/>
    <w:rsid w:val="001260F9"/>
    <w:rsid w:val="00127E14"/>
    <w:rsid w:val="00127ECA"/>
    <w:rsid w:val="001306CB"/>
    <w:rsid w:val="001307FA"/>
    <w:rsid w:val="00136096"/>
    <w:rsid w:val="00141F95"/>
    <w:rsid w:val="00142832"/>
    <w:rsid w:val="0014311B"/>
    <w:rsid w:val="001444E6"/>
    <w:rsid w:val="00145148"/>
    <w:rsid w:val="00146BBD"/>
    <w:rsid w:val="00146D41"/>
    <w:rsid w:val="001526F6"/>
    <w:rsid w:val="00152C5F"/>
    <w:rsid w:val="00152CDF"/>
    <w:rsid w:val="00152FF5"/>
    <w:rsid w:val="00155D6E"/>
    <w:rsid w:val="00156A17"/>
    <w:rsid w:val="0015764F"/>
    <w:rsid w:val="00157EF9"/>
    <w:rsid w:val="00160534"/>
    <w:rsid w:val="00161E8C"/>
    <w:rsid w:val="00163141"/>
    <w:rsid w:val="00163779"/>
    <w:rsid w:val="001671AA"/>
    <w:rsid w:val="00167ED1"/>
    <w:rsid w:val="00171040"/>
    <w:rsid w:val="00171A85"/>
    <w:rsid w:val="001722D5"/>
    <w:rsid w:val="00173754"/>
    <w:rsid w:val="001763BF"/>
    <w:rsid w:val="001777A2"/>
    <w:rsid w:val="00177C31"/>
    <w:rsid w:val="00177C3E"/>
    <w:rsid w:val="001803B8"/>
    <w:rsid w:val="00180787"/>
    <w:rsid w:val="00181402"/>
    <w:rsid w:val="001814AB"/>
    <w:rsid w:val="00182116"/>
    <w:rsid w:val="0018539B"/>
    <w:rsid w:val="001853D7"/>
    <w:rsid w:val="00185642"/>
    <w:rsid w:val="00185BFA"/>
    <w:rsid w:val="00191987"/>
    <w:rsid w:val="001924C1"/>
    <w:rsid w:val="00195120"/>
    <w:rsid w:val="0019521B"/>
    <w:rsid w:val="001954BE"/>
    <w:rsid w:val="001961E8"/>
    <w:rsid w:val="00197A73"/>
    <w:rsid w:val="001A07B3"/>
    <w:rsid w:val="001A0821"/>
    <w:rsid w:val="001A28D6"/>
    <w:rsid w:val="001A3171"/>
    <w:rsid w:val="001A36BD"/>
    <w:rsid w:val="001A4393"/>
    <w:rsid w:val="001B15CD"/>
    <w:rsid w:val="001B273B"/>
    <w:rsid w:val="001B2B1A"/>
    <w:rsid w:val="001B4537"/>
    <w:rsid w:val="001B4E2C"/>
    <w:rsid w:val="001B6014"/>
    <w:rsid w:val="001B6FA0"/>
    <w:rsid w:val="001B71B5"/>
    <w:rsid w:val="001C0039"/>
    <w:rsid w:val="001C10C2"/>
    <w:rsid w:val="001C1737"/>
    <w:rsid w:val="001C2509"/>
    <w:rsid w:val="001C25A0"/>
    <w:rsid w:val="001C4246"/>
    <w:rsid w:val="001C6515"/>
    <w:rsid w:val="001C6D11"/>
    <w:rsid w:val="001C784B"/>
    <w:rsid w:val="001D1BB8"/>
    <w:rsid w:val="001D2716"/>
    <w:rsid w:val="001D5D9E"/>
    <w:rsid w:val="001D6D91"/>
    <w:rsid w:val="001D731E"/>
    <w:rsid w:val="001D78B1"/>
    <w:rsid w:val="001E122A"/>
    <w:rsid w:val="001E2D1F"/>
    <w:rsid w:val="001E34BE"/>
    <w:rsid w:val="001E5E4F"/>
    <w:rsid w:val="001F01AD"/>
    <w:rsid w:val="001F0FA9"/>
    <w:rsid w:val="001F3095"/>
    <w:rsid w:val="001F47F5"/>
    <w:rsid w:val="001F619B"/>
    <w:rsid w:val="001F7D00"/>
    <w:rsid w:val="001F7DC4"/>
    <w:rsid w:val="00200762"/>
    <w:rsid w:val="00200929"/>
    <w:rsid w:val="00200EF9"/>
    <w:rsid w:val="00201F6C"/>
    <w:rsid w:val="002033C2"/>
    <w:rsid w:val="00204021"/>
    <w:rsid w:val="0020515C"/>
    <w:rsid w:val="002056D5"/>
    <w:rsid w:val="002104D3"/>
    <w:rsid w:val="002111C6"/>
    <w:rsid w:val="0021301D"/>
    <w:rsid w:val="00213262"/>
    <w:rsid w:val="0021383E"/>
    <w:rsid w:val="00214741"/>
    <w:rsid w:val="00214EBB"/>
    <w:rsid w:val="00215956"/>
    <w:rsid w:val="002171B3"/>
    <w:rsid w:val="002214DA"/>
    <w:rsid w:val="0022248E"/>
    <w:rsid w:val="00222E87"/>
    <w:rsid w:val="00223287"/>
    <w:rsid w:val="0022412A"/>
    <w:rsid w:val="00226044"/>
    <w:rsid w:val="00226BD8"/>
    <w:rsid w:val="00226CDB"/>
    <w:rsid w:val="0022760D"/>
    <w:rsid w:val="0023399A"/>
    <w:rsid w:val="00234506"/>
    <w:rsid w:val="00234F34"/>
    <w:rsid w:val="00235AEC"/>
    <w:rsid w:val="0023605F"/>
    <w:rsid w:val="0023634A"/>
    <w:rsid w:val="002405F0"/>
    <w:rsid w:val="00241447"/>
    <w:rsid w:val="00247602"/>
    <w:rsid w:val="00250A12"/>
    <w:rsid w:val="00252BAF"/>
    <w:rsid w:val="00253D88"/>
    <w:rsid w:val="00253ED1"/>
    <w:rsid w:val="002543DF"/>
    <w:rsid w:val="00254445"/>
    <w:rsid w:val="00254EE0"/>
    <w:rsid w:val="0025579D"/>
    <w:rsid w:val="00257457"/>
    <w:rsid w:val="00260F50"/>
    <w:rsid w:val="00261A3C"/>
    <w:rsid w:val="00265F0B"/>
    <w:rsid w:val="00266976"/>
    <w:rsid w:val="0027112A"/>
    <w:rsid w:val="00271463"/>
    <w:rsid w:val="002742DA"/>
    <w:rsid w:val="00274395"/>
    <w:rsid w:val="002746C0"/>
    <w:rsid w:val="0027577D"/>
    <w:rsid w:val="00276344"/>
    <w:rsid w:val="00277327"/>
    <w:rsid w:val="002776B4"/>
    <w:rsid w:val="002815EE"/>
    <w:rsid w:val="0028197F"/>
    <w:rsid w:val="00286094"/>
    <w:rsid w:val="002861FB"/>
    <w:rsid w:val="00286233"/>
    <w:rsid w:val="00286BAF"/>
    <w:rsid w:val="00287283"/>
    <w:rsid w:val="002878AC"/>
    <w:rsid w:val="00287F27"/>
    <w:rsid w:val="0029107F"/>
    <w:rsid w:val="002910C2"/>
    <w:rsid w:val="00292050"/>
    <w:rsid w:val="00292060"/>
    <w:rsid w:val="00292438"/>
    <w:rsid w:val="00293BF8"/>
    <w:rsid w:val="00293FB4"/>
    <w:rsid w:val="00294F56"/>
    <w:rsid w:val="00296B24"/>
    <w:rsid w:val="002A0312"/>
    <w:rsid w:val="002A5085"/>
    <w:rsid w:val="002A5DD4"/>
    <w:rsid w:val="002A5EEA"/>
    <w:rsid w:val="002A6402"/>
    <w:rsid w:val="002A6626"/>
    <w:rsid w:val="002A6A15"/>
    <w:rsid w:val="002A705D"/>
    <w:rsid w:val="002A7A09"/>
    <w:rsid w:val="002B0276"/>
    <w:rsid w:val="002B0671"/>
    <w:rsid w:val="002B087F"/>
    <w:rsid w:val="002B1B78"/>
    <w:rsid w:val="002B1D83"/>
    <w:rsid w:val="002B29B2"/>
    <w:rsid w:val="002B32C4"/>
    <w:rsid w:val="002B443C"/>
    <w:rsid w:val="002B4898"/>
    <w:rsid w:val="002B522C"/>
    <w:rsid w:val="002B5B0D"/>
    <w:rsid w:val="002B7ED8"/>
    <w:rsid w:val="002C1EFF"/>
    <w:rsid w:val="002C218B"/>
    <w:rsid w:val="002C335B"/>
    <w:rsid w:val="002C41F2"/>
    <w:rsid w:val="002C572B"/>
    <w:rsid w:val="002C7142"/>
    <w:rsid w:val="002C75D3"/>
    <w:rsid w:val="002D0409"/>
    <w:rsid w:val="002D19E5"/>
    <w:rsid w:val="002D2F59"/>
    <w:rsid w:val="002D40F2"/>
    <w:rsid w:val="002D4A2A"/>
    <w:rsid w:val="002D4F8B"/>
    <w:rsid w:val="002D5212"/>
    <w:rsid w:val="002D553A"/>
    <w:rsid w:val="002D57A3"/>
    <w:rsid w:val="002E0075"/>
    <w:rsid w:val="002E0397"/>
    <w:rsid w:val="002E17A3"/>
    <w:rsid w:val="002E1B88"/>
    <w:rsid w:val="002E218D"/>
    <w:rsid w:val="002E2D92"/>
    <w:rsid w:val="002E4DDF"/>
    <w:rsid w:val="002E5440"/>
    <w:rsid w:val="002E660E"/>
    <w:rsid w:val="002E6ADA"/>
    <w:rsid w:val="002F4827"/>
    <w:rsid w:val="002F4E71"/>
    <w:rsid w:val="002F5EB2"/>
    <w:rsid w:val="002F6994"/>
    <w:rsid w:val="002F6C88"/>
    <w:rsid w:val="002F7177"/>
    <w:rsid w:val="003001C9"/>
    <w:rsid w:val="0030026C"/>
    <w:rsid w:val="003009C6"/>
    <w:rsid w:val="00300B64"/>
    <w:rsid w:val="00303B22"/>
    <w:rsid w:val="00303B82"/>
    <w:rsid w:val="00305165"/>
    <w:rsid w:val="00306E0E"/>
    <w:rsid w:val="003071DA"/>
    <w:rsid w:val="003104F8"/>
    <w:rsid w:val="00310821"/>
    <w:rsid w:val="00312E4C"/>
    <w:rsid w:val="003130E7"/>
    <w:rsid w:val="003152B5"/>
    <w:rsid w:val="0032000E"/>
    <w:rsid w:val="00320F33"/>
    <w:rsid w:val="00323FC8"/>
    <w:rsid w:val="003245A9"/>
    <w:rsid w:val="003276CC"/>
    <w:rsid w:val="003300FB"/>
    <w:rsid w:val="00330BAB"/>
    <w:rsid w:val="003310EE"/>
    <w:rsid w:val="0033230C"/>
    <w:rsid w:val="00333148"/>
    <w:rsid w:val="0033445C"/>
    <w:rsid w:val="00335778"/>
    <w:rsid w:val="00337BFA"/>
    <w:rsid w:val="00337E11"/>
    <w:rsid w:val="003404FE"/>
    <w:rsid w:val="00340B1F"/>
    <w:rsid w:val="00340B3A"/>
    <w:rsid w:val="00341CAC"/>
    <w:rsid w:val="003427BF"/>
    <w:rsid w:val="0034510D"/>
    <w:rsid w:val="00346176"/>
    <w:rsid w:val="00346B9A"/>
    <w:rsid w:val="0034729B"/>
    <w:rsid w:val="003478CD"/>
    <w:rsid w:val="003517A4"/>
    <w:rsid w:val="00352E38"/>
    <w:rsid w:val="00352F2D"/>
    <w:rsid w:val="0035477A"/>
    <w:rsid w:val="00354F65"/>
    <w:rsid w:val="003632E4"/>
    <w:rsid w:val="00363F57"/>
    <w:rsid w:val="00365461"/>
    <w:rsid w:val="0036735F"/>
    <w:rsid w:val="00367E7D"/>
    <w:rsid w:val="0037043C"/>
    <w:rsid w:val="00370812"/>
    <w:rsid w:val="0037104A"/>
    <w:rsid w:val="00372099"/>
    <w:rsid w:val="00376C12"/>
    <w:rsid w:val="00377FA4"/>
    <w:rsid w:val="00382DD9"/>
    <w:rsid w:val="00382F3A"/>
    <w:rsid w:val="0038648D"/>
    <w:rsid w:val="0038702D"/>
    <w:rsid w:val="003919B8"/>
    <w:rsid w:val="00391BE6"/>
    <w:rsid w:val="0039333D"/>
    <w:rsid w:val="00395ABF"/>
    <w:rsid w:val="0039749A"/>
    <w:rsid w:val="00397C6A"/>
    <w:rsid w:val="003A0759"/>
    <w:rsid w:val="003A094C"/>
    <w:rsid w:val="003A10E7"/>
    <w:rsid w:val="003A24CC"/>
    <w:rsid w:val="003A3482"/>
    <w:rsid w:val="003A3CBC"/>
    <w:rsid w:val="003A5A5B"/>
    <w:rsid w:val="003A5CE7"/>
    <w:rsid w:val="003A5FA4"/>
    <w:rsid w:val="003A657B"/>
    <w:rsid w:val="003A669C"/>
    <w:rsid w:val="003B1B71"/>
    <w:rsid w:val="003B405C"/>
    <w:rsid w:val="003B4611"/>
    <w:rsid w:val="003B491E"/>
    <w:rsid w:val="003B528B"/>
    <w:rsid w:val="003B63AC"/>
    <w:rsid w:val="003B6DCE"/>
    <w:rsid w:val="003B72A3"/>
    <w:rsid w:val="003C19E8"/>
    <w:rsid w:val="003C3F3D"/>
    <w:rsid w:val="003C54A0"/>
    <w:rsid w:val="003C5A8A"/>
    <w:rsid w:val="003C60F2"/>
    <w:rsid w:val="003C71F7"/>
    <w:rsid w:val="003C75AF"/>
    <w:rsid w:val="003D119A"/>
    <w:rsid w:val="003D223D"/>
    <w:rsid w:val="003D35D8"/>
    <w:rsid w:val="003D492C"/>
    <w:rsid w:val="003D5C98"/>
    <w:rsid w:val="003E00CD"/>
    <w:rsid w:val="003E1A3B"/>
    <w:rsid w:val="003E2DD3"/>
    <w:rsid w:val="003E4723"/>
    <w:rsid w:val="003E5873"/>
    <w:rsid w:val="003E5C72"/>
    <w:rsid w:val="003E5EC0"/>
    <w:rsid w:val="003E72E8"/>
    <w:rsid w:val="003E7E47"/>
    <w:rsid w:val="003E7E9D"/>
    <w:rsid w:val="003F000D"/>
    <w:rsid w:val="003F17AB"/>
    <w:rsid w:val="003F18D9"/>
    <w:rsid w:val="003F317D"/>
    <w:rsid w:val="003F3BCA"/>
    <w:rsid w:val="003F3BF7"/>
    <w:rsid w:val="003F4455"/>
    <w:rsid w:val="003F4647"/>
    <w:rsid w:val="003F5777"/>
    <w:rsid w:val="003F5BBD"/>
    <w:rsid w:val="003F6165"/>
    <w:rsid w:val="003F618D"/>
    <w:rsid w:val="004005DA"/>
    <w:rsid w:val="00401715"/>
    <w:rsid w:val="0040187B"/>
    <w:rsid w:val="0040455D"/>
    <w:rsid w:val="004054F2"/>
    <w:rsid w:val="004058DB"/>
    <w:rsid w:val="00406282"/>
    <w:rsid w:val="00410215"/>
    <w:rsid w:val="00410A82"/>
    <w:rsid w:val="00411458"/>
    <w:rsid w:val="00413DC7"/>
    <w:rsid w:val="00414790"/>
    <w:rsid w:val="00414D75"/>
    <w:rsid w:val="004165D6"/>
    <w:rsid w:val="004173EE"/>
    <w:rsid w:val="00417B9D"/>
    <w:rsid w:val="004209B3"/>
    <w:rsid w:val="00420CF1"/>
    <w:rsid w:val="00421BA4"/>
    <w:rsid w:val="00421E00"/>
    <w:rsid w:val="00422DAA"/>
    <w:rsid w:val="0042322B"/>
    <w:rsid w:val="004257A7"/>
    <w:rsid w:val="00425DD6"/>
    <w:rsid w:val="00427070"/>
    <w:rsid w:val="00431290"/>
    <w:rsid w:val="004312A3"/>
    <w:rsid w:val="00431483"/>
    <w:rsid w:val="004323F7"/>
    <w:rsid w:val="004326C2"/>
    <w:rsid w:val="004329D9"/>
    <w:rsid w:val="004334F3"/>
    <w:rsid w:val="0043650A"/>
    <w:rsid w:val="0043751C"/>
    <w:rsid w:val="00441732"/>
    <w:rsid w:val="004417BD"/>
    <w:rsid w:val="0044213A"/>
    <w:rsid w:val="00443766"/>
    <w:rsid w:val="00443A35"/>
    <w:rsid w:val="00443F86"/>
    <w:rsid w:val="00443FD9"/>
    <w:rsid w:val="0044510C"/>
    <w:rsid w:val="004453C1"/>
    <w:rsid w:val="00447381"/>
    <w:rsid w:val="00447A7E"/>
    <w:rsid w:val="00447B72"/>
    <w:rsid w:val="00451417"/>
    <w:rsid w:val="00455179"/>
    <w:rsid w:val="00457407"/>
    <w:rsid w:val="00457E81"/>
    <w:rsid w:val="00460562"/>
    <w:rsid w:val="00460884"/>
    <w:rsid w:val="00460E5C"/>
    <w:rsid w:val="00463FE2"/>
    <w:rsid w:val="0046462A"/>
    <w:rsid w:val="004648BC"/>
    <w:rsid w:val="00464974"/>
    <w:rsid w:val="00464BFD"/>
    <w:rsid w:val="004652E7"/>
    <w:rsid w:val="00466C73"/>
    <w:rsid w:val="004678D0"/>
    <w:rsid w:val="00470FE4"/>
    <w:rsid w:val="00472871"/>
    <w:rsid w:val="0047317B"/>
    <w:rsid w:val="00473A0A"/>
    <w:rsid w:val="0047476C"/>
    <w:rsid w:val="00474880"/>
    <w:rsid w:val="004767C5"/>
    <w:rsid w:val="00480A95"/>
    <w:rsid w:val="004820F0"/>
    <w:rsid w:val="00483732"/>
    <w:rsid w:val="00483F15"/>
    <w:rsid w:val="0048596C"/>
    <w:rsid w:val="00486550"/>
    <w:rsid w:val="004876B1"/>
    <w:rsid w:val="004903CC"/>
    <w:rsid w:val="00490605"/>
    <w:rsid w:val="004914AB"/>
    <w:rsid w:val="00491591"/>
    <w:rsid w:val="0049274B"/>
    <w:rsid w:val="0049315E"/>
    <w:rsid w:val="00493D7C"/>
    <w:rsid w:val="00494DDA"/>
    <w:rsid w:val="0049642B"/>
    <w:rsid w:val="00497687"/>
    <w:rsid w:val="004A2F06"/>
    <w:rsid w:val="004A5AE9"/>
    <w:rsid w:val="004A5DA2"/>
    <w:rsid w:val="004A777E"/>
    <w:rsid w:val="004B03A3"/>
    <w:rsid w:val="004B2A73"/>
    <w:rsid w:val="004B3E22"/>
    <w:rsid w:val="004B7AFC"/>
    <w:rsid w:val="004B7E55"/>
    <w:rsid w:val="004C0663"/>
    <w:rsid w:val="004C0F58"/>
    <w:rsid w:val="004C208C"/>
    <w:rsid w:val="004C2DF2"/>
    <w:rsid w:val="004C5F84"/>
    <w:rsid w:val="004C674C"/>
    <w:rsid w:val="004C75E5"/>
    <w:rsid w:val="004D22A1"/>
    <w:rsid w:val="004D31A8"/>
    <w:rsid w:val="004D49BF"/>
    <w:rsid w:val="004D4D7F"/>
    <w:rsid w:val="004D6679"/>
    <w:rsid w:val="004D6C44"/>
    <w:rsid w:val="004D715D"/>
    <w:rsid w:val="004D7AE2"/>
    <w:rsid w:val="004E0866"/>
    <w:rsid w:val="004E0A37"/>
    <w:rsid w:val="004E2300"/>
    <w:rsid w:val="004E336A"/>
    <w:rsid w:val="004E3BE5"/>
    <w:rsid w:val="004E48A5"/>
    <w:rsid w:val="004E4A82"/>
    <w:rsid w:val="004E55D4"/>
    <w:rsid w:val="004E5F12"/>
    <w:rsid w:val="004E65AD"/>
    <w:rsid w:val="004E6CA9"/>
    <w:rsid w:val="004E703A"/>
    <w:rsid w:val="004E749C"/>
    <w:rsid w:val="004F13FB"/>
    <w:rsid w:val="004F1B3D"/>
    <w:rsid w:val="004F22D0"/>
    <w:rsid w:val="004F3606"/>
    <w:rsid w:val="004F3D27"/>
    <w:rsid w:val="004F4A04"/>
    <w:rsid w:val="004F502C"/>
    <w:rsid w:val="004F68B4"/>
    <w:rsid w:val="004F7E0B"/>
    <w:rsid w:val="005016BA"/>
    <w:rsid w:val="00502B91"/>
    <w:rsid w:val="005041F6"/>
    <w:rsid w:val="0050442F"/>
    <w:rsid w:val="00505033"/>
    <w:rsid w:val="005055CE"/>
    <w:rsid w:val="00506156"/>
    <w:rsid w:val="005066CC"/>
    <w:rsid w:val="00506F2C"/>
    <w:rsid w:val="00507BB0"/>
    <w:rsid w:val="00510357"/>
    <w:rsid w:val="00510FE7"/>
    <w:rsid w:val="00512A20"/>
    <w:rsid w:val="00513A14"/>
    <w:rsid w:val="005160B3"/>
    <w:rsid w:val="00516608"/>
    <w:rsid w:val="00517F90"/>
    <w:rsid w:val="00521B31"/>
    <w:rsid w:val="00522C09"/>
    <w:rsid w:val="0052324E"/>
    <w:rsid w:val="00523790"/>
    <w:rsid w:val="0052401D"/>
    <w:rsid w:val="00524203"/>
    <w:rsid w:val="0052426A"/>
    <w:rsid w:val="0052442D"/>
    <w:rsid w:val="0052453A"/>
    <w:rsid w:val="00525C21"/>
    <w:rsid w:val="00526B72"/>
    <w:rsid w:val="005279AE"/>
    <w:rsid w:val="005313B6"/>
    <w:rsid w:val="00531DFD"/>
    <w:rsid w:val="00532059"/>
    <w:rsid w:val="00532EEB"/>
    <w:rsid w:val="00533BCB"/>
    <w:rsid w:val="00534B64"/>
    <w:rsid w:val="005358C3"/>
    <w:rsid w:val="00536A18"/>
    <w:rsid w:val="00536B26"/>
    <w:rsid w:val="00537451"/>
    <w:rsid w:val="0054048A"/>
    <w:rsid w:val="00540B46"/>
    <w:rsid w:val="00540E1F"/>
    <w:rsid w:val="005419E6"/>
    <w:rsid w:val="005465D5"/>
    <w:rsid w:val="00552FA5"/>
    <w:rsid w:val="005530C5"/>
    <w:rsid w:val="00553BDE"/>
    <w:rsid w:val="0055571D"/>
    <w:rsid w:val="005566A7"/>
    <w:rsid w:val="005572DE"/>
    <w:rsid w:val="005573C2"/>
    <w:rsid w:val="00557824"/>
    <w:rsid w:val="00560350"/>
    <w:rsid w:val="00560FEC"/>
    <w:rsid w:val="00561493"/>
    <w:rsid w:val="00562FDF"/>
    <w:rsid w:val="005637D2"/>
    <w:rsid w:val="00566AB5"/>
    <w:rsid w:val="005671D6"/>
    <w:rsid w:val="005674AC"/>
    <w:rsid w:val="005676B0"/>
    <w:rsid w:val="0057085A"/>
    <w:rsid w:val="005709BF"/>
    <w:rsid w:val="00570D41"/>
    <w:rsid w:val="00571585"/>
    <w:rsid w:val="00571661"/>
    <w:rsid w:val="00573C31"/>
    <w:rsid w:val="0057426C"/>
    <w:rsid w:val="00574430"/>
    <w:rsid w:val="00574E9E"/>
    <w:rsid w:val="005750EF"/>
    <w:rsid w:val="005753BD"/>
    <w:rsid w:val="0057610F"/>
    <w:rsid w:val="00581028"/>
    <w:rsid w:val="005908B9"/>
    <w:rsid w:val="00591996"/>
    <w:rsid w:val="005934FB"/>
    <w:rsid w:val="00593B33"/>
    <w:rsid w:val="005945A6"/>
    <w:rsid w:val="0059474E"/>
    <w:rsid w:val="0059619C"/>
    <w:rsid w:val="005966E4"/>
    <w:rsid w:val="00597A3C"/>
    <w:rsid w:val="005A04FF"/>
    <w:rsid w:val="005A2D2F"/>
    <w:rsid w:val="005A3015"/>
    <w:rsid w:val="005A3033"/>
    <w:rsid w:val="005A3783"/>
    <w:rsid w:val="005A45BE"/>
    <w:rsid w:val="005A4F7F"/>
    <w:rsid w:val="005A50DC"/>
    <w:rsid w:val="005A546A"/>
    <w:rsid w:val="005A6732"/>
    <w:rsid w:val="005B019F"/>
    <w:rsid w:val="005B01D4"/>
    <w:rsid w:val="005B0CF7"/>
    <w:rsid w:val="005B1AD9"/>
    <w:rsid w:val="005B3F9F"/>
    <w:rsid w:val="005B40CB"/>
    <w:rsid w:val="005B41A3"/>
    <w:rsid w:val="005B5BB0"/>
    <w:rsid w:val="005B7581"/>
    <w:rsid w:val="005C06C7"/>
    <w:rsid w:val="005C4807"/>
    <w:rsid w:val="005C4CF1"/>
    <w:rsid w:val="005C77DF"/>
    <w:rsid w:val="005D073D"/>
    <w:rsid w:val="005D0B90"/>
    <w:rsid w:val="005D1071"/>
    <w:rsid w:val="005D10CC"/>
    <w:rsid w:val="005D16EF"/>
    <w:rsid w:val="005D259B"/>
    <w:rsid w:val="005D2ABC"/>
    <w:rsid w:val="005D36B6"/>
    <w:rsid w:val="005D3ABB"/>
    <w:rsid w:val="005D3E75"/>
    <w:rsid w:val="005D42BF"/>
    <w:rsid w:val="005D7585"/>
    <w:rsid w:val="005D794D"/>
    <w:rsid w:val="005D7DDC"/>
    <w:rsid w:val="005E0371"/>
    <w:rsid w:val="005E0489"/>
    <w:rsid w:val="005E3818"/>
    <w:rsid w:val="005E38B4"/>
    <w:rsid w:val="005E4E81"/>
    <w:rsid w:val="005E5A36"/>
    <w:rsid w:val="005E6C56"/>
    <w:rsid w:val="005F0D4D"/>
    <w:rsid w:val="005F14FA"/>
    <w:rsid w:val="005F2F1C"/>
    <w:rsid w:val="005F3AD9"/>
    <w:rsid w:val="005F6C0C"/>
    <w:rsid w:val="005F7E79"/>
    <w:rsid w:val="0060017C"/>
    <w:rsid w:val="00600831"/>
    <w:rsid w:val="006016A1"/>
    <w:rsid w:val="006016A9"/>
    <w:rsid w:val="00601736"/>
    <w:rsid w:val="0060223B"/>
    <w:rsid w:val="00603116"/>
    <w:rsid w:val="00603746"/>
    <w:rsid w:val="006041E8"/>
    <w:rsid w:val="00606C8E"/>
    <w:rsid w:val="00607038"/>
    <w:rsid w:val="0061107C"/>
    <w:rsid w:val="00612670"/>
    <w:rsid w:val="00612785"/>
    <w:rsid w:val="0061309C"/>
    <w:rsid w:val="00613936"/>
    <w:rsid w:val="00614F98"/>
    <w:rsid w:val="006151C3"/>
    <w:rsid w:val="00615AA5"/>
    <w:rsid w:val="00616519"/>
    <w:rsid w:val="00617044"/>
    <w:rsid w:val="006171A2"/>
    <w:rsid w:val="00617639"/>
    <w:rsid w:val="00617811"/>
    <w:rsid w:val="006179B8"/>
    <w:rsid w:val="00620CA1"/>
    <w:rsid w:val="006210A9"/>
    <w:rsid w:val="0062197A"/>
    <w:rsid w:val="006223F2"/>
    <w:rsid w:val="00623685"/>
    <w:rsid w:val="00624FA8"/>
    <w:rsid w:val="00625471"/>
    <w:rsid w:val="00625E0B"/>
    <w:rsid w:val="0062623A"/>
    <w:rsid w:val="00627BE5"/>
    <w:rsid w:val="00630342"/>
    <w:rsid w:val="00630360"/>
    <w:rsid w:val="00630FB0"/>
    <w:rsid w:val="00631421"/>
    <w:rsid w:val="00631E85"/>
    <w:rsid w:val="00632877"/>
    <w:rsid w:val="00633590"/>
    <w:rsid w:val="006346C2"/>
    <w:rsid w:val="00634E6B"/>
    <w:rsid w:val="00635C2F"/>
    <w:rsid w:val="00636113"/>
    <w:rsid w:val="00642234"/>
    <w:rsid w:val="0064321B"/>
    <w:rsid w:val="00644556"/>
    <w:rsid w:val="00644D0E"/>
    <w:rsid w:val="00645920"/>
    <w:rsid w:val="0064639D"/>
    <w:rsid w:val="006500EA"/>
    <w:rsid w:val="00651CA6"/>
    <w:rsid w:val="00652347"/>
    <w:rsid w:val="00652A1B"/>
    <w:rsid w:val="00652EF0"/>
    <w:rsid w:val="00655DB0"/>
    <w:rsid w:val="0065601F"/>
    <w:rsid w:val="00656FE7"/>
    <w:rsid w:val="00657A7C"/>
    <w:rsid w:val="00657DEA"/>
    <w:rsid w:val="00662422"/>
    <w:rsid w:val="00665686"/>
    <w:rsid w:val="0066799F"/>
    <w:rsid w:val="00667C51"/>
    <w:rsid w:val="00670181"/>
    <w:rsid w:val="00670B32"/>
    <w:rsid w:val="0067197A"/>
    <w:rsid w:val="00672D28"/>
    <w:rsid w:val="00674655"/>
    <w:rsid w:val="00675A33"/>
    <w:rsid w:val="00676D9F"/>
    <w:rsid w:val="00677E4E"/>
    <w:rsid w:val="00680C7B"/>
    <w:rsid w:val="00682833"/>
    <w:rsid w:val="00682937"/>
    <w:rsid w:val="006847B2"/>
    <w:rsid w:val="00685F98"/>
    <w:rsid w:val="006861DD"/>
    <w:rsid w:val="0068674D"/>
    <w:rsid w:val="00691E6E"/>
    <w:rsid w:val="00692EAF"/>
    <w:rsid w:val="00694983"/>
    <w:rsid w:val="00694C42"/>
    <w:rsid w:val="006950B1"/>
    <w:rsid w:val="00697383"/>
    <w:rsid w:val="006977B5"/>
    <w:rsid w:val="00697BD0"/>
    <w:rsid w:val="006A0993"/>
    <w:rsid w:val="006A1B30"/>
    <w:rsid w:val="006A1EA1"/>
    <w:rsid w:val="006A26DD"/>
    <w:rsid w:val="006A30C1"/>
    <w:rsid w:val="006A37F3"/>
    <w:rsid w:val="006A49BA"/>
    <w:rsid w:val="006A6B95"/>
    <w:rsid w:val="006A6E68"/>
    <w:rsid w:val="006A784E"/>
    <w:rsid w:val="006B187D"/>
    <w:rsid w:val="006B19AB"/>
    <w:rsid w:val="006B1CE0"/>
    <w:rsid w:val="006B1F08"/>
    <w:rsid w:val="006B3447"/>
    <w:rsid w:val="006B3898"/>
    <w:rsid w:val="006B4703"/>
    <w:rsid w:val="006B543B"/>
    <w:rsid w:val="006B63E6"/>
    <w:rsid w:val="006B6991"/>
    <w:rsid w:val="006B7ED2"/>
    <w:rsid w:val="006B7FD9"/>
    <w:rsid w:val="006C3BAE"/>
    <w:rsid w:val="006C58B0"/>
    <w:rsid w:val="006C6BBF"/>
    <w:rsid w:val="006C7C6F"/>
    <w:rsid w:val="006D0289"/>
    <w:rsid w:val="006D2C3F"/>
    <w:rsid w:val="006D3F6B"/>
    <w:rsid w:val="006D534C"/>
    <w:rsid w:val="006E425D"/>
    <w:rsid w:val="006E4CFA"/>
    <w:rsid w:val="006E60DC"/>
    <w:rsid w:val="006E67A5"/>
    <w:rsid w:val="006F18B5"/>
    <w:rsid w:val="006F28CA"/>
    <w:rsid w:val="006F33E6"/>
    <w:rsid w:val="006F3E6C"/>
    <w:rsid w:val="006F48BC"/>
    <w:rsid w:val="006F4C74"/>
    <w:rsid w:val="006F4DE8"/>
    <w:rsid w:val="006F5551"/>
    <w:rsid w:val="006F58DD"/>
    <w:rsid w:val="006F624D"/>
    <w:rsid w:val="006F6470"/>
    <w:rsid w:val="006F692E"/>
    <w:rsid w:val="00702033"/>
    <w:rsid w:val="00702297"/>
    <w:rsid w:val="0070384C"/>
    <w:rsid w:val="00703E47"/>
    <w:rsid w:val="007046D7"/>
    <w:rsid w:val="00705180"/>
    <w:rsid w:val="007073C3"/>
    <w:rsid w:val="0070750F"/>
    <w:rsid w:val="007109A0"/>
    <w:rsid w:val="00711908"/>
    <w:rsid w:val="0071243A"/>
    <w:rsid w:val="007124A9"/>
    <w:rsid w:val="00713EE6"/>
    <w:rsid w:val="00715DAD"/>
    <w:rsid w:val="00717458"/>
    <w:rsid w:val="00720090"/>
    <w:rsid w:val="007212CB"/>
    <w:rsid w:val="007220FA"/>
    <w:rsid w:val="007228C1"/>
    <w:rsid w:val="00722938"/>
    <w:rsid w:val="00723612"/>
    <w:rsid w:val="00723866"/>
    <w:rsid w:val="00724A2A"/>
    <w:rsid w:val="00724BD7"/>
    <w:rsid w:val="00727DFD"/>
    <w:rsid w:val="00732884"/>
    <w:rsid w:val="007337E3"/>
    <w:rsid w:val="00733F20"/>
    <w:rsid w:val="00734361"/>
    <w:rsid w:val="00735BE9"/>
    <w:rsid w:val="00735DB8"/>
    <w:rsid w:val="00736221"/>
    <w:rsid w:val="00737093"/>
    <w:rsid w:val="00740A22"/>
    <w:rsid w:val="00741C07"/>
    <w:rsid w:val="00742CB2"/>
    <w:rsid w:val="007438CF"/>
    <w:rsid w:val="007457FD"/>
    <w:rsid w:val="00746170"/>
    <w:rsid w:val="0074766C"/>
    <w:rsid w:val="0075062C"/>
    <w:rsid w:val="00751C8A"/>
    <w:rsid w:val="0075361E"/>
    <w:rsid w:val="0075388C"/>
    <w:rsid w:val="0075424F"/>
    <w:rsid w:val="00754836"/>
    <w:rsid w:val="0076051C"/>
    <w:rsid w:val="00762908"/>
    <w:rsid w:val="007645D8"/>
    <w:rsid w:val="0076689B"/>
    <w:rsid w:val="00770179"/>
    <w:rsid w:val="00770ECA"/>
    <w:rsid w:val="00771C93"/>
    <w:rsid w:val="00771D8C"/>
    <w:rsid w:val="00771DD5"/>
    <w:rsid w:val="0077210B"/>
    <w:rsid w:val="00772193"/>
    <w:rsid w:val="007737FF"/>
    <w:rsid w:val="00776CD3"/>
    <w:rsid w:val="00781F7C"/>
    <w:rsid w:val="007825B3"/>
    <w:rsid w:val="00783195"/>
    <w:rsid w:val="00783461"/>
    <w:rsid w:val="0078604C"/>
    <w:rsid w:val="0078721C"/>
    <w:rsid w:val="00791178"/>
    <w:rsid w:val="00792617"/>
    <w:rsid w:val="00793078"/>
    <w:rsid w:val="007A0851"/>
    <w:rsid w:val="007A0D80"/>
    <w:rsid w:val="007A32C0"/>
    <w:rsid w:val="007A5759"/>
    <w:rsid w:val="007B26B1"/>
    <w:rsid w:val="007B27B7"/>
    <w:rsid w:val="007B2D2C"/>
    <w:rsid w:val="007B339C"/>
    <w:rsid w:val="007B39D6"/>
    <w:rsid w:val="007B4CA6"/>
    <w:rsid w:val="007B7434"/>
    <w:rsid w:val="007C1490"/>
    <w:rsid w:val="007C2306"/>
    <w:rsid w:val="007C2466"/>
    <w:rsid w:val="007C2750"/>
    <w:rsid w:val="007C4BB1"/>
    <w:rsid w:val="007C6614"/>
    <w:rsid w:val="007D2520"/>
    <w:rsid w:val="007D2CC5"/>
    <w:rsid w:val="007D2F03"/>
    <w:rsid w:val="007D33C4"/>
    <w:rsid w:val="007D3852"/>
    <w:rsid w:val="007D5336"/>
    <w:rsid w:val="007D70B5"/>
    <w:rsid w:val="007E04F6"/>
    <w:rsid w:val="007E16A7"/>
    <w:rsid w:val="007E216D"/>
    <w:rsid w:val="007E2510"/>
    <w:rsid w:val="007E287A"/>
    <w:rsid w:val="007E2A39"/>
    <w:rsid w:val="007E397D"/>
    <w:rsid w:val="007E5D18"/>
    <w:rsid w:val="007E7648"/>
    <w:rsid w:val="007E7A10"/>
    <w:rsid w:val="007F0EB5"/>
    <w:rsid w:val="007F2CB0"/>
    <w:rsid w:val="007F4D6B"/>
    <w:rsid w:val="007F57D7"/>
    <w:rsid w:val="007F65FF"/>
    <w:rsid w:val="007F700D"/>
    <w:rsid w:val="008016F6"/>
    <w:rsid w:val="00801F68"/>
    <w:rsid w:val="0080293A"/>
    <w:rsid w:val="00802CF5"/>
    <w:rsid w:val="00804AD1"/>
    <w:rsid w:val="00804F01"/>
    <w:rsid w:val="008052E1"/>
    <w:rsid w:val="008053C7"/>
    <w:rsid w:val="00806797"/>
    <w:rsid w:val="00807F37"/>
    <w:rsid w:val="00807FBF"/>
    <w:rsid w:val="00810A67"/>
    <w:rsid w:val="00811693"/>
    <w:rsid w:val="0081253C"/>
    <w:rsid w:val="00812E3D"/>
    <w:rsid w:val="008159B9"/>
    <w:rsid w:val="00815C0D"/>
    <w:rsid w:val="00816952"/>
    <w:rsid w:val="0081785E"/>
    <w:rsid w:val="00817920"/>
    <w:rsid w:val="00817A64"/>
    <w:rsid w:val="008202A4"/>
    <w:rsid w:val="0082058A"/>
    <w:rsid w:val="00822DE7"/>
    <w:rsid w:val="008252B3"/>
    <w:rsid w:val="00827417"/>
    <w:rsid w:val="008304DE"/>
    <w:rsid w:val="008325BC"/>
    <w:rsid w:val="008348F8"/>
    <w:rsid w:val="00834BB3"/>
    <w:rsid w:val="0083538E"/>
    <w:rsid w:val="008365A3"/>
    <w:rsid w:val="0083778F"/>
    <w:rsid w:val="00840009"/>
    <w:rsid w:val="008402EC"/>
    <w:rsid w:val="00841250"/>
    <w:rsid w:val="008418A4"/>
    <w:rsid w:val="00844049"/>
    <w:rsid w:val="0084462C"/>
    <w:rsid w:val="00845FE8"/>
    <w:rsid w:val="00847B37"/>
    <w:rsid w:val="00852532"/>
    <w:rsid w:val="0085585B"/>
    <w:rsid w:val="0085605F"/>
    <w:rsid w:val="008569A1"/>
    <w:rsid w:val="008571F0"/>
    <w:rsid w:val="00857504"/>
    <w:rsid w:val="00857932"/>
    <w:rsid w:val="00860B33"/>
    <w:rsid w:val="00864E0F"/>
    <w:rsid w:val="00866942"/>
    <w:rsid w:val="00866D4E"/>
    <w:rsid w:val="00870DC7"/>
    <w:rsid w:val="008711A3"/>
    <w:rsid w:val="00871FD5"/>
    <w:rsid w:val="00873A12"/>
    <w:rsid w:val="00873D89"/>
    <w:rsid w:val="00876262"/>
    <w:rsid w:val="008778EA"/>
    <w:rsid w:val="00877D9E"/>
    <w:rsid w:val="00880315"/>
    <w:rsid w:val="00881B28"/>
    <w:rsid w:val="00882F1C"/>
    <w:rsid w:val="0088784D"/>
    <w:rsid w:val="008907B5"/>
    <w:rsid w:val="00890AAB"/>
    <w:rsid w:val="0089134C"/>
    <w:rsid w:val="00893256"/>
    <w:rsid w:val="00895946"/>
    <w:rsid w:val="008959E6"/>
    <w:rsid w:val="0089775F"/>
    <w:rsid w:val="008A14ED"/>
    <w:rsid w:val="008A1FE9"/>
    <w:rsid w:val="008A2A33"/>
    <w:rsid w:val="008A317A"/>
    <w:rsid w:val="008A6C21"/>
    <w:rsid w:val="008A6E7E"/>
    <w:rsid w:val="008A7BC0"/>
    <w:rsid w:val="008B1E66"/>
    <w:rsid w:val="008B49DA"/>
    <w:rsid w:val="008B4CE5"/>
    <w:rsid w:val="008B4EA6"/>
    <w:rsid w:val="008B540D"/>
    <w:rsid w:val="008B5471"/>
    <w:rsid w:val="008B73E3"/>
    <w:rsid w:val="008C069E"/>
    <w:rsid w:val="008C1605"/>
    <w:rsid w:val="008C2C45"/>
    <w:rsid w:val="008C3062"/>
    <w:rsid w:val="008C370F"/>
    <w:rsid w:val="008C3F3F"/>
    <w:rsid w:val="008C4A7F"/>
    <w:rsid w:val="008C4EBB"/>
    <w:rsid w:val="008C56E8"/>
    <w:rsid w:val="008C61B3"/>
    <w:rsid w:val="008C66DD"/>
    <w:rsid w:val="008C6D56"/>
    <w:rsid w:val="008D0BF0"/>
    <w:rsid w:val="008D10ED"/>
    <w:rsid w:val="008D1863"/>
    <w:rsid w:val="008D217A"/>
    <w:rsid w:val="008D3405"/>
    <w:rsid w:val="008D40C4"/>
    <w:rsid w:val="008D42D7"/>
    <w:rsid w:val="008D450F"/>
    <w:rsid w:val="008D49B2"/>
    <w:rsid w:val="008D7DAF"/>
    <w:rsid w:val="008E0302"/>
    <w:rsid w:val="008E06FE"/>
    <w:rsid w:val="008E2100"/>
    <w:rsid w:val="008E496D"/>
    <w:rsid w:val="008E5EA0"/>
    <w:rsid w:val="008F16B4"/>
    <w:rsid w:val="008F1AD0"/>
    <w:rsid w:val="008F1DF8"/>
    <w:rsid w:val="008F2257"/>
    <w:rsid w:val="008F2616"/>
    <w:rsid w:val="008F2EA0"/>
    <w:rsid w:val="008F353A"/>
    <w:rsid w:val="008F4535"/>
    <w:rsid w:val="008F4C26"/>
    <w:rsid w:val="008F6C9D"/>
    <w:rsid w:val="008F74BF"/>
    <w:rsid w:val="008F7654"/>
    <w:rsid w:val="008F7B53"/>
    <w:rsid w:val="00900981"/>
    <w:rsid w:val="00901E99"/>
    <w:rsid w:val="00901FC7"/>
    <w:rsid w:val="0090289F"/>
    <w:rsid w:val="00902D52"/>
    <w:rsid w:val="00903F59"/>
    <w:rsid w:val="00905FC0"/>
    <w:rsid w:val="00906CBC"/>
    <w:rsid w:val="00906E85"/>
    <w:rsid w:val="009072A3"/>
    <w:rsid w:val="00907B1C"/>
    <w:rsid w:val="009100F7"/>
    <w:rsid w:val="00913882"/>
    <w:rsid w:val="00913FD5"/>
    <w:rsid w:val="009140E8"/>
    <w:rsid w:val="00914A8F"/>
    <w:rsid w:val="00915ED4"/>
    <w:rsid w:val="00915FC0"/>
    <w:rsid w:val="009173F6"/>
    <w:rsid w:val="0091765D"/>
    <w:rsid w:val="00920A47"/>
    <w:rsid w:val="009214C4"/>
    <w:rsid w:val="00921B6D"/>
    <w:rsid w:val="0092216F"/>
    <w:rsid w:val="00922597"/>
    <w:rsid w:val="0092292E"/>
    <w:rsid w:val="00924A35"/>
    <w:rsid w:val="00924D24"/>
    <w:rsid w:val="00925FA1"/>
    <w:rsid w:val="009261E7"/>
    <w:rsid w:val="00926967"/>
    <w:rsid w:val="00930296"/>
    <w:rsid w:val="00933DD8"/>
    <w:rsid w:val="00933EC9"/>
    <w:rsid w:val="00935211"/>
    <w:rsid w:val="00935689"/>
    <w:rsid w:val="0093594B"/>
    <w:rsid w:val="009361DA"/>
    <w:rsid w:val="00936FBB"/>
    <w:rsid w:val="00941626"/>
    <w:rsid w:val="00941A2D"/>
    <w:rsid w:val="009428A1"/>
    <w:rsid w:val="009437AE"/>
    <w:rsid w:val="00943EA3"/>
    <w:rsid w:val="00945F6B"/>
    <w:rsid w:val="009470F0"/>
    <w:rsid w:val="00953B2C"/>
    <w:rsid w:val="00954320"/>
    <w:rsid w:val="00954DDC"/>
    <w:rsid w:val="00956B23"/>
    <w:rsid w:val="00956D9A"/>
    <w:rsid w:val="009629A7"/>
    <w:rsid w:val="00962E09"/>
    <w:rsid w:val="009633B6"/>
    <w:rsid w:val="00963CC6"/>
    <w:rsid w:val="009646C5"/>
    <w:rsid w:val="0097088E"/>
    <w:rsid w:val="00970D51"/>
    <w:rsid w:val="00970FC6"/>
    <w:rsid w:val="00971A59"/>
    <w:rsid w:val="00971D3F"/>
    <w:rsid w:val="00973C3E"/>
    <w:rsid w:val="009752EF"/>
    <w:rsid w:val="009763F4"/>
    <w:rsid w:val="00977752"/>
    <w:rsid w:val="00977C1A"/>
    <w:rsid w:val="0098021A"/>
    <w:rsid w:val="00980B02"/>
    <w:rsid w:val="00981C65"/>
    <w:rsid w:val="009829BB"/>
    <w:rsid w:val="00983024"/>
    <w:rsid w:val="00984B4D"/>
    <w:rsid w:val="0098523C"/>
    <w:rsid w:val="0098615A"/>
    <w:rsid w:val="00987DA3"/>
    <w:rsid w:val="00992A3E"/>
    <w:rsid w:val="00992B8C"/>
    <w:rsid w:val="00993806"/>
    <w:rsid w:val="009944D1"/>
    <w:rsid w:val="00994A76"/>
    <w:rsid w:val="00995755"/>
    <w:rsid w:val="0099588C"/>
    <w:rsid w:val="00996957"/>
    <w:rsid w:val="0099754C"/>
    <w:rsid w:val="009A07F0"/>
    <w:rsid w:val="009A1BC1"/>
    <w:rsid w:val="009A1E91"/>
    <w:rsid w:val="009A2F4A"/>
    <w:rsid w:val="009A3351"/>
    <w:rsid w:val="009A42FE"/>
    <w:rsid w:val="009A5CAD"/>
    <w:rsid w:val="009B1CEA"/>
    <w:rsid w:val="009B319A"/>
    <w:rsid w:val="009B3B45"/>
    <w:rsid w:val="009B3DCC"/>
    <w:rsid w:val="009B4DB5"/>
    <w:rsid w:val="009C2B31"/>
    <w:rsid w:val="009C3E5D"/>
    <w:rsid w:val="009C4282"/>
    <w:rsid w:val="009C7740"/>
    <w:rsid w:val="009D00AE"/>
    <w:rsid w:val="009D0202"/>
    <w:rsid w:val="009D0B6D"/>
    <w:rsid w:val="009D190E"/>
    <w:rsid w:val="009D2316"/>
    <w:rsid w:val="009D361B"/>
    <w:rsid w:val="009D4997"/>
    <w:rsid w:val="009D7212"/>
    <w:rsid w:val="009D7339"/>
    <w:rsid w:val="009E133D"/>
    <w:rsid w:val="009E20DE"/>
    <w:rsid w:val="009E2996"/>
    <w:rsid w:val="009E2F55"/>
    <w:rsid w:val="009E31DD"/>
    <w:rsid w:val="009E5733"/>
    <w:rsid w:val="009E735C"/>
    <w:rsid w:val="009E7E41"/>
    <w:rsid w:val="009F03D3"/>
    <w:rsid w:val="009F1991"/>
    <w:rsid w:val="009F258C"/>
    <w:rsid w:val="009F445D"/>
    <w:rsid w:val="009F6A70"/>
    <w:rsid w:val="009F6B85"/>
    <w:rsid w:val="009F7BDB"/>
    <w:rsid w:val="00A01ABB"/>
    <w:rsid w:val="00A01CBF"/>
    <w:rsid w:val="00A01F4B"/>
    <w:rsid w:val="00A03475"/>
    <w:rsid w:val="00A03DFC"/>
    <w:rsid w:val="00A05D39"/>
    <w:rsid w:val="00A074D7"/>
    <w:rsid w:val="00A105A2"/>
    <w:rsid w:val="00A1449A"/>
    <w:rsid w:val="00A14DE6"/>
    <w:rsid w:val="00A15494"/>
    <w:rsid w:val="00A159CF"/>
    <w:rsid w:val="00A15B6D"/>
    <w:rsid w:val="00A17704"/>
    <w:rsid w:val="00A202F6"/>
    <w:rsid w:val="00A20D0E"/>
    <w:rsid w:val="00A210E2"/>
    <w:rsid w:val="00A22F77"/>
    <w:rsid w:val="00A2321C"/>
    <w:rsid w:val="00A234AF"/>
    <w:rsid w:val="00A27452"/>
    <w:rsid w:val="00A30796"/>
    <w:rsid w:val="00A31A9C"/>
    <w:rsid w:val="00A336E0"/>
    <w:rsid w:val="00A33823"/>
    <w:rsid w:val="00A34FD0"/>
    <w:rsid w:val="00A358F3"/>
    <w:rsid w:val="00A36314"/>
    <w:rsid w:val="00A3651B"/>
    <w:rsid w:val="00A41035"/>
    <w:rsid w:val="00A4272C"/>
    <w:rsid w:val="00A4286F"/>
    <w:rsid w:val="00A42B72"/>
    <w:rsid w:val="00A4328D"/>
    <w:rsid w:val="00A4521B"/>
    <w:rsid w:val="00A45EC6"/>
    <w:rsid w:val="00A476AB"/>
    <w:rsid w:val="00A47892"/>
    <w:rsid w:val="00A47FC0"/>
    <w:rsid w:val="00A5120A"/>
    <w:rsid w:val="00A513B1"/>
    <w:rsid w:val="00A52B17"/>
    <w:rsid w:val="00A53519"/>
    <w:rsid w:val="00A54573"/>
    <w:rsid w:val="00A551BA"/>
    <w:rsid w:val="00A575EE"/>
    <w:rsid w:val="00A6240C"/>
    <w:rsid w:val="00A62CF6"/>
    <w:rsid w:val="00A631C9"/>
    <w:rsid w:val="00A63DF9"/>
    <w:rsid w:val="00A6461C"/>
    <w:rsid w:val="00A65814"/>
    <w:rsid w:val="00A659CA"/>
    <w:rsid w:val="00A663E7"/>
    <w:rsid w:val="00A67437"/>
    <w:rsid w:val="00A706D1"/>
    <w:rsid w:val="00A71170"/>
    <w:rsid w:val="00A73766"/>
    <w:rsid w:val="00A738F4"/>
    <w:rsid w:val="00A73C7F"/>
    <w:rsid w:val="00A73DF5"/>
    <w:rsid w:val="00A752B2"/>
    <w:rsid w:val="00A76597"/>
    <w:rsid w:val="00A76B96"/>
    <w:rsid w:val="00A81C81"/>
    <w:rsid w:val="00A828FD"/>
    <w:rsid w:val="00A863BC"/>
    <w:rsid w:val="00A869C5"/>
    <w:rsid w:val="00A87D67"/>
    <w:rsid w:val="00A921B6"/>
    <w:rsid w:val="00A92DF6"/>
    <w:rsid w:val="00A9354D"/>
    <w:rsid w:val="00A9401E"/>
    <w:rsid w:val="00A94BCF"/>
    <w:rsid w:val="00A9773B"/>
    <w:rsid w:val="00AA2767"/>
    <w:rsid w:val="00AA2F0D"/>
    <w:rsid w:val="00AA3122"/>
    <w:rsid w:val="00AA3797"/>
    <w:rsid w:val="00AA55ED"/>
    <w:rsid w:val="00AA6541"/>
    <w:rsid w:val="00AA6B59"/>
    <w:rsid w:val="00AA703D"/>
    <w:rsid w:val="00AA78AA"/>
    <w:rsid w:val="00AA7A5D"/>
    <w:rsid w:val="00AB0E64"/>
    <w:rsid w:val="00AB1EEA"/>
    <w:rsid w:val="00AB4234"/>
    <w:rsid w:val="00AB551B"/>
    <w:rsid w:val="00AB5F02"/>
    <w:rsid w:val="00AB65AA"/>
    <w:rsid w:val="00AB6E05"/>
    <w:rsid w:val="00AB7AD6"/>
    <w:rsid w:val="00AC218C"/>
    <w:rsid w:val="00AC3C31"/>
    <w:rsid w:val="00AC5735"/>
    <w:rsid w:val="00AC6038"/>
    <w:rsid w:val="00AC7083"/>
    <w:rsid w:val="00AC79AF"/>
    <w:rsid w:val="00AD056E"/>
    <w:rsid w:val="00AD0FE0"/>
    <w:rsid w:val="00AD18EA"/>
    <w:rsid w:val="00AD2000"/>
    <w:rsid w:val="00AD3D9E"/>
    <w:rsid w:val="00AD7920"/>
    <w:rsid w:val="00AE071F"/>
    <w:rsid w:val="00AE0880"/>
    <w:rsid w:val="00AE0B19"/>
    <w:rsid w:val="00AE0CBA"/>
    <w:rsid w:val="00AE0FC4"/>
    <w:rsid w:val="00AE1EF8"/>
    <w:rsid w:val="00AE4ADD"/>
    <w:rsid w:val="00AE7566"/>
    <w:rsid w:val="00AE7571"/>
    <w:rsid w:val="00AE796B"/>
    <w:rsid w:val="00AF0FC1"/>
    <w:rsid w:val="00AF1A6C"/>
    <w:rsid w:val="00AF29D3"/>
    <w:rsid w:val="00AF2BC5"/>
    <w:rsid w:val="00AF356B"/>
    <w:rsid w:val="00AF40A7"/>
    <w:rsid w:val="00AF45C0"/>
    <w:rsid w:val="00AF4954"/>
    <w:rsid w:val="00AF535F"/>
    <w:rsid w:val="00AF53FC"/>
    <w:rsid w:val="00AF6813"/>
    <w:rsid w:val="00AF6B7B"/>
    <w:rsid w:val="00AF6E81"/>
    <w:rsid w:val="00AF77BB"/>
    <w:rsid w:val="00B00EFF"/>
    <w:rsid w:val="00B01BB6"/>
    <w:rsid w:val="00B06314"/>
    <w:rsid w:val="00B07607"/>
    <w:rsid w:val="00B1017F"/>
    <w:rsid w:val="00B10580"/>
    <w:rsid w:val="00B11807"/>
    <w:rsid w:val="00B120FA"/>
    <w:rsid w:val="00B123EA"/>
    <w:rsid w:val="00B1277C"/>
    <w:rsid w:val="00B12977"/>
    <w:rsid w:val="00B136E9"/>
    <w:rsid w:val="00B141DD"/>
    <w:rsid w:val="00B14202"/>
    <w:rsid w:val="00B149A8"/>
    <w:rsid w:val="00B15A8A"/>
    <w:rsid w:val="00B16BF8"/>
    <w:rsid w:val="00B17E2F"/>
    <w:rsid w:val="00B201A8"/>
    <w:rsid w:val="00B2139C"/>
    <w:rsid w:val="00B227EB"/>
    <w:rsid w:val="00B22966"/>
    <w:rsid w:val="00B24338"/>
    <w:rsid w:val="00B258AE"/>
    <w:rsid w:val="00B275A0"/>
    <w:rsid w:val="00B279B9"/>
    <w:rsid w:val="00B30481"/>
    <w:rsid w:val="00B30909"/>
    <w:rsid w:val="00B31399"/>
    <w:rsid w:val="00B315B2"/>
    <w:rsid w:val="00B32C73"/>
    <w:rsid w:val="00B336D6"/>
    <w:rsid w:val="00B3387A"/>
    <w:rsid w:val="00B3479D"/>
    <w:rsid w:val="00B34E2C"/>
    <w:rsid w:val="00B3507C"/>
    <w:rsid w:val="00B36AE3"/>
    <w:rsid w:val="00B40937"/>
    <w:rsid w:val="00B41667"/>
    <w:rsid w:val="00B4221B"/>
    <w:rsid w:val="00B42552"/>
    <w:rsid w:val="00B42593"/>
    <w:rsid w:val="00B43527"/>
    <w:rsid w:val="00B441F6"/>
    <w:rsid w:val="00B443F3"/>
    <w:rsid w:val="00B44672"/>
    <w:rsid w:val="00B45E36"/>
    <w:rsid w:val="00B465C8"/>
    <w:rsid w:val="00B47345"/>
    <w:rsid w:val="00B5086D"/>
    <w:rsid w:val="00B509A6"/>
    <w:rsid w:val="00B51D4E"/>
    <w:rsid w:val="00B52805"/>
    <w:rsid w:val="00B52CBE"/>
    <w:rsid w:val="00B54B11"/>
    <w:rsid w:val="00B54EF3"/>
    <w:rsid w:val="00B56A63"/>
    <w:rsid w:val="00B57FC7"/>
    <w:rsid w:val="00B60D9E"/>
    <w:rsid w:val="00B66042"/>
    <w:rsid w:val="00B67B47"/>
    <w:rsid w:val="00B70506"/>
    <w:rsid w:val="00B71F8F"/>
    <w:rsid w:val="00B72474"/>
    <w:rsid w:val="00B74283"/>
    <w:rsid w:val="00B744AB"/>
    <w:rsid w:val="00B756F6"/>
    <w:rsid w:val="00B77F50"/>
    <w:rsid w:val="00B802C9"/>
    <w:rsid w:val="00B80550"/>
    <w:rsid w:val="00B8129F"/>
    <w:rsid w:val="00B816E5"/>
    <w:rsid w:val="00B81C3E"/>
    <w:rsid w:val="00B8258C"/>
    <w:rsid w:val="00B83E88"/>
    <w:rsid w:val="00B85753"/>
    <w:rsid w:val="00B870D7"/>
    <w:rsid w:val="00B900BC"/>
    <w:rsid w:val="00B90754"/>
    <w:rsid w:val="00B911D4"/>
    <w:rsid w:val="00B918EB"/>
    <w:rsid w:val="00B93A73"/>
    <w:rsid w:val="00B93F70"/>
    <w:rsid w:val="00B95D14"/>
    <w:rsid w:val="00B960A4"/>
    <w:rsid w:val="00B96294"/>
    <w:rsid w:val="00B96736"/>
    <w:rsid w:val="00BA03DA"/>
    <w:rsid w:val="00BA0B56"/>
    <w:rsid w:val="00BA0F01"/>
    <w:rsid w:val="00BA30AA"/>
    <w:rsid w:val="00BA4652"/>
    <w:rsid w:val="00BA5049"/>
    <w:rsid w:val="00BA64CE"/>
    <w:rsid w:val="00BA7EF7"/>
    <w:rsid w:val="00BB2558"/>
    <w:rsid w:val="00BB3020"/>
    <w:rsid w:val="00BB3949"/>
    <w:rsid w:val="00BB399E"/>
    <w:rsid w:val="00BB41F1"/>
    <w:rsid w:val="00BB6BFC"/>
    <w:rsid w:val="00BB6EAD"/>
    <w:rsid w:val="00BB6F15"/>
    <w:rsid w:val="00BB74EE"/>
    <w:rsid w:val="00BC0FB5"/>
    <w:rsid w:val="00BC1DE2"/>
    <w:rsid w:val="00BC1F3F"/>
    <w:rsid w:val="00BC2737"/>
    <w:rsid w:val="00BC3447"/>
    <w:rsid w:val="00BC3A67"/>
    <w:rsid w:val="00BC45C2"/>
    <w:rsid w:val="00BC583E"/>
    <w:rsid w:val="00BC5DD3"/>
    <w:rsid w:val="00BC7E02"/>
    <w:rsid w:val="00BD0BB2"/>
    <w:rsid w:val="00BD1BF7"/>
    <w:rsid w:val="00BD2038"/>
    <w:rsid w:val="00BD345A"/>
    <w:rsid w:val="00BD56E2"/>
    <w:rsid w:val="00BD5903"/>
    <w:rsid w:val="00BD66AF"/>
    <w:rsid w:val="00BD7591"/>
    <w:rsid w:val="00BD7F4B"/>
    <w:rsid w:val="00BE0406"/>
    <w:rsid w:val="00BE11AE"/>
    <w:rsid w:val="00BE12EB"/>
    <w:rsid w:val="00BE2E1C"/>
    <w:rsid w:val="00BE51DB"/>
    <w:rsid w:val="00BE524D"/>
    <w:rsid w:val="00BE57CD"/>
    <w:rsid w:val="00BE5C54"/>
    <w:rsid w:val="00BE5DD2"/>
    <w:rsid w:val="00BE6326"/>
    <w:rsid w:val="00BE7B08"/>
    <w:rsid w:val="00BF01A8"/>
    <w:rsid w:val="00BF0608"/>
    <w:rsid w:val="00BF07A2"/>
    <w:rsid w:val="00BF122A"/>
    <w:rsid w:val="00BF1BC5"/>
    <w:rsid w:val="00BF2648"/>
    <w:rsid w:val="00BF2777"/>
    <w:rsid w:val="00BF2B53"/>
    <w:rsid w:val="00BF2F72"/>
    <w:rsid w:val="00BF322C"/>
    <w:rsid w:val="00BF3A12"/>
    <w:rsid w:val="00BF3A32"/>
    <w:rsid w:val="00BF503A"/>
    <w:rsid w:val="00BF5C58"/>
    <w:rsid w:val="00BF6CE8"/>
    <w:rsid w:val="00BF71C5"/>
    <w:rsid w:val="00C036A9"/>
    <w:rsid w:val="00C04C24"/>
    <w:rsid w:val="00C079DE"/>
    <w:rsid w:val="00C11800"/>
    <w:rsid w:val="00C13AA8"/>
    <w:rsid w:val="00C14CD4"/>
    <w:rsid w:val="00C176CC"/>
    <w:rsid w:val="00C17981"/>
    <w:rsid w:val="00C20E6B"/>
    <w:rsid w:val="00C22629"/>
    <w:rsid w:val="00C23C3C"/>
    <w:rsid w:val="00C24C40"/>
    <w:rsid w:val="00C25FC0"/>
    <w:rsid w:val="00C27C36"/>
    <w:rsid w:val="00C30356"/>
    <w:rsid w:val="00C36823"/>
    <w:rsid w:val="00C37FA6"/>
    <w:rsid w:val="00C40324"/>
    <w:rsid w:val="00C404AD"/>
    <w:rsid w:val="00C40AC3"/>
    <w:rsid w:val="00C429CB"/>
    <w:rsid w:val="00C436FE"/>
    <w:rsid w:val="00C44A70"/>
    <w:rsid w:val="00C45196"/>
    <w:rsid w:val="00C503DB"/>
    <w:rsid w:val="00C51437"/>
    <w:rsid w:val="00C51605"/>
    <w:rsid w:val="00C5351F"/>
    <w:rsid w:val="00C54130"/>
    <w:rsid w:val="00C5456E"/>
    <w:rsid w:val="00C54916"/>
    <w:rsid w:val="00C6086C"/>
    <w:rsid w:val="00C61B3D"/>
    <w:rsid w:val="00C6243A"/>
    <w:rsid w:val="00C635C5"/>
    <w:rsid w:val="00C643A2"/>
    <w:rsid w:val="00C659C9"/>
    <w:rsid w:val="00C67F31"/>
    <w:rsid w:val="00C70B5C"/>
    <w:rsid w:val="00C71171"/>
    <w:rsid w:val="00C71658"/>
    <w:rsid w:val="00C71A29"/>
    <w:rsid w:val="00C7267F"/>
    <w:rsid w:val="00C72DA1"/>
    <w:rsid w:val="00C734F6"/>
    <w:rsid w:val="00C738EC"/>
    <w:rsid w:val="00C73B4F"/>
    <w:rsid w:val="00C7497F"/>
    <w:rsid w:val="00C75C35"/>
    <w:rsid w:val="00C76224"/>
    <w:rsid w:val="00C7777D"/>
    <w:rsid w:val="00C800F5"/>
    <w:rsid w:val="00C801D3"/>
    <w:rsid w:val="00C8071F"/>
    <w:rsid w:val="00C82272"/>
    <w:rsid w:val="00C82910"/>
    <w:rsid w:val="00C83F6C"/>
    <w:rsid w:val="00C84141"/>
    <w:rsid w:val="00C85D16"/>
    <w:rsid w:val="00C87348"/>
    <w:rsid w:val="00C9021D"/>
    <w:rsid w:val="00C905C5"/>
    <w:rsid w:val="00C91457"/>
    <w:rsid w:val="00C918F6"/>
    <w:rsid w:val="00C92DB8"/>
    <w:rsid w:val="00C93752"/>
    <w:rsid w:val="00C94BAD"/>
    <w:rsid w:val="00C955C3"/>
    <w:rsid w:val="00C96262"/>
    <w:rsid w:val="00C96A43"/>
    <w:rsid w:val="00C97B7E"/>
    <w:rsid w:val="00CA028E"/>
    <w:rsid w:val="00CA1F96"/>
    <w:rsid w:val="00CA2111"/>
    <w:rsid w:val="00CA3EBD"/>
    <w:rsid w:val="00CA41AA"/>
    <w:rsid w:val="00CA4AD7"/>
    <w:rsid w:val="00CA56B5"/>
    <w:rsid w:val="00CA5A92"/>
    <w:rsid w:val="00CA7579"/>
    <w:rsid w:val="00CA7BA2"/>
    <w:rsid w:val="00CB22DE"/>
    <w:rsid w:val="00CB448B"/>
    <w:rsid w:val="00CB5D92"/>
    <w:rsid w:val="00CC1DA0"/>
    <w:rsid w:val="00CC1F48"/>
    <w:rsid w:val="00CC35D2"/>
    <w:rsid w:val="00CC3DEE"/>
    <w:rsid w:val="00CC5660"/>
    <w:rsid w:val="00CC5A51"/>
    <w:rsid w:val="00CC7190"/>
    <w:rsid w:val="00CC7767"/>
    <w:rsid w:val="00CC7BFC"/>
    <w:rsid w:val="00CC7D41"/>
    <w:rsid w:val="00CD1613"/>
    <w:rsid w:val="00CD232A"/>
    <w:rsid w:val="00CD26BE"/>
    <w:rsid w:val="00CD2776"/>
    <w:rsid w:val="00CD3BA8"/>
    <w:rsid w:val="00CD3CF5"/>
    <w:rsid w:val="00CD40CC"/>
    <w:rsid w:val="00CD4471"/>
    <w:rsid w:val="00CD5982"/>
    <w:rsid w:val="00CD71C5"/>
    <w:rsid w:val="00CD7A1E"/>
    <w:rsid w:val="00CE1430"/>
    <w:rsid w:val="00CE145C"/>
    <w:rsid w:val="00CE1C36"/>
    <w:rsid w:val="00CE1CFC"/>
    <w:rsid w:val="00CE2852"/>
    <w:rsid w:val="00CE28EC"/>
    <w:rsid w:val="00CE2EEC"/>
    <w:rsid w:val="00CE6369"/>
    <w:rsid w:val="00CE6C08"/>
    <w:rsid w:val="00CE70DD"/>
    <w:rsid w:val="00CE7A5A"/>
    <w:rsid w:val="00CF0833"/>
    <w:rsid w:val="00CF386F"/>
    <w:rsid w:val="00CF3918"/>
    <w:rsid w:val="00CF3F10"/>
    <w:rsid w:val="00CF440B"/>
    <w:rsid w:val="00CF51C9"/>
    <w:rsid w:val="00CF75D4"/>
    <w:rsid w:val="00CF7931"/>
    <w:rsid w:val="00D02477"/>
    <w:rsid w:val="00D02DBC"/>
    <w:rsid w:val="00D0725B"/>
    <w:rsid w:val="00D072C6"/>
    <w:rsid w:val="00D11E1F"/>
    <w:rsid w:val="00D13F29"/>
    <w:rsid w:val="00D1450C"/>
    <w:rsid w:val="00D152EE"/>
    <w:rsid w:val="00D15846"/>
    <w:rsid w:val="00D15F63"/>
    <w:rsid w:val="00D16544"/>
    <w:rsid w:val="00D1780A"/>
    <w:rsid w:val="00D17FAB"/>
    <w:rsid w:val="00D20717"/>
    <w:rsid w:val="00D20900"/>
    <w:rsid w:val="00D22B13"/>
    <w:rsid w:val="00D25207"/>
    <w:rsid w:val="00D25B27"/>
    <w:rsid w:val="00D2648A"/>
    <w:rsid w:val="00D31C42"/>
    <w:rsid w:val="00D34D6C"/>
    <w:rsid w:val="00D34D91"/>
    <w:rsid w:val="00D3720E"/>
    <w:rsid w:val="00D375AA"/>
    <w:rsid w:val="00D37954"/>
    <w:rsid w:val="00D420C1"/>
    <w:rsid w:val="00D42941"/>
    <w:rsid w:val="00D43D68"/>
    <w:rsid w:val="00D4420B"/>
    <w:rsid w:val="00D453D8"/>
    <w:rsid w:val="00D4575E"/>
    <w:rsid w:val="00D46DD7"/>
    <w:rsid w:val="00D47B13"/>
    <w:rsid w:val="00D52D4B"/>
    <w:rsid w:val="00D530CC"/>
    <w:rsid w:val="00D555CD"/>
    <w:rsid w:val="00D57E62"/>
    <w:rsid w:val="00D60076"/>
    <w:rsid w:val="00D60199"/>
    <w:rsid w:val="00D620E3"/>
    <w:rsid w:val="00D63DC3"/>
    <w:rsid w:val="00D67EB8"/>
    <w:rsid w:val="00D70972"/>
    <w:rsid w:val="00D72A5E"/>
    <w:rsid w:val="00D73F69"/>
    <w:rsid w:val="00D762BA"/>
    <w:rsid w:val="00D76DE3"/>
    <w:rsid w:val="00D76E09"/>
    <w:rsid w:val="00D77B0A"/>
    <w:rsid w:val="00D803C5"/>
    <w:rsid w:val="00D80842"/>
    <w:rsid w:val="00D80FF3"/>
    <w:rsid w:val="00D82C44"/>
    <w:rsid w:val="00D839E1"/>
    <w:rsid w:val="00D8500B"/>
    <w:rsid w:val="00D85E76"/>
    <w:rsid w:val="00D900BD"/>
    <w:rsid w:val="00D90E28"/>
    <w:rsid w:val="00D91186"/>
    <w:rsid w:val="00D920D9"/>
    <w:rsid w:val="00D9219A"/>
    <w:rsid w:val="00D924C2"/>
    <w:rsid w:val="00D9347E"/>
    <w:rsid w:val="00D939E2"/>
    <w:rsid w:val="00D93B36"/>
    <w:rsid w:val="00D940A7"/>
    <w:rsid w:val="00D94F6C"/>
    <w:rsid w:val="00D96599"/>
    <w:rsid w:val="00D96DDD"/>
    <w:rsid w:val="00D96F54"/>
    <w:rsid w:val="00DA0DFA"/>
    <w:rsid w:val="00DA7404"/>
    <w:rsid w:val="00DB207B"/>
    <w:rsid w:val="00DB2123"/>
    <w:rsid w:val="00DB219C"/>
    <w:rsid w:val="00DB257F"/>
    <w:rsid w:val="00DB3A79"/>
    <w:rsid w:val="00DB533B"/>
    <w:rsid w:val="00DB6441"/>
    <w:rsid w:val="00DB7938"/>
    <w:rsid w:val="00DC05B7"/>
    <w:rsid w:val="00DC0B49"/>
    <w:rsid w:val="00DC311F"/>
    <w:rsid w:val="00DC4186"/>
    <w:rsid w:val="00DC55B5"/>
    <w:rsid w:val="00DC5A34"/>
    <w:rsid w:val="00DC75C8"/>
    <w:rsid w:val="00DD16F7"/>
    <w:rsid w:val="00DD1917"/>
    <w:rsid w:val="00DD211A"/>
    <w:rsid w:val="00DD2E88"/>
    <w:rsid w:val="00DD430A"/>
    <w:rsid w:val="00DD4376"/>
    <w:rsid w:val="00DD5077"/>
    <w:rsid w:val="00DD5A95"/>
    <w:rsid w:val="00DD67A0"/>
    <w:rsid w:val="00DD6EAA"/>
    <w:rsid w:val="00DD71D3"/>
    <w:rsid w:val="00DD73A2"/>
    <w:rsid w:val="00DD7A6E"/>
    <w:rsid w:val="00DE02A2"/>
    <w:rsid w:val="00DE0C03"/>
    <w:rsid w:val="00DE0E06"/>
    <w:rsid w:val="00DE0F47"/>
    <w:rsid w:val="00DE1E35"/>
    <w:rsid w:val="00DE2E76"/>
    <w:rsid w:val="00DE549C"/>
    <w:rsid w:val="00DE54A3"/>
    <w:rsid w:val="00DE5B33"/>
    <w:rsid w:val="00DE5B3F"/>
    <w:rsid w:val="00DE638E"/>
    <w:rsid w:val="00DF0624"/>
    <w:rsid w:val="00DF07C7"/>
    <w:rsid w:val="00DF4B98"/>
    <w:rsid w:val="00DF5AE2"/>
    <w:rsid w:val="00DF669F"/>
    <w:rsid w:val="00DF68F4"/>
    <w:rsid w:val="00DF6DCF"/>
    <w:rsid w:val="00E013B7"/>
    <w:rsid w:val="00E01B32"/>
    <w:rsid w:val="00E01F64"/>
    <w:rsid w:val="00E020A3"/>
    <w:rsid w:val="00E02AE0"/>
    <w:rsid w:val="00E02D2D"/>
    <w:rsid w:val="00E04572"/>
    <w:rsid w:val="00E059A6"/>
    <w:rsid w:val="00E100B6"/>
    <w:rsid w:val="00E13427"/>
    <w:rsid w:val="00E13981"/>
    <w:rsid w:val="00E13B0E"/>
    <w:rsid w:val="00E1554A"/>
    <w:rsid w:val="00E16798"/>
    <w:rsid w:val="00E23793"/>
    <w:rsid w:val="00E23CA9"/>
    <w:rsid w:val="00E25109"/>
    <w:rsid w:val="00E25249"/>
    <w:rsid w:val="00E2536D"/>
    <w:rsid w:val="00E261C8"/>
    <w:rsid w:val="00E3032B"/>
    <w:rsid w:val="00E32830"/>
    <w:rsid w:val="00E32C7C"/>
    <w:rsid w:val="00E33A86"/>
    <w:rsid w:val="00E33DEE"/>
    <w:rsid w:val="00E36252"/>
    <w:rsid w:val="00E3655B"/>
    <w:rsid w:val="00E374BD"/>
    <w:rsid w:val="00E378A0"/>
    <w:rsid w:val="00E40F42"/>
    <w:rsid w:val="00E41B7B"/>
    <w:rsid w:val="00E41C96"/>
    <w:rsid w:val="00E42632"/>
    <w:rsid w:val="00E42A90"/>
    <w:rsid w:val="00E42D67"/>
    <w:rsid w:val="00E437F6"/>
    <w:rsid w:val="00E454A7"/>
    <w:rsid w:val="00E45FA4"/>
    <w:rsid w:val="00E46042"/>
    <w:rsid w:val="00E4645F"/>
    <w:rsid w:val="00E471AD"/>
    <w:rsid w:val="00E4789E"/>
    <w:rsid w:val="00E500A8"/>
    <w:rsid w:val="00E52DDD"/>
    <w:rsid w:val="00E53627"/>
    <w:rsid w:val="00E5424A"/>
    <w:rsid w:val="00E5467B"/>
    <w:rsid w:val="00E5536E"/>
    <w:rsid w:val="00E564C9"/>
    <w:rsid w:val="00E57A90"/>
    <w:rsid w:val="00E61759"/>
    <w:rsid w:val="00E63545"/>
    <w:rsid w:val="00E639E3"/>
    <w:rsid w:val="00E63A32"/>
    <w:rsid w:val="00E646DE"/>
    <w:rsid w:val="00E646E3"/>
    <w:rsid w:val="00E64C13"/>
    <w:rsid w:val="00E653C7"/>
    <w:rsid w:val="00E655B8"/>
    <w:rsid w:val="00E66D86"/>
    <w:rsid w:val="00E703A2"/>
    <w:rsid w:val="00E70E6D"/>
    <w:rsid w:val="00E7110F"/>
    <w:rsid w:val="00E72863"/>
    <w:rsid w:val="00E73314"/>
    <w:rsid w:val="00E74A27"/>
    <w:rsid w:val="00E7660F"/>
    <w:rsid w:val="00E770DC"/>
    <w:rsid w:val="00E80030"/>
    <w:rsid w:val="00E81180"/>
    <w:rsid w:val="00E82519"/>
    <w:rsid w:val="00E8400C"/>
    <w:rsid w:val="00E851AC"/>
    <w:rsid w:val="00E8530C"/>
    <w:rsid w:val="00E85D8B"/>
    <w:rsid w:val="00E86255"/>
    <w:rsid w:val="00E90851"/>
    <w:rsid w:val="00E94847"/>
    <w:rsid w:val="00E96804"/>
    <w:rsid w:val="00E96E56"/>
    <w:rsid w:val="00E97EB8"/>
    <w:rsid w:val="00EA02C0"/>
    <w:rsid w:val="00EA0B41"/>
    <w:rsid w:val="00EA0BD4"/>
    <w:rsid w:val="00EA26CD"/>
    <w:rsid w:val="00EA2EF7"/>
    <w:rsid w:val="00EA3185"/>
    <w:rsid w:val="00EA3227"/>
    <w:rsid w:val="00EA4C6A"/>
    <w:rsid w:val="00EA608E"/>
    <w:rsid w:val="00EA7EED"/>
    <w:rsid w:val="00EB02E3"/>
    <w:rsid w:val="00EB2599"/>
    <w:rsid w:val="00EB3C87"/>
    <w:rsid w:val="00EB48BD"/>
    <w:rsid w:val="00EB6135"/>
    <w:rsid w:val="00EB691D"/>
    <w:rsid w:val="00EB77C4"/>
    <w:rsid w:val="00EB77C8"/>
    <w:rsid w:val="00EC002D"/>
    <w:rsid w:val="00EC0432"/>
    <w:rsid w:val="00EC114F"/>
    <w:rsid w:val="00EC132C"/>
    <w:rsid w:val="00EC33B7"/>
    <w:rsid w:val="00EC38CA"/>
    <w:rsid w:val="00EC427E"/>
    <w:rsid w:val="00EC456E"/>
    <w:rsid w:val="00EC4E68"/>
    <w:rsid w:val="00EC6B15"/>
    <w:rsid w:val="00EC714A"/>
    <w:rsid w:val="00ED0B54"/>
    <w:rsid w:val="00ED1013"/>
    <w:rsid w:val="00ED3097"/>
    <w:rsid w:val="00ED376E"/>
    <w:rsid w:val="00ED3F9A"/>
    <w:rsid w:val="00ED4572"/>
    <w:rsid w:val="00ED55C6"/>
    <w:rsid w:val="00ED58AF"/>
    <w:rsid w:val="00ED6282"/>
    <w:rsid w:val="00ED69A8"/>
    <w:rsid w:val="00ED6C56"/>
    <w:rsid w:val="00EE1196"/>
    <w:rsid w:val="00EE2B62"/>
    <w:rsid w:val="00EE44D5"/>
    <w:rsid w:val="00EE4595"/>
    <w:rsid w:val="00EE45A1"/>
    <w:rsid w:val="00EE4705"/>
    <w:rsid w:val="00EE603C"/>
    <w:rsid w:val="00EE7842"/>
    <w:rsid w:val="00EF3FBD"/>
    <w:rsid w:val="00EF7B77"/>
    <w:rsid w:val="00F011B7"/>
    <w:rsid w:val="00F02DA9"/>
    <w:rsid w:val="00F031DE"/>
    <w:rsid w:val="00F0395A"/>
    <w:rsid w:val="00F05093"/>
    <w:rsid w:val="00F0643B"/>
    <w:rsid w:val="00F07537"/>
    <w:rsid w:val="00F100DF"/>
    <w:rsid w:val="00F153C6"/>
    <w:rsid w:val="00F17214"/>
    <w:rsid w:val="00F17316"/>
    <w:rsid w:val="00F174A3"/>
    <w:rsid w:val="00F20744"/>
    <w:rsid w:val="00F20DD3"/>
    <w:rsid w:val="00F2411D"/>
    <w:rsid w:val="00F26421"/>
    <w:rsid w:val="00F27448"/>
    <w:rsid w:val="00F306DE"/>
    <w:rsid w:val="00F306FF"/>
    <w:rsid w:val="00F33933"/>
    <w:rsid w:val="00F33CDB"/>
    <w:rsid w:val="00F34C86"/>
    <w:rsid w:val="00F35AD6"/>
    <w:rsid w:val="00F37077"/>
    <w:rsid w:val="00F40AB4"/>
    <w:rsid w:val="00F40B66"/>
    <w:rsid w:val="00F438B9"/>
    <w:rsid w:val="00F45172"/>
    <w:rsid w:val="00F456CD"/>
    <w:rsid w:val="00F45AA8"/>
    <w:rsid w:val="00F45F31"/>
    <w:rsid w:val="00F46AF2"/>
    <w:rsid w:val="00F471AD"/>
    <w:rsid w:val="00F4728A"/>
    <w:rsid w:val="00F50A52"/>
    <w:rsid w:val="00F52A01"/>
    <w:rsid w:val="00F536F4"/>
    <w:rsid w:val="00F5375B"/>
    <w:rsid w:val="00F53937"/>
    <w:rsid w:val="00F53A36"/>
    <w:rsid w:val="00F53FA0"/>
    <w:rsid w:val="00F53FDE"/>
    <w:rsid w:val="00F55BB4"/>
    <w:rsid w:val="00F55F81"/>
    <w:rsid w:val="00F560BF"/>
    <w:rsid w:val="00F619EF"/>
    <w:rsid w:val="00F622A3"/>
    <w:rsid w:val="00F63595"/>
    <w:rsid w:val="00F63D6A"/>
    <w:rsid w:val="00F649A5"/>
    <w:rsid w:val="00F658A8"/>
    <w:rsid w:val="00F665B7"/>
    <w:rsid w:val="00F665EE"/>
    <w:rsid w:val="00F66CCC"/>
    <w:rsid w:val="00F672EC"/>
    <w:rsid w:val="00F7072A"/>
    <w:rsid w:val="00F70CDD"/>
    <w:rsid w:val="00F70DDF"/>
    <w:rsid w:val="00F713AC"/>
    <w:rsid w:val="00F72A3C"/>
    <w:rsid w:val="00F72C19"/>
    <w:rsid w:val="00F731E5"/>
    <w:rsid w:val="00F73C94"/>
    <w:rsid w:val="00F75206"/>
    <w:rsid w:val="00F77463"/>
    <w:rsid w:val="00F77BD1"/>
    <w:rsid w:val="00F77F1E"/>
    <w:rsid w:val="00F803F2"/>
    <w:rsid w:val="00F81845"/>
    <w:rsid w:val="00F81B6E"/>
    <w:rsid w:val="00F827B2"/>
    <w:rsid w:val="00F83D19"/>
    <w:rsid w:val="00F84BDC"/>
    <w:rsid w:val="00F852E8"/>
    <w:rsid w:val="00F85542"/>
    <w:rsid w:val="00F85ACC"/>
    <w:rsid w:val="00F90B9D"/>
    <w:rsid w:val="00F91333"/>
    <w:rsid w:val="00F917DF"/>
    <w:rsid w:val="00F93390"/>
    <w:rsid w:val="00F93D75"/>
    <w:rsid w:val="00F93D9B"/>
    <w:rsid w:val="00F93EE4"/>
    <w:rsid w:val="00F93F7B"/>
    <w:rsid w:val="00F94AF8"/>
    <w:rsid w:val="00F94B2F"/>
    <w:rsid w:val="00F9726E"/>
    <w:rsid w:val="00F978B6"/>
    <w:rsid w:val="00FA05FE"/>
    <w:rsid w:val="00FA08A1"/>
    <w:rsid w:val="00FA116B"/>
    <w:rsid w:val="00FA26FD"/>
    <w:rsid w:val="00FA2B6F"/>
    <w:rsid w:val="00FA3361"/>
    <w:rsid w:val="00FA3F1A"/>
    <w:rsid w:val="00FA44B1"/>
    <w:rsid w:val="00FA487E"/>
    <w:rsid w:val="00FA61B8"/>
    <w:rsid w:val="00FA67A5"/>
    <w:rsid w:val="00FB03B3"/>
    <w:rsid w:val="00FB1089"/>
    <w:rsid w:val="00FB42CE"/>
    <w:rsid w:val="00FB434A"/>
    <w:rsid w:val="00FB4BAF"/>
    <w:rsid w:val="00FB5685"/>
    <w:rsid w:val="00FB62CF"/>
    <w:rsid w:val="00FC0123"/>
    <w:rsid w:val="00FC24BF"/>
    <w:rsid w:val="00FC27EB"/>
    <w:rsid w:val="00FC2E00"/>
    <w:rsid w:val="00FC3416"/>
    <w:rsid w:val="00FC3FE0"/>
    <w:rsid w:val="00FC4AB6"/>
    <w:rsid w:val="00FC5A10"/>
    <w:rsid w:val="00FD0E99"/>
    <w:rsid w:val="00FD1BD9"/>
    <w:rsid w:val="00FD40DA"/>
    <w:rsid w:val="00FD50AE"/>
    <w:rsid w:val="00FD7441"/>
    <w:rsid w:val="00FD74B0"/>
    <w:rsid w:val="00FE08C1"/>
    <w:rsid w:val="00FE0A4A"/>
    <w:rsid w:val="00FE16E0"/>
    <w:rsid w:val="00FE21F0"/>
    <w:rsid w:val="00FE2EBB"/>
    <w:rsid w:val="00FE3B81"/>
    <w:rsid w:val="00FE474A"/>
    <w:rsid w:val="00FE7075"/>
    <w:rsid w:val="00FF09B1"/>
    <w:rsid w:val="00FF25A5"/>
    <w:rsid w:val="00FF3F5C"/>
    <w:rsid w:val="00FF4CD3"/>
    <w:rsid w:val="00FF4F21"/>
    <w:rsid w:val="00FF59BC"/>
    <w:rsid w:val="00FF6298"/>
  </w:rsids>
  <m:mathPr>
    <m:mathFont m:val="Cambria Math"/>
    <m:brkBin m:val="before"/>
    <m:brkBinSub m:val="--"/>
    <m:smallFrac/>
    <m:dispDef/>
    <m:lMargin m:val="0"/>
    <m:rMargin m:val="0"/>
    <m:defJc m:val="centerGroup"/>
    <m:wrapIndent m:val="1440"/>
    <m:intLim m:val="subSup"/>
    <m:naryLim m:val="undOvr"/>
  </m:mathPr>
  <w:themeFontLang w:val="vi-V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rules v:ext="edit">
        <o:r id="V:Rule1" type="connector" idref="#AutoShape 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Bold" w:eastAsia="Calibri" w:hAnsi="Times New Roman Bold" w:cs="Times New Roman"/>
        <w:color w:val="FF0000"/>
        <w:lang w:val="en-US" w:eastAsia="en-US" w:bidi="ar-SA"/>
      </w:rPr>
    </w:rPrDefault>
    <w:pPrDefault>
      <w:pPr>
        <w:spacing w:after="240"/>
        <w:ind w:left="1559" w:hanging="155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3CBC"/>
    <w:pPr>
      <w:spacing w:after="0"/>
      <w:ind w:left="0" w:firstLine="0"/>
      <w:jc w:val="left"/>
    </w:pPr>
    <w:rPr>
      <w:rFonts w:ascii="Times New Roman" w:eastAsia="Times New Roman" w:hAnsi="Times New Roman"/>
      <w:b/>
      <w:i/>
      <w:color w:val="auto"/>
      <w:sz w:val="24"/>
      <w:szCs w:val="24"/>
    </w:rPr>
  </w:style>
  <w:style w:type="paragraph" w:styleId="Heading2">
    <w:name w:val="heading 2"/>
    <w:basedOn w:val="Normal"/>
    <w:next w:val="Normal"/>
    <w:link w:val="Heading2Char"/>
    <w:qFormat/>
    <w:rsid w:val="00D82C44"/>
    <w:pPr>
      <w:keepNext/>
      <w:keepLines/>
      <w:spacing w:before="200"/>
      <w:outlineLvl w:val="1"/>
    </w:pPr>
    <w:rPr>
      <w:rFonts w:ascii="Cambria" w:hAnsi="Cambria" w:cs="Cambria"/>
      <w:bCs/>
      <w:color w:val="4F81BD"/>
      <w:sz w:val="26"/>
      <w:szCs w:val="26"/>
    </w:rPr>
  </w:style>
  <w:style w:type="paragraph" w:styleId="Heading4">
    <w:name w:val="heading 4"/>
    <w:basedOn w:val="Normal"/>
    <w:next w:val="Normal"/>
    <w:link w:val="Heading4Char"/>
    <w:unhideWhenUsed/>
    <w:qFormat/>
    <w:rsid w:val="003A3CBC"/>
    <w:pPr>
      <w:keepNext/>
      <w:keepLines/>
      <w:spacing w:before="200"/>
      <w:outlineLvl w:val="3"/>
    </w:pPr>
    <w:rPr>
      <w:rFonts w:asciiTheme="majorHAnsi" w:eastAsiaTheme="majorEastAsia" w:hAnsiTheme="majorHAnsi" w:cstheme="majorBidi"/>
      <w:b w:val="0"/>
      <w:bCs/>
      <w:i w:val="0"/>
      <w:iCs/>
      <w:color w:val="4F81BD" w:themeColor="accent1"/>
    </w:rPr>
  </w:style>
  <w:style w:type="paragraph" w:styleId="Heading5">
    <w:name w:val="heading 5"/>
    <w:basedOn w:val="Normal"/>
    <w:next w:val="Normal"/>
    <w:link w:val="Heading5Char"/>
    <w:unhideWhenUsed/>
    <w:qFormat/>
    <w:rsid w:val="003A3CBC"/>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82C44"/>
    <w:rPr>
      <w:rFonts w:ascii="Cambria" w:eastAsia="Times New Roman" w:hAnsi="Cambria" w:cs="Cambria"/>
      <w:b w:val="0"/>
      <w:bCs/>
      <w:color w:val="4F81BD"/>
      <w:sz w:val="26"/>
      <w:szCs w:val="26"/>
    </w:rPr>
  </w:style>
  <w:style w:type="paragraph" w:styleId="Caption">
    <w:name w:val="caption"/>
    <w:basedOn w:val="Normal"/>
    <w:next w:val="Normal"/>
    <w:uiPriority w:val="35"/>
    <w:qFormat/>
    <w:rsid w:val="00D82C44"/>
    <w:pPr>
      <w:spacing w:line="360" w:lineRule="auto"/>
      <w:jc w:val="center"/>
    </w:pPr>
    <w:rPr>
      <w:rFonts w:cs="Calibri"/>
      <w:color w:val="4F81BD"/>
      <w:sz w:val="28"/>
      <w:szCs w:val="28"/>
    </w:rPr>
  </w:style>
  <w:style w:type="character" w:styleId="Emphasis">
    <w:name w:val="Emphasis"/>
    <w:basedOn w:val="DefaultParagraphFont"/>
    <w:qFormat/>
    <w:rsid w:val="00D82C44"/>
    <w:rPr>
      <w:i w:val="0"/>
      <w:iCs/>
    </w:rPr>
  </w:style>
  <w:style w:type="paragraph" w:styleId="ListParagraph">
    <w:name w:val="List Paragraph"/>
    <w:basedOn w:val="Normal"/>
    <w:uiPriority w:val="34"/>
    <w:qFormat/>
    <w:rsid w:val="00D82C44"/>
    <w:pPr>
      <w:ind w:left="720"/>
      <w:contextualSpacing/>
    </w:pPr>
  </w:style>
  <w:style w:type="paragraph" w:customStyle="1" w:styleId="ColorfulList-Accent11">
    <w:name w:val="Colorful List - Accent 11"/>
    <w:basedOn w:val="Normal"/>
    <w:uiPriority w:val="34"/>
    <w:qFormat/>
    <w:rsid w:val="00D82C44"/>
    <w:pPr>
      <w:ind w:left="720"/>
      <w:contextualSpacing/>
    </w:pPr>
    <w:rPr>
      <w:sz w:val="26"/>
    </w:rPr>
  </w:style>
  <w:style w:type="paragraph" w:customStyle="1" w:styleId="MediumGrid1-Accent21">
    <w:name w:val="Medium Grid 1 - Accent 21"/>
    <w:basedOn w:val="Normal"/>
    <w:uiPriority w:val="34"/>
    <w:qFormat/>
    <w:rsid w:val="00D82C44"/>
    <w:pPr>
      <w:spacing w:before="120" w:after="120"/>
      <w:ind w:left="720"/>
      <w:contextualSpacing/>
    </w:pPr>
    <w:rPr>
      <w:rFonts w:eastAsia="Cambria"/>
      <w:lang w:val="en-GB"/>
    </w:rPr>
  </w:style>
  <w:style w:type="character" w:customStyle="1" w:styleId="Heading4Char">
    <w:name w:val="Heading 4 Char"/>
    <w:basedOn w:val="DefaultParagraphFont"/>
    <w:link w:val="Heading4"/>
    <w:rsid w:val="003A3CBC"/>
    <w:rPr>
      <w:rFonts w:asciiTheme="majorHAnsi" w:eastAsiaTheme="majorEastAsia" w:hAnsiTheme="majorHAnsi" w:cstheme="majorBidi"/>
      <w:bCs/>
      <w:iCs/>
      <w:color w:val="4F81BD" w:themeColor="accent1"/>
      <w:sz w:val="24"/>
      <w:szCs w:val="24"/>
    </w:rPr>
  </w:style>
  <w:style w:type="character" w:customStyle="1" w:styleId="Heading5Char">
    <w:name w:val="Heading 5 Char"/>
    <w:basedOn w:val="DefaultParagraphFont"/>
    <w:link w:val="Heading5"/>
    <w:rsid w:val="003A3CBC"/>
    <w:rPr>
      <w:rFonts w:asciiTheme="majorHAnsi" w:eastAsiaTheme="majorEastAsia" w:hAnsiTheme="majorHAnsi" w:cstheme="majorBidi"/>
      <w:b/>
      <w:i/>
      <w:color w:val="243F60" w:themeColor="accent1" w:themeShade="7F"/>
      <w:sz w:val="24"/>
      <w:szCs w:val="24"/>
    </w:rPr>
  </w:style>
  <w:style w:type="paragraph" w:styleId="BodyText3">
    <w:name w:val="Body Text 3"/>
    <w:basedOn w:val="Normal"/>
    <w:link w:val="BodyText3Char"/>
    <w:rsid w:val="003A3CBC"/>
    <w:rPr>
      <w:rFonts w:ascii=".VnTimeH" w:hAnsi=".VnTimeH"/>
      <w:b w:val="0"/>
      <w:bCs/>
      <w:sz w:val="26"/>
      <w:szCs w:val="20"/>
    </w:rPr>
  </w:style>
  <w:style w:type="character" w:customStyle="1" w:styleId="BodyText3Char">
    <w:name w:val="Body Text 3 Char"/>
    <w:basedOn w:val="DefaultParagraphFont"/>
    <w:link w:val="BodyText3"/>
    <w:rsid w:val="003A3CBC"/>
    <w:rPr>
      <w:rFonts w:ascii=".VnTimeH" w:eastAsia="Times New Roman" w:hAnsi=".VnTimeH"/>
      <w:bCs/>
      <w:i/>
      <w:color w:val="auto"/>
      <w:sz w:val="26"/>
    </w:rPr>
  </w:style>
  <w:style w:type="paragraph" w:styleId="FootnoteText">
    <w:name w:val="footnote text"/>
    <w:aliases w:val="Texto nota pie Car Car Car,FOOTNOTES,fn,single space,Footnote Text Char Char Char,Footnote Text1 Char,Footnote Text2,Footnote Text Char Char Char1 Char,Footnote Text Char Char Char1,ft,ADB,WB-Fußnotentext,f,Footnote Text Char Char,Char Ch"/>
    <w:basedOn w:val="Normal"/>
    <w:link w:val="FootnoteTextChar"/>
    <w:unhideWhenUsed/>
    <w:rsid w:val="00FC3FE0"/>
    <w:rPr>
      <w:sz w:val="20"/>
      <w:szCs w:val="20"/>
    </w:rPr>
  </w:style>
  <w:style w:type="character" w:customStyle="1" w:styleId="FootnoteTextChar">
    <w:name w:val="Footnote Text Char"/>
    <w:aliases w:val="Texto nota pie Car Car Car Char,FOOTNOTES Char,fn Char,single space Char,Footnote Text Char Char Char Char,Footnote Text1 Char Char,Footnote Text2 Char,Footnote Text Char Char Char1 Char Char,Footnote Text Char Char Char1 Char1,f Char"/>
    <w:basedOn w:val="DefaultParagraphFont"/>
    <w:link w:val="FootnoteText"/>
    <w:rsid w:val="00FC3FE0"/>
    <w:rPr>
      <w:rFonts w:ascii="Times New Roman" w:eastAsia="Times New Roman" w:hAnsi="Times New Roman"/>
      <w:b/>
      <w:i/>
      <w:color w:val="auto"/>
    </w:rPr>
  </w:style>
  <w:style w:type="character" w:styleId="FootnoteReference">
    <w:name w:val="footnote reference"/>
    <w:aliases w:val="Footnotes refss,16 Point,Superscript 6 Point,ftref,Footnote,Footnote text,BVI fnr,BearingPoint,fr,(NECG) Footnote Reference,Footnote + Arial,10 pt,Black,SUPERS,Footnote dich,footnote ref,Footnote Reference Number,Знак сноски 1,Ref,R"/>
    <w:basedOn w:val="DefaultParagraphFont"/>
    <w:link w:val="CharChar1CharCharCharChar1CharCharCharCharCharCharCharChar"/>
    <w:uiPriority w:val="99"/>
    <w:unhideWhenUsed/>
    <w:qFormat/>
    <w:rsid w:val="00FC3FE0"/>
    <w:rPr>
      <w:vertAlign w:val="superscript"/>
    </w:rPr>
  </w:style>
  <w:style w:type="paragraph" w:styleId="Header">
    <w:name w:val="header"/>
    <w:basedOn w:val="Normal"/>
    <w:link w:val="HeaderChar"/>
    <w:uiPriority w:val="99"/>
    <w:unhideWhenUsed/>
    <w:rsid w:val="005637D2"/>
    <w:pPr>
      <w:tabs>
        <w:tab w:val="center" w:pos="4680"/>
        <w:tab w:val="right" w:pos="9360"/>
      </w:tabs>
    </w:pPr>
  </w:style>
  <w:style w:type="character" w:customStyle="1" w:styleId="HeaderChar">
    <w:name w:val="Header Char"/>
    <w:basedOn w:val="DefaultParagraphFont"/>
    <w:link w:val="Header"/>
    <w:uiPriority w:val="99"/>
    <w:rsid w:val="005637D2"/>
    <w:rPr>
      <w:rFonts w:ascii="Times New Roman" w:eastAsia="Times New Roman" w:hAnsi="Times New Roman"/>
      <w:b/>
      <w:i/>
      <w:color w:val="auto"/>
      <w:sz w:val="24"/>
      <w:szCs w:val="24"/>
    </w:rPr>
  </w:style>
  <w:style w:type="paragraph" w:styleId="Footer">
    <w:name w:val="footer"/>
    <w:basedOn w:val="Normal"/>
    <w:link w:val="FooterChar"/>
    <w:uiPriority w:val="99"/>
    <w:unhideWhenUsed/>
    <w:rsid w:val="005637D2"/>
    <w:pPr>
      <w:tabs>
        <w:tab w:val="center" w:pos="4680"/>
        <w:tab w:val="right" w:pos="9360"/>
      </w:tabs>
    </w:pPr>
  </w:style>
  <w:style w:type="character" w:customStyle="1" w:styleId="FooterChar">
    <w:name w:val="Footer Char"/>
    <w:basedOn w:val="DefaultParagraphFont"/>
    <w:link w:val="Footer"/>
    <w:uiPriority w:val="99"/>
    <w:rsid w:val="005637D2"/>
    <w:rPr>
      <w:rFonts w:ascii="Times New Roman" w:eastAsia="Times New Roman" w:hAnsi="Times New Roman"/>
      <w:b/>
      <w:i/>
      <w:color w:val="auto"/>
      <w:sz w:val="24"/>
      <w:szCs w:val="24"/>
    </w:rPr>
  </w:style>
  <w:style w:type="paragraph" w:styleId="BalloonText">
    <w:name w:val="Balloon Text"/>
    <w:basedOn w:val="Normal"/>
    <w:link w:val="BalloonTextChar"/>
    <w:uiPriority w:val="99"/>
    <w:semiHidden/>
    <w:unhideWhenUsed/>
    <w:rsid w:val="005637D2"/>
    <w:rPr>
      <w:rFonts w:ascii="Tahoma" w:hAnsi="Tahoma" w:cs="Tahoma"/>
      <w:sz w:val="16"/>
      <w:szCs w:val="16"/>
    </w:rPr>
  </w:style>
  <w:style w:type="character" w:customStyle="1" w:styleId="BalloonTextChar">
    <w:name w:val="Balloon Text Char"/>
    <w:basedOn w:val="DefaultParagraphFont"/>
    <w:link w:val="BalloonText"/>
    <w:uiPriority w:val="99"/>
    <w:semiHidden/>
    <w:rsid w:val="005637D2"/>
    <w:rPr>
      <w:rFonts w:ascii="Tahoma" w:eastAsia="Times New Roman" w:hAnsi="Tahoma" w:cs="Tahoma"/>
      <w:b/>
      <w:i/>
      <w:color w:val="auto"/>
      <w:sz w:val="16"/>
      <w:szCs w:val="16"/>
    </w:rPr>
  </w:style>
  <w:style w:type="paragraph" w:styleId="NormalWeb">
    <w:name w:val="Normal (Web)"/>
    <w:basedOn w:val="Normal"/>
    <w:uiPriority w:val="99"/>
    <w:rsid w:val="00FA3F1A"/>
    <w:pPr>
      <w:spacing w:before="100" w:beforeAutospacing="1" w:after="100" w:afterAutospacing="1"/>
    </w:pPr>
  </w:style>
  <w:style w:type="character" w:styleId="CommentReference">
    <w:name w:val="annotation reference"/>
    <w:uiPriority w:val="99"/>
    <w:semiHidden/>
    <w:unhideWhenUsed/>
    <w:rsid w:val="00C44A70"/>
    <w:rPr>
      <w:sz w:val="16"/>
      <w:szCs w:val="16"/>
    </w:rPr>
  </w:style>
  <w:style w:type="paragraph" w:styleId="CommentText">
    <w:name w:val="annotation text"/>
    <w:basedOn w:val="Normal"/>
    <w:link w:val="CommentTextChar"/>
    <w:uiPriority w:val="99"/>
    <w:unhideWhenUsed/>
    <w:rsid w:val="00C44A70"/>
    <w:pPr>
      <w:spacing w:after="160" w:line="259" w:lineRule="auto"/>
    </w:pPr>
    <w:rPr>
      <w:rFonts w:ascii="Calibri" w:eastAsia="Calibri" w:hAnsi="Calibri"/>
      <w:sz w:val="20"/>
      <w:szCs w:val="20"/>
    </w:rPr>
  </w:style>
  <w:style w:type="character" w:customStyle="1" w:styleId="CommentTextChar">
    <w:name w:val="Comment Text Char"/>
    <w:basedOn w:val="DefaultParagraphFont"/>
    <w:link w:val="CommentText"/>
    <w:uiPriority w:val="99"/>
    <w:rsid w:val="00C44A70"/>
    <w:rPr>
      <w:rFonts w:ascii="Calibri" w:hAnsi="Calibri"/>
      <w:b/>
      <w:i/>
      <w:color w:val="auto"/>
    </w:rPr>
  </w:style>
  <w:style w:type="table" w:styleId="TableGrid">
    <w:name w:val="Table Grid"/>
    <w:basedOn w:val="TableNormal"/>
    <w:uiPriority w:val="59"/>
    <w:rsid w:val="007645D8"/>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rsid w:val="009D361B"/>
    <w:rPr>
      <w:rFonts w:ascii="Calibri" w:eastAsia="Calibri" w:hAnsi="Calibri"/>
      <w:sz w:val="20"/>
      <w:szCs w:val="20"/>
    </w:rPr>
  </w:style>
  <w:style w:type="character" w:customStyle="1" w:styleId="EndnoteTextChar">
    <w:name w:val="Endnote Text Char"/>
    <w:basedOn w:val="DefaultParagraphFont"/>
    <w:link w:val="EndnoteText"/>
    <w:uiPriority w:val="99"/>
    <w:semiHidden/>
    <w:rsid w:val="009D361B"/>
    <w:rPr>
      <w:rFonts w:ascii="Calibri" w:hAnsi="Calibri"/>
      <w:b/>
      <w:i/>
      <w:color w:val="auto"/>
    </w:rPr>
  </w:style>
  <w:style w:type="character" w:styleId="EndnoteReference">
    <w:name w:val="endnote reference"/>
    <w:uiPriority w:val="99"/>
    <w:semiHidden/>
    <w:unhideWhenUsed/>
    <w:rsid w:val="009D361B"/>
    <w:rPr>
      <w:vertAlign w:val="superscript"/>
    </w:rPr>
  </w:style>
  <w:style w:type="paragraph" w:styleId="CommentSubject">
    <w:name w:val="annotation subject"/>
    <w:basedOn w:val="CommentText"/>
    <w:next w:val="CommentText"/>
    <w:link w:val="CommentSubjectChar"/>
    <w:uiPriority w:val="99"/>
    <w:semiHidden/>
    <w:unhideWhenUsed/>
    <w:rsid w:val="009D361B"/>
    <w:rPr>
      <w:b w:val="0"/>
      <w:bCs/>
    </w:rPr>
  </w:style>
  <w:style w:type="character" w:customStyle="1" w:styleId="CommentSubjectChar">
    <w:name w:val="Comment Subject Char"/>
    <w:basedOn w:val="CommentTextChar"/>
    <w:link w:val="CommentSubject"/>
    <w:uiPriority w:val="99"/>
    <w:semiHidden/>
    <w:rsid w:val="009D361B"/>
    <w:rPr>
      <w:rFonts w:ascii="Calibri" w:hAnsi="Calibri"/>
      <w:b w:val="0"/>
      <w:bCs/>
      <w:i/>
      <w:color w:val="auto"/>
    </w:rPr>
  </w:style>
  <w:style w:type="paragraph" w:styleId="NoSpacing">
    <w:name w:val="No Spacing"/>
    <w:uiPriority w:val="1"/>
    <w:qFormat/>
    <w:rsid w:val="009D361B"/>
    <w:pPr>
      <w:spacing w:after="0"/>
      <w:ind w:left="0" w:firstLine="0"/>
      <w:jc w:val="left"/>
    </w:pPr>
    <w:rPr>
      <w:rFonts w:ascii="Times New Roman" w:eastAsia="Times New Roman" w:hAnsi="Times New Roman"/>
      <w:b/>
      <w:i/>
      <w:color w:val="auto"/>
      <w:sz w:val="24"/>
      <w:szCs w:val="24"/>
    </w:rPr>
  </w:style>
  <w:style w:type="character" w:styleId="Hyperlink">
    <w:name w:val="Hyperlink"/>
    <w:basedOn w:val="DefaultParagraphFont"/>
    <w:uiPriority w:val="99"/>
    <w:unhideWhenUsed/>
    <w:rsid w:val="00E96E56"/>
    <w:rPr>
      <w:color w:val="0000FF"/>
      <w:u w:val="single"/>
    </w:rPr>
  </w:style>
  <w:style w:type="numbering" w:customStyle="1" w:styleId="NoList1">
    <w:name w:val="No List1"/>
    <w:next w:val="NoList"/>
    <w:uiPriority w:val="99"/>
    <w:semiHidden/>
    <w:unhideWhenUsed/>
    <w:rsid w:val="00DE5B3F"/>
  </w:style>
  <w:style w:type="paragraph" w:styleId="Revision">
    <w:name w:val="Revision"/>
    <w:hidden/>
    <w:uiPriority w:val="99"/>
    <w:semiHidden/>
    <w:rsid w:val="00915ED4"/>
    <w:pPr>
      <w:spacing w:after="0"/>
      <w:ind w:left="0" w:firstLine="0"/>
      <w:jc w:val="left"/>
    </w:pPr>
    <w:rPr>
      <w:rFonts w:ascii="Times New Roman" w:eastAsia="Times New Roman" w:hAnsi="Times New Roman"/>
      <w:b/>
      <w:i/>
      <w:color w:val="auto"/>
      <w:sz w:val="24"/>
      <w:szCs w:val="24"/>
    </w:rPr>
  </w:style>
  <w:style w:type="paragraph" w:styleId="BodyText">
    <w:name w:val="Body Text"/>
    <w:basedOn w:val="Normal"/>
    <w:link w:val="BodyTextChar"/>
    <w:unhideWhenUsed/>
    <w:rsid w:val="006E67A5"/>
    <w:pPr>
      <w:spacing w:after="120"/>
    </w:pPr>
  </w:style>
  <w:style w:type="character" w:customStyle="1" w:styleId="BodyTextChar">
    <w:name w:val="Body Text Char"/>
    <w:basedOn w:val="DefaultParagraphFont"/>
    <w:link w:val="BodyText"/>
    <w:rsid w:val="006E67A5"/>
    <w:rPr>
      <w:rFonts w:ascii="Times New Roman" w:eastAsia="Times New Roman" w:hAnsi="Times New Roman"/>
      <w:b/>
      <w:i/>
      <w:color w:val="auto"/>
      <w:sz w:val="24"/>
      <w:szCs w:val="24"/>
    </w:rPr>
  </w:style>
  <w:style w:type="table" w:customStyle="1" w:styleId="TableGrid1">
    <w:name w:val="Table Grid1"/>
    <w:basedOn w:val="TableNormal"/>
    <w:next w:val="TableGrid"/>
    <w:uiPriority w:val="59"/>
    <w:rsid w:val="006E67A5"/>
    <w:pPr>
      <w:spacing w:before="120" w:after="0"/>
      <w:ind w:left="0" w:firstLine="0"/>
      <w:jc w:val="left"/>
    </w:pPr>
    <w:rPr>
      <w:rFonts w:ascii="Calibri" w:eastAsia="Times New Roman" w:hAnsi="Calibri"/>
      <w: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F438B9"/>
  </w:style>
  <w:style w:type="table" w:customStyle="1" w:styleId="TableGrid2">
    <w:name w:val="Table Grid2"/>
    <w:basedOn w:val="TableNormal"/>
    <w:next w:val="TableGrid"/>
    <w:uiPriority w:val="59"/>
    <w:rsid w:val="00F438B9"/>
    <w:pPr>
      <w:spacing w:before="120" w:after="0"/>
      <w:ind w:left="0" w:firstLine="0"/>
      <w:jc w:val="left"/>
    </w:pPr>
    <w:rPr>
      <w:rFonts w:ascii="Calibri" w:eastAsia="Times New Roman" w:hAnsi="Calibri"/>
      <w: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normalchar">
    <w:name w:val="normal__char"/>
    <w:rsid w:val="00F438B9"/>
  </w:style>
  <w:style w:type="character" w:styleId="Strong">
    <w:name w:val="Strong"/>
    <w:basedOn w:val="DefaultParagraphFont"/>
    <w:uiPriority w:val="22"/>
    <w:qFormat/>
    <w:rsid w:val="00F438B9"/>
    <w:rPr>
      <w:b/>
      <w:bCs/>
    </w:rPr>
  </w:style>
  <w:style w:type="numbering" w:customStyle="1" w:styleId="NoList3">
    <w:name w:val="No List3"/>
    <w:next w:val="NoList"/>
    <w:uiPriority w:val="99"/>
    <w:semiHidden/>
    <w:unhideWhenUsed/>
    <w:rsid w:val="00983024"/>
  </w:style>
  <w:style w:type="table" w:customStyle="1" w:styleId="TableGrid3">
    <w:name w:val="Table Grid3"/>
    <w:basedOn w:val="TableNormal"/>
    <w:next w:val="TableGrid"/>
    <w:uiPriority w:val="59"/>
    <w:rsid w:val="00C71658"/>
    <w:pPr>
      <w:spacing w:after="0"/>
      <w:ind w:left="0" w:firstLine="0"/>
      <w:jc w:val="left"/>
    </w:pPr>
    <w:rPr>
      <w:rFonts w:ascii="Calibri" w:hAnsi="Calibri"/>
      <w:color w:val="auto"/>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C71658"/>
    <w:pPr>
      <w:spacing w:after="0"/>
      <w:ind w:left="0" w:firstLine="0"/>
      <w:jc w:val="left"/>
    </w:pPr>
    <w:rPr>
      <w:rFonts w:ascii="Calibri" w:hAnsi="Calibri"/>
      <w:color w:val="auto"/>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rsid w:val="00B756F6"/>
    <w:pPr>
      <w:spacing w:after="160" w:line="240" w:lineRule="exact"/>
    </w:pPr>
    <w:rPr>
      <w:rFonts w:ascii="Times New Roman Bold" w:eastAsia="Calibri" w:hAnsi="Times New Roman Bold"/>
      <w:b w:val="0"/>
      <w:i w:val="0"/>
      <w:color w:val="FF0000"/>
      <w:sz w:val="20"/>
      <w:szCs w:val="20"/>
      <w:vertAlign w:val="superscript"/>
    </w:rPr>
  </w:style>
  <w:style w:type="numbering" w:customStyle="1" w:styleId="NoList4">
    <w:name w:val="No List4"/>
    <w:next w:val="NoList"/>
    <w:uiPriority w:val="99"/>
    <w:semiHidden/>
    <w:unhideWhenUsed/>
    <w:rsid w:val="00702033"/>
  </w:style>
  <w:style w:type="character" w:styleId="FollowedHyperlink">
    <w:name w:val="FollowedHyperlink"/>
    <w:basedOn w:val="DefaultParagraphFont"/>
    <w:uiPriority w:val="99"/>
    <w:semiHidden/>
    <w:unhideWhenUsed/>
    <w:rsid w:val="00C036A9"/>
    <w:rPr>
      <w:color w:val="800080"/>
      <w:u w:val="single"/>
    </w:rPr>
  </w:style>
  <w:style w:type="paragraph" w:customStyle="1" w:styleId="font5">
    <w:name w:val="font5"/>
    <w:basedOn w:val="Normal"/>
    <w:rsid w:val="00C036A9"/>
    <w:pPr>
      <w:spacing w:before="100" w:beforeAutospacing="1" w:after="100" w:afterAutospacing="1"/>
    </w:pPr>
    <w:rPr>
      <w:rFonts w:ascii="Tahoma" w:hAnsi="Tahoma" w:cs="Tahoma"/>
      <w:b w:val="0"/>
      <w:i w:val="0"/>
      <w:color w:val="000000"/>
      <w:sz w:val="18"/>
      <w:szCs w:val="18"/>
    </w:rPr>
  </w:style>
  <w:style w:type="paragraph" w:customStyle="1" w:styleId="font6">
    <w:name w:val="font6"/>
    <w:basedOn w:val="Normal"/>
    <w:rsid w:val="00C036A9"/>
    <w:pPr>
      <w:spacing w:before="100" w:beforeAutospacing="1" w:after="100" w:afterAutospacing="1"/>
    </w:pPr>
    <w:rPr>
      <w:rFonts w:ascii="Tahoma" w:hAnsi="Tahoma" w:cs="Tahoma"/>
      <w:bCs/>
      <w:i w:val="0"/>
      <w:color w:val="000000"/>
      <w:sz w:val="18"/>
      <w:szCs w:val="18"/>
    </w:rPr>
  </w:style>
  <w:style w:type="paragraph" w:customStyle="1" w:styleId="xl65">
    <w:name w:val="xl65"/>
    <w:basedOn w:val="Normal"/>
    <w:rsid w:val="00C036A9"/>
    <w:pPr>
      <w:pBdr>
        <w:top w:val="single" w:sz="8" w:space="0" w:color="auto"/>
        <w:bottom w:val="single" w:sz="8" w:space="0" w:color="auto"/>
      </w:pBdr>
      <w:spacing w:before="100" w:beforeAutospacing="1" w:after="100" w:afterAutospacing="1"/>
      <w:textAlignment w:val="center"/>
    </w:pPr>
    <w:rPr>
      <w:bCs/>
      <w:i w:val="0"/>
      <w:color w:val="000000"/>
      <w:sz w:val="20"/>
      <w:szCs w:val="20"/>
    </w:rPr>
  </w:style>
  <w:style w:type="paragraph" w:customStyle="1" w:styleId="xl66">
    <w:name w:val="xl66"/>
    <w:basedOn w:val="Normal"/>
    <w:rsid w:val="00C036A9"/>
    <w:pPr>
      <w:spacing w:before="100" w:beforeAutospacing="1" w:after="100" w:afterAutospacing="1"/>
      <w:textAlignment w:val="center"/>
    </w:pPr>
    <w:rPr>
      <w:bCs/>
      <w:i w:val="0"/>
      <w:color w:val="000000"/>
      <w:sz w:val="20"/>
      <w:szCs w:val="20"/>
    </w:rPr>
  </w:style>
  <w:style w:type="paragraph" w:customStyle="1" w:styleId="xl67">
    <w:name w:val="xl67"/>
    <w:basedOn w:val="Normal"/>
    <w:rsid w:val="00C036A9"/>
    <w:pPr>
      <w:spacing w:before="100" w:beforeAutospacing="1" w:after="100" w:afterAutospacing="1"/>
      <w:textAlignment w:val="center"/>
    </w:pPr>
    <w:rPr>
      <w:b w:val="0"/>
      <w:i w:val="0"/>
      <w:color w:val="000000"/>
      <w:sz w:val="20"/>
      <w:szCs w:val="20"/>
    </w:rPr>
  </w:style>
  <w:style w:type="paragraph" w:customStyle="1" w:styleId="xl68">
    <w:name w:val="xl68"/>
    <w:basedOn w:val="Normal"/>
    <w:rsid w:val="00C036A9"/>
    <w:pPr>
      <w:spacing w:before="100" w:beforeAutospacing="1" w:after="100" w:afterAutospacing="1"/>
      <w:jc w:val="center"/>
      <w:textAlignment w:val="center"/>
    </w:pPr>
    <w:rPr>
      <w:b w:val="0"/>
      <w:i w:val="0"/>
      <w:sz w:val="20"/>
      <w:szCs w:val="20"/>
    </w:rPr>
  </w:style>
  <w:style w:type="paragraph" w:customStyle="1" w:styleId="xl69">
    <w:name w:val="xl69"/>
    <w:basedOn w:val="Normal"/>
    <w:rsid w:val="00C036A9"/>
    <w:pPr>
      <w:spacing w:before="100" w:beforeAutospacing="1" w:after="100" w:afterAutospacing="1"/>
      <w:jc w:val="right"/>
      <w:textAlignment w:val="center"/>
    </w:pPr>
    <w:rPr>
      <w:bCs/>
      <w:i w:val="0"/>
      <w:color w:val="000000"/>
      <w:sz w:val="20"/>
      <w:szCs w:val="20"/>
    </w:rPr>
  </w:style>
  <w:style w:type="paragraph" w:customStyle="1" w:styleId="xl70">
    <w:name w:val="xl70"/>
    <w:basedOn w:val="Normal"/>
    <w:rsid w:val="00C036A9"/>
    <w:pPr>
      <w:shd w:val="clear" w:color="000000" w:fill="DCE6F1"/>
      <w:spacing w:before="100" w:beforeAutospacing="1" w:after="100" w:afterAutospacing="1"/>
    </w:pPr>
    <w:rPr>
      <w:b w:val="0"/>
      <w:i w:val="0"/>
    </w:rPr>
  </w:style>
  <w:style w:type="paragraph" w:customStyle="1" w:styleId="xl71">
    <w:name w:val="xl71"/>
    <w:basedOn w:val="Normal"/>
    <w:rsid w:val="00C036A9"/>
    <w:pPr>
      <w:shd w:val="clear" w:color="000000" w:fill="DCE6F1"/>
      <w:spacing w:before="100" w:beforeAutospacing="1" w:after="100" w:afterAutospacing="1"/>
      <w:jc w:val="right"/>
      <w:textAlignment w:val="center"/>
    </w:pPr>
    <w:rPr>
      <w:bCs/>
      <w:i w:val="0"/>
      <w:color w:val="000000"/>
      <w:sz w:val="20"/>
      <w:szCs w:val="20"/>
    </w:rPr>
  </w:style>
  <w:style w:type="paragraph" w:customStyle="1" w:styleId="xl72">
    <w:name w:val="xl72"/>
    <w:basedOn w:val="Normal"/>
    <w:rsid w:val="00C036A9"/>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Cs/>
      <w:i w:val="0"/>
      <w:color w:val="000000"/>
      <w:sz w:val="20"/>
      <w:szCs w:val="20"/>
    </w:rPr>
  </w:style>
  <w:style w:type="paragraph" w:customStyle="1" w:styleId="xl73">
    <w:name w:val="xl73"/>
    <w:basedOn w:val="Normal"/>
    <w:rsid w:val="00C036A9"/>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right"/>
      <w:textAlignment w:val="center"/>
    </w:pPr>
    <w:rPr>
      <w:b w:val="0"/>
      <w:i w:val="0"/>
      <w:color w:val="000000"/>
      <w:sz w:val="20"/>
      <w:szCs w:val="20"/>
    </w:rPr>
  </w:style>
  <w:style w:type="paragraph" w:customStyle="1" w:styleId="xl74">
    <w:name w:val="xl74"/>
    <w:basedOn w:val="Normal"/>
    <w:rsid w:val="00C036A9"/>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val="0"/>
      <w:i w:val="0"/>
      <w:color w:val="000000"/>
      <w:sz w:val="20"/>
      <w:szCs w:val="20"/>
    </w:rPr>
  </w:style>
  <w:style w:type="paragraph" w:customStyle="1" w:styleId="xl75">
    <w:name w:val="xl75"/>
    <w:basedOn w:val="Normal"/>
    <w:rsid w:val="00C036A9"/>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right"/>
      <w:textAlignment w:val="center"/>
    </w:pPr>
    <w:rPr>
      <w:bCs/>
      <w:i w:val="0"/>
      <w:color w:val="FF0000"/>
      <w:sz w:val="20"/>
      <w:szCs w:val="20"/>
    </w:rPr>
  </w:style>
  <w:style w:type="paragraph" w:customStyle="1" w:styleId="xl76">
    <w:name w:val="xl76"/>
    <w:basedOn w:val="Normal"/>
    <w:rsid w:val="00C036A9"/>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right"/>
      <w:textAlignment w:val="center"/>
    </w:pPr>
    <w:rPr>
      <w:bCs/>
      <w:i w:val="0"/>
      <w:sz w:val="20"/>
      <w:szCs w:val="20"/>
    </w:rPr>
  </w:style>
  <w:style w:type="paragraph" w:customStyle="1" w:styleId="xl77">
    <w:name w:val="xl77"/>
    <w:basedOn w:val="Normal"/>
    <w:rsid w:val="00C036A9"/>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right"/>
      <w:textAlignment w:val="center"/>
    </w:pPr>
    <w:rPr>
      <w:b w:val="0"/>
      <w:i w:val="0"/>
      <w:color w:val="000000"/>
      <w:sz w:val="20"/>
      <w:szCs w:val="20"/>
    </w:rPr>
  </w:style>
  <w:style w:type="paragraph" w:customStyle="1" w:styleId="xl78">
    <w:name w:val="xl78"/>
    <w:basedOn w:val="Normal"/>
    <w:rsid w:val="00C036A9"/>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right"/>
      <w:textAlignment w:val="center"/>
    </w:pPr>
    <w:rPr>
      <w:b w:val="0"/>
      <w:i w:val="0"/>
      <w:sz w:val="20"/>
      <w:szCs w:val="20"/>
    </w:rPr>
  </w:style>
  <w:style w:type="paragraph" w:customStyle="1" w:styleId="xl79">
    <w:name w:val="xl79"/>
    <w:basedOn w:val="Normal"/>
    <w:rsid w:val="00C036A9"/>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right"/>
      <w:textAlignment w:val="center"/>
    </w:pPr>
    <w:rPr>
      <w:bCs/>
      <w:i w:val="0"/>
      <w:sz w:val="20"/>
      <w:szCs w:val="20"/>
    </w:rPr>
  </w:style>
  <w:style w:type="paragraph" w:customStyle="1" w:styleId="xl80">
    <w:name w:val="xl80"/>
    <w:basedOn w:val="Normal"/>
    <w:rsid w:val="00C036A9"/>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Cs/>
      <w:i w:val="0"/>
      <w:color w:val="974706"/>
      <w:sz w:val="20"/>
      <w:szCs w:val="20"/>
    </w:rPr>
  </w:style>
  <w:style w:type="paragraph" w:customStyle="1" w:styleId="xl81">
    <w:name w:val="xl81"/>
    <w:basedOn w:val="Normal"/>
    <w:rsid w:val="00C036A9"/>
    <w:pPr>
      <w:spacing w:before="100" w:beforeAutospacing="1" w:after="100" w:afterAutospacing="1"/>
      <w:textAlignment w:val="center"/>
    </w:pPr>
    <w:rPr>
      <w:bCs/>
      <w:i w:val="0"/>
      <w:sz w:val="20"/>
      <w:szCs w:val="20"/>
    </w:rPr>
  </w:style>
  <w:style w:type="paragraph" w:customStyle="1" w:styleId="xl82">
    <w:name w:val="xl82"/>
    <w:basedOn w:val="Normal"/>
    <w:rsid w:val="00C036A9"/>
    <w:pPr>
      <w:spacing w:before="100" w:beforeAutospacing="1" w:after="100" w:afterAutospacing="1"/>
      <w:jc w:val="center"/>
      <w:textAlignment w:val="center"/>
    </w:pPr>
    <w:rPr>
      <w:bCs/>
      <w:i w:val="0"/>
      <w:sz w:val="20"/>
      <w:szCs w:val="20"/>
    </w:rPr>
  </w:style>
  <w:style w:type="paragraph" w:customStyle="1" w:styleId="xl83">
    <w:name w:val="xl83"/>
    <w:basedOn w:val="Normal"/>
    <w:rsid w:val="00C036A9"/>
    <w:pPr>
      <w:spacing w:before="100" w:beforeAutospacing="1" w:after="100" w:afterAutospacing="1"/>
    </w:pPr>
    <w:rPr>
      <w:b w:val="0"/>
      <w:i w:val="0"/>
      <w:sz w:val="20"/>
      <w:szCs w:val="20"/>
    </w:rPr>
  </w:style>
  <w:style w:type="paragraph" w:customStyle="1" w:styleId="xl84">
    <w:name w:val="xl84"/>
    <w:basedOn w:val="Normal"/>
    <w:rsid w:val="00C036A9"/>
    <w:pPr>
      <w:spacing w:before="100" w:beforeAutospacing="1" w:after="100" w:afterAutospacing="1"/>
      <w:textAlignment w:val="center"/>
    </w:pPr>
    <w:rPr>
      <w:b w:val="0"/>
      <w:iCs/>
      <w:sz w:val="20"/>
      <w:szCs w:val="20"/>
    </w:rPr>
  </w:style>
  <w:style w:type="paragraph" w:customStyle="1" w:styleId="xl85">
    <w:name w:val="xl85"/>
    <w:basedOn w:val="Normal"/>
    <w:rsid w:val="00C036A9"/>
    <w:pPr>
      <w:spacing w:before="100" w:beforeAutospacing="1" w:after="100" w:afterAutospacing="1"/>
      <w:jc w:val="center"/>
      <w:textAlignment w:val="center"/>
    </w:pPr>
    <w:rPr>
      <w:b w:val="0"/>
      <w:i w:val="0"/>
      <w:sz w:val="20"/>
      <w:szCs w:val="20"/>
    </w:rPr>
  </w:style>
  <w:style w:type="paragraph" w:customStyle="1" w:styleId="xl86">
    <w:name w:val="xl86"/>
    <w:basedOn w:val="Normal"/>
    <w:rsid w:val="00C036A9"/>
    <w:pPr>
      <w:spacing w:before="100" w:beforeAutospacing="1" w:after="100" w:afterAutospacing="1"/>
      <w:ind w:firstLineChars="200" w:firstLine="200"/>
      <w:textAlignment w:val="center"/>
    </w:pPr>
    <w:rPr>
      <w:b w:val="0"/>
      <w:i w:val="0"/>
      <w:sz w:val="20"/>
      <w:szCs w:val="20"/>
    </w:rPr>
  </w:style>
  <w:style w:type="paragraph" w:customStyle="1" w:styleId="xl87">
    <w:name w:val="xl87"/>
    <w:basedOn w:val="Normal"/>
    <w:rsid w:val="00C036A9"/>
    <w:pPr>
      <w:spacing w:before="100" w:beforeAutospacing="1" w:after="100" w:afterAutospacing="1"/>
      <w:jc w:val="center"/>
    </w:pPr>
    <w:rPr>
      <w:b w:val="0"/>
      <w:i w:val="0"/>
      <w:sz w:val="20"/>
      <w:szCs w:val="20"/>
    </w:rPr>
  </w:style>
  <w:style w:type="paragraph" w:customStyle="1" w:styleId="xl88">
    <w:name w:val="xl88"/>
    <w:basedOn w:val="Normal"/>
    <w:rsid w:val="00C036A9"/>
    <w:pPr>
      <w:spacing w:before="100" w:beforeAutospacing="1" w:after="100" w:afterAutospacing="1"/>
      <w:jc w:val="right"/>
      <w:textAlignment w:val="center"/>
    </w:pPr>
    <w:rPr>
      <w:b w:val="0"/>
      <w:i w:val="0"/>
      <w:sz w:val="20"/>
      <w:szCs w:val="20"/>
    </w:rPr>
  </w:style>
  <w:style w:type="paragraph" w:customStyle="1" w:styleId="xl89">
    <w:name w:val="xl89"/>
    <w:basedOn w:val="Normal"/>
    <w:rsid w:val="00C036A9"/>
    <w:pPr>
      <w:spacing w:before="100" w:beforeAutospacing="1" w:after="100" w:afterAutospacing="1"/>
      <w:jc w:val="center"/>
      <w:textAlignment w:val="center"/>
    </w:pPr>
    <w:rPr>
      <w:b w:val="0"/>
      <w:i w:val="0"/>
      <w:sz w:val="20"/>
      <w:szCs w:val="20"/>
    </w:rPr>
  </w:style>
  <w:style w:type="paragraph" w:customStyle="1" w:styleId="xl90">
    <w:name w:val="xl90"/>
    <w:basedOn w:val="Normal"/>
    <w:rsid w:val="00C036A9"/>
    <w:pPr>
      <w:pBdr>
        <w:bottom w:val="single" w:sz="4" w:space="0" w:color="auto"/>
      </w:pBdr>
      <w:spacing w:before="100" w:beforeAutospacing="1" w:after="100" w:afterAutospacing="1"/>
      <w:textAlignment w:val="center"/>
    </w:pPr>
    <w:rPr>
      <w:bCs/>
      <w:i w:val="0"/>
      <w:sz w:val="20"/>
      <w:szCs w:val="20"/>
    </w:rPr>
  </w:style>
  <w:style w:type="paragraph" w:customStyle="1" w:styleId="xl91">
    <w:name w:val="xl91"/>
    <w:basedOn w:val="Normal"/>
    <w:rsid w:val="00C036A9"/>
    <w:pPr>
      <w:shd w:val="clear" w:color="000000" w:fill="FFFF00"/>
      <w:spacing w:before="100" w:beforeAutospacing="1" w:after="100" w:afterAutospacing="1"/>
      <w:textAlignment w:val="center"/>
    </w:pPr>
    <w:rPr>
      <w:bCs/>
      <w:i w:val="0"/>
      <w:color w:val="000000"/>
      <w:sz w:val="20"/>
      <w:szCs w:val="20"/>
    </w:rPr>
  </w:style>
  <w:style w:type="paragraph" w:customStyle="1" w:styleId="xl92">
    <w:name w:val="xl92"/>
    <w:basedOn w:val="Normal"/>
    <w:rsid w:val="00C036A9"/>
    <w:pPr>
      <w:shd w:val="clear" w:color="000000" w:fill="DCE6F1"/>
      <w:spacing w:before="100" w:beforeAutospacing="1" w:after="100" w:afterAutospacing="1"/>
    </w:pPr>
    <w:rPr>
      <w:bCs/>
      <w:i w:val="0"/>
      <w:sz w:val="20"/>
      <w:szCs w:val="20"/>
    </w:rPr>
  </w:style>
  <w:style w:type="paragraph" w:customStyle="1" w:styleId="xl93">
    <w:name w:val="xl93"/>
    <w:basedOn w:val="Normal"/>
    <w:rsid w:val="00C036A9"/>
    <w:pPr>
      <w:shd w:val="clear" w:color="000000" w:fill="DCE6F1"/>
      <w:spacing w:before="100" w:beforeAutospacing="1" w:after="100" w:afterAutospacing="1"/>
    </w:pPr>
    <w:rPr>
      <w:bCs/>
      <w:i w:val="0"/>
      <w:sz w:val="20"/>
      <w:szCs w:val="20"/>
    </w:rPr>
  </w:style>
  <w:style w:type="paragraph" w:customStyle="1" w:styleId="xl94">
    <w:name w:val="xl94"/>
    <w:basedOn w:val="Normal"/>
    <w:rsid w:val="00C036A9"/>
    <w:pPr>
      <w:shd w:val="clear" w:color="000000" w:fill="DCE6F1"/>
      <w:spacing w:before="100" w:beforeAutospacing="1" w:after="100" w:afterAutospacing="1"/>
    </w:pPr>
    <w:rPr>
      <w:b w:val="0"/>
      <w:i w:val="0"/>
      <w:sz w:val="20"/>
      <w:szCs w:val="20"/>
    </w:rPr>
  </w:style>
  <w:style w:type="paragraph" w:customStyle="1" w:styleId="xl95">
    <w:name w:val="xl95"/>
    <w:basedOn w:val="Normal"/>
    <w:rsid w:val="00C036A9"/>
    <w:pPr>
      <w:shd w:val="clear" w:color="000000" w:fill="DCE6F1"/>
      <w:spacing w:before="100" w:beforeAutospacing="1" w:after="100" w:afterAutospacing="1"/>
    </w:pPr>
    <w:rPr>
      <w:b w:val="0"/>
      <w:i w:val="0"/>
      <w:sz w:val="20"/>
      <w:szCs w:val="20"/>
    </w:rPr>
  </w:style>
  <w:style w:type="paragraph" w:customStyle="1" w:styleId="xl96">
    <w:name w:val="xl96"/>
    <w:basedOn w:val="Normal"/>
    <w:rsid w:val="00C036A9"/>
    <w:pPr>
      <w:shd w:val="clear" w:color="000000" w:fill="DCE6F1"/>
      <w:spacing w:before="100" w:beforeAutospacing="1" w:after="100" w:afterAutospacing="1"/>
    </w:pPr>
    <w:rPr>
      <w:b w:val="0"/>
      <w:i w:val="0"/>
      <w:color w:val="FF0000"/>
      <w:sz w:val="20"/>
      <w:szCs w:val="20"/>
    </w:rPr>
  </w:style>
  <w:style w:type="paragraph" w:customStyle="1" w:styleId="xl97">
    <w:name w:val="xl97"/>
    <w:basedOn w:val="Normal"/>
    <w:rsid w:val="00C036A9"/>
    <w:pPr>
      <w:shd w:val="clear" w:color="000000" w:fill="DCE6F1"/>
      <w:spacing w:before="100" w:beforeAutospacing="1" w:after="100" w:afterAutospacing="1"/>
      <w:jc w:val="right"/>
      <w:textAlignment w:val="center"/>
    </w:pPr>
    <w:rPr>
      <w:b w:val="0"/>
      <w:i w:val="0"/>
      <w:color w:val="000000"/>
      <w:sz w:val="20"/>
      <w:szCs w:val="20"/>
    </w:rPr>
  </w:style>
  <w:style w:type="paragraph" w:customStyle="1" w:styleId="xl98">
    <w:name w:val="xl98"/>
    <w:basedOn w:val="Normal"/>
    <w:rsid w:val="00C036A9"/>
    <w:pPr>
      <w:shd w:val="clear" w:color="000000" w:fill="DCE6F1"/>
      <w:spacing w:before="100" w:beforeAutospacing="1" w:after="100" w:afterAutospacing="1"/>
    </w:pPr>
    <w:rPr>
      <w:b w:val="0"/>
      <w:i w:val="0"/>
      <w:color w:val="FF0000"/>
      <w:sz w:val="20"/>
      <w:szCs w:val="20"/>
    </w:rPr>
  </w:style>
  <w:style w:type="paragraph" w:customStyle="1" w:styleId="xl99">
    <w:name w:val="xl99"/>
    <w:basedOn w:val="Normal"/>
    <w:rsid w:val="00C036A9"/>
    <w:pPr>
      <w:shd w:val="clear" w:color="000000" w:fill="DCE6F1"/>
      <w:spacing w:before="100" w:beforeAutospacing="1" w:after="100" w:afterAutospacing="1"/>
      <w:jc w:val="right"/>
      <w:textAlignment w:val="center"/>
    </w:pPr>
    <w:rPr>
      <w:b w:val="0"/>
      <w:i w:val="0"/>
      <w:color w:val="000000"/>
      <w:sz w:val="20"/>
      <w:szCs w:val="20"/>
    </w:rPr>
  </w:style>
  <w:style w:type="paragraph" w:customStyle="1" w:styleId="xl100">
    <w:name w:val="xl100"/>
    <w:basedOn w:val="Normal"/>
    <w:rsid w:val="00C036A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Cs/>
      <w:i w:val="0"/>
      <w:color w:val="974706"/>
      <w:sz w:val="20"/>
      <w:szCs w:val="20"/>
    </w:rPr>
  </w:style>
  <w:style w:type="paragraph" w:customStyle="1" w:styleId="xl101">
    <w:name w:val="xl101"/>
    <w:basedOn w:val="Normal"/>
    <w:rsid w:val="00C036A9"/>
    <w:pPr>
      <w:shd w:val="clear" w:color="000000" w:fill="DCE6F1"/>
      <w:spacing w:before="100" w:beforeAutospacing="1" w:after="100" w:afterAutospacing="1"/>
      <w:jc w:val="center"/>
      <w:textAlignment w:val="center"/>
    </w:pPr>
    <w:rPr>
      <w:bCs/>
      <w:i w:val="0"/>
      <w:color w:val="000000"/>
      <w:sz w:val="20"/>
      <w:szCs w:val="20"/>
    </w:rPr>
  </w:style>
  <w:style w:type="paragraph" w:customStyle="1" w:styleId="xl102">
    <w:name w:val="xl102"/>
    <w:basedOn w:val="Normal"/>
    <w:rsid w:val="00C036A9"/>
    <w:pPr>
      <w:shd w:val="clear" w:color="000000" w:fill="DCE6F1"/>
      <w:spacing w:before="100" w:beforeAutospacing="1" w:after="100" w:afterAutospacing="1"/>
      <w:jc w:val="center"/>
      <w:textAlignment w:val="center"/>
    </w:pPr>
    <w:rPr>
      <w:b w:val="0"/>
      <w:i w:val="0"/>
      <w:color w:val="000000"/>
      <w:sz w:val="20"/>
      <w:szCs w:val="20"/>
    </w:rPr>
  </w:style>
  <w:style w:type="paragraph" w:customStyle="1" w:styleId="xl103">
    <w:name w:val="xl103"/>
    <w:basedOn w:val="Normal"/>
    <w:rsid w:val="00C036A9"/>
    <w:pPr>
      <w:shd w:val="clear" w:color="000000" w:fill="DCE6F1"/>
      <w:spacing w:before="100" w:beforeAutospacing="1" w:after="100" w:afterAutospacing="1"/>
      <w:jc w:val="right"/>
      <w:textAlignment w:val="center"/>
    </w:pPr>
    <w:rPr>
      <w:bCs/>
      <w:i w:val="0"/>
      <w:color w:val="FF0000"/>
      <w:sz w:val="20"/>
      <w:szCs w:val="20"/>
    </w:rPr>
  </w:style>
  <w:style w:type="paragraph" w:customStyle="1" w:styleId="xl104">
    <w:name w:val="xl104"/>
    <w:basedOn w:val="Normal"/>
    <w:rsid w:val="00C036A9"/>
    <w:pPr>
      <w:shd w:val="clear" w:color="000000" w:fill="DCE6F1"/>
      <w:spacing w:before="100" w:beforeAutospacing="1" w:after="100" w:afterAutospacing="1"/>
      <w:jc w:val="right"/>
      <w:textAlignment w:val="center"/>
    </w:pPr>
    <w:rPr>
      <w:bCs/>
      <w:i w:val="0"/>
      <w:sz w:val="20"/>
      <w:szCs w:val="20"/>
    </w:rPr>
  </w:style>
  <w:style w:type="paragraph" w:customStyle="1" w:styleId="xl105">
    <w:name w:val="xl105"/>
    <w:basedOn w:val="Normal"/>
    <w:rsid w:val="00C036A9"/>
    <w:pPr>
      <w:spacing w:before="100" w:beforeAutospacing="1" w:after="100" w:afterAutospacing="1"/>
      <w:jc w:val="center"/>
      <w:textAlignment w:val="center"/>
    </w:pPr>
    <w:rPr>
      <w:bCs/>
      <w:i w:val="0"/>
      <w:sz w:val="20"/>
      <w:szCs w:val="20"/>
    </w:rPr>
  </w:style>
  <w:style w:type="paragraph" w:customStyle="1" w:styleId="xl106">
    <w:name w:val="xl106"/>
    <w:basedOn w:val="Normal"/>
    <w:rsid w:val="00C036A9"/>
    <w:pPr>
      <w:spacing w:before="100" w:beforeAutospacing="1" w:after="100" w:afterAutospacing="1"/>
      <w:jc w:val="center"/>
      <w:textAlignment w:val="center"/>
    </w:pPr>
    <w:rPr>
      <w:b w:val="0"/>
      <w:i w:val="0"/>
      <w:sz w:val="20"/>
      <w:szCs w:val="20"/>
    </w:rPr>
  </w:style>
  <w:style w:type="paragraph" w:customStyle="1" w:styleId="xl107">
    <w:name w:val="xl107"/>
    <w:basedOn w:val="Normal"/>
    <w:rsid w:val="00C036A9"/>
    <w:pPr>
      <w:pBdr>
        <w:bottom w:val="single" w:sz="4" w:space="0" w:color="auto"/>
      </w:pBdr>
      <w:spacing w:before="100" w:beforeAutospacing="1" w:after="100" w:afterAutospacing="1"/>
      <w:jc w:val="center"/>
      <w:textAlignment w:val="center"/>
    </w:pPr>
    <w:rPr>
      <w:b w:val="0"/>
      <w:i w:val="0"/>
      <w:sz w:val="20"/>
      <w:szCs w:val="20"/>
    </w:rPr>
  </w:style>
  <w:style w:type="paragraph" w:customStyle="1" w:styleId="xl108">
    <w:name w:val="xl108"/>
    <w:basedOn w:val="Normal"/>
    <w:rsid w:val="00C036A9"/>
    <w:pPr>
      <w:spacing w:before="100" w:beforeAutospacing="1" w:after="100" w:afterAutospacing="1"/>
      <w:jc w:val="right"/>
      <w:textAlignment w:val="center"/>
    </w:pPr>
    <w:rPr>
      <w:bCs/>
      <w:i w:val="0"/>
      <w:color w:val="000000"/>
      <w:sz w:val="20"/>
      <w:szCs w:val="20"/>
    </w:rPr>
  </w:style>
  <w:style w:type="paragraph" w:customStyle="1" w:styleId="xl109">
    <w:name w:val="xl109"/>
    <w:basedOn w:val="Normal"/>
    <w:rsid w:val="00C036A9"/>
    <w:pPr>
      <w:pBdr>
        <w:top w:val="single" w:sz="8" w:space="0" w:color="auto"/>
        <w:bottom w:val="single" w:sz="8" w:space="0" w:color="auto"/>
      </w:pBdr>
      <w:spacing w:before="100" w:beforeAutospacing="1" w:after="100" w:afterAutospacing="1"/>
      <w:jc w:val="center"/>
      <w:textAlignment w:val="center"/>
    </w:pPr>
    <w:rPr>
      <w:bCs/>
      <w:i w:val="0"/>
      <w:color w:val="FF0000"/>
      <w:sz w:val="20"/>
      <w:szCs w:val="20"/>
    </w:rPr>
  </w:style>
  <w:style w:type="paragraph" w:customStyle="1" w:styleId="xl110">
    <w:name w:val="xl110"/>
    <w:basedOn w:val="Normal"/>
    <w:rsid w:val="00C036A9"/>
    <w:pPr>
      <w:spacing w:before="100" w:beforeAutospacing="1" w:after="100" w:afterAutospacing="1"/>
    </w:pPr>
    <w:rPr>
      <w:b w:val="0"/>
      <w:i w:val="0"/>
    </w:rPr>
  </w:style>
  <w:style w:type="paragraph" w:customStyle="1" w:styleId="xl111">
    <w:name w:val="xl111"/>
    <w:basedOn w:val="Normal"/>
    <w:rsid w:val="00C036A9"/>
    <w:pPr>
      <w:shd w:val="clear" w:color="000000" w:fill="DCE6F1"/>
      <w:spacing w:before="100" w:beforeAutospacing="1" w:after="100" w:afterAutospacing="1"/>
    </w:pPr>
    <w:rPr>
      <w:b w:val="0"/>
      <w:i w:val="0"/>
    </w:rPr>
  </w:style>
  <w:style w:type="paragraph" w:customStyle="1" w:styleId="xl112">
    <w:name w:val="xl112"/>
    <w:basedOn w:val="Normal"/>
    <w:rsid w:val="00C036A9"/>
    <w:pPr>
      <w:shd w:val="clear" w:color="000000" w:fill="DCE6F1"/>
      <w:spacing w:before="100" w:beforeAutospacing="1" w:after="100" w:afterAutospacing="1"/>
      <w:jc w:val="right"/>
      <w:textAlignment w:val="center"/>
    </w:pPr>
    <w:rPr>
      <w:bCs/>
      <w:i w:val="0"/>
      <w:sz w:val="20"/>
      <w:szCs w:val="20"/>
    </w:rPr>
  </w:style>
  <w:style w:type="paragraph" w:customStyle="1" w:styleId="xl113">
    <w:name w:val="xl113"/>
    <w:basedOn w:val="Normal"/>
    <w:rsid w:val="00C036A9"/>
    <w:pPr>
      <w:shd w:val="clear" w:color="000000" w:fill="DCE6F1"/>
      <w:spacing w:before="100" w:beforeAutospacing="1" w:after="100" w:afterAutospacing="1"/>
      <w:textAlignment w:val="center"/>
    </w:pPr>
    <w:rPr>
      <w:bCs/>
      <w:i w:val="0"/>
      <w:sz w:val="20"/>
      <w:szCs w:val="20"/>
    </w:rPr>
  </w:style>
  <w:style w:type="paragraph" w:customStyle="1" w:styleId="xl114">
    <w:name w:val="xl114"/>
    <w:basedOn w:val="Normal"/>
    <w:rsid w:val="00C036A9"/>
    <w:pPr>
      <w:shd w:val="clear" w:color="DBE5F1" w:fill="DCE6F1"/>
      <w:spacing w:before="100" w:beforeAutospacing="1" w:after="100" w:afterAutospacing="1"/>
      <w:textAlignment w:val="center"/>
    </w:pPr>
    <w:rPr>
      <w:b w:val="0"/>
      <w:i w:val="0"/>
      <w:sz w:val="20"/>
      <w:szCs w:val="20"/>
    </w:rPr>
  </w:style>
  <w:style w:type="paragraph" w:customStyle="1" w:styleId="xl115">
    <w:name w:val="xl115"/>
    <w:basedOn w:val="Normal"/>
    <w:rsid w:val="00C036A9"/>
    <w:pPr>
      <w:shd w:val="clear" w:color="000000" w:fill="DCE6F1"/>
      <w:spacing w:before="100" w:beforeAutospacing="1" w:after="100" w:afterAutospacing="1"/>
      <w:jc w:val="center"/>
      <w:textAlignment w:val="center"/>
    </w:pPr>
    <w:rPr>
      <w:b w:val="0"/>
      <w:i w:val="0"/>
      <w:sz w:val="20"/>
      <w:szCs w:val="20"/>
    </w:rPr>
  </w:style>
  <w:style w:type="paragraph" w:customStyle="1" w:styleId="xl116">
    <w:name w:val="xl116"/>
    <w:basedOn w:val="Normal"/>
    <w:rsid w:val="00C036A9"/>
    <w:pPr>
      <w:shd w:val="clear" w:color="000000" w:fill="DCE6F1"/>
      <w:spacing w:before="100" w:beforeAutospacing="1" w:after="100" w:afterAutospacing="1"/>
      <w:textAlignment w:val="center"/>
    </w:pPr>
    <w:rPr>
      <w:b w:val="0"/>
      <w:i w:val="0"/>
      <w:sz w:val="20"/>
      <w:szCs w:val="20"/>
    </w:rPr>
  </w:style>
  <w:style w:type="paragraph" w:customStyle="1" w:styleId="xl117">
    <w:name w:val="xl117"/>
    <w:basedOn w:val="Normal"/>
    <w:rsid w:val="00C036A9"/>
    <w:pPr>
      <w:shd w:val="clear" w:color="000000" w:fill="DCE6F1"/>
      <w:spacing w:before="100" w:beforeAutospacing="1" w:after="100" w:afterAutospacing="1"/>
      <w:jc w:val="right"/>
      <w:textAlignment w:val="center"/>
    </w:pPr>
    <w:rPr>
      <w:b w:val="0"/>
      <w:i w:val="0"/>
      <w:sz w:val="20"/>
      <w:szCs w:val="20"/>
    </w:rPr>
  </w:style>
  <w:style w:type="paragraph" w:customStyle="1" w:styleId="xl118">
    <w:name w:val="xl118"/>
    <w:basedOn w:val="Normal"/>
    <w:rsid w:val="00C036A9"/>
    <w:pPr>
      <w:shd w:val="clear" w:color="D9D9D9" w:fill="DCE6F1"/>
      <w:spacing w:before="100" w:beforeAutospacing="1" w:after="100" w:afterAutospacing="1"/>
      <w:jc w:val="center"/>
      <w:textAlignment w:val="center"/>
    </w:pPr>
    <w:rPr>
      <w:b w:val="0"/>
      <w:i w:val="0"/>
      <w:sz w:val="20"/>
      <w:szCs w:val="20"/>
    </w:rPr>
  </w:style>
  <w:style w:type="paragraph" w:customStyle="1" w:styleId="msonormal0">
    <w:name w:val="msonormal"/>
    <w:basedOn w:val="Normal"/>
    <w:rsid w:val="00AD056E"/>
    <w:pPr>
      <w:spacing w:before="100" w:beforeAutospacing="1" w:after="100" w:afterAutospacing="1"/>
    </w:pPr>
    <w:rPr>
      <w:b w:val="0"/>
      <w:i w:val="0"/>
    </w:rPr>
  </w:style>
  <w:style w:type="numbering" w:customStyle="1" w:styleId="NoList11">
    <w:name w:val="No List11"/>
    <w:next w:val="NoList"/>
    <w:uiPriority w:val="99"/>
    <w:semiHidden/>
    <w:unhideWhenUsed/>
    <w:rsid w:val="001D1BB8"/>
  </w:style>
  <w:style w:type="table" w:customStyle="1" w:styleId="TableGrid11">
    <w:name w:val="Table Grid11"/>
    <w:basedOn w:val="TableNormal"/>
    <w:next w:val="TableGrid"/>
    <w:uiPriority w:val="59"/>
    <w:rsid w:val="001D1BB8"/>
    <w:pPr>
      <w:spacing w:before="120" w:after="0"/>
      <w:ind w:left="0" w:firstLine="0"/>
      <w:jc w:val="left"/>
    </w:pPr>
    <w:rPr>
      <w:rFonts w:ascii="Calibri" w:eastAsia="Times New Roman" w:hAnsi="Calibri"/>
      <w: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1D1BB8"/>
  </w:style>
  <w:style w:type="table" w:customStyle="1" w:styleId="TableGrid21">
    <w:name w:val="Table Grid21"/>
    <w:basedOn w:val="TableNormal"/>
    <w:next w:val="TableGrid"/>
    <w:uiPriority w:val="59"/>
    <w:rsid w:val="001D1BB8"/>
    <w:pPr>
      <w:spacing w:before="120" w:after="0"/>
      <w:ind w:left="0" w:firstLine="0"/>
      <w:jc w:val="left"/>
    </w:pPr>
    <w:rPr>
      <w:rFonts w:ascii="Calibri" w:eastAsia="Times New Roman" w:hAnsi="Calibri"/>
      <w: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31">
    <w:name w:val="No List31"/>
    <w:next w:val="NoList"/>
    <w:uiPriority w:val="99"/>
    <w:semiHidden/>
    <w:unhideWhenUsed/>
    <w:rsid w:val="001D1BB8"/>
  </w:style>
  <w:style w:type="table" w:customStyle="1" w:styleId="TableGrid31">
    <w:name w:val="Table Grid31"/>
    <w:basedOn w:val="TableNormal"/>
    <w:next w:val="TableGrid"/>
    <w:uiPriority w:val="39"/>
    <w:rsid w:val="001D1BB8"/>
    <w:pPr>
      <w:spacing w:after="0"/>
      <w:ind w:left="0" w:firstLine="0"/>
      <w:jc w:val="left"/>
    </w:pPr>
    <w:rPr>
      <w:rFonts w:ascii="Calibri" w:hAnsi="Calibri"/>
      <w:color w:val="auto"/>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39"/>
    <w:rsid w:val="001D1BB8"/>
    <w:pPr>
      <w:spacing w:after="0"/>
      <w:ind w:left="0" w:firstLine="0"/>
      <w:jc w:val="left"/>
    </w:pPr>
    <w:rPr>
      <w:rFonts w:ascii="Calibri" w:hAnsi="Calibri"/>
      <w:color w:val="auto"/>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7366204">
      <w:bodyDiv w:val="1"/>
      <w:marLeft w:val="0"/>
      <w:marRight w:val="0"/>
      <w:marTop w:val="0"/>
      <w:marBottom w:val="0"/>
      <w:divBdr>
        <w:top w:val="none" w:sz="0" w:space="0" w:color="auto"/>
        <w:left w:val="none" w:sz="0" w:space="0" w:color="auto"/>
        <w:bottom w:val="none" w:sz="0" w:space="0" w:color="auto"/>
        <w:right w:val="none" w:sz="0" w:space="0" w:color="auto"/>
      </w:divBdr>
    </w:div>
    <w:div w:id="107555735">
      <w:bodyDiv w:val="1"/>
      <w:marLeft w:val="0"/>
      <w:marRight w:val="0"/>
      <w:marTop w:val="0"/>
      <w:marBottom w:val="0"/>
      <w:divBdr>
        <w:top w:val="none" w:sz="0" w:space="0" w:color="auto"/>
        <w:left w:val="none" w:sz="0" w:space="0" w:color="auto"/>
        <w:bottom w:val="none" w:sz="0" w:space="0" w:color="auto"/>
        <w:right w:val="none" w:sz="0" w:space="0" w:color="auto"/>
      </w:divBdr>
    </w:div>
    <w:div w:id="146215544">
      <w:bodyDiv w:val="1"/>
      <w:marLeft w:val="0"/>
      <w:marRight w:val="0"/>
      <w:marTop w:val="0"/>
      <w:marBottom w:val="0"/>
      <w:divBdr>
        <w:top w:val="none" w:sz="0" w:space="0" w:color="auto"/>
        <w:left w:val="none" w:sz="0" w:space="0" w:color="auto"/>
        <w:bottom w:val="none" w:sz="0" w:space="0" w:color="auto"/>
        <w:right w:val="none" w:sz="0" w:space="0" w:color="auto"/>
      </w:divBdr>
    </w:div>
    <w:div w:id="158935641">
      <w:bodyDiv w:val="1"/>
      <w:marLeft w:val="0"/>
      <w:marRight w:val="0"/>
      <w:marTop w:val="0"/>
      <w:marBottom w:val="0"/>
      <w:divBdr>
        <w:top w:val="none" w:sz="0" w:space="0" w:color="auto"/>
        <w:left w:val="none" w:sz="0" w:space="0" w:color="auto"/>
        <w:bottom w:val="none" w:sz="0" w:space="0" w:color="auto"/>
        <w:right w:val="none" w:sz="0" w:space="0" w:color="auto"/>
      </w:divBdr>
    </w:div>
    <w:div w:id="204997047">
      <w:bodyDiv w:val="1"/>
      <w:marLeft w:val="0"/>
      <w:marRight w:val="0"/>
      <w:marTop w:val="0"/>
      <w:marBottom w:val="0"/>
      <w:divBdr>
        <w:top w:val="none" w:sz="0" w:space="0" w:color="auto"/>
        <w:left w:val="none" w:sz="0" w:space="0" w:color="auto"/>
        <w:bottom w:val="none" w:sz="0" w:space="0" w:color="auto"/>
        <w:right w:val="none" w:sz="0" w:space="0" w:color="auto"/>
      </w:divBdr>
    </w:div>
    <w:div w:id="262422025">
      <w:bodyDiv w:val="1"/>
      <w:marLeft w:val="0"/>
      <w:marRight w:val="0"/>
      <w:marTop w:val="0"/>
      <w:marBottom w:val="0"/>
      <w:divBdr>
        <w:top w:val="none" w:sz="0" w:space="0" w:color="auto"/>
        <w:left w:val="none" w:sz="0" w:space="0" w:color="auto"/>
        <w:bottom w:val="none" w:sz="0" w:space="0" w:color="auto"/>
        <w:right w:val="none" w:sz="0" w:space="0" w:color="auto"/>
      </w:divBdr>
    </w:div>
    <w:div w:id="323361241">
      <w:bodyDiv w:val="1"/>
      <w:marLeft w:val="0"/>
      <w:marRight w:val="0"/>
      <w:marTop w:val="0"/>
      <w:marBottom w:val="0"/>
      <w:divBdr>
        <w:top w:val="none" w:sz="0" w:space="0" w:color="auto"/>
        <w:left w:val="none" w:sz="0" w:space="0" w:color="auto"/>
        <w:bottom w:val="none" w:sz="0" w:space="0" w:color="auto"/>
        <w:right w:val="none" w:sz="0" w:space="0" w:color="auto"/>
      </w:divBdr>
    </w:div>
    <w:div w:id="331103578">
      <w:bodyDiv w:val="1"/>
      <w:marLeft w:val="0"/>
      <w:marRight w:val="0"/>
      <w:marTop w:val="0"/>
      <w:marBottom w:val="0"/>
      <w:divBdr>
        <w:top w:val="none" w:sz="0" w:space="0" w:color="auto"/>
        <w:left w:val="none" w:sz="0" w:space="0" w:color="auto"/>
        <w:bottom w:val="none" w:sz="0" w:space="0" w:color="auto"/>
        <w:right w:val="none" w:sz="0" w:space="0" w:color="auto"/>
      </w:divBdr>
    </w:div>
    <w:div w:id="370422565">
      <w:bodyDiv w:val="1"/>
      <w:marLeft w:val="0"/>
      <w:marRight w:val="0"/>
      <w:marTop w:val="0"/>
      <w:marBottom w:val="0"/>
      <w:divBdr>
        <w:top w:val="none" w:sz="0" w:space="0" w:color="auto"/>
        <w:left w:val="none" w:sz="0" w:space="0" w:color="auto"/>
        <w:bottom w:val="none" w:sz="0" w:space="0" w:color="auto"/>
        <w:right w:val="none" w:sz="0" w:space="0" w:color="auto"/>
      </w:divBdr>
    </w:div>
    <w:div w:id="389305017">
      <w:bodyDiv w:val="1"/>
      <w:marLeft w:val="0"/>
      <w:marRight w:val="0"/>
      <w:marTop w:val="0"/>
      <w:marBottom w:val="0"/>
      <w:divBdr>
        <w:top w:val="none" w:sz="0" w:space="0" w:color="auto"/>
        <w:left w:val="none" w:sz="0" w:space="0" w:color="auto"/>
        <w:bottom w:val="none" w:sz="0" w:space="0" w:color="auto"/>
        <w:right w:val="none" w:sz="0" w:space="0" w:color="auto"/>
      </w:divBdr>
    </w:div>
    <w:div w:id="437717074">
      <w:bodyDiv w:val="1"/>
      <w:marLeft w:val="0"/>
      <w:marRight w:val="0"/>
      <w:marTop w:val="0"/>
      <w:marBottom w:val="0"/>
      <w:divBdr>
        <w:top w:val="none" w:sz="0" w:space="0" w:color="auto"/>
        <w:left w:val="none" w:sz="0" w:space="0" w:color="auto"/>
        <w:bottom w:val="none" w:sz="0" w:space="0" w:color="auto"/>
        <w:right w:val="none" w:sz="0" w:space="0" w:color="auto"/>
      </w:divBdr>
    </w:div>
    <w:div w:id="459539981">
      <w:bodyDiv w:val="1"/>
      <w:marLeft w:val="0"/>
      <w:marRight w:val="0"/>
      <w:marTop w:val="0"/>
      <w:marBottom w:val="0"/>
      <w:divBdr>
        <w:top w:val="none" w:sz="0" w:space="0" w:color="auto"/>
        <w:left w:val="none" w:sz="0" w:space="0" w:color="auto"/>
        <w:bottom w:val="none" w:sz="0" w:space="0" w:color="auto"/>
        <w:right w:val="none" w:sz="0" w:space="0" w:color="auto"/>
      </w:divBdr>
    </w:div>
    <w:div w:id="478697071">
      <w:bodyDiv w:val="1"/>
      <w:marLeft w:val="0"/>
      <w:marRight w:val="0"/>
      <w:marTop w:val="0"/>
      <w:marBottom w:val="0"/>
      <w:divBdr>
        <w:top w:val="none" w:sz="0" w:space="0" w:color="auto"/>
        <w:left w:val="none" w:sz="0" w:space="0" w:color="auto"/>
        <w:bottom w:val="none" w:sz="0" w:space="0" w:color="auto"/>
        <w:right w:val="none" w:sz="0" w:space="0" w:color="auto"/>
      </w:divBdr>
    </w:div>
    <w:div w:id="502277451">
      <w:bodyDiv w:val="1"/>
      <w:marLeft w:val="0"/>
      <w:marRight w:val="0"/>
      <w:marTop w:val="0"/>
      <w:marBottom w:val="0"/>
      <w:divBdr>
        <w:top w:val="none" w:sz="0" w:space="0" w:color="auto"/>
        <w:left w:val="none" w:sz="0" w:space="0" w:color="auto"/>
        <w:bottom w:val="none" w:sz="0" w:space="0" w:color="auto"/>
        <w:right w:val="none" w:sz="0" w:space="0" w:color="auto"/>
      </w:divBdr>
    </w:div>
    <w:div w:id="535967608">
      <w:bodyDiv w:val="1"/>
      <w:marLeft w:val="0"/>
      <w:marRight w:val="0"/>
      <w:marTop w:val="0"/>
      <w:marBottom w:val="0"/>
      <w:divBdr>
        <w:top w:val="none" w:sz="0" w:space="0" w:color="auto"/>
        <w:left w:val="none" w:sz="0" w:space="0" w:color="auto"/>
        <w:bottom w:val="none" w:sz="0" w:space="0" w:color="auto"/>
        <w:right w:val="none" w:sz="0" w:space="0" w:color="auto"/>
      </w:divBdr>
    </w:div>
    <w:div w:id="567227772">
      <w:bodyDiv w:val="1"/>
      <w:marLeft w:val="0"/>
      <w:marRight w:val="0"/>
      <w:marTop w:val="0"/>
      <w:marBottom w:val="0"/>
      <w:divBdr>
        <w:top w:val="none" w:sz="0" w:space="0" w:color="auto"/>
        <w:left w:val="none" w:sz="0" w:space="0" w:color="auto"/>
        <w:bottom w:val="none" w:sz="0" w:space="0" w:color="auto"/>
        <w:right w:val="none" w:sz="0" w:space="0" w:color="auto"/>
      </w:divBdr>
    </w:div>
    <w:div w:id="701050311">
      <w:bodyDiv w:val="1"/>
      <w:marLeft w:val="0"/>
      <w:marRight w:val="0"/>
      <w:marTop w:val="0"/>
      <w:marBottom w:val="0"/>
      <w:divBdr>
        <w:top w:val="none" w:sz="0" w:space="0" w:color="auto"/>
        <w:left w:val="none" w:sz="0" w:space="0" w:color="auto"/>
        <w:bottom w:val="none" w:sz="0" w:space="0" w:color="auto"/>
        <w:right w:val="none" w:sz="0" w:space="0" w:color="auto"/>
      </w:divBdr>
    </w:div>
    <w:div w:id="725033119">
      <w:bodyDiv w:val="1"/>
      <w:marLeft w:val="0"/>
      <w:marRight w:val="0"/>
      <w:marTop w:val="0"/>
      <w:marBottom w:val="0"/>
      <w:divBdr>
        <w:top w:val="none" w:sz="0" w:space="0" w:color="auto"/>
        <w:left w:val="none" w:sz="0" w:space="0" w:color="auto"/>
        <w:bottom w:val="none" w:sz="0" w:space="0" w:color="auto"/>
        <w:right w:val="none" w:sz="0" w:space="0" w:color="auto"/>
      </w:divBdr>
    </w:div>
    <w:div w:id="755635227">
      <w:bodyDiv w:val="1"/>
      <w:marLeft w:val="0"/>
      <w:marRight w:val="0"/>
      <w:marTop w:val="0"/>
      <w:marBottom w:val="0"/>
      <w:divBdr>
        <w:top w:val="none" w:sz="0" w:space="0" w:color="auto"/>
        <w:left w:val="none" w:sz="0" w:space="0" w:color="auto"/>
        <w:bottom w:val="none" w:sz="0" w:space="0" w:color="auto"/>
        <w:right w:val="none" w:sz="0" w:space="0" w:color="auto"/>
      </w:divBdr>
    </w:div>
    <w:div w:id="779223207">
      <w:bodyDiv w:val="1"/>
      <w:marLeft w:val="0"/>
      <w:marRight w:val="0"/>
      <w:marTop w:val="0"/>
      <w:marBottom w:val="0"/>
      <w:divBdr>
        <w:top w:val="none" w:sz="0" w:space="0" w:color="auto"/>
        <w:left w:val="none" w:sz="0" w:space="0" w:color="auto"/>
        <w:bottom w:val="none" w:sz="0" w:space="0" w:color="auto"/>
        <w:right w:val="none" w:sz="0" w:space="0" w:color="auto"/>
      </w:divBdr>
    </w:div>
    <w:div w:id="795610615">
      <w:bodyDiv w:val="1"/>
      <w:marLeft w:val="0"/>
      <w:marRight w:val="0"/>
      <w:marTop w:val="0"/>
      <w:marBottom w:val="0"/>
      <w:divBdr>
        <w:top w:val="none" w:sz="0" w:space="0" w:color="auto"/>
        <w:left w:val="none" w:sz="0" w:space="0" w:color="auto"/>
        <w:bottom w:val="none" w:sz="0" w:space="0" w:color="auto"/>
        <w:right w:val="none" w:sz="0" w:space="0" w:color="auto"/>
      </w:divBdr>
    </w:div>
    <w:div w:id="805202779">
      <w:bodyDiv w:val="1"/>
      <w:marLeft w:val="0"/>
      <w:marRight w:val="0"/>
      <w:marTop w:val="0"/>
      <w:marBottom w:val="0"/>
      <w:divBdr>
        <w:top w:val="none" w:sz="0" w:space="0" w:color="auto"/>
        <w:left w:val="none" w:sz="0" w:space="0" w:color="auto"/>
        <w:bottom w:val="none" w:sz="0" w:space="0" w:color="auto"/>
        <w:right w:val="none" w:sz="0" w:space="0" w:color="auto"/>
      </w:divBdr>
    </w:div>
    <w:div w:id="817115606">
      <w:bodyDiv w:val="1"/>
      <w:marLeft w:val="0"/>
      <w:marRight w:val="0"/>
      <w:marTop w:val="0"/>
      <w:marBottom w:val="0"/>
      <w:divBdr>
        <w:top w:val="none" w:sz="0" w:space="0" w:color="auto"/>
        <w:left w:val="none" w:sz="0" w:space="0" w:color="auto"/>
        <w:bottom w:val="none" w:sz="0" w:space="0" w:color="auto"/>
        <w:right w:val="none" w:sz="0" w:space="0" w:color="auto"/>
      </w:divBdr>
    </w:div>
    <w:div w:id="866941170">
      <w:bodyDiv w:val="1"/>
      <w:marLeft w:val="0"/>
      <w:marRight w:val="0"/>
      <w:marTop w:val="0"/>
      <w:marBottom w:val="0"/>
      <w:divBdr>
        <w:top w:val="none" w:sz="0" w:space="0" w:color="auto"/>
        <w:left w:val="none" w:sz="0" w:space="0" w:color="auto"/>
        <w:bottom w:val="none" w:sz="0" w:space="0" w:color="auto"/>
        <w:right w:val="none" w:sz="0" w:space="0" w:color="auto"/>
      </w:divBdr>
    </w:div>
    <w:div w:id="899750464">
      <w:bodyDiv w:val="1"/>
      <w:marLeft w:val="0"/>
      <w:marRight w:val="0"/>
      <w:marTop w:val="0"/>
      <w:marBottom w:val="0"/>
      <w:divBdr>
        <w:top w:val="none" w:sz="0" w:space="0" w:color="auto"/>
        <w:left w:val="none" w:sz="0" w:space="0" w:color="auto"/>
        <w:bottom w:val="none" w:sz="0" w:space="0" w:color="auto"/>
        <w:right w:val="none" w:sz="0" w:space="0" w:color="auto"/>
      </w:divBdr>
    </w:div>
    <w:div w:id="929697353">
      <w:bodyDiv w:val="1"/>
      <w:marLeft w:val="0"/>
      <w:marRight w:val="0"/>
      <w:marTop w:val="0"/>
      <w:marBottom w:val="0"/>
      <w:divBdr>
        <w:top w:val="none" w:sz="0" w:space="0" w:color="auto"/>
        <w:left w:val="none" w:sz="0" w:space="0" w:color="auto"/>
        <w:bottom w:val="none" w:sz="0" w:space="0" w:color="auto"/>
        <w:right w:val="none" w:sz="0" w:space="0" w:color="auto"/>
      </w:divBdr>
    </w:div>
    <w:div w:id="992103981">
      <w:bodyDiv w:val="1"/>
      <w:marLeft w:val="0"/>
      <w:marRight w:val="0"/>
      <w:marTop w:val="0"/>
      <w:marBottom w:val="0"/>
      <w:divBdr>
        <w:top w:val="none" w:sz="0" w:space="0" w:color="auto"/>
        <w:left w:val="none" w:sz="0" w:space="0" w:color="auto"/>
        <w:bottom w:val="none" w:sz="0" w:space="0" w:color="auto"/>
        <w:right w:val="none" w:sz="0" w:space="0" w:color="auto"/>
      </w:divBdr>
    </w:div>
    <w:div w:id="1157303028">
      <w:bodyDiv w:val="1"/>
      <w:marLeft w:val="0"/>
      <w:marRight w:val="0"/>
      <w:marTop w:val="0"/>
      <w:marBottom w:val="0"/>
      <w:divBdr>
        <w:top w:val="none" w:sz="0" w:space="0" w:color="auto"/>
        <w:left w:val="none" w:sz="0" w:space="0" w:color="auto"/>
        <w:bottom w:val="none" w:sz="0" w:space="0" w:color="auto"/>
        <w:right w:val="none" w:sz="0" w:space="0" w:color="auto"/>
      </w:divBdr>
    </w:div>
    <w:div w:id="1178232783">
      <w:bodyDiv w:val="1"/>
      <w:marLeft w:val="0"/>
      <w:marRight w:val="0"/>
      <w:marTop w:val="0"/>
      <w:marBottom w:val="0"/>
      <w:divBdr>
        <w:top w:val="none" w:sz="0" w:space="0" w:color="auto"/>
        <w:left w:val="none" w:sz="0" w:space="0" w:color="auto"/>
        <w:bottom w:val="none" w:sz="0" w:space="0" w:color="auto"/>
        <w:right w:val="none" w:sz="0" w:space="0" w:color="auto"/>
      </w:divBdr>
    </w:div>
    <w:div w:id="1220752146">
      <w:bodyDiv w:val="1"/>
      <w:marLeft w:val="0"/>
      <w:marRight w:val="0"/>
      <w:marTop w:val="0"/>
      <w:marBottom w:val="0"/>
      <w:divBdr>
        <w:top w:val="none" w:sz="0" w:space="0" w:color="auto"/>
        <w:left w:val="none" w:sz="0" w:space="0" w:color="auto"/>
        <w:bottom w:val="none" w:sz="0" w:space="0" w:color="auto"/>
        <w:right w:val="none" w:sz="0" w:space="0" w:color="auto"/>
      </w:divBdr>
    </w:div>
    <w:div w:id="1269318212">
      <w:bodyDiv w:val="1"/>
      <w:marLeft w:val="0"/>
      <w:marRight w:val="0"/>
      <w:marTop w:val="0"/>
      <w:marBottom w:val="0"/>
      <w:divBdr>
        <w:top w:val="none" w:sz="0" w:space="0" w:color="auto"/>
        <w:left w:val="none" w:sz="0" w:space="0" w:color="auto"/>
        <w:bottom w:val="none" w:sz="0" w:space="0" w:color="auto"/>
        <w:right w:val="none" w:sz="0" w:space="0" w:color="auto"/>
      </w:divBdr>
    </w:div>
    <w:div w:id="1293708026">
      <w:bodyDiv w:val="1"/>
      <w:marLeft w:val="0"/>
      <w:marRight w:val="0"/>
      <w:marTop w:val="0"/>
      <w:marBottom w:val="0"/>
      <w:divBdr>
        <w:top w:val="none" w:sz="0" w:space="0" w:color="auto"/>
        <w:left w:val="none" w:sz="0" w:space="0" w:color="auto"/>
        <w:bottom w:val="none" w:sz="0" w:space="0" w:color="auto"/>
        <w:right w:val="none" w:sz="0" w:space="0" w:color="auto"/>
      </w:divBdr>
    </w:div>
    <w:div w:id="1337541260">
      <w:bodyDiv w:val="1"/>
      <w:marLeft w:val="0"/>
      <w:marRight w:val="0"/>
      <w:marTop w:val="0"/>
      <w:marBottom w:val="0"/>
      <w:divBdr>
        <w:top w:val="none" w:sz="0" w:space="0" w:color="auto"/>
        <w:left w:val="none" w:sz="0" w:space="0" w:color="auto"/>
        <w:bottom w:val="none" w:sz="0" w:space="0" w:color="auto"/>
        <w:right w:val="none" w:sz="0" w:space="0" w:color="auto"/>
      </w:divBdr>
    </w:div>
    <w:div w:id="1448743003">
      <w:bodyDiv w:val="1"/>
      <w:marLeft w:val="0"/>
      <w:marRight w:val="0"/>
      <w:marTop w:val="0"/>
      <w:marBottom w:val="0"/>
      <w:divBdr>
        <w:top w:val="none" w:sz="0" w:space="0" w:color="auto"/>
        <w:left w:val="none" w:sz="0" w:space="0" w:color="auto"/>
        <w:bottom w:val="none" w:sz="0" w:space="0" w:color="auto"/>
        <w:right w:val="none" w:sz="0" w:space="0" w:color="auto"/>
      </w:divBdr>
    </w:div>
    <w:div w:id="1598636449">
      <w:bodyDiv w:val="1"/>
      <w:marLeft w:val="0"/>
      <w:marRight w:val="0"/>
      <w:marTop w:val="0"/>
      <w:marBottom w:val="0"/>
      <w:divBdr>
        <w:top w:val="none" w:sz="0" w:space="0" w:color="auto"/>
        <w:left w:val="none" w:sz="0" w:space="0" w:color="auto"/>
        <w:bottom w:val="none" w:sz="0" w:space="0" w:color="auto"/>
        <w:right w:val="none" w:sz="0" w:space="0" w:color="auto"/>
      </w:divBdr>
    </w:div>
    <w:div w:id="1635136152">
      <w:bodyDiv w:val="1"/>
      <w:marLeft w:val="0"/>
      <w:marRight w:val="0"/>
      <w:marTop w:val="0"/>
      <w:marBottom w:val="0"/>
      <w:divBdr>
        <w:top w:val="none" w:sz="0" w:space="0" w:color="auto"/>
        <w:left w:val="none" w:sz="0" w:space="0" w:color="auto"/>
        <w:bottom w:val="none" w:sz="0" w:space="0" w:color="auto"/>
        <w:right w:val="none" w:sz="0" w:space="0" w:color="auto"/>
      </w:divBdr>
    </w:div>
    <w:div w:id="1748721864">
      <w:bodyDiv w:val="1"/>
      <w:marLeft w:val="0"/>
      <w:marRight w:val="0"/>
      <w:marTop w:val="0"/>
      <w:marBottom w:val="0"/>
      <w:divBdr>
        <w:top w:val="none" w:sz="0" w:space="0" w:color="auto"/>
        <w:left w:val="none" w:sz="0" w:space="0" w:color="auto"/>
        <w:bottom w:val="none" w:sz="0" w:space="0" w:color="auto"/>
        <w:right w:val="none" w:sz="0" w:space="0" w:color="auto"/>
      </w:divBdr>
    </w:div>
    <w:div w:id="1825122263">
      <w:bodyDiv w:val="1"/>
      <w:marLeft w:val="0"/>
      <w:marRight w:val="0"/>
      <w:marTop w:val="0"/>
      <w:marBottom w:val="0"/>
      <w:divBdr>
        <w:top w:val="none" w:sz="0" w:space="0" w:color="auto"/>
        <w:left w:val="none" w:sz="0" w:space="0" w:color="auto"/>
        <w:bottom w:val="none" w:sz="0" w:space="0" w:color="auto"/>
        <w:right w:val="none" w:sz="0" w:space="0" w:color="auto"/>
      </w:divBdr>
    </w:div>
    <w:div w:id="1836457475">
      <w:bodyDiv w:val="1"/>
      <w:marLeft w:val="0"/>
      <w:marRight w:val="0"/>
      <w:marTop w:val="0"/>
      <w:marBottom w:val="0"/>
      <w:divBdr>
        <w:top w:val="none" w:sz="0" w:space="0" w:color="auto"/>
        <w:left w:val="none" w:sz="0" w:space="0" w:color="auto"/>
        <w:bottom w:val="none" w:sz="0" w:space="0" w:color="auto"/>
        <w:right w:val="none" w:sz="0" w:space="0" w:color="auto"/>
      </w:divBdr>
    </w:div>
    <w:div w:id="1971813797">
      <w:bodyDiv w:val="1"/>
      <w:marLeft w:val="0"/>
      <w:marRight w:val="0"/>
      <w:marTop w:val="0"/>
      <w:marBottom w:val="0"/>
      <w:divBdr>
        <w:top w:val="none" w:sz="0" w:space="0" w:color="auto"/>
        <w:left w:val="none" w:sz="0" w:space="0" w:color="auto"/>
        <w:bottom w:val="none" w:sz="0" w:space="0" w:color="auto"/>
        <w:right w:val="none" w:sz="0" w:space="0" w:color="auto"/>
      </w:divBdr>
    </w:div>
    <w:div w:id="1989281224">
      <w:bodyDiv w:val="1"/>
      <w:marLeft w:val="0"/>
      <w:marRight w:val="0"/>
      <w:marTop w:val="0"/>
      <w:marBottom w:val="0"/>
      <w:divBdr>
        <w:top w:val="none" w:sz="0" w:space="0" w:color="auto"/>
        <w:left w:val="none" w:sz="0" w:space="0" w:color="auto"/>
        <w:bottom w:val="none" w:sz="0" w:space="0" w:color="auto"/>
        <w:right w:val="none" w:sz="0" w:space="0" w:color="auto"/>
      </w:divBdr>
    </w:div>
    <w:div w:id="2027756006">
      <w:bodyDiv w:val="1"/>
      <w:marLeft w:val="0"/>
      <w:marRight w:val="0"/>
      <w:marTop w:val="0"/>
      <w:marBottom w:val="0"/>
      <w:divBdr>
        <w:top w:val="none" w:sz="0" w:space="0" w:color="auto"/>
        <w:left w:val="none" w:sz="0" w:space="0" w:color="auto"/>
        <w:bottom w:val="none" w:sz="0" w:space="0" w:color="auto"/>
        <w:right w:val="none" w:sz="0" w:space="0" w:color="auto"/>
      </w:divBdr>
    </w:div>
    <w:div w:id="2034916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chart" Target="charts/chart14.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chart" Target="charts/chart1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chart" Target="charts/chart3.xml"/><Relationship Id="rId19" Type="http://schemas.openxmlformats.org/officeDocument/2006/relationships/chart" Target="charts/chart12.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header" Target="header1.xml"/><Relationship Id="rId27" Type="http://schemas.openxmlformats.org/officeDocument/2006/relationships/footer" Target="footer3.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Office_Excel_Worksheet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1" Type="http://schemas.openxmlformats.org/officeDocument/2006/relationships/oleObject" Target="file:///D:\laodong2022\q2_2022\solieu_q2_2022\hinh_dich_q2\Thatnghiep_Thieuviec_full_cacquy_ICLS13_ICLS19_Q2_2022_lan_hinh.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D:\laodong2022\q2_2022\solieu_q2_2022\hinh_dich_q2\Thatnghiep_Thieuviec_full_cacquy_ICLS13_ICLS19_Q2_2022_lan_hinh.xlsx" TargetMode="Externa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Office_Excel_Worksheet3.xlsx"/><Relationship Id="rId1" Type="http://schemas.openxmlformats.org/officeDocument/2006/relationships/themeOverride" Target="../theme/themeOverride2.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Office_Excel_Worksheet4.xlsx"/><Relationship Id="rId1" Type="http://schemas.openxmlformats.org/officeDocument/2006/relationships/themeOverride" Target="../theme/themeOverride3.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Office_Excel_Worksheet5.xlsx"/><Relationship Id="rId1" Type="http://schemas.openxmlformats.org/officeDocument/2006/relationships/themeOverride" Target="../theme/themeOverride4.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_rels/chart3.xml.rels><?xml version="1.0" encoding="UTF-8" standalone="yes"?>
<Relationships xmlns="http://schemas.openxmlformats.org/package/2006/relationships"><Relationship Id="rId1" Type="http://schemas.openxmlformats.org/officeDocument/2006/relationships/oleObject" Target="file:///D:\laodong2022\q2_2022\solieu_q2_2022\0_Bieu%20so%20lieu_full_cacquy_ICLS13_ICLS19_all_thudung.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laodong2022\q2_2022\solieu_q2_2022\hinh_dich_q2\Thatnghiep_Thieuviec_full_cacquy_ICLS13_ICLS19_Q2_2022_lan_hinh.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laodong2022\q2_2022\solieu_q2_2022\hinh_dich_q2\Thatnghiep_Thieuviec_full_cacquy_ICLS13_ICLS19_Q2_2022_lan_hinh.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laodong2022\q2_2022\solieu_q2_2022\hinh_dich_q2\2.So%20lieu%20thu%20nhap_Covid_Quater_2.2022_ha.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laodong2022\q2_2022\solieu_q2_2022\hinh_dich_q2\2.So%20lieu%20thu%20nhap_Covid_Quater_2.2022_ha.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D:\laodong2022\q2_2022\solieu_q2_2022\hinh_dich_q2\2.So%20lieu%20thu%20nhap_Covid_Quater_2.2022_ha.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D:\laodong2022\q2_2022\solieu_q2_2022\hinh_dich_q2\2.So%20lieu%20thu%20nhap_Covid_Quater_2.2022_h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US"/>
  <c:clrMapOvr bg1="lt1" tx1="dk1" bg2="lt2" tx2="dk2" accent1="accent1" accent2="accent2" accent3="accent3" accent4="accent4" accent5="accent5" accent6="accent6" hlink="hlink" folHlink="folHlink"/>
  <c:chart>
    <c:autoTitleDeleted val="1"/>
    <c:plotArea>
      <c:layout/>
      <c:lineChart>
        <c:grouping val="stacked"/>
        <c:ser>
          <c:idx val="0"/>
          <c:order val="0"/>
          <c:tx>
            <c:strRef>
              <c:f>Sheet1!$B$1</c:f>
              <c:strCache>
                <c:ptCount val="1"/>
                <c:pt idx="0">
                  <c:v>Labour force</c:v>
                </c:pt>
              </c:strCache>
            </c:strRef>
          </c:tx>
          <c:spPr>
            <a:ln w="28575" cap="rnd">
              <a:solidFill>
                <a:schemeClr val="accent1"/>
              </a:solidFill>
              <a:round/>
            </a:ln>
            <a:effectLst/>
          </c:spPr>
          <c:marker>
            <c:symbol val="none"/>
          </c:marker>
          <c:dLbls>
            <c:dLbl>
              <c:idx val="4"/>
              <c:layout>
                <c:manualLayout>
                  <c:x val="-1.3087577707492724E-2"/>
                  <c:y val="-6.2446778313937024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ECCE-4F24-B93E-697AEE031005}"/>
                </c:ext>
              </c:extLst>
            </c:dLbl>
            <c:dLbl>
              <c:idx val="7"/>
              <c:layout>
                <c:manualLayout>
                  <c:x val="6.5437888537463202E-3"/>
                  <c:y val="6.8123758160658535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ECCE-4F24-B93E-697AEE031005}"/>
                </c:ext>
              </c:extLst>
            </c:dLbl>
            <c:dLbl>
              <c:idx val="8"/>
              <c:layout>
                <c:manualLayout>
                  <c:x val="4.3625259024975462E-3"/>
                  <c:y val="3.9738858927050813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ECCE-4F24-B93E-697AEE03100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Sheet1!$A$2:$A$11</c:f>
              <c:strCache>
                <c:ptCount val="10"/>
                <c:pt idx="0">
                  <c:v>Quarter I of 2020</c:v>
                </c:pt>
                <c:pt idx="1">
                  <c:v>Quarter II of 2020</c:v>
                </c:pt>
                <c:pt idx="2">
                  <c:v>Quarter III of 2020</c:v>
                </c:pt>
                <c:pt idx="3">
                  <c:v>Quarter IV of 2020</c:v>
                </c:pt>
                <c:pt idx="4">
                  <c:v>Quarter I of 2021</c:v>
                </c:pt>
                <c:pt idx="5">
                  <c:v>Quarter II of 2021</c:v>
                </c:pt>
                <c:pt idx="6">
                  <c:v>Quarter III of 2021</c:v>
                </c:pt>
                <c:pt idx="7">
                  <c:v>Quarter IV of 2021</c:v>
                </c:pt>
                <c:pt idx="8">
                  <c:v>Quarter I of 2022</c:v>
                </c:pt>
                <c:pt idx="9">
                  <c:v>Quarter II of 2022</c:v>
                </c:pt>
              </c:strCache>
            </c:strRef>
          </c:cat>
          <c:val>
            <c:numRef>
              <c:f>Sheet1!$B$2:$B$11</c:f>
              <c:numCache>
                <c:formatCode>0.0</c:formatCode>
                <c:ptCount val="10"/>
                <c:pt idx="0">
                  <c:v>51.202600000000011</c:v>
                </c:pt>
                <c:pt idx="1">
                  <c:v>49.410200000000003</c:v>
                </c:pt>
                <c:pt idx="2">
                  <c:v>51.294400000000003</c:v>
                </c:pt>
                <c:pt idx="3">
                  <c:v>52.139900000000011</c:v>
                </c:pt>
                <c:pt idx="4">
                  <c:v>51.021700000000003</c:v>
                </c:pt>
                <c:pt idx="5">
                  <c:v>51.066400000000002</c:v>
                </c:pt>
                <c:pt idx="6">
                  <c:v>49.1</c:v>
                </c:pt>
                <c:pt idx="7">
                  <c:v>50.7</c:v>
                </c:pt>
                <c:pt idx="8">
                  <c:v>51.2</c:v>
                </c:pt>
                <c:pt idx="9">
                  <c:v>51.6</c:v>
                </c:pt>
              </c:numCache>
            </c:numRef>
          </c:val>
          <c:extLst xmlns:c16r2="http://schemas.microsoft.com/office/drawing/2015/06/chart">
            <c:ext xmlns:c16="http://schemas.microsoft.com/office/drawing/2014/chart" uri="{C3380CC4-5D6E-409C-BE32-E72D297353CC}">
              <c16:uniqueId val="{00000009-ECCE-4F24-B93E-697AEE031005}"/>
            </c:ext>
          </c:extLst>
        </c:ser>
        <c:dLbls/>
        <c:marker val="1"/>
        <c:axId val="100148736"/>
        <c:axId val="100150272"/>
      </c:lineChart>
      <c:catAx>
        <c:axId val="100148736"/>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0150272"/>
        <c:crosses val="autoZero"/>
        <c:auto val="1"/>
        <c:lblAlgn val="ctr"/>
        <c:lblOffset val="100"/>
      </c:catAx>
      <c:valAx>
        <c:axId val="100150272"/>
        <c:scaling>
          <c:orientation val="minMax"/>
        </c:scaling>
        <c:delete val="1"/>
        <c:axPos val="l"/>
        <c:numFmt formatCode="0.0" sourceLinked="1"/>
        <c:majorTickMark val="none"/>
        <c:tickLblPos val="none"/>
        <c:crossAx val="100148736"/>
        <c:crosses val="autoZero"/>
        <c:crossBetween val="between"/>
      </c:valAx>
      <c:spPr>
        <a:noFill/>
        <a:ln>
          <a:noFill/>
        </a:ln>
        <a:effectLst/>
      </c:spPr>
    </c:plotArea>
    <c:plotVisOnly val="1"/>
    <c:dispBlanksAs val="zero"/>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chartSpace>
</file>

<file path=word/charts/chart10.xml><?xml version="1.0" encoding="utf-8"?>
<c:chartSpace xmlns:c="http://schemas.openxmlformats.org/drawingml/2006/chart" xmlns:a="http://schemas.openxmlformats.org/drawingml/2006/main" xmlns:r="http://schemas.openxmlformats.org/officeDocument/2006/relationships">
  <c:lang val="en-US"/>
  <c:chart>
    <c:autoTitleDeleted val="1"/>
    <c:plotArea>
      <c:layout/>
      <c:barChart>
        <c:barDir val="col"/>
        <c:grouping val="clustered"/>
        <c:ser>
          <c:idx val="0"/>
          <c:order val="0"/>
          <c:tx>
            <c:strRef>
              <c:f>unem_fig_quy1!$C$6</c:f>
              <c:strCache>
                <c:ptCount val="1"/>
                <c:pt idx="0">
                  <c:v>Unemployed (thousand persons)</c:v>
                </c:pt>
              </c:strCache>
            </c:strRef>
          </c:tx>
          <c:spPr>
            <a:pattFill prst="sphere">
              <a:fgClr>
                <a:schemeClr val="accent1"/>
              </a:fgClr>
              <a:bgClr>
                <a:schemeClr val="bg1"/>
              </a:bgClr>
            </a:pattFill>
            <a:ln>
              <a:solidFill>
                <a:schemeClr val="accent1"/>
              </a:solidFill>
            </a:ln>
            <a:effectLst/>
          </c:spPr>
          <c:dLbls>
            <c:dLbl>
              <c:idx val="0"/>
              <c:tx>
                <c:rich>
                  <a:bodyPr/>
                  <a:lstStyle/>
                  <a:p>
                    <a:r>
                      <a:rPr lang="en-US"/>
                      <a:t>1,083.4</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C5AB-4592-ABD0-8E7D18860428}"/>
                </c:ext>
              </c:extLst>
            </c:dLbl>
            <c:dLbl>
              <c:idx val="1"/>
              <c:tx>
                <c:rich>
                  <a:bodyPr/>
                  <a:lstStyle/>
                  <a:p>
                    <a:r>
                      <a:rPr lang="en-US"/>
                      <a:t>1,264.7</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C5AB-4592-ABD0-8E7D18860428}"/>
                </c:ext>
              </c:extLst>
            </c:dLbl>
            <c:dLbl>
              <c:idx val="2"/>
              <c:tx>
                <c:rich>
                  <a:bodyPr/>
                  <a:lstStyle/>
                  <a:p>
                    <a:r>
                      <a:rPr lang="en-US"/>
                      <a:t>1,265.2</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C5AB-4592-ABD0-8E7D18860428}"/>
                </c:ext>
              </c:extLst>
            </c:dLbl>
            <c:dLbl>
              <c:idx val="3"/>
              <c:tx>
                <c:rich>
                  <a:bodyPr/>
                  <a:lstStyle/>
                  <a:p>
                    <a:r>
                      <a:rPr lang="en-US"/>
                      <a:t>1,232.5</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C5AB-4592-ABD0-8E7D18860428}"/>
                </c:ext>
              </c:extLst>
            </c:dLbl>
            <c:dLbl>
              <c:idx val="4"/>
              <c:tx>
                <c:rich>
                  <a:bodyPr/>
                  <a:lstStyle/>
                  <a:p>
                    <a:r>
                      <a:rPr lang="en-US"/>
                      <a:t>1,095.4</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C5AB-4592-ABD0-8E7D18860428}"/>
                </c:ext>
              </c:extLst>
            </c:dLbl>
            <c:dLbl>
              <c:idx val="5"/>
              <c:tx>
                <c:rich>
                  <a:bodyPr/>
                  <a:lstStyle/>
                  <a:p>
                    <a:r>
                      <a:rPr lang="en-US"/>
                      <a:t>1,182.6</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C5AB-4592-ABD0-8E7D18860428}"/>
                </c:ext>
              </c:extLst>
            </c:dLbl>
            <c:dLbl>
              <c:idx val="6"/>
              <c:tx>
                <c:rich>
                  <a:bodyPr/>
                  <a:lstStyle/>
                  <a:p>
                    <a:r>
                      <a:rPr lang="en-US"/>
                      <a:t>1,714.8</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C5AB-4592-ABD0-8E7D18860428}"/>
                </c:ext>
              </c:extLst>
            </c:dLbl>
            <c:dLbl>
              <c:idx val="7"/>
              <c:tx>
                <c:rich>
                  <a:bodyPr/>
                  <a:lstStyle/>
                  <a:p>
                    <a:r>
                      <a:rPr lang="en-US"/>
                      <a:t>1,601.7</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C5AB-4592-ABD0-8E7D18860428}"/>
                </c:ext>
              </c:extLst>
            </c:dLbl>
            <c:dLbl>
              <c:idx val="8"/>
              <c:layout>
                <c:manualLayout>
                  <c:x val="1.5238095238095242E-2"/>
                  <c:y val="-2.1505376344086027E-2"/>
                </c:manualLayout>
              </c:layout>
              <c:tx>
                <c:rich>
                  <a:bodyPr/>
                  <a:lstStyle/>
                  <a:p>
                    <a:r>
                      <a:rPr lang="en-US"/>
                      <a:t>1,112.2</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C5AB-4592-ABD0-8E7D18860428}"/>
                </c:ext>
              </c:extLst>
            </c:dLbl>
            <c:dLbl>
              <c:idx val="9"/>
              <c:tx>
                <c:rich>
                  <a:bodyPr/>
                  <a:lstStyle/>
                  <a:p>
                    <a:r>
                      <a:rPr lang="en-US"/>
                      <a:t>1,070.6</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C5AB-4592-ABD0-8E7D1886042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unem_fig_quy1!$B$7:$B$16</c:f>
              <c:strCache>
                <c:ptCount val="10"/>
                <c:pt idx="0">
                  <c:v>Quarter I of 2020</c:v>
                </c:pt>
                <c:pt idx="1">
                  <c:v>Quarter II of 2020</c:v>
                </c:pt>
                <c:pt idx="2">
                  <c:v>Quarter III of 2020</c:v>
                </c:pt>
                <c:pt idx="3">
                  <c:v>Quarter IV of 2020</c:v>
                </c:pt>
                <c:pt idx="4">
                  <c:v>Quarter I of 2021</c:v>
                </c:pt>
                <c:pt idx="5">
                  <c:v>Quarter II of 2021</c:v>
                </c:pt>
                <c:pt idx="6">
                  <c:v>Quarter III of 2021</c:v>
                </c:pt>
                <c:pt idx="7">
                  <c:v>Quarter IV of 2021</c:v>
                </c:pt>
                <c:pt idx="8">
                  <c:v>Quarter I of 2022</c:v>
                </c:pt>
                <c:pt idx="9">
                  <c:v>Quarter II of 2022</c:v>
                </c:pt>
              </c:strCache>
            </c:strRef>
          </c:cat>
          <c:val>
            <c:numRef>
              <c:f>unem_fig_quy1!$C$7:$C$16</c:f>
              <c:numCache>
                <c:formatCode>#\ ##0.0</c:formatCode>
                <c:ptCount val="10"/>
                <c:pt idx="0">
                  <c:v>1083.3561247048606</c:v>
                </c:pt>
                <c:pt idx="1">
                  <c:v>1264.6635264179665</c:v>
                </c:pt>
                <c:pt idx="2">
                  <c:v>1265.1890118871847</c:v>
                </c:pt>
                <c:pt idx="3">
                  <c:v>1232.5488513915268</c:v>
                </c:pt>
                <c:pt idx="4">
                  <c:v>1095.3897017599029</c:v>
                </c:pt>
                <c:pt idx="5">
                  <c:v>1182.633252119922</c:v>
                </c:pt>
                <c:pt idx="6">
                  <c:v>1714.8</c:v>
                </c:pt>
                <c:pt idx="7">
                  <c:v>1601.6598227648547</c:v>
                </c:pt>
                <c:pt idx="8">
                  <c:v>1112.2172338093708</c:v>
                </c:pt>
                <c:pt idx="9">
                  <c:v>1070.6143936080421</c:v>
                </c:pt>
              </c:numCache>
            </c:numRef>
          </c:val>
          <c:extLst xmlns:c16r2="http://schemas.microsoft.com/office/drawing/2015/06/chart">
            <c:ext xmlns:c16="http://schemas.microsoft.com/office/drawing/2014/chart" uri="{C3380CC4-5D6E-409C-BE32-E72D297353CC}">
              <c16:uniqueId val="{00000000-BB9F-4252-B2BE-9911F49B8085}"/>
            </c:ext>
          </c:extLst>
        </c:ser>
        <c:dLbls/>
        <c:axId val="101289344"/>
        <c:axId val="101307520"/>
      </c:barChart>
      <c:lineChart>
        <c:grouping val="standard"/>
        <c:ser>
          <c:idx val="1"/>
          <c:order val="1"/>
          <c:tx>
            <c:strRef>
              <c:f>unem_fig_quy1!$D$6</c:f>
              <c:strCache>
                <c:ptCount val="1"/>
                <c:pt idx="0">
                  <c:v>Unemployment rate (%)</c:v>
                </c:pt>
              </c:strCache>
            </c:strRef>
          </c:tx>
          <c:spPr>
            <a:ln w="28575" cap="rnd">
              <a:solidFill>
                <a:schemeClr val="accent2"/>
              </a:solidFill>
              <a:round/>
            </a:ln>
            <a:effectLst/>
          </c:spPr>
          <c:marker>
            <c:symbol val="none"/>
          </c:marker>
          <c:dLbls>
            <c:dLbl>
              <c:idx val="0"/>
              <c:layout>
                <c:manualLayout>
                  <c:x val="-2.5462668816040007E-17"/>
                  <c:y val="5.5555555555555539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BB9F-4252-B2BE-9911F49B8085}"/>
                </c:ext>
              </c:extLst>
            </c:dLbl>
            <c:dLbl>
              <c:idx val="1"/>
              <c:layout>
                <c:manualLayout>
                  <c:x val="2.7777777777777796E-3"/>
                  <c:y val="3.7037037037037042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BB9F-4252-B2BE-9911F49B8085}"/>
                </c:ext>
              </c:extLst>
            </c:dLbl>
            <c:dLbl>
              <c:idx val="2"/>
              <c:layout>
                <c:manualLayout>
                  <c:x val="0"/>
                  <c:y val="4.6296296296296266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BB9F-4252-B2BE-9911F49B8085}"/>
                </c:ext>
              </c:extLst>
            </c:dLbl>
            <c:dLbl>
              <c:idx val="5"/>
              <c:layout>
                <c:manualLayout>
                  <c:x val="0"/>
                  <c:y val="4.1666666666666685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BB9F-4252-B2BE-9911F49B8085}"/>
                </c:ext>
              </c:extLst>
            </c:dLbl>
            <c:dLbl>
              <c:idx val="6"/>
              <c:layout>
                <c:manualLayout>
                  <c:x val="-2.5396825396825401E-3"/>
                  <c:y val="8.8649902633138614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BB9F-4252-B2BE-9911F49B8085}"/>
                </c:ext>
              </c:extLst>
            </c:dLbl>
            <c:dLbl>
              <c:idx val="7"/>
              <c:layout>
                <c:manualLayout>
                  <c:x val="1.0158530183727036E-2"/>
                  <c:y val="-9.2889679112691977E-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BB9F-4252-B2BE-9911F49B8085}"/>
                </c:ext>
              </c:extLst>
            </c:dLbl>
            <c:dLbl>
              <c:idx val="8"/>
              <c:layout>
                <c:manualLayout>
                  <c:x val="7.6190476190476199E-3"/>
                  <c:y val="9.8924731182795711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C5AB-4592-ABD0-8E7D1886042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unem_fig_quy1!$B$7:$B$16</c:f>
              <c:strCache>
                <c:ptCount val="10"/>
                <c:pt idx="0">
                  <c:v>Quarter I of 2020</c:v>
                </c:pt>
                <c:pt idx="1">
                  <c:v>Quarter II of 2020</c:v>
                </c:pt>
                <c:pt idx="2">
                  <c:v>Quarter III of 2020</c:v>
                </c:pt>
                <c:pt idx="3">
                  <c:v>Quarter IV of 2020</c:v>
                </c:pt>
                <c:pt idx="4">
                  <c:v>Quarter I of 2021</c:v>
                </c:pt>
                <c:pt idx="5">
                  <c:v>Quarter II of 2021</c:v>
                </c:pt>
                <c:pt idx="6">
                  <c:v>Quarter III of 2021</c:v>
                </c:pt>
                <c:pt idx="7">
                  <c:v>Quarter IV of 2021</c:v>
                </c:pt>
                <c:pt idx="8">
                  <c:v>Quarter I of 2022</c:v>
                </c:pt>
                <c:pt idx="9">
                  <c:v>Quarter II of 2022</c:v>
                </c:pt>
              </c:strCache>
            </c:strRef>
          </c:cat>
          <c:val>
            <c:numRef>
              <c:f>unem_fig_quy1!$D$7:$D$16</c:f>
              <c:numCache>
                <c:formatCode>0.00</c:formatCode>
                <c:ptCount val="10"/>
                <c:pt idx="0">
                  <c:v>2.3446700199617365</c:v>
                </c:pt>
                <c:pt idx="1">
                  <c:v>2.8530753097940913</c:v>
                </c:pt>
                <c:pt idx="2">
                  <c:v>2.7349454069854344</c:v>
                </c:pt>
                <c:pt idx="3">
                  <c:v>2.6336545739553743</c:v>
                </c:pt>
                <c:pt idx="4">
                  <c:v>2.4234278299678054</c:v>
                </c:pt>
                <c:pt idx="5">
                  <c:v>2.6193498373365207</c:v>
                </c:pt>
                <c:pt idx="6">
                  <c:v>3.98</c:v>
                </c:pt>
                <c:pt idx="7">
                  <c:v>3.5589534299524628</c:v>
                </c:pt>
                <c:pt idx="8">
                  <c:v>2.46</c:v>
                </c:pt>
                <c:pt idx="9">
                  <c:v>2.324284491242619</c:v>
                </c:pt>
              </c:numCache>
            </c:numRef>
          </c:val>
          <c:extLst xmlns:c16r2="http://schemas.microsoft.com/office/drawing/2015/06/chart">
            <c:ext xmlns:c16="http://schemas.microsoft.com/office/drawing/2014/chart" uri="{C3380CC4-5D6E-409C-BE32-E72D297353CC}">
              <c16:uniqueId val="{00000007-BB9F-4252-B2BE-9911F49B8085}"/>
            </c:ext>
          </c:extLst>
        </c:ser>
        <c:dLbls/>
        <c:marker val="1"/>
        <c:axId val="101196160"/>
        <c:axId val="101309056"/>
      </c:lineChart>
      <c:catAx>
        <c:axId val="101289344"/>
        <c:scaling>
          <c:orientation val="minMax"/>
        </c:scaling>
        <c:axPos val="b"/>
        <c:numFmt formatCode="General" sourceLinked="1"/>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1307520"/>
        <c:crosses val="autoZero"/>
        <c:auto val="1"/>
        <c:lblAlgn val="ctr"/>
        <c:lblOffset val="100"/>
      </c:catAx>
      <c:valAx>
        <c:axId val="101307520"/>
        <c:scaling>
          <c:orientation val="minMax"/>
        </c:scaling>
        <c:axPos val="l"/>
        <c:numFmt formatCode="#\ ##0.0" sourceLinked="1"/>
        <c:majorTickMark val="in"/>
        <c:tickLblPos val="nextTo"/>
        <c:spPr>
          <a:noFill/>
          <a:ln>
            <a:solidFill>
              <a:schemeClr val="bg1"/>
            </a:solidFill>
          </a:ln>
          <a:effectLst/>
        </c:spPr>
        <c:txPr>
          <a:bodyPr rot="-6000000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en-US"/>
          </a:p>
        </c:txPr>
        <c:crossAx val="101289344"/>
        <c:crosses val="autoZero"/>
        <c:crossBetween val="between"/>
        <c:majorUnit val="500"/>
      </c:valAx>
      <c:valAx>
        <c:axId val="101309056"/>
        <c:scaling>
          <c:orientation val="minMax"/>
        </c:scaling>
        <c:axPos val="r"/>
        <c:numFmt formatCode="0.00" sourceLinked="1"/>
        <c:majorTickMark val="in"/>
        <c:tickLblPos val="nextTo"/>
        <c:spPr>
          <a:noFill/>
          <a:ln>
            <a:solidFill>
              <a:schemeClr val="bg1"/>
            </a:solidFill>
          </a:ln>
          <a:effectLst/>
        </c:spPr>
        <c:txPr>
          <a:bodyPr rot="-60000000" spcFirstLastPara="1" vertOverflow="ellipsis" vert="horz" wrap="square" anchor="ctr" anchorCtr="1"/>
          <a:lstStyle/>
          <a:p>
            <a:pPr>
              <a:defRPr sz="900" b="0" i="0" u="none" strike="noStrike" kern="1200" baseline="0">
                <a:ln>
                  <a:solidFill>
                    <a:schemeClr val="bg1"/>
                  </a:solidFill>
                </a:ln>
                <a:solidFill>
                  <a:schemeClr val="bg1"/>
                </a:solidFill>
                <a:latin typeface="+mn-lt"/>
                <a:ea typeface="+mn-ea"/>
                <a:cs typeface="+mn-cs"/>
              </a:defRPr>
            </a:pPr>
            <a:endParaRPr lang="en-US"/>
          </a:p>
        </c:txPr>
        <c:crossAx val="101196160"/>
        <c:crosses val="max"/>
        <c:crossBetween val="between"/>
        <c:majorUnit val="1"/>
        <c:minorUnit val="0.5"/>
      </c:valAx>
      <c:catAx>
        <c:axId val="101196160"/>
        <c:scaling>
          <c:orientation val="minMax"/>
        </c:scaling>
        <c:delete val="1"/>
        <c:axPos val="t"/>
        <c:numFmt formatCode="General" sourceLinked="1"/>
        <c:tickLblPos val="none"/>
        <c:crossAx val="101309056"/>
        <c:crosses val="max"/>
        <c:auto val="1"/>
        <c:lblAlgn val="ctr"/>
        <c:lblOffset val="100"/>
      </c:cat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US"/>
  <c:chart>
    <c:autoTitleDeleted val="1"/>
    <c:plotArea>
      <c:layout/>
      <c:lineChart>
        <c:grouping val="standard"/>
        <c:ser>
          <c:idx val="0"/>
          <c:order val="0"/>
          <c:tx>
            <c:strRef>
              <c:f>thieuvl_3kv_fig!$G$66</c:f>
              <c:strCache>
                <c:ptCount val="1"/>
                <c:pt idx="0">
                  <c:v>Total</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thieuvl_3kv_fig!$H$65:$M$65</c:f>
              <c:strCache>
                <c:ptCount val="6"/>
                <c:pt idx="0">
                  <c:v>Quarter I of 2021</c:v>
                </c:pt>
                <c:pt idx="1">
                  <c:v>Quarter II of 2021</c:v>
                </c:pt>
                <c:pt idx="2">
                  <c:v>Quarter III of 2021</c:v>
                </c:pt>
                <c:pt idx="3">
                  <c:v>Quarter IV of 2021</c:v>
                </c:pt>
                <c:pt idx="4">
                  <c:v>Quarter I of 2022</c:v>
                </c:pt>
                <c:pt idx="5">
                  <c:v>Quarter II of 2022</c:v>
                </c:pt>
              </c:strCache>
            </c:strRef>
          </c:cat>
          <c:val>
            <c:numRef>
              <c:f>thieuvl_3kv_fig!$H$66:$M$66</c:f>
              <c:numCache>
                <c:formatCode>#,##0.0_);\(#,##0.0\)</c:formatCode>
                <c:ptCount val="6"/>
                <c:pt idx="0">
                  <c:v>16.339048842165781</c:v>
                </c:pt>
                <c:pt idx="1">
                  <c:v>16.719523828391488</c:v>
                </c:pt>
                <c:pt idx="2">
                  <c:v>19.627258270760525</c:v>
                </c:pt>
                <c:pt idx="3">
                  <c:v>15.204093968271453</c:v>
                </c:pt>
                <c:pt idx="4">
                  <c:v>13.25804952724687</c:v>
                </c:pt>
                <c:pt idx="5">
                  <c:v>11.741936827037016</c:v>
                </c:pt>
              </c:numCache>
            </c:numRef>
          </c:val>
          <c:extLst xmlns:c16r2="http://schemas.microsoft.com/office/drawing/2015/06/chart">
            <c:ext xmlns:c16="http://schemas.microsoft.com/office/drawing/2014/chart" uri="{C3380CC4-5D6E-409C-BE32-E72D297353CC}">
              <c16:uniqueId val="{00000000-3EE4-4343-89EE-2FE55EBEDAC6}"/>
            </c:ext>
          </c:extLst>
        </c:ser>
        <c:ser>
          <c:idx val="1"/>
          <c:order val="1"/>
          <c:tx>
            <c:strRef>
              <c:f>thieuvl_3kv_fig!$G$67</c:f>
              <c:strCache>
                <c:ptCount val="1"/>
                <c:pt idx="0">
                  <c:v>Urban</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thieuvl_3kv_fig!$H$65:$M$65</c:f>
              <c:strCache>
                <c:ptCount val="6"/>
                <c:pt idx="0">
                  <c:v>Quarter I of 2021</c:v>
                </c:pt>
                <c:pt idx="1">
                  <c:v>Quarter II of 2021</c:v>
                </c:pt>
                <c:pt idx="2">
                  <c:v>Quarter III of 2021</c:v>
                </c:pt>
                <c:pt idx="3">
                  <c:v>Quarter IV of 2021</c:v>
                </c:pt>
                <c:pt idx="4">
                  <c:v>Quarter I of 2022</c:v>
                </c:pt>
                <c:pt idx="5">
                  <c:v>Quarter II of 2022</c:v>
                </c:pt>
              </c:strCache>
            </c:strRef>
          </c:cat>
          <c:val>
            <c:numRef>
              <c:f>thieuvl_3kv_fig!$H$67:$M$67</c:f>
              <c:numCache>
                <c:formatCode>#,##0.0_);\(#,##0.0\)</c:formatCode>
                <c:ptCount val="6"/>
                <c:pt idx="0">
                  <c:v>13.444099583591097</c:v>
                </c:pt>
                <c:pt idx="1">
                  <c:v>13.312131303358507</c:v>
                </c:pt>
                <c:pt idx="2">
                  <c:v>17.389169386552666</c:v>
                </c:pt>
                <c:pt idx="3">
                  <c:v>13.658504784370328</c:v>
                </c:pt>
                <c:pt idx="4">
                  <c:v>10.105139553486904</c:v>
                </c:pt>
                <c:pt idx="5">
                  <c:v>9.3322584507510928</c:v>
                </c:pt>
              </c:numCache>
            </c:numRef>
          </c:val>
          <c:extLst xmlns:c16r2="http://schemas.microsoft.com/office/drawing/2015/06/chart">
            <c:ext xmlns:c16="http://schemas.microsoft.com/office/drawing/2014/chart" uri="{C3380CC4-5D6E-409C-BE32-E72D297353CC}">
              <c16:uniqueId val="{00000001-3EE4-4343-89EE-2FE55EBEDAC6}"/>
            </c:ext>
          </c:extLst>
        </c:ser>
        <c:ser>
          <c:idx val="2"/>
          <c:order val="2"/>
          <c:tx>
            <c:strRef>
              <c:f>thieuvl_3kv_fig!$G$68</c:f>
              <c:strCache>
                <c:ptCount val="1"/>
                <c:pt idx="0">
                  <c:v>Rural</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thieuvl_3kv_fig!$H$65:$M$65</c:f>
              <c:strCache>
                <c:ptCount val="6"/>
                <c:pt idx="0">
                  <c:v>Quarter I of 2021</c:v>
                </c:pt>
                <c:pt idx="1">
                  <c:v>Quarter II of 2021</c:v>
                </c:pt>
                <c:pt idx="2">
                  <c:v>Quarter III of 2021</c:v>
                </c:pt>
                <c:pt idx="3">
                  <c:v>Quarter IV of 2021</c:v>
                </c:pt>
                <c:pt idx="4">
                  <c:v>Quarter I of 2022</c:v>
                </c:pt>
                <c:pt idx="5">
                  <c:v>Quarter II of 2022</c:v>
                </c:pt>
              </c:strCache>
            </c:strRef>
          </c:cat>
          <c:val>
            <c:numRef>
              <c:f>thieuvl_3kv_fig!$H$68:$M$68</c:f>
              <c:numCache>
                <c:formatCode>#,##0.0_);\(#,##0.0\)</c:formatCode>
                <c:ptCount val="6"/>
                <c:pt idx="0">
                  <c:v>18.019220090928517</c:v>
                </c:pt>
                <c:pt idx="1">
                  <c:v>18.709371072020271</c:v>
                </c:pt>
                <c:pt idx="2">
                  <c:v>20.975740991570952</c:v>
                </c:pt>
                <c:pt idx="3">
                  <c:v>16.146966147529593</c:v>
                </c:pt>
                <c:pt idx="4">
                  <c:v>15.330833876056628</c:v>
                </c:pt>
                <c:pt idx="5">
                  <c:v>13.332307799645873</c:v>
                </c:pt>
              </c:numCache>
            </c:numRef>
          </c:val>
          <c:extLst xmlns:c16r2="http://schemas.microsoft.com/office/drawing/2015/06/chart">
            <c:ext xmlns:c16="http://schemas.microsoft.com/office/drawing/2014/chart" uri="{C3380CC4-5D6E-409C-BE32-E72D297353CC}">
              <c16:uniqueId val="{00000002-3EE4-4343-89EE-2FE55EBEDAC6}"/>
            </c:ext>
          </c:extLst>
        </c:ser>
        <c:ser>
          <c:idx val="3"/>
          <c:order val="3"/>
          <c:tx>
            <c:strRef>
              <c:f>thieuvl_3kv_fig!$G$69</c:f>
              <c:strCache>
                <c:ptCount val="1"/>
                <c:pt idx="0">
                  <c:v>Male</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thieuvl_3kv_fig!$H$65:$M$65</c:f>
              <c:strCache>
                <c:ptCount val="6"/>
                <c:pt idx="0">
                  <c:v>Quarter I of 2021</c:v>
                </c:pt>
                <c:pt idx="1">
                  <c:v>Quarter II of 2021</c:v>
                </c:pt>
                <c:pt idx="2">
                  <c:v>Quarter III of 2021</c:v>
                </c:pt>
                <c:pt idx="3">
                  <c:v>Quarter IV of 2021</c:v>
                </c:pt>
                <c:pt idx="4">
                  <c:v>Quarter I of 2022</c:v>
                </c:pt>
                <c:pt idx="5">
                  <c:v>Quarter II of 2022</c:v>
                </c:pt>
              </c:strCache>
            </c:strRef>
          </c:cat>
          <c:val>
            <c:numRef>
              <c:f>thieuvl_3kv_fig!$H$69:$M$69</c:f>
              <c:numCache>
                <c:formatCode>#,##0.0_);\(#,##0.0\)</c:formatCode>
                <c:ptCount val="6"/>
                <c:pt idx="0">
                  <c:v>14.339535350346422</c:v>
                </c:pt>
                <c:pt idx="1">
                  <c:v>14.424892814398042</c:v>
                </c:pt>
                <c:pt idx="2">
                  <c:v>17.799112492729204</c:v>
                </c:pt>
                <c:pt idx="3">
                  <c:v>13.357654908962576</c:v>
                </c:pt>
                <c:pt idx="4">
                  <c:v>11.577952781808252</c:v>
                </c:pt>
                <c:pt idx="5">
                  <c:v>9.83571121452208</c:v>
                </c:pt>
              </c:numCache>
            </c:numRef>
          </c:val>
          <c:extLst xmlns:c16r2="http://schemas.microsoft.com/office/drawing/2015/06/chart">
            <c:ext xmlns:c16="http://schemas.microsoft.com/office/drawing/2014/chart" uri="{C3380CC4-5D6E-409C-BE32-E72D297353CC}">
              <c16:uniqueId val="{00000003-3EE4-4343-89EE-2FE55EBEDAC6}"/>
            </c:ext>
          </c:extLst>
        </c:ser>
        <c:ser>
          <c:idx val="4"/>
          <c:order val="4"/>
          <c:tx>
            <c:strRef>
              <c:f>thieuvl_3kv_fig!$G$70</c:f>
              <c:strCache>
                <c:ptCount val="1"/>
                <c:pt idx="0">
                  <c:v>Female</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thieuvl_3kv_fig!$H$65:$M$65</c:f>
              <c:strCache>
                <c:ptCount val="6"/>
                <c:pt idx="0">
                  <c:v>Quarter I of 2021</c:v>
                </c:pt>
                <c:pt idx="1">
                  <c:v>Quarter II of 2021</c:v>
                </c:pt>
                <c:pt idx="2">
                  <c:v>Quarter III of 2021</c:v>
                </c:pt>
                <c:pt idx="3">
                  <c:v>Quarter IV of 2021</c:v>
                </c:pt>
                <c:pt idx="4">
                  <c:v>Quarter I of 2022</c:v>
                </c:pt>
                <c:pt idx="5">
                  <c:v>Quarter II of 2022</c:v>
                </c:pt>
              </c:strCache>
            </c:strRef>
          </c:cat>
          <c:val>
            <c:numRef>
              <c:f>thieuvl_3kv_fig!$H$70:$M$70</c:f>
              <c:numCache>
                <c:formatCode>#,##0.0_);\(#,##0.0\)</c:formatCode>
                <c:ptCount val="6"/>
                <c:pt idx="0">
                  <c:v>18.418351600266863</c:v>
                </c:pt>
                <c:pt idx="1">
                  <c:v>19.09794033884593</c:v>
                </c:pt>
                <c:pt idx="2">
                  <c:v>21.539856721197808</c:v>
                </c:pt>
                <c:pt idx="3">
                  <c:v>17.133882227426838</c:v>
                </c:pt>
                <c:pt idx="4">
                  <c:v>15.054734876593852</c:v>
                </c:pt>
                <c:pt idx="5">
                  <c:v>13.779926934896428</c:v>
                </c:pt>
              </c:numCache>
            </c:numRef>
          </c:val>
          <c:extLst xmlns:c16r2="http://schemas.microsoft.com/office/drawing/2015/06/chart">
            <c:ext xmlns:c16="http://schemas.microsoft.com/office/drawing/2014/chart" uri="{C3380CC4-5D6E-409C-BE32-E72D297353CC}">
              <c16:uniqueId val="{00000004-3EE4-4343-89EE-2FE55EBEDAC6}"/>
            </c:ext>
          </c:extLst>
        </c:ser>
        <c:dLbls/>
        <c:marker val="1"/>
        <c:axId val="101223040"/>
        <c:axId val="101245312"/>
      </c:lineChart>
      <c:catAx>
        <c:axId val="101223040"/>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1245312"/>
        <c:crosses val="autoZero"/>
        <c:auto val="1"/>
        <c:lblAlgn val="ctr"/>
        <c:lblOffset val="100"/>
      </c:catAx>
      <c:valAx>
        <c:axId val="101245312"/>
        <c:scaling>
          <c:orientation val="minMax"/>
        </c:scaling>
        <c:delete val="1"/>
        <c:axPos val="l"/>
        <c:numFmt formatCode="#,##0.0_);\(#,##0.0\)" sourceLinked="1"/>
        <c:majorTickMark val="none"/>
        <c:tickLblPos val="none"/>
        <c:crossAx val="101223040"/>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US"/>
  <c:clrMapOvr bg1="lt1" tx1="dk1" bg2="lt2" tx2="dk2" accent1="accent1" accent2="accent2" accent3="accent3" accent4="accent4" accent5="accent5" accent6="accent6" hlink="hlink" folHlink="folHlink"/>
  <c:chart>
    <c:autoTitleDeleted val="1"/>
    <c:plotArea>
      <c:layout/>
      <c:lineChart>
        <c:grouping val="standard"/>
        <c:ser>
          <c:idx val="0"/>
          <c:order val="0"/>
          <c:tx>
            <c:strRef>
              <c:f>Sheet1!$B$1</c:f>
              <c:strCache>
                <c:ptCount val="1"/>
                <c:pt idx="0">
                  <c:v>Series 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9"/>
              <c:layout>
                <c:manualLayout>
                  <c:x val="-4.1428838381107676E-2"/>
                  <c:y val="-8.7400740249281239E-2"/>
                </c:manualLayout>
              </c:layout>
              <c:dLblPos val="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CB99-47E8-A90D-79CBF496A95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Sheet1!$A$2:$A$15</c:f>
              <c:strCache>
                <c:ptCount val="14"/>
                <c:pt idx="0">
                  <c:v>Quarter I
 of 2019</c:v>
                </c:pt>
                <c:pt idx="1">
                  <c:v>Quarter II
 of 2019</c:v>
                </c:pt>
                <c:pt idx="2">
                  <c:v>Quarter III
 of 2019</c:v>
                </c:pt>
                <c:pt idx="3">
                  <c:v>Quarter IV
 of 2019</c:v>
                </c:pt>
                <c:pt idx="4">
                  <c:v>Quarter I
 of 2020</c:v>
                </c:pt>
                <c:pt idx="5">
                  <c:v>Quarter II
 of 2020</c:v>
                </c:pt>
                <c:pt idx="6">
                  <c:v>Quarter III
 of 2020</c:v>
                </c:pt>
                <c:pt idx="7">
                  <c:v>Quarter IV
 of 2020</c:v>
                </c:pt>
                <c:pt idx="8">
                  <c:v>Quarter I
 of 2021</c:v>
                </c:pt>
                <c:pt idx="9">
                  <c:v>Quarter II
 of 2021</c:v>
                </c:pt>
                <c:pt idx="10">
                  <c:v>Quarter III
 of 2021</c:v>
                </c:pt>
                <c:pt idx="11">
                  <c:v>Quarter IV
 of 2021</c:v>
                </c:pt>
                <c:pt idx="12">
                  <c:v>Quarter I
 of 2022</c:v>
                </c:pt>
                <c:pt idx="13">
                  <c:v>Quarter II
 of 2022</c:v>
                </c:pt>
              </c:strCache>
            </c:strRef>
          </c:cat>
          <c:val>
            <c:numRef>
              <c:f>Sheet1!$B$2:$B$15</c:f>
              <c:numCache>
                <c:formatCode>0.0</c:formatCode>
                <c:ptCount val="14"/>
                <c:pt idx="0">
                  <c:v>4.7144139405468959</c:v>
                </c:pt>
                <c:pt idx="1">
                  <c:v>4.0448282607216699</c:v>
                </c:pt>
                <c:pt idx="2">
                  <c:v>3.8199218050189949</c:v>
                </c:pt>
                <c:pt idx="3">
                  <c:v>3.9887799275208717</c:v>
                </c:pt>
                <c:pt idx="4">
                  <c:v>4.8370843710604268</c:v>
                </c:pt>
                <c:pt idx="5">
                  <c:v>6.2367692600215658</c:v>
                </c:pt>
                <c:pt idx="6">
                  <c:v>5.5023376013805896</c:v>
                </c:pt>
                <c:pt idx="7">
                  <c:v>4.4353221570146069</c:v>
                </c:pt>
                <c:pt idx="8">
                  <c:v>4.9171803295944043</c:v>
                </c:pt>
                <c:pt idx="9">
                  <c:v>5.2</c:v>
                </c:pt>
                <c:pt idx="10">
                  <c:v>10.4</c:v>
                </c:pt>
                <c:pt idx="11" formatCode="General">
                  <c:v>8</c:v>
                </c:pt>
                <c:pt idx="12" formatCode="General">
                  <c:v>6.1</c:v>
                </c:pt>
                <c:pt idx="13" formatCode="General">
                  <c:v>4.2</c:v>
                </c:pt>
              </c:numCache>
            </c:numRef>
          </c:val>
          <c:extLst xmlns:c16r2="http://schemas.microsoft.com/office/drawing/2015/06/chart">
            <c:ext xmlns:c16="http://schemas.microsoft.com/office/drawing/2014/chart" uri="{C3380CC4-5D6E-409C-BE32-E72D297353CC}">
              <c16:uniqueId val="{00000008-1C6D-4F51-8479-F3A56F2039A7}"/>
            </c:ext>
          </c:extLst>
        </c:ser>
        <c:dLbls/>
        <c:marker val="1"/>
        <c:axId val="101356288"/>
        <c:axId val="101357824"/>
      </c:lineChart>
      <c:catAx>
        <c:axId val="101356288"/>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01357824"/>
        <c:crosses val="autoZero"/>
        <c:auto val="1"/>
        <c:lblAlgn val="ctr"/>
        <c:lblOffset val="100"/>
      </c:catAx>
      <c:valAx>
        <c:axId val="101357824"/>
        <c:scaling>
          <c:orientation val="minMax"/>
        </c:scaling>
        <c:delete val="1"/>
        <c:axPos val="l"/>
        <c:numFmt formatCode="0.0" sourceLinked="1"/>
        <c:majorTickMark val="none"/>
        <c:tickLblPos val="none"/>
        <c:crossAx val="101356288"/>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chartSpace>
</file>

<file path=word/charts/chart13.xml><?xml version="1.0" encoding="utf-8"?>
<c:chartSpace xmlns:c="http://schemas.openxmlformats.org/drawingml/2006/chart" xmlns:a="http://schemas.openxmlformats.org/drawingml/2006/main" xmlns:r="http://schemas.openxmlformats.org/officeDocument/2006/relationships">
  <c:lang val="en-US"/>
  <c:clrMapOvr bg1="lt1" tx1="dk1" bg2="lt2" tx2="dk2" accent1="accent1" accent2="accent2" accent3="accent3" accent4="accent4" accent5="accent5" accent6="accent6" hlink="hlink" folHlink="folHlink"/>
  <c:chart>
    <c:autoTitleDeleted val="1"/>
    <c:plotArea>
      <c:layout/>
      <c:lineChart>
        <c:grouping val="standard"/>
        <c:ser>
          <c:idx val="0"/>
          <c:order val="0"/>
          <c:tx>
            <c:strRef>
              <c:f>Sheet1!$B$1</c:f>
              <c:strCache>
                <c:ptCount val="1"/>
                <c:pt idx="0">
                  <c:v>Labor underutilization</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15-24</c:v>
                </c:pt>
                <c:pt idx="1">
                  <c:v>25-34</c:v>
                </c:pt>
                <c:pt idx="2">
                  <c:v>35-44</c:v>
                </c:pt>
                <c:pt idx="3">
                  <c:v>45-54</c:v>
                </c:pt>
                <c:pt idx="4">
                  <c:v>55+</c:v>
                </c:pt>
              </c:strCache>
            </c:strRef>
          </c:cat>
          <c:val>
            <c:numRef>
              <c:f>Sheet1!$B$2:$B$6</c:f>
              <c:numCache>
                <c:formatCode>0.0</c:formatCode>
                <c:ptCount val="5"/>
                <c:pt idx="0">
                  <c:v>26.757624871882982</c:v>
                </c:pt>
                <c:pt idx="1">
                  <c:v>28.850325143113412</c:v>
                </c:pt>
                <c:pt idx="2">
                  <c:v>18.906867952361196</c:v>
                </c:pt>
                <c:pt idx="3">
                  <c:v>16.447832842552682</c:v>
                </c:pt>
                <c:pt idx="4">
                  <c:v>9.0373491900897491</c:v>
                </c:pt>
              </c:numCache>
            </c:numRef>
          </c:val>
          <c:extLst xmlns:c16r2="http://schemas.microsoft.com/office/drawing/2015/06/chart">
            <c:ext xmlns:c16="http://schemas.microsoft.com/office/drawing/2014/chart" uri="{C3380CC4-5D6E-409C-BE32-E72D297353CC}">
              <c16:uniqueId val="{00000003-90BD-4772-84ED-54B5C79EE382}"/>
            </c:ext>
          </c:extLst>
        </c:ser>
        <c:ser>
          <c:idx val="1"/>
          <c:order val="1"/>
          <c:tx>
            <c:strRef>
              <c:f>Sheet1!$C$1</c:f>
              <c:strCache>
                <c:ptCount val="1"/>
                <c:pt idx="0">
                  <c:v>Labor force</c:v>
                </c:pt>
              </c:strCache>
            </c:strRef>
          </c:tx>
          <c:spPr>
            <a:ln w="28575" cap="rnd">
              <a:solidFill>
                <a:schemeClr val="accent2"/>
              </a:solidFill>
              <a:round/>
            </a:ln>
            <a:effectLst/>
          </c:spPr>
          <c:marker>
            <c:symbol val="square"/>
            <c:size val="5"/>
            <c:spPr>
              <a:solidFill>
                <a:schemeClr val="accent2"/>
              </a:solidFill>
              <a:ln w="9525">
                <a:solidFill>
                  <a:schemeClr val="accent2"/>
                </a:solidFill>
              </a:ln>
              <a:effectLst/>
            </c:spPr>
          </c:marker>
          <c:dLbls>
            <c:dLbl>
              <c:idx val="1"/>
              <c:layout>
                <c:manualLayout>
                  <c:x val="-6.6734940341046392E-2"/>
                  <c:y val="-3.7802152460200134E-2"/>
                </c:manualLayout>
              </c:layout>
              <c:dLblPos val="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682A-4051-9E70-31D64C76C90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15-24</c:v>
                </c:pt>
                <c:pt idx="1">
                  <c:v>25-34</c:v>
                </c:pt>
                <c:pt idx="2">
                  <c:v>35-44</c:v>
                </c:pt>
                <c:pt idx="3">
                  <c:v>45-54</c:v>
                </c:pt>
                <c:pt idx="4">
                  <c:v>55+</c:v>
                </c:pt>
              </c:strCache>
            </c:strRef>
          </c:cat>
          <c:val>
            <c:numRef>
              <c:f>Sheet1!$C$2:$C$6</c:f>
              <c:numCache>
                <c:formatCode>0.0</c:formatCode>
                <c:ptCount val="5"/>
                <c:pt idx="0">
                  <c:v>10.190997042105332</c:v>
                </c:pt>
                <c:pt idx="1">
                  <c:v>24.239368369688734</c:v>
                </c:pt>
                <c:pt idx="2">
                  <c:v>26.894498992603097</c:v>
                </c:pt>
                <c:pt idx="3">
                  <c:v>22.294752924726829</c:v>
                </c:pt>
                <c:pt idx="4">
                  <c:v>16.380382670877889</c:v>
                </c:pt>
              </c:numCache>
            </c:numRef>
          </c:val>
          <c:extLst xmlns:c16r2="http://schemas.microsoft.com/office/drawing/2015/06/chart">
            <c:ext xmlns:c16="http://schemas.microsoft.com/office/drawing/2014/chart" uri="{C3380CC4-5D6E-409C-BE32-E72D297353CC}">
              <c16:uniqueId val="{00000007-90BD-4772-84ED-54B5C79EE382}"/>
            </c:ext>
          </c:extLst>
        </c:ser>
        <c:dLbls/>
        <c:marker val="1"/>
        <c:axId val="101531648"/>
        <c:axId val="101533184"/>
      </c:lineChart>
      <c:catAx>
        <c:axId val="101531648"/>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1533184"/>
        <c:crosses val="autoZero"/>
        <c:auto val="1"/>
        <c:lblAlgn val="ctr"/>
        <c:lblOffset val="100"/>
      </c:catAx>
      <c:valAx>
        <c:axId val="101533184"/>
        <c:scaling>
          <c:orientation val="minMax"/>
        </c:scaling>
        <c:delete val="1"/>
        <c:axPos val="l"/>
        <c:numFmt formatCode="0.0" sourceLinked="1"/>
        <c:majorTickMark val="none"/>
        <c:tickLblPos val="none"/>
        <c:crossAx val="101531648"/>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chartSpace>
</file>

<file path=word/charts/chart14.xml><?xml version="1.0" encoding="utf-8"?>
<c:chartSpace xmlns:c="http://schemas.openxmlformats.org/drawingml/2006/chart" xmlns:a="http://schemas.openxmlformats.org/drawingml/2006/main" xmlns:r="http://schemas.openxmlformats.org/officeDocument/2006/relationships">
  <c:lang val="en-US"/>
  <c:clrMapOvr bg1="lt1" tx1="dk1" bg2="lt2" tx2="dk2" accent1="accent1" accent2="accent2" accent3="accent3" accent4="accent4" accent5="accent5" accent6="accent6" hlink="hlink" folHlink="folHlink"/>
  <c:chart>
    <c:autoTitleDeleted val="1"/>
    <c:plotArea>
      <c:layout/>
      <c:barChart>
        <c:barDir val="col"/>
        <c:grouping val="clustered"/>
        <c:ser>
          <c:idx val="0"/>
          <c:order val="0"/>
          <c:tx>
            <c:strRef>
              <c:f>Sheet1!$B$1</c:f>
              <c:strCache>
                <c:ptCount val="1"/>
                <c:pt idx="0">
                  <c:v>Series 1</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Sheet1!$A$2:$A$11</c:f>
              <c:strCache>
                <c:ptCount val="10"/>
                <c:pt idx="0">
                  <c:v>Quarter I of 2020</c:v>
                </c:pt>
                <c:pt idx="1">
                  <c:v>Quarter II of 2020</c:v>
                </c:pt>
                <c:pt idx="2">
                  <c:v>Quarter III of 2020</c:v>
                </c:pt>
                <c:pt idx="3">
                  <c:v>Quarter IV of 2020</c:v>
                </c:pt>
                <c:pt idx="4">
                  <c:v>Quarter I of 2021</c:v>
                </c:pt>
                <c:pt idx="5">
                  <c:v>Quarter II of 2021</c:v>
                </c:pt>
                <c:pt idx="6">
                  <c:v>Quarter III of 2021</c:v>
                </c:pt>
                <c:pt idx="7">
                  <c:v>Quarter IV of 2021</c:v>
                </c:pt>
                <c:pt idx="8">
                  <c:v>Quarter I of 2022</c:v>
                </c:pt>
                <c:pt idx="9">
                  <c:v>Quarter II of 2022</c:v>
                </c:pt>
              </c:strCache>
            </c:strRef>
          </c:cat>
          <c:val>
            <c:numRef>
              <c:f>Sheet1!$B$2:$B$11</c:f>
              <c:numCache>
                <c:formatCode>0.0</c:formatCode>
                <c:ptCount val="10"/>
                <c:pt idx="0">
                  <c:v>4.1315</c:v>
                </c:pt>
                <c:pt idx="1">
                  <c:v>3.7371900000000005</c:v>
                </c:pt>
                <c:pt idx="2">
                  <c:v>3.2859630000000037</c:v>
                </c:pt>
                <c:pt idx="3">
                  <c:v>3.0876000000000001</c:v>
                </c:pt>
                <c:pt idx="4">
                  <c:v>3.6717999999999997</c:v>
                </c:pt>
                <c:pt idx="5">
                  <c:v>4.2294999999999998</c:v>
                </c:pt>
                <c:pt idx="6">
                  <c:v>5.2224772110589166</c:v>
                </c:pt>
                <c:pt idx="7" formatCode="General">
                  <c:v>4.9000000000000004</c:v>
                </c:pt>
                <c:pt idx="8" formatCode="General">
                  <c:v>4.8</c:v>
                </c:pt>
                <c:pt idx="9" formatCode="General">
                  <c:v>4.3</c:v>
                </c:pt>
              </c:numCache>
            </c:numRef>
          </c:val>
          <c:extLst xmlns:c16r2="http://schemas.microsoft.com/office/drawing/2015/06/chart">
            <c:ext xmlns:c16="http://schemas.microsoft.com/office/drawing/2014/chart" uri="{C3380CC4-5D6E-409C-BE32-E72D297353CC}">
              <c16:uniqueId val="{00000000-342F-4F9C-AD30-37D1EFE1A8D5}"/>
            </c:ext>
          </c:extLst>
        </c:ser>
        <c:dLbls/>
        <c:gapWidth val="219"/>
        <c:overlap val="-27"/>
        <c:axId val="101492224"/>
        <c:axId val="101493760"/>
      </c:barChart>
      <c:catAx>
        <c:axId val="101492224"/>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1493760"/>
        <c:crosses val="autoZero"/>
        <c:auto val="1"/>
        <c:lblAlgn val="ctr"/>
        <c:lblOffset val="100"/>
      </c:catAx>
      <c:valAx>
        <c:axId val="101493760"/>
        <c:scaling>
          <c:orientation val="minMax"/>
        </c:scaling>
        <c:delete val="1"/>
        <c:axPos val="l"/>
        <c:numFmt formatCode="0.0" sourceLinked="1"/>
        <c:majorTickMark val="none"/>
        <c:tickLblPos val="none"/>
        <c:crossAx val="101492224"/>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chartSpace>
</file>

<file path=word/charts/chart2.xml><?xml version="1.0" encoding="utf-8"?>
<c:chartSpace xmlns:c="http://schemas.openxmlformats.org/drawingml/2006/chart" xmlns:a="http://schemas.openxmlformats.org/drawingml/2006/main" xmlns:r="http://schemas.openxmlformats.org/officeDocument/2006/relationships">
  <c:lang val="en-US"/>
  <c:chart>
    <c:autoTitleDeleted val="1"/>
    <c:plotArea>
      <c:layout>
        <c:manualLayout>
          <c:layoutTarget val="inner"/>
          <c:xMode val="edge"/>
          <c:yMode val="edge"/>
          <c:x val="2.7187345526445882E-2"/>
          <c:y val="6.6425120772946863E-2"/>
          <c:w val="0.95131791484541928"/>
          <c:h val="0.66081963939290211"/>
        </c:manualLayout>
      </c:layout>
      <c:barChart>
        <c:barDir val="col"/>
        <c:grouping val="clustered"/>
        <c:ser>
          <c:idx val="0"/>
          <c:order val="0"/>
          <c:tx>
            <c:strRef>
              <c:f>Sheet1!$B$1</c:f>
              <c:strCache>
                <c:ptCount val="1"/>
                <c:pt idx="0">
                  <c:v>Quarter IV of 2021</c:v>
                </c:pt>
              </c:strCache>
            </c:strRef>
          </c:tx>
          <c:spPr>
            <a:pattFill prst="solidDmnd">
              <a:fgClr>
                <a:srgbClr val="0070C0"/>
              </a:fgClr>
              <a:bgClr>
                <a:schemeClr val="bg1"/>
              </a:bgClr>
            </a:pattFill>
            <a:ln>
              <a:solidFill>
                <a:srgbClr val="4F81BD"/>
              </a:solidFill>
            </a:ln>
            <a:effectLst/>
          </c:spPr>
          <c:dLbls>
            <c:dLbl>
              <c:idx val="0"/>
              <c:tx>
                <c:rich>
                  <a:bodyPr/>
                  <a:lstStyle/>
                  <a:p>
                    <a:r>
                      <a:rPr lang="en-US"/>
                      <a:t>24.7</a:t>
                    </a:r>
                  </a:p>
                </c:rich>
              </c:tx>
              <c:showVal val="1"/>
              <c:separator>. </c:separator>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EB2A-4694-9D0F-931A8654AF40}"/>
                </c:ext>
              </c:extLst>
            </c:dLbl>
            <c:dLbl>
              <c:idx val="1"/>
              <c:tx>
                <c:rich>
                  <a:bodyPr/>
                  <a:lstStyle/>
                  <a:p>
                    <a:r>
                      <a:rPr lang="en-US"/>
                      <a:t>2.3</a:t>
                    </a:r>
                  </a:p>
                </c:rich>
              </c:tx>
              <c:showVal val="1"/>
              <c:separator>. </c:separator>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EB2A-4694-9D0F-931A8654AF40}"/>
                </c:ext>
              </c:extLst>
            </c:dLbl>
            <c:dLbl>
              <c:idx val="2"/>
              <c:tx>
                <c:rich>
                  <a:bodyPr/>
                  <a:lstStyle/>
                  <a:p>
                    <a:r>
                      <a:rPr lang="en-US"/>
                      <a:t>12.4</a:t>
                    </a:r>
                  </a:p>
                </c:rich>
              </c:tx>
              <c:showVal val="1"/>
              <c:separator>. </c:separator>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EB2A-4694-9D0F-931A8654AF40}"/>
                </c:ext>
              </c:extLst>
            </c:dLbl>
            <c:dLbl>
              <c:idx val="3"/>
              <c:tx>
                <c:rich>
                  <a:bodyPr/>
                  <a:lstStyle/>
                  <a:p>
                    <a:r>
                      <a:rPr lang="en-US"/>
                      <a:t>8.8</a:t>
                    </a:r>
                  </a:p>
                </c:rich>
              </c:tx>
              <c:showVal val="1"/>
              <c:separator>. </c:separator>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EB2A-4694-9D0F-931A8654AF40}"/>
                </c:ext>
              </c:extLst>
            </c:dLbl>
            <c:dLbl>
              <c:idx val="4"/>
              <c:tx>
                <c:rich>
                  <a:bodyPr/>
                  <a:lstStyle/>
                  <a:p>
                    <a:r>
                      <a:rPr lang="en-US"/>
                      <a:t>16.9</a:t>
                    </a:r>
                  </a:p>
                </c:rich>
              </c:tx>
              <c:showVal val="1"/>
              <c:separator>. </c:separator>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EB2A-4694-9D0F-931A8654AF4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separator>. </c:separator>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Total</c:v>
                </c:pt>
                <c:pt idx="1">
                  <c:v>Job loss</c:v>
                </c:pt>
                <c:pt idx="2">
                  <c:v>Furlough/suspension</c:v>
                </c:pt>
                <c:pt idx="3">
                  <c:v>Working hours cut/Work alternate shifts</c:v>
                </c:pt>
                <c:pt idx="4">
                  <c:v>Income reduced</c:v>
                </c:pt>
              </c:strCache>
            </c:strRef>
          </c:cat>
          <c:val>
            <c:numRef>
              <c:f>Sheet1!$B$2:$B$6</c:f>
              <c:numCache>
                <c:formatCode>0.0</c:formatCode>
                <c:ptCount val="5"/>
                <c:pt idx="0">
                  <c:v>24.7</c:v>
                </c:pt>
                <c:pt idx="1">
                  <c:v>2.2999999999999998</c:v>
                </c:pt>
                <c:pt idx="2">
                  <c:v>12.4</c:v>
                </c:pt>
                <c:pt idx="3">
                  <c:v>8.8000000000000007</c:v>
                </c:pt>
                <c:pt idx="4">
                  <c:v>16.899999999999999</c:v>
                </c:pt>
              </c:numCache>
            </c:numRef>
          </c:val>
          <c:extLst xmlns:c16r2="http://schemas.microsoft.com/office/drawing/2015/06/chart">
            <c:ext xmlns:c16="http://schemas.microsoft.com/office/drawing/2014/chart" uri="{C3380CC4-5D6E-409C-BE32-E72D297353CC}">
              <c16:uniqueId val="{00000005-EB2A-4694-9D0F-931A8654AF40}"/>
            </c:ext>
          </c:extLst>
        </c:ser>
        <c:ser>
          <c:idx val="1"/>
          <c:order val="1"/>
          <c:tx>
            <c:strRef>
              <c:f>Sheet1!$C$1</c:f>
              <c:strCache>
                <c:ptCount val="1"/>
                <c:pt idx="0">
                  <c:v>Quarter I of 2022</c:v>
                </c:pt>
              </c:strCache>
            </c:strRef>
          </c:tx>
          <c:spPr>
            <a:pattFill prst="smCheck">
              <a:fgClr>
                <a:srgbClr val="0070C0"/>
              </a:fgClr>
              <a:bgClr>
                <a:schemeClr val="bg1"/>
              </a:bgClr>
            </a:pattFill>
            <a:ln>
              <a:solidFill>
                <a:srgbClr val="4F81BD"/>
              </a:solidFill>
            </a:ln>
            <a:effectLst/>
          </c:spPr>
          <c:dLbls>
            <c:dLbl>
              <c:idx val="0"/>
              <c:tx>
                <c:rich>
                  <a:bodyPr/>
                  <a:lstStyle/>
                  <a:p>
                    <a:r>
                      <a:rPr lang="en-US"/>
                      <a:t>16.9</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EB2A-4694-9D0F-931A8654AF40}"/>
                </c:ext>
              </c:extLst>
            </c:dLbl>
            <c:dLbl>
              <c:idx val="1"/>
              <c:tx>
                <c:rich>
                  <a:bodyPr/>
                  <a:lstStyle/>
                  <a:p>
                    <a:r>
                      <a:rPr lang="en-US"/>
                      <a:t>0.9</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EB2A-4694-9D0F-931A8654AF40}"/>
                </c:ext>
              </c:extLst>
            </c:dLbl>
            <c:dLbl>
              <c:idx val="2"/>
              <c:tx>
                <c:rich>
                  <a:bodyPr/>
                  <a:lstStyle/>
                  <a:p>
                    <a:r>
                      <a:rPr lang="en-US"/>
                      <a:t>5.1</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EB2A-4694-9D0F-931A8654AF40}"/>
                </c:ext>
              </c:extLst>
            </c:dLbl>
            <c:dLbl>
              <c:idx val="3"/>
              <c:tx>
                <c:rich>
                  <a:bodyPr/>
                  <a:lstStyle/>
                  <a:p>
                    <a:r>
                      <a:rPr lang="en-US"/>
                      <a:t>5.7</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EB2A-4694-9D0F-931A8654AF40}"/>
                </c:ext>
              </c:extLst>
            </c:dLbl>
            <c:dLbl>
              <c:idx val="4"/>
              <c:tx>
                <c:rich>
                  <a:bodyPr/>
                  <a:lstStyle/>
                  <a:p>
                    <a:r>
                      <a:rPr lang="en-US"/>
                      <a:t>13.7</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EB2A-4694-9D0F-931A8654AF4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Total</c:v>
                </c:pt>
                <c:pt idx="1">
                  <c:v>Job loss</c:v>
                </c:pt>
                <c:pt idx="2">
                  <c:v>Furlough/suspension</c:v>
                </c:pt>
                <c:pt idx="3">
                  <c:v>Working hours cut/Work alternate shifts</c:v>
                </c:pt>
                <c:pt idx="4">
                  <c:v>Income reduced</c:v>
                </c:pt>
              </c:strCache>
            </c:strRef>
          </c:cat>
          <c:val>
            <c:numRef>
              <c:f>Sheet1!$C$2:$C$6</c:f>
              <c:numCache>
                <c:formatCode>0.0</c:formatCode>
                <c:ptCount val="5"/>
                <c:pt idx="0" formatCode="General">
                  <c:v>16.899999999999999</c:v>
                </c:pt>
                <c:pt idx="1">
                  <c:v>0.9</c:v>
                </c:pt>
                <c:pt idx="2">
                  <c:v>5.0999999999999996</c:v>
                </c:pt>
                <c:pt idx="3">
                  <c:v>5.7</c:v>
                </c:pt>
                <c:pt idx="4">
                  <c:v>13.7</c:v>
                </c:pt>
              </c:numCache>
            </c:numRef>
          </c:val>
          <c:extLst xmlns:c16r2="http://schemas.microsoft.com/office/drawing/2015/06/chart">
            <c:ext xmlns:c16="http://schemas.microsoft.com/office/drawing/2014/chart" uri="{C3380CC4-5D6E-409C-BE32-E72D297353CC}">
              <c16:uniqueId val="{0000000B-EB2A-4694-9D0F-931A8654AF40}"/>
            </c:ext>
          </c:extLst>
        </c:ser>
        <c:ser>
          <c:idx val="2"/>
          <c:order val="2"/>
          <c:tx>
            <c:strRef>
              <c:f>Sheet1!$D$1</c:f>
              <c:strCache>
                <c:ptCount val="1"/>
                <c:pt idx="0">
                  <c:v>Quarter II of 2022</c:v>
                </c:pt>
              </c:strCache>
            </c:strRef>
          </c:tx>
          <c:spPr>
            <a:solidFill>
              <a:schemeClr val="accent3"/>
            </a:solidFill>
            <a:ln>
              <a:noFill/>
            </a:ln>
            <a:effectLst/>
          </c:spPr>
          <c:dLbls>
            <c:dLbl>
              <c:idx val="0"/>
              <c:tx>
                <c:rich>
                  <a:bodyPr/>
                  <a:lstStyle/>
                  <a:p>
                    <a:r>
                      <a:rPr lang="en-US"/>
                      <a:t>8.0</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EB2A-4694-9D0F-931A8654AF40}"/>
                </c:ext>
              </c:extLst>
            </c:dLbl>
            <c:dLbl>
              <c:idx val="1"/>
              <c:tx>
                <c:rich>
                  <a:bodyPr/>
                  <a:lstStyle/>
                  <a:p>
                    <a:r>
                      <a:rPr lang="en-US"/>
                      <a:t>0.4</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EB2A-4694-9D0F-931A8654AF40}"/>
                </c:ext>
              </c:extLst>
            </c:dLbl>
            <c:dLbl>
              <c:idx val="2"/>
              <c:tx>
                <c:rich>
                  <a:bodyPr/>
                  <a:lstStyle/>
                  <a:p>
                    <a:r>
                      <a:rPr lang="en-US"/>
                      <a:t>2.2</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EB2A-4694-9D0F-931A8654AF40}"/>
                </c:ext>
              </c:extLst>
            </c:dLbl>
            <c:dLbl>
              <c:idx val="3"/>
              <c:tx>
                <c:rich>
                  <a:bodyPr/>
                  <a:lstStyle/>
                  <a:p>
                    <a:r>
                      <a:rPr lang="en-US"/>
                      <a:t>2.4</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EB2A-4694-9D0F-931A8654AF40}"/>
                </c:ext>
              </c:extLst>
            </c:dLbl>
            <c:dLbl>
              <c:idx val="4"/>
              <c:tx>
                <c:rich>
                  <a:bodyPr/>
                  <a:lstStyle/>
                  <a:p>
                    <a:r>
                      <a:rPr lang="en-US"/>
                      <a:t>6.5</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0-EB2A-4694-9D0F-931A8654AF4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Total</c:v>
                </c:pt>
                <c:pt idx="1">
                  <c:v>Job loss</c:v>
                </c:pt>
                <c:pt idx="2">
                  <c:v>Furlough/suspension</c:v>
                </c:pt>
                <c:pt idx="3">
                  <c:v>Working hours cut/Work alternate shifts</c:v>
                </c:pt>
                <c:pt idx="4">
                  <c:v>Income reduced</c:v>
                </c:pt>
              </c:strCache>
            </c:strRef>
          </c:cat>
          <c:val>
            <c:numRef>
              <c:f>Sheet1!$D$2:$D$6</c:f>
              <c:numCache>
                <c:formatCode>###0.0</c:formatCode>
                <c:ptCount val="5"/>
                <c:pt idx="0">
                  <c:v>8.0072082787659173</c:v>
                </c:pt>
                <c:pt idx="1">
                  <c:v>0.42492173668397515</c:v>
                </c:pt>
                <c:pt idx="2">
                  <c:v>2.2132048293749071</c:v>
                </c:pt>
                <c:pt idx="3">
                  <c:v>2.3646087118705501</c:v>
                </c:pt>
                <c:pt idx="4">
                  <c:v>6.5379151530097275</c:v>
                </c:pt>
              </c:numCache>
            </c:numRef>
          </c:val>
          <c:extLst xmlns:c16r2="http://schemas.microsoft.com/office/drawing/2015/06/chart">
            <c:ext xmlns:c16="http://schemas.microsoft.com/office/drawing/2014/chart" uri="{C3380CC4-5D6E-409C-BE32-E72D297353CC}">
              <c16:uniqueId val="{00000011-EB2A-4694-9D0F-931A8654AF40}"/>
            </c:ext>
          </c:extLst>
        </c:ser>
        <c:dLbls/>
        <c:axId val="100282752"/>
        <c:axId val="100284288"/>
      </c:barChart>
      <c:catAx>
        <c:axId val="100282752"/>
        <c:scaling>
          <c:orientation val="minMax"/>
        </c:scaling>
        <c:axPos val="b"/>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0284288"/>
        <c:crosses val="autoZero"/>
        <c:auto val="1"/>
        <c:lblAlgn val="ctr"/>
        <c:lblOffset val="100"/>
      </c:catAx>
      <c:valAx>
        <c:axId val="100284288"/>
        <c:scaling>
          <c:orientation val="minMax"/>
        </c:scaling>
        <c:delete val="1"/>
        <c:axPos val="l"/>
        <c:numFmt formatCode="0.0" sourceLinked="1"/>
        <c:majorTickMark val="none"/>
        <c:tickLblPos val="none"/>
        <c:crossAx val="100282752"/>
        <c:crosses val="autoZero"/>
        <c:crossBetween val="between"/>
      </c:valAx>
      <c:spPr>
        <a:noFill/>
        <a:ln>
          <a:noFill/>
        </a:ln>
        <a:effectLst/>
      </c:spPr>
    </c:plotArea>
    <c:legend>
      <c:legendPos val="r"/>
      <c:layout>
        <c:manualLayout>
          <c:xMode val="edge"/>
          <c:yMode val="edge"/>
          <c:x val="0.15296003583967593"/>
          <c:y val="2.1058712769599454E-2"/>
          <c:w val="0.32259449402734702"/>
          <c:h val="0.30570866141732289"/>
        </c:manualLayout>
      </c:layout>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US"/>
  <c:chart>
    <c:autoTitleDeleted val="1"/>
    <c:plotArea>
      <c:layout/>
      <c:lineChart>
        <c:grouping val="stacked"/>
        <c:ser>
          <c:idx val="0"/>
          <c:order val="0"/>
          <c:tx>
            <c:strRef>
              <c:f>Sheet3!$A$12</c:f>
              <c:strCache>
                <c:ptCount val="1"/>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6"/>
              <c:layout>
                <c:manualLayout>
                  <c:x val="-2.5370870453040144E-2"/>
                  <c:y val="-7.1375026309188461E-2"/>
                </c:manualLayout>
              </c:layout>
              <c:dLblPos val="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F349-409D-8177-34834A47702A}"/>
                </c:ext>
              </c:extLst>
            </c:dLbl>
            <c:dLbl>
              <c:idx val="7"/>
              <c:layout>
                <c:manualLayout>
                  <c:x val="-5.125439459440391E-2"/>
                  <c:y val="-5.6728376730279632E-2"/>
                </c:manualLayout>
              </c:layout>
              <c:dLblPos val="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F349-409D-8177-34834A47702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Sheet3!$B$9:$K$9</c:f>
              <c:strCache>
                <c:ptCount val="10"/>
                <c:pt idx="0">
                  <c:v>Quarter I of 2020</c:v>
                </c:pt>
                <c:pt idx="1">
                  <c:v>Quarter II of 2020</c:v>
                </c:pt>
                <c:pt idx="2">
                  <c:v>Quarter III of 2020</c:v>
                </c:pt>
                <c:pt idx="3">
                  <c:v>Quarter IV of 2020</c:v>
                </c:pt>
                <c:pt idx="4">
                  <c:v>Quarter I of 2021</c:v>
                </c:pt>
                <c:pt idx="5">
                  <c:v>Quarter II of 2021</c:v>
                </c:pt>
                <c:pt idx="6">
                  <c:v>Quarter III of 2021</c:v>
                </c:pt>
                <c:pt idx="7">
                  <c:v>Quarter IV of 2021</c:v>
                </c:pt>
                <c:pt idx="8">
                  <c:v>Quarter I of 2022</c:v>
                </c:pt>
                <c:pt idx="9">
                  <c:v>Quarter II of 2022</c:v>
                </c:pt>
              </c:strCache>
            </c:strRef>
          </c:cat>
          <c:val>
            <c:numRef>
              <c:f>Sheet3!$B$12:$K$12</c:f>
              <c:numCache>
                <c:formatCode>0.00</c:formatCode>
                <c:ptCount val="10"/>
                <c:pt idx="0">
                  <c:v>19.510000000000005</c:v>
                </c:pt>
                <c:pt idx="1">
                  <c:v>18.739999999999995</c:v>
                </c:pt>
                <c:pt idx="2">
                  <c:v>19.399999999999999</c:v>
                </c:pt>
                <c:pt idx="3">
                  <c:v>19.809999999999999</c:v>
                </c:pt>
                <c:pt idx="4">
                  <c:v>19.71</c:v>
                </c:pt>
                <c:pt idx="5">
                  <c:v>19.45</c:v>
                </c:pt>
                <c:pt idx="6">
                  <c:v>17.14</c:v>
                </c:pt>
                <c:pt idx="7">
                  <c:v>17.899999999999999</c:v>
                </c:pt>
                <c:pt idx="8">
                  <c:v>19.37</c:v>
                </c:pt>
                <c:pt idx="9">
                  <c:v>19.8</c:v>
                </c:pt>
              </c:numCache>
            </c:numRef>
          </c:val>
          <c:extLst xmlns:c16r2="http://schemas.microsoft.com/office/drawing/2015/06/chart">
            <c:ext xmlns:c16="http://schemas.microsoft.com/office/drawing/2014/chart" uri="{C3380CC4-5D6E-409C-BE32-E72D297353CC}">
              <c16:uniqueId val="{00000002-F349-409D-8177-34834A47702A}"/>
            </c:ext>
          </c:extLst>
        </c:ser>
        <c:dLbls/>
        <c:marker val="1"/>
        <c:axId val="100625024"/>
        <c:axId val="100630912"/>
      </c:lineChart>
      <c:catAx>
        <c:axId val="100625024"/>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0630912"/>
        <c:crosses val="autoZero"/>
        <c:auto val="1"/>
        <c:lblAlgn val="ctr"/>
        <c:lblOffset val="100"/>
      </c:catAx>
      <c:valAx>
        <c:axId val="100630912"/>
        <c:scaling>
          <c:orientation val="minMax"/>
        </c:scaling>
        <c:delete val="1"/>
        <c:axPos val="l"/>
        <c:numFmt formatCode="0.00" sourceLinked="1"/>
        <c:majorTickMark val="none"/>
        <c:tickLblPos val="none"/>
        <c:crossAx val="100625024"/>
        <c:crosses val="autoZero"/>
        <c:crossBetween val="between"/>
      </c:valAx>
      <c:spPr>
        <a:noFill/>
        <a:ln>
          <a:noFill/>
        </a:ln>
        <a:effectLst/>
      </c:spPr>
    </c:plotArea>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US"/>
  <c:chart>
    <c:autoTitleDeleted val="1"/>
    <c:plotArea>
      <c:layout/>
      <c:barChart>
        <c:barDir val="col"/>
        <c:grouping val="clustered"/>
        <c:ser>
          <c:idx val="0"/>
          <c:order val="0"/>
          <c:tx>
            <c:strRef>
              <c:f>thieuvl_fig__q1!$C$6</c:f>
              <c:strCache>
                <c:ptCount val="1"/>
                <c:pt idx="0">
                  <c:v>Underemployed (thousand persons)</c:v>
                </c:pt>
              </c:strCache>
            </c:strRef>
          </c:tx>
          <c:spPr>
            <a:pattFill prst="solidDmnd">
              <a:fgClr>
                <a:schemeClr val="accent1"/>
              </a:fgClr>
              <a:bgClr>
                <a:schemeClr val="bg1"/>
              </a:bgClr>
            </a:pattFill>
            <a:ln>
              <a:solidFill>
                <a:schemeClr val="accent1"/>
              </a:solidFill>
              <a:prstDash val="sysDash"/>
            </a:ln>
            <a:effectLst/>
          </c:spPr>
          <c:dLbls>
            <c:dLbl>
              <c:idx val="1"/>
              <c:tx>
                <c:rich>
                  <a:bodyPr/>
                  <a:lstStyle/>
                  <a:p>
                    <a:r>
                      <a:rPr lang="en-US"/>
                      <a:t>1,282.0</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BA9D-4CA2-9E9B-ADA82F86CDA4}"/>
                </c:ext>
              </c:extLst>
            </c:dLbl>
            <c:dLbl>
              <c:idx val="2"/>
              <c:layout>
                <c:manualLayout>
                  <c:x val="3.1478358628442914E-2"/>
                  <c:y val="-8.130081300813009E-3"/>
                </c:manualLayout>
              </c:layout>
              <c:tx>
                <c:rich>
                  <a:bodyPr/>
                  <a:lstStyle/>
                  <a:p>
                    <a:r>
                      <a:rPr lang="en-US"/>
                      <a:t>1,225.2</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BA9D-4CA2-9E9B-ADA82F86CDA4}"/>
                </c:ext>
              </c:extLst>
            </c:dLbl>
            <c:dLbl>
              <c:idx val="6"/>
              <c:tx>
                <c:rich>
                  <a:bodyPr/>
                  <a:lstStyle/>
                  <a:p>
                    <a:r>
                      <a:rPr lang="en-US"/>
                      <a:t>1,845.2</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BA9D-4CA2-9E9B-ADA82F86CDA4}"/>
                </c:ext>
              </c:extLst>
            </c:dLbl>
            <c:dLbl>
              <c:idx val="7"/>
              <c:tx>
                <c:rich>
                  <a:bodyPr/>
                  <a:lstStyle/>
                  <a:p>
                    <a:r>
                      <a:rPr lang="en-US"/>
                      <a:t>1,464.1</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BA9D-4CA2-9E9B-ADA82F86CDA4}"/>
                </c:ext>
              </c:extLst>
            </c:dLbl>
            <c:dLbl>
              <c:idx val="8"/>
              <c:layout>
                <c:manualLayout>
                  <c:x val="1.3490725126475549E-2"/>
                  <c:y val="-1.6260162601626021E-2"/>
                </c:manualLayout>
              </c:layout>
              <c:tx>
                <c:rich>
                  <a:bodyPr/>
                  <a:lstStyle/>
                  <a:p>
                    <a:r>
                      <a:rPr lang="en-US"/>
                      <a:t>1,328.9</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BA9D-4CA2-9E9B-ADA82F86CDA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thieuvl_fig__q1!$B$7:$B$17</c:f>
              <c:strCache>
                <c:ptCount val="10"/>
                <c:pt idx="0">
                  <c:v>Quarter I of 2020</c:v>
                </c:pt>
                <c:pt idx="1">
                  <c:v>Quarter II of 2020</c:v>
                </c:pt>
                <c:pt idx="2">
                  <c:v>Quarter III of 2020</c:v>
                </c:pt>
                <c:pt idx="3">
                  <c:v>Quarter IV of 2020</c:v>
                </c:pt>
                <c:pt idx="4">
                  <c:v>Quarter I of 2021</c:v>
                </c:pt>
                <c:pt idx="5">
                  <c:v>Quarter II of 2021</c:v>
                </c:pt>
                <c:pt idx="6">
                  <c:v>Quarter III of 2021</c:v>
                </c:pt>
                <c:pt idx="7">
                  <c:v>Quarter IV of 2021</c:v>
                </c:pt>
                <c:pt idx="8">
                  <c:v>Quarter I of 2022</c:v>
                </c:pt>
                <c:pt idx="9">
                  <c:v>Quarter II of 2022</c:v>
                </c:pt>
              </c:strCache>
              <c:extLst xmlns:c16r2="http://schemas.microsoft.com/office/drawing/2015/06/chart"/>
            </c:strRef>
          </c:cat>
          <c:val>
            <c:numRef>
              <c:f>thieuvl_fig__q1!$C$7:$C$17</c:f>
              <c:numCache>
                <c:formatCode>#\ ##0.0</c:formatCode>
                <c:ptCount val="10"/>
                <c:pt idx="0">
                  <c:v>892.71387063845486</c:v>
                </c:pt>
                <c:pt idx="1">
                  <c:v>1282.0034990477759</c:v>
                </c:pt>
                <c:pt idx="2">
                  <c:v>1225.2147580677502</c:v>
                </c:pt>
                <c:pt idx="3">
                  <c:v>828.191972916081</c:v>
                </c:pt>
                <c:pt idx="4">
                  <c:v>971.44086926671741</c:v>
                </c:pt>
                <c:pt idx="5">
                  <c:v>1144.940782601803</c:v>
                </c:pt>
                <c:pt idx="6">
                  <c:v>1845.2131584768158</c:v>
                </c:pt>
                <c:pt idx="7">
                  <c:v>1464.1338158706963</c:v>
                </c:pt>
                <c:pt idx="8">
                  <c:v>1328.9161697830712</c:v>
                </c:pt>
                <c:pt idx="9" formatCode="_(* #,##0.0_);_(* \(#,##0.0\);_(* &quot;-&quot;??_);_(@_)">
                  <c:v>881.79451032460645</c:v>
                </c:pt>
              </c:numCache>
              <c:extLst xmlns:c16r2="http://schemas.microsoft.com/office/drawing/2015/06/chart"/>
            </c:numRef>
          </c:val>
          <c:extLst xmlns:c16r2="http://schemas.microsoft.com/office/drawing/2015/06/chart">
            <c:ext xmlns:c16="http://schemas.microsoft.com/office/drawing/2014/chart" uri="{C3380CC4-5D6E-409C-BE32-E72D297353CC}">
              <c16:uniqueId val="{00000000-9843-468B-94CA-E1FA3674C637}"/>
            </c:ext>
          </c:extLst>
        </c:ser>
        <c:dLbls/>
        <c:axId val="100748672"/>
        <c:axId val="100762752"/>
      </c:barChart>
      <c:lineChart>
        <c:grouping val="standard"/>
        <c:ser>
          <c:idx val="1"/>
          <c:order val="1"/>
          <c:tx>
            <c:strRef>
              <c:f>thieuvl_fig__q1!$D$6</c:f>
              <c:strCache>
                <c:ptCount val="1"/>
                <c:pt idx="0">
                  <c:v>Underemployment rate (%)</c:v>
                </c:pt>
              </c:strCache>
            </c:strRef>
          </c:tx>
          <c:spPr>
            <a:ln w="28575" cap="rnd">
              <a:solidFill>
                <a:schemeClr val="accent2"/>
              </a:solidFill>
              <a:round/>
            </a:ln>
            <a:effectLst/>
          </c:spPr>
          <c:marker>
            <c:symbol val="none"/>
          </c:marker>
          <c:dLbls>
            <c:dLbl>
              <c:idx val="1"/>
              <c:layout>
                <c:manualLayout>
                  <c:x val="1.1247582247834582E-2"/>
                  <c:y val="-2.7657320273990149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9843-468B-94CA-E1FA3674C637}"/>
                </c:ext>
              </c:extLst>
            </c:dLbl>
            <c:dLbl>
              <c:idx val="3"/>
              <c:layout>
                <c:manualLayout>
                  <c:x val="1.1246063877642824E-2"/>
                  <c:y val="4.6012269938650319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9843-468B-94CA-E1FA3674C637}"/>
                </c:ext>
              </c:extLst>
            </c:dLbl>
            <c:dLbl>
              <c:idx val="4"/>
              <c:layout>
                <c:manualLayout>
                  <c:x val="1.799370220422844E-2"/>
                  <c:y val="1.533742331288339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9843-468B-94CA-E1FA3674C637}"/>
                </c:ext>
              </c:extLst>
            </c:dLbl>
            <c:dLbl>
              <c:idx val="5"/>
              <c:layout>
                <c:manualLayout>
                  <c:x val="2.0242914979757089E-2"/>
                  <c:y val="-1.5337423312883484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9843-468B-94CA-E1FA3674C637}"/>
                </c:ext>
              </c:extLst>
            </c:dLbl>
            <c:dLbl>
              <c:idx val="6"/>
              <c:layout>
                <c:manualLayout>
                  <c:x val="1.5744489428699958E-2"/>
                  <c:y val="-1.1715951909220862E-17"/>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9843-468B-94CA-E1FA3674C63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thieuvl_fig__q1!$B$7:$B$16</c:f>
              <c:strCache>
                <c:ptCount val="10"/>
                <c:pt idx="0">
                  <c:v>Quarter I of 2020</c:v>
                </c:pt>
                <c:pt idx="1">
                  <c:v>Quarter II of 2020</c:v>
                </c:pt>
                <c:pt idx="2">
                  <c:v>Quarter III of 2020</c:v>
                </c:pt>
                <c:pt idx="3">
                  <c:v>Quarter IV of 2020</c:v>
                </c:pt>
                <c:pt idx="4">
                  <c:v>Quarter I of 2021</c:v>
                </c:pt>
                <c:pt idx="5">
                  <c:v>Quarter II of 2021</c:v>
                </c:pt>
                <c:pt idx="6">
                  <c:v>Quarter III of 2021</c:v>
                </c:pt>
                <c:pt idx="7">
                  <c:v>Quarter IV of 2021</c:v>
                </c:pt>
                <c:pt idx="8">
                  <c:v>Quarter I of 2022</c:v>
                </c:pt>
                <c:pt idx="9">
                  <c:v>Quarter II of 2022</c:v>
                </c:pt>
              </c:strCache>
              <c:extLst xmlns:c16r2="http://schemas.microsoft.com/office/drawing/2015/06/chart"/>
            </c:strRef>
          </c:cat>
          <c:val>
            <c:numRef>
              <c:f>thieuvl_fig__q1!$D$7:$D$16</c:f>
              <c:numCache>
                <c:formatCode>0.00</c:formatCode>
                <c:ptCount val="10"/>
                <c:pt idx="0">
                  <c:v>1.9784579230471999</c:v>
                </c:pt>
                <c:pt idx="1">
                  <c:v>2.9771340888123099</c:v>
                </c:pt>
                <c:pt idx="2">
                  <c:v>2.7230062285090639</c:v>
                </c:pt>
                <c:pt idx="3">
                  <c:v>1.8175100422880619</c:v>
                </c:pt>
                <c:pt idx="4">
                  <c:v>2.2025828354062571</c:v>
                </c:pt>
                <c:pt idx="5">
                  <c:v>2.6040767234235003</c:v>
                </c:pt>
                <c:pt idx="6">
                  <c:v>4.46</c:v>
                </c:pt>
                <c:pt idx="7" formatCode="_(* #,##0.00_);_(* \(#,##0.00\);_(* &quot;-&quot;??_);_(@_)">
                  <c:v>3.3734236106443225</c:v>
                </c:pt>
                <c:pt idx="8" formatCode="_(* #,##0.00_);_(* \(#,##0.00\);_(* &quot;-&quot;??_);_(@_)">
                  <c:v>3.010991759123768</c:v>
                </c:pt>
                <c:pt idx="9" formatCode="_(* #,##0.00_);_(* \(#,##0.00\);_(* &quot;-&quot;??_);_(@_)">
                  <c:v>1.9600000000000002</c:v>
                </c:pt>
              </c:numCache>
              <c:extLst xmlns:c16r2="http://schemas.microsoft.com/office/drawing/2015/06/chart"/>
            </c:numRef>
          </c:val>
          <c:extLst xmlns:c16r2="http://schemas.microsoft.com/office/drawing/2015/06/chart">
            <c:ext xmlns:c16="http://schemas.microsoft.com/office/drawing/2014/chart" uri="{C3380CC4-5D6E-409C-BE32-E72D297353CC}">
              <c16:uniqueId val="{00000006-9843-468B-94CA-E1FA3674C637}"/>
            </c:ext>
          </c:extLst>
        </c:ser>
        <c:dLbls/>
        <c:marker val="1"/>
        <c:axId val="100778368"/>
        <c:axId val="100764288"/>
      </c:lineChart>
      <c:catAx>
        <c:axId val="100748672"/>
        <c:scaling>
          <c:orientation val="minMax"/>
        </c:scaling>
        <c:axPos val="b"/>
        <c:numFmt formatCode="General" sourceLinked="1"/>
        <c:maj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0762752"/>
        <c:crosses val="autoZero"/>
        <c:auto val="1"/>
        <c:lblAlgn val="ctr"/>
        <c:lblOffset val="100"/>
      </c:catAx>
      <c:valAx>
        <c:axId val="100762752"/>
        <c:scaling>
          <c:orientation val="minMax"/>
        </c:scaling>
        <c:axPos val="l"/>
        <c:numFmt formatCode="#\ ##0.0" sourceLinked="1"/>
        <c:majorTickMark val="in"/>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en-US"/>
          </a:p>
        </c:txPr>
        <c:crossAx val="100748672"/>
        <c:crosses val="autoZero"/>
        <c:crossBetween val="between"/>
        <c:majorUnit val="500"/>
      </c:valAx>
      <c:valAx>
        <c:axId val="100764288"/>
        <c:scaling>
          <c:orientation val="minMax"/>
        </c:scaling>
        <c:axPos val="r"/>
        <c:numFmt formatCode="0.00" sourceLinked="1"/>
        <c:majorTickMark val="in"/>
        <c:tickLblPos val="nextTo"/>
        <c:spPr>
          <a:solidFill>
            <a:schemeClr val="bg1"/>
          </a:solidFill>
          <a:ln>
            <a:noFill/>
          </a:ln>
          <a:effectLst/>
        </c:spPr>
        <c:txPr>
          <a:bodyPr rot="-6000000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en-US"/>
          </a:p>
        </c:txPr>
        <c:crossAx val="100778368"/>
        <c:crosses val="max"/>
        <c:crossBetween val="between"/>
        <c:majorUnit val="1"/>
        <c:minorUnit val="0.5"/>
      </c:valAx>
      <c:catAx>
        <c:axId val="100778368"/>
        <c:scaling>
          <c:orientation val="minMax"/>
        </c:scaling>
        <c:delete val="1"/>
        <c:axPos val="b"/>
        <c:numFmt formatCode="General" sourceLinked="1"/>
        <c:majorTickMark val="none"/>
        <c:tickLblPos val="none"/>
        <c:crossAx val="100764288"/>
        <c:crosses val="autoZero"/>
        <c:auto val="1"/>
        <c:lblAlgn val="ctr"/>
        <c:lblOffset val="100"/>
      </c:catAx>
      <c:spPr>
        <a:noFill/>
        <a:ln w="25400">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chart>
  <c:spPr>
    <a:no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US"/>
  <c:chart>
    <c:autoTitleDeleted val="1"/>
    <c:plotArea>
      <c:layout>
        <c:manualLayout>
          <c:layoutTarget val="inner"/>
          <c:xMode val="edge"/>
          <c:yMode val="edge"/>
          <c:x val="8.8525590551181171E-2"/>
          <c:y val="0.18560185185185188"/>
          <c:w val="0.87258552055992999"/>
          <c:h val="0.51327136191309419"/>
        </c:manualLayout>
      </c:layout>
      <c:barChart>
        <c:barDir val="col"/>
        <c:grouping val="clustered"/>
        <c:ser>
          <c:idx val="0"/>
          <c:order val="0"/>
          <c:tx>
            <c:strRef>
              <c:f>thieuvl_3kv_fig!$I$55</c:f>
              <c:strCache>
                <c:ptCount val="1"/>
                <c:pt idx="0">
                  <c:v>Quarter I of 2022</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thieuvl_3kv_fig!$H$56:$H$61</c:f>
              <c:strCache>
                <c:ptCount val="6"/>
                <c:pt idx="0">
                  <c:v>Northern Midlands and Mountains</c:v>
                </c:pt>
                <c:pt idx="1">
                  <c:v>Red River Delta</c:v>
                </c:pt>
                <c:pt idx="2">
                  <c:v>North and South Central Coast</c:v>
                </c:pt>
                <c:pt idx="3">
                  <c:v>Central Highland</c:v>
                </c:pt>
                <c:pt idx="4">
                  <c:v>Southeast</c:v>
                </c:pt>
                <c:pt idx="5">
                  <c:v>Mekong River Delta</c:v>
                </c:pt>
              </c:strCache>
            </c:strRef>
          </c:cat>
          <c:val>
            <c:numRef>
              <c:f>thieuvl_3kv_fig!$I$56:$I$61</c:f>
              <c:numCache>
                <c:formatCode>_(* #,##0.00_);_(* \(#,##0.00\);_(* "-"??_);_(@_)</c:formatCode>
                <c:ptCount val="6"/>
                <c:pt idx="0">
                  <c:v>3.0425063241417409</c:v>
                </c:pt>
                <c:pt idx="1">
                  <c:v>2.1164383197349799</c:v>
                </c:pt>
                <c:pt idx="2">
                  <c:v>4.23112782918784</c:v>
                </c:pt>
                <c:pt idx="3">
                  <c:v>4.0164141514616869</c:v>
                </c:pt>
                <c:pt idx="4">
                  <c:v>1.6036045876733769</c:v>
                </c:pt>
                <c:pt idx="5">
                  <c:v>4.0005294659643109</c:v>
                </c:pt>
              </c:numCache>
            </c:numRef>
          </c:val>
          <c:extLst xmlns:c16r2="http://schemas.microsoft.com/office/drawing/2015/06/chart">
            <c:ext xmlns:c16="http://schemas.microsoft.com/office/drawing/2014/chart" uri="{C3380CC4-5D6E-409C-BE32-E72D297353CC}">
              <c16:uniqueId val="{00000000-D9DC-40CF-97ED-67BE0B32FFE1}"/>
            </c:ext>
          </c:extLst>
        </c:ser>
        <c:ser>
          <c:idx val="1"/>
          <c:order val="1"/>
          <c:tx>
            <c:strRef>
              <c:f>thieuvl_3kv_fig!$J$55</c:f>
              <c:strCache>
                <c:ptCount val="1"/>
                <c:pt idx="0">
                  <c:v>Quarter II of 2022</c:v>
                </c:pt>
              </c:strCache>
            </c:strRef>
          </c:tx>
          <c:spPr>
            <a:solidFill>
              <a:schemeClr val="accent2"/>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thieuvl_3kv_fig!$H$56:$H$61</c:f>
              <c:strCache>
                <c:ptCount val="6"/>
                <c:pt idx="0">
                  <c:v>Northern Midlands and Mountains</c:v>
                </c:pt>
                <c:pt idx="1">
                  <c:v>Red River Delta</c:v>
                </c:pt>
                <c:pt idx="2">
                  <c:v>North and South Central Coast</c:v>
                </c:pt>
                <c:pt idx="3">
                  <c:v>Central Highland</c:v>
                </c:pt>
                <c:pt idx="4">
                  <c:v>Southeast</c:v>
                </c:pt>
                <c:pt idx="5">
                  <c:v>Mekong River Delta</c:v>
                </c:pt>
              </c:strCache>
            </c:strRef>
          </c:cat>
          <c:val>
            <c:numRef>
              <c:f>thieuvl_3kv_fig!$J$56:$J$61</c:f>
              <c:numCache>
                <c:formatCode>_(* #,##0.00_);_(* \(#,##0.00\);_(* "-"??_);_(@_)</c:formatCode>
                <c:ptCount val="6"/>
                <c:pt idx="0">
                  <c:v>2.4344845143454039</c:v>
                </c:pt>
                <c:pt idx="1">
                  <c:v>0.6245679267973242</c:v>
                </c:pt>
                <c:pt idx="2">
                  <c:v>2.7886390557902976</c:v>
                </c:pt>
                <c:pt idx="3">
                  <c:v>2.5654405032772738</c:v>
                </c:pt>
                <c:pt idx="4">
                  <c:v>1.1054466190693704</c:v>
                </c:pt>
                <c:pt idx="5">
                  <c:v>3.1717158068947486</c:v>
                </c:pt>
              </c:numCache>
            </c:numRef>
          </c:val>
          <c:extLst xmlns:c16r2="http://schemas.microsoft.com/office/drawing/2015/06/chart">
            <c:ext xmlns:c16="http://schemas.microsoft.com/office/drawing/2014/chart" uri="{C3380CC4-5D6E-409C-BE32-E72D297353CC}">
              <c16:uniqueId val="{00000001-D9DC-40CF-97ED-67BE0B32FFE1}"/>
            </c:ext>
          </c:extLst>
        </c:ser>
        <c:dLbls/>
        <c:gapWidth val="219"/>
        <c:overlap val="-27"/>
        <c:axId val="100665216"/>
        <c:axId val="100666752"/>
      </c:barChart>
      <c:catAx>
        <c:axId val="100665216"/>
        <c:scaling>
          <c:orientation val="minMax"/>
        </c:scaling>
        <c:axPos val="b"/>
        <c:numFmt formatCode="General" sourceLinked="1"/>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00666752"/>
        <c:crosses val="autoZero"/>
        <c:auto val="1"/>
        <c:lblAlgn val="ctr"/>
        <c:lblOffset val="100"/>
      </c:catAx>
      <c:valAx>
        <c:axId val="100666752"/>
        <c:scaling>
          <c:orientation val="minMax"/>
        </c:scaling>
        <c:delete val="1"/>
        <c:axPos val="l"/>
        <c:numFmt formatCode="_(* #,##0.00_);_(* \(#,##0.00\);_(* &quot;-&quot;??_);_(@_)" sourceLinked="1"/>
        <c:tickLblPos val="none"/>
        <c:crossAx val="100665216"/>
        <c:crosses val="autoZero"/>
        <c:crossBetween val="between"/>
        <c:majorUnit val="1"/>
        <c:minorUnit val="0.5"/>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US"/>
  <c:chart>
    <c:autoTitleDeleted val="1"/>
    <c:plotArea>
      <c:layout>
        <c:manualLayout>
          <c:layoutTarget val="inner"/>
          <c:xMode val="edge"/>
          <c:yMode val="edge"/>
          <c:x val="6.2234553676538296E-2"/>
          <c:y val="5.8061360071012653E-2"/>
          <c:w val="0.8954729487274965"/>
          <c:h val="0.70467196918187203"/>
        </c:manualLayout>
      </c:layout>
      <c:barChart>
        <c:barDir val="col"/>
        <c:grouping val="clustered"/>
        <c:ser>
          <c:idx val="0"/>
          <c:order val="0"/>
          <c:spPr>
            <a:solidFill>
              <a:schemeClr val="accent1"/>
            </a:solidFill>
            <a:ln>
              <a:noFill/>
            </a:ln>
            <a:effectLst/>
          </c:spPr>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'Dothi_cac quyI.II_2019_2022'!$C$7:$J$7</c:f>
              <c:strCache>
                <c:ptCount val="8"/>
                <c:pt idx="0">
                  <c:v>Quarter I
of 2019</c:v>
                </c:pt>
                <c:pt idx="1">
                  <c:v>Quarter II
of 2019</c:v>
                </c:pt>
                <c:pt idx="2">
                  <c:v>Quarter I
of 2020</c:v>
                </c:pt>
                <c:pt idx="3">
                  <c:v>Quarter II
of 2020</c:v>
                </c:pt>
                <c:pt idx="4">
                  <c:v>Quarter I
of 2021</c:v>
                </c:pt>
                <c:pt idx="5">
                  <c:v>Quarter II
of 2021</c:v>
                </c:pt>
                <c:pt idx="6">
                  <c:v>Quarter I
of 2022</c:v>
                </c:pt>
                <c:pt idx="7">
                  <c:v>Quarter II
of 2022</c:v>
                </c:pt>
              </c:strCache>
            </c:strRef>
          </c:cat>
          <c:val>
            <c:numRef>
              <c:f>'Dothi_cac quyI.II_2019_2022'!$C$8:$J$8</c:f>
              <c:numCache>
                <c:formatCode>#,#00</c:formatCode>
                <c:ptCount val="8"/>
                <c:pt idx="0">
                  <c:v>5.99</c:v>
                </c:pt>
                <c:pt idx="1">
                  <c:v>5.78</c:v>
                </c:pt>
                <c:pt idx="2">
                  <c:v>6.18</c:v>
                </c:pt>
                <c:pt idx="3">
                  <c:v>5.52</c:v>
                </c:pt>
                <c:pt idx="4">
                  <c:v>6.29</c:v>
                </c:pt>
                <c:pt idx="5">
                  <c:v>6.06</c:v>
                </c:pt>
                <c:pt idx="6">
                  <c:v>6.4</c:v>
                </c:pt>
                <c:pt idx="7">
                  <c:v>6.6099999999999994</c:v>
                </c:pt>
              </c:numCache>
            </c:numRef>
          </c:val>
          <c:extLst xmlns:c16r2="http://schemas.microsoft.com/office/drawing/2015/06/chart">
            <c:ext xmlns:c16="http://schemas.microsoft.com/office/drawing/2014/chart" uri="{C3380CC4-5D6E-409C-BE32-E72D297353CC}">
              <c16:uniqueId val="{00000000-7A37-46B0-BE84-FF1F70190A93}"/>
            </c:ext>
          </c:extLst>
        </c:ser>
        <c:dLbls/>
        <c:gapWidth val="219"/>
        <c:overlap val="-27"/>
        <c:axId val="100687232"/>
        <c:axId val="100721792"/>
      </c:barChart>
      <c:catAx>
        <c:axId val="100687232"/>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00721792"/>
        <c:crosses val="autoZero"/>
        <c:auto val="1"/>
        <c:lblAlgn val="ctr"/>
        <c:lblOffset val="100"/>
      </c:catAx>
      <c:valAx>
        <c:axId val="100721792"/>
        <c:scaling>
          <c:orientation val="minMax"/>
        </c:scaling>
        <c:delete val="1"/>
        <c:axPos val="l"/>
        <c:numFmt formatCode="#,#00" sourceLinked="1"/>
        <c:majorTickMark val="none"/>
        <c:tickLblPos val="none"/>
        <c:crossAx val="100687232"/>
        <c:crosses val="autoZero"/>
        <c:crossBetween val="between"/>
        <c:majorUnit val="0.4"/>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US"/>
  <c:chart>
    <c:autoTitleDeleted val="1"/>
    <c:plotArea>
      <c:layout/>
      <c:barChart>
        <c:barDir val="col"/>
        <c:grouping val="clustered"/>
        <c:ser>
          <c:idx val="0"/>
          <c:order val="0"/>
          <c:tx>
            <c:strRef>
              <c:f>'Do thi_q2 2022_region'!$C$49</c:f>
              <c:strCache>
                <c:ptCount val="1"/>
                <c:pt idx="0">
                  <c:v>Quarter II of 2020</c:v>
                </c:pt>
              </c:strCache>
            </c:strRef>
          </c:tx>
          <c:spPr>
            <a:pattFill prst="pct25">
              <a:fgClr>
                <a:srgbClr val="0070C0"/>
              </a:fgClr>
              <a:bgClr>
                <a:schemeClr val="bg1"/>
              </a:bgClr>
            </a:pattFill>
            <a:ln>
              <a:solidFill>
                <a:schemeClr val="accent1"/>
              </a:solidFill>
            </a:ln>
            <a:effectLst/>
          </c:spPr>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 thi_q2 2022_region'!$B$50:$B$55</c:f>
              <c:strCache>
                <c:ptCount val="6"/>
                <c:pt idx="0">
                  <c:v>Northern Midlands and Mountains</c:v>
                </c:pt>
                <c:pt idx="1">
                  <c:v>Red River Delta</c:v>
                </c:pt>
                <c:pt idx="2">
                  <c:v>North and South Central Coast</c:v>
                </c:pt>
                <c:pt idx="3">
                  <c:v>Central Highland</c:v>
                </c:pt>
                <c:pt idx="4">
                  <c:v>Southeast</c:v>
                </c:pt>
                <c:pt idx="5">
                  <c:v>Mekong River Delta</c:v>
                </c:pt>
              </c:strCache>
            </c:strRef>
          </c:cat>
          <c:val>
            <c:numRef>
              <c:f>'Do thi_q2 2022_region'!$C$50:$C$55</c:f>
              <c:numCache>
                <c:formatCode>#,#00</c:formatCode>
                <c:ptCount val="6"/>
                <c:pt idx="0">
                  <c:v>4.7</c:v>
                </c:pt>
                <c:pt idx="1">
                  <c:v>6.6199999999999992</c:v>
                </c:pt>
                <c:pt idx="2">
                  <c:v>5.14</c:v>
                </c:pt>
                <c:pt idx="3">
                  <c:v>4.3899999999999997</c:v>
                </c:pt>
                <c:pt idx="4">
                  <c:v>7.96</c:v>
                </c:pt>
                <c:pt idx="5">
                  <c:v>5.22</c:v>
                </c:pt>
              </c:numCache>
            </c:numRef>
          </c:val>
          <c:extLst xmlns:c16r2="http://schemas.microsoft.com/office/drawing/2015/06/chart">
            <c:ext xmlns:c16="http://schemas.microsoft.com/office/drawing/2014/chart" uri="{C3380CC4-5D6E-409C-BE32-E72D297353CC}">
              <c16:uniqueId val="{00000000-A35F-4039-8AE3-3E0605A00988}"/>
            </c:ext>
          </c:extLst>
        </c:ser>
        <c:ser>
          <c:idx val="1"/>
          <c:order val="1"/>
          <c:tx>
            <c:strRef>
              <c:f>'Do thi_q2 2022_region'!$D$49</c:f>
              <c:strCache>
                <c:ptCount val="1"/>
                <c:pt idx="0">
                  <c:v>Quarter II of 2021</c:v>
                </c:pt>
              </c:strCache>
            </c:strRef>
          </c:tx>
          <c:spPr>
            <a:pattFill prst="pct40">
              <a:fgClr>
                <a:srgbClr val="0070C0"/>
              </a:fgClr>
              <a:bgClr>
                <a:schemeClr val="bg1"/>
              </a:bgClr>
            </a:pattFill>
            <a:ln>
              <a:noFill/>
            </a:ln>
            <a:effectLst/>
          </c:spPr>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 thi_q2 2022_region'!$B$50:$B$55</c:f>
              <c:strCache>
                <c:ptCount val="6"/>
                <c:pt idx="0">
                  <c:v>Northern Midlands and Mountains</c:v>
                </c:pt>
                <c:pt idx="1">
                  <c:v>Red River Delta</c:v>
                </c:pt>
                <c:pt idx="2">
                  <c:v>North and South Central Coast</c:v>
                </c:pt>
                <c:pt idx="3">
                  <c:v>Central Highland</c:v>
                </c:pt>
                <c:pt idx="4">
                  <c:v>Southeast</c:v>
                </c:pt>
                <c:pt idx="5">
                  <c:v>Mekong River Delta</c:v>
                </c:pt>
              </c:strCache>
            </c:strRef>
          </c:cat>
          <c:val>
            <c:numRef>
              <c:f>'Do thi_q2 2022_region'!$D$50:$D$55</c:f>
              <c:numCache>
                <c:formatCode>#,#00</c:formatCode>
                <c:ptCount val="6"/>
                <c:pt idx="0">
                  <c:v>4.3889299999999993</c:v>
                </c:pt>
                <c:pt idx="1">
                  <c:v>6.3744099999999992</c:v>
                </c:pt>
                <c:pt idx="2">
                  <c:v>4.8160299999999996</c:v>
                </c:pt>
                <c:pt idx="3">
                  <c:v>4.0668600000000001</c:v>
                </c:pt>
                <c:pt idx="4">
                  <c:v>5.6535299999999991</c:v>
                </c:pt>
                <c:pt idx="5">
                  <c:v>4.5213700000000001</c:v>
                </c:pt>
              </c:numCache>
            </c:numRef>
          </c:val>
          <c:extLst xmlns:c16r2="http://schemas.microsoft.com/office/drawing/2015/06/chart">
            <c:ext xmlns:c16="http://schemas.microsoft.com/office/drawing/2014/chart" uri="{C3380CC4-5D6E-409C-BE32-E72D297353CC}">
              <c16:uniqueId val="{00000001-A35F-4039-8AE3-3E0605A00988}"/>
            </c:ext>
          </c:extLst>
        </c:ser>
        <c:ser>
          <c:idx val="2"/>
          <c:order val="2"/>
          <c:tx>
            <c:strRef>
              <c:f>'Do thi_q2 2022_region'!$E$49</c:f>
              <c:strCache>
                <c:ptCount val="1"/>
                <c:pt idx="0">
                  <c:v>Quarter I of 2022</c:v>
                </c:pt>
              </c:strCache>
            </c:strRef>
          </c:tx>
          <c:spPr>
            <a:pattFill prst="pct70">
              <a:fgClr>
                <a:srgbClr val="0070C0"/>
              </a:fgClr>
              <a:bgClr>
                <a:schemeClr val="bg1"/>
              </a:bgClr>
            </a:pattFill>
            <a:ln>
              <a:noFill/>
            </a:ln>
            <a:effectLst/>
          </c:spPr>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 thi_q2 2022_region'!$B$50:$B$55</c:f>
              <c:strCache>
                <c:ptCount val="6"/>
                <c:pt idx="0">
                  <c:v>Northern Midlands and Mountains</c:v>
                </c:pt>
                <c:pt idx="1">
                  <c:v>Red River Delta</c:v>
                </c:pt>
                <c:pt idx="2">
                  <c:v>North and South Central Coast</c:v>
                </c:pt>
                <c:pt idx="3">
                  <c:v>Central Highland</c:v>
                </c:pt>
                <c:pt idx="4">
                  <c:v>Southeast</c:v>
                </c:pt>
                <c:pt idx="5">
                  <c:v>Mekong River Delta</c:v>
                </c:pt>
              </c:strCache>
            </c:strRef>
          </c:cat>
          <c:val>
            <c:numRef>
              <c:f>'Do thi_q2 2022_region'!$E$50:$E$55</c:f>
              <c:numCache>
                <c:formatCode>#,#00</c:formatCode>
                <c:ptCount val="6"/>
                <c:pt idx="0">
                  <c:v>4.8</c:v>
                </c:pt>
                <c:pt idx="1">
                  <c:v>7.4</c:v>
                </c:pt>
                <c:pt idx="2">
                  <c:v>5.5</c:v>
                </c:pt>
                <c:pt idx="3">
                  <c:v>4.5999999999999996</c:v>
                </c:pt>
                <c:pt idx="4">
                  <c:v>8.3000000000000007</c:v>
                </c:pt>
                <c:pt idx="5">
                  <c:v>5.6</c:v>
                </c:pt>
              </c:numCache>
            </c:numRef>
          </c:val>
          <c:extLst xmlns:c16r2="http://schemas.microsoft.com/office/drawing/2015/06/chart">
            <c:ext xmlns:c16="http://schemas.microsoft.com/office/drawing/2014/chart" uri="{C3380CC4-5D6E-409C-BE32-E72D297353CC}">
              <c16:uniqueId val="{00000002-A35F-4039-8AE3-3E0605A00988}"/>
            </c:ext>
          </c:extLst>
        </c:ser>
        <c:ser>
          <c:idx val="3"/>
          <c:order val="3"/>
          <c:tx>
            <c:strRef>
              <c:f>'Do thi_q2 2022_region'!$F$49</c:f>
              <c:strCache>
                <c:ptCount val="1"/>
                <c:pt idx="0">
                  <c:v>Quarter II of 2022</c:v>
                </c:pt>
              </c:strCache>
            </c:strRef>
          </c:tx>
          <c:spPr>
            <a:solidFill>
              <a:schemeClr val="accent4"/>
            </a:solidFill>
            <a:ln>
              <a:noFill/>
            </a:ln>
            <a:effectLst/>
          </c:spPr>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 thi_q2 2022_region'!$B$50:$B$55</c:f>
              <c:strCache>
                <c:ptCount val="6"/>
                <c:pt idx="0">
                  <c:v>Northern Midlands and Mountains</c:v>
                </c:pt>
                <c:pt idx="1">
                  <c:v>Red River Delta</c:v>
                </c:pt>
                <c:pt idx="2">
                  <c:v>North and South Central Coast</c:v>
                </c:pt>
                <c:pt idx="3">
                  <c:v>Central Highland</c:v>
                </c:pt>
                <c:pt idx="4">
                  <c:v>Southeast</c:v>
                </c:pt>
                <c:pt idx="5">
                  <c:v>Mekong River Delta</c:v>
                </c:pt>
              </c:strCache>
            </c:strRef>
          </c:cat>
          <c:val>
            <c:numRef>
              <c:f>'Do thi_q2 2022_region'!$F$50:$F$55</c:f>
              <c:numCache>
                <c:formatCode>#,#00</c:formatCode>
                <c:ptCount val="6"/>
                <c:pt idx="0">
                  <c:v>4.8</c:v>
                </c:pt>
                <c:pt idx="1">
                  <c:v>7.68</c:v>
                </c:pt>
                <c:pt idx="2">
                  <c:v>5.8</c:v>
                </c:pt>
                <c:pt idx="3">
                  <c:v>4.87</c:v>
                </c:pt>
                <c:pt idx="4">
                  <c:v>8.5300000000000011</c:v>
                </c:pt>
                <c:pt idx="5">
                  <c:v>5.92</c:v>
                </c:pt>
              </c:numCache>
            </c:numRef>
          </c:val>
          <c:extLst xmlns:c16r2="http://schemas.microsoft.com/office/drawing/2015/06/chart">
            <c:ext xmlns:c16="http://schemas.microsoft.com/office/drawing/2014/chart" uri="{C3380CC4-5D6E-409C-BE32-E72D297353CC}">
              <c16:uniqueId val="{00000003-A35F-4039-8AE3-3E0605A00988}"/>
            </c:ext>
          </c:extLst>
        </c:ser>
        <c:dLbls/>
        <c:gapWidth val="219"/>
        <c:overlap val="-27"/>
        <c:axId val="100846208"/>
        <c:axId val="100864384"/>
      </c:barChart>
      <c:catAx>
        <c:axId val="100846208"/>
        <c:scaling>
          <c:orientation val="minMax"/>
        </c:scaling>
        <c:axPos val="b"/>
        <c:numFmt formatCode="#,##0.0" sourceLinked="0"/>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00864384"/>
        <c:crosses val="autoZero"/>
        <c:auto val="1"/>
        <c:lblAlgn val="ctr"/>
        <c:lblOffset val="100"/>
      </c:catAx>
      <c:valAx>
        <c:axId val="100864384"/>
        <c:scaling>
          <c:orientation val="minMax"/>
          <c:max val="10"/>
        </c:scaling>
        <c:delete val="1"/>
        <c:axPos val="l"/>
        <c:numFmt formatCode="0.0" sourceLinked="0"/>
        <c:majorTickMark val="none"/>
        <c:tickLblPos val="none"/>
        <c:crossAx val="100846208"/>
        <c:crosses val="autoZero"/>
        <c:crossBetween val="between"/>
        <c:majorUnit val="2"/>
      </c:valAx>
      <c:spPr>
        <a:noFill/>
        <a:ln>
          <a:noFill/>
        </a:ln>
        <a:effectLst/>
      </c:spPr>
    </c:plotArea>
    <c:legend>
      <c:legendPos val="b"/>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US"/>
  <c:chart>
    <c:autoTitleDeleted val="1"/>
    <c:plotArea>
      <c:layout/>
      <c:barChart>
        <c:barDir val="bar"/>
        <c:grouping val="clustered"/>
        <c:ser>
          <c:idx val="0"/>
          <c:order val="0"/>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 thi_q2 2022_region'!$M$99:$M$103</c:f>
              <c:strCache>
                <c:ptCount val="5"/>
                <c:pt idx="0">
                  <c:v>Bac Ninh</c:v>
                </c:pt>
                <c:pt idx="1">
                  <c:v>Dong Nai</c:v>
                </c:pt>
                <c:pt idx="2">
                  <c:v>Ha Noi</c:v>
                </c:pt>
                <c:pt idx="3">
                  <c:v>Binh Duong</c:v>
                </c:pt>
                <c:pt idx="4">
                  <c:v>Ho Chi Minh city</c:v>
                </c:pt>
              </c:strCache>
            </c:strRef>
          </c:cat>
          <c:val>
            <c:numRef>
              <c:f>'Do thi_q2 2022_region'!$N$99:$N$103</c:f>
              <c:numCache>
                <c:formatCode>General</c:formatCode>
                <c:ptCount val="5"/>
                <c:pt idx="0">
                  <c:v>8.3000000000000007</c:v>
                </c:pt>
                <c:pt idx="1">
                  <c:v>8.6</c:v>
                </c:pt>
                <c:pt idx="2">
                  <c:v>8.7000000000000011</c:v>
                </c:pt>
                <c:pt idx="3">
                  <c:v>8.9</c:v>
                </c:pt>
                <c:pt idx="4">
                  <c:v>9.1</c:v>
                </c:pt>
              </c:numCache>
            </c:numRef>
          </c:val>
          <c:extLst xmlns:c16r2="http://schemas.microsoft.com/office/drawing/2015/06/chart">
            <c:ext xmlns:c16="http://schemas.microsoft.com/office/drawing/2014/chart" uri="{C3380CC4-5D6E-409C-BE32-E72D297353CC}">
              <c16:uniqueId val="{00000000-3823-4A9E-BE23-A75D3AC8687A}"/>
            </c:ext>
          </c:extLst>
        </c:ser>
        <c:dLbls/>
        <c:gapWidth val="182"/>
        <c:axId val="100893056"/>
        <c:axId val="100894592"/>
      </c:barChart>
      <c:catAx>
        <c:axId val="100893056"/>
        <c:scaling>
          <c:orientation val="minMax"/>
        </c:scaling>
        <c:axPos val="l"/>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00894592"/>
        <c:crosses val="autoZero"/>
        <c:auto val="1"/>
        <c:lblAlgn val="ctr"/>
        <c:lblOffset val="100"/>
      </c:catAx>
      <c:valAx>
        <c:axId val="100894592"/>
        <c:scaling>
          <c:orientation val="minMax"/>
        </c:scaling>
        <c:delete val="1"/>
        <c:axPos val="b"/>
        <c:numFmt formatCode="General" sourceLinked="1"/>
        <c:majorTickMark val="none"/>
        <c:tickLblPos val="none"/>
        <c:crossAx val="100893056"/>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US"/>
  <c:chart>
    <c:autoTitleDeleted val="1"/>
    <c:view3D>
      <c:depthPercent val="100"/>
      <c:rAngAx val="1"/>
    </c:view3D>
    <c:floor>
      <c:spPr>
        <a:noFill/>
        <a:ln>
          <a:noFill/>
        </a:ln>
        <a:effectLst/>
        <a:sp3d/>
      </c:spPr>
    </c:floor>
    <c:sideWall>
      <c:spPr>
        <a:noFill/>
        <a:ln>
          <a:noFill/>
        </a:ln>
        <a:effectLst/>
        <a:sp3d/>
      </c:spPr>
    </c:sideWall>
    <c:backWall>
      <c:spPr>
        <a:noFill/>
        <a:ln>
          <a:noFill/>
        </a:ln>
        <a:effectLst/>
        <a:sp3d/>
      </c:spPr>
    </c:backWall>
    <c:plotArea>
      <c:layout/>
      <c:bar3DChart>
        <c:barDir val="col"/>
        <c:grouping val="clustered"/>
        <c:ser>
          <c:idx val="0"/>
          <c:order val="0"/>
          <c:tx>
            <c:strRef>
              <c:f>'Do thi_Quy2.2022_chung'!$C$36</c:f>
              <c:strCache>
                <c:ptCount val="1"/>
                <c:pt idx="0">
                  <c:v>Quarter II of 2020
</c:v>
                </c:pt>
              </c:strCache>
            </c:strRef>
          </c:tx>
          <c:spPr>
            <a:solidFill>
              <a:schemeClr val="accent1"/>
            </a:solidFill>
            <a:ln>
              <a:noFill/>
            </a:ln>
            <a:effectLst/>
            <a:sp3d/>
          </c:spPr>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 thi_Quy2.2022_chung'!$B$37:$B$40</c:f>
              <c:strCache>
                <c:ptCount val="4"/>
                <c:pt idx="0">
                  <c:v>Total</c:v>
                </c:pt>
                <c:pt idx="1">
                  <c:v>Agriculture, forestry and fishery</c:v>
                </c:pt>
                <c:pt idx="2">
                  <c:v>Industry and Construction</c:v>
                </c:pt>
                <c:pt idx="3">
                  <c:v>Services</c:v>
                </c:pt>
              </c:strCache>
            </c:strRef>
          </c:cat>
          <c:val>
            <c:numRef>
              <c:f>'Do thi_Quy2.2022_chung'!$C$37:$C$40</c:f>
              <c:numCache>
                <c:formatCode>#,#00</c:formatCode>
                <c:ptCount val="4"/>
                <c:pt idx="0">
                  <c:v>5.5157062066584315</c:v>
                </c:pt>
                <c:pt idx="1">
                  <c:v>3.4058229048822501</c:v>
                </c:pt>
                <c:pt idx="2">
                  <c:v>6.2008386015540822</c:v>
                </c:pt>
                <c:pt idx="3">
                  <c:v>6.429168597148176</c:v>
                </c:pt>
              </c:numCache>
            </c:numRef>
          </c:val>
          <c:extLst xmlns:c16r2="http://schemas.microsoft.com/office/drawing/2015/06/chart">
            <c:ext xmlns:c16="http://schemas.microsoft.com/office/drawing/2014/chart" uri="{C3380CC4-5D6E-409C-BE32-E72D297353CC}">
              <c16:uniqueId val="{00000000-1714-4EBD-974A-028D0DC9369C}"/>
            </c:ext>
          </c:extLst>
        </c:ser>
        <c:ser>
          <c:idx val="1"/>
          <c:order val="1"/>
          <c:tx>
            <c:strRef>
              <c:f>'Do thi_Quy2.2022_chung'!$D$36</c:f>
              <c:strCache>
                <c:ptCount val="1"/>
                <c:pt idx="0">
                  <c:v>Quarter II of 2021
</c:v>
                </c:pt>
              </c:strCache>
            </c:strRef>
          </c:tx>
          <c:spPr>
            <a:solidFill>
              <a:schemeClr val="accent2"/>
            </a:solidFill>
            <a:ln>
              <a:noFill/>
            </a:ln>
            <a:effectLst/>
            <a:sp3d/>
          </c:spPr>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 thi_Quy2.2022_chung'!$B$37:$B$40</c:f>
              <c:strCache>
                <c:ptCount val="4"/>
                <c:pt idx="0">
                  <c:v>Total</c:v>
                </c:pt>
                <c:pt idx="1">
                  <c:v>Agriculture, forestry and fishery</c:v>
                </c:pt>
                <c:pt idx="2">
                  <c:v>Industry and Construction</c:v>
                </c:pt>
                <c:pt idx="3">
                  <c:v>Services</c:v>
                </c:pt>
              </c:strCache>
            </c:strRef>
          </c:cat>
          <c:val>
            <c:numRef>
              <c:f>'Do thi_Quy2.2022_chung'!$D$37:$D$40</c:f>
              <c:numCache>
                <c:formatCode>#,#00</c:formatCode>
                <c:ptCount val="4"/>
                <c:pt idx="0">
                  <c:v>6.0631299999999992</c:v>
                </c:pt>
                <c:pt idx="1">
                  <c:v>3.7135700000000007</c:v>
                </c:pt>
                <c:pt idx="2">
                  <c:v>6.7107700000000001</c:v>
                </c:pt>
                <c:pt idx="3">
                  <c:v>7.1763700000000004</c:v>
                </c:pt>
              </c:numCache>
            </c:numRef>
          </c:val>
          <c:extLst xmlns:c16r2="http://schemas.microsoft.com/office/drawing/2015/06/chart">
            <c:ext xmlns:c16="http://schemas.microsoft.com/office/drawing/2014/chart" uri="{C3380CC4-5D6E-409C-BE32-E72D297353CC}">
              <c16:uniqueId val="{00000001-1714-4EBD-974A-028D0DC9369C}"/>
            </c:ext>
          </c:extLst>
        </c:ser>
        <c:ser>
          <c:idx val="2"/>
          <c:order val="2"/>
          <c:tx>
            <c:strRef>
              <c:f>'Do thi_Quy2.2022_chung'!$E$36</c:f>
              <c:strCache>
                <c:ptCount val="1"/>
                <c:pt idx="0">
                  <c:v>Quarter II of 2022
</c:v>
                </c:pt>
              </c:strCache>
            </c:strRef>
          </c:tx>
          <c:spPr>
            <a:solidFill>
              <a:schemeClr val="accent3"/>
            </a:solidFill>
            <a:ln>
              <a:noFill/>
            </a:ln>
            <a:effectLst/>
            <a:sp3d/>
          </c:spPr>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 thi_Quy2.2022_chung'!$B$37:$B$40</c:f>
              <c:strCache>
                <c:ptCount val="4"/>
                <c:pt idx="0">
                  <c:v>Total</c:v>
                </c:pt>
                <c:pt idx="1">
                  <c:v>Agriculture, forestry and fishery</c:v>
                </c:pt>
                <c:pt idx="2">
                  <c:v>Industry and Construction</c:v>
                </c:pt>
                <c:pt idx="3">
                  <c:v>Services</c:v>
                </c:pt>
              </c:strCache>
            </c:strRef>
          </c:cat>
          <c:val>
            <c:numRef>
              <c:f>'Do thi_Quy2.2022_chung'!$E$37:$E$40</c:f>
              <c:numCache>
                <c:formatCode>#,#00</c:formatCode>
                <c:ptCount val="4"/>
                <c:pt idx="0">
                  <c:v>6.6049999999999995</c:v>
                </c:pt>
                <c:pt idx="1">
                  <c:v>3.8383000000000003</c:v>
                </c:pt>
                <c:pt idx="2">
                  <c:v>7.4865000000000004</c:v>
                </c:pt>
                <c:pt idx="3">
                  <c:v>7.8008000000000006</c:v>
                </c:pt>
              </c:numCache>
            </c:numRef>
          </c:val>
          <c:extLst xmlns:c16r2="http://schemas.microsoft.com/office/drawing/2015/06/chart">
            <c:ext xmlns:c16="http://schemas.microsoft.com/office/drawing/2014/chart" uri="{C3380CC4-5D6E-409C-BE32-E72D297353CC}">
              <c16:uniqueId val="{00000002-1714-4EBD-974A-028D0DC9369C}"/>
            </c:ext>
          </c:extLst>
        </c:ser>
        <c:dLbls/>
        <c:shape val="box"/>
        <c:axId val="101135488"/>
        <c:axId val="101137024"/>
        <c:axId val="0"/>
      </c:bar3DChart>
      <c:catAx>
        <c:axId val="101135488"/>
        <c:scaling>
          <c:orientation val="minMax"/>
        </c:scaling>
        <c:axPos val="b"/>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1137024"/>
        <c:crosses val="autoZero"/>
        <c:auto val="1"/>
        <c:lblAlgn val="ctr"/>
        <c:lblOffset val="100"/>
      </c:catAx>
      <c:valAx>
        <c:axId val="101137024"/>
        <c:scaling>
          <c:orientation val="minMax"/>
        </c:scaling>
        <c:delete val="1"/>
        <c:axPos val="l"/>
        <c:majorGridlines>
          <c:spPr>
            <a:ln w="9525" cap="flat" cmpd="sng" algn="ctr">
              <a:noFill/>
              <a:round/>
            </a:ln>
            <a:effectLst/>
          </c:spPr>
        </c:majorGridlines>
        <c:numFmt formatCode="#,#00" sourceLinked="1"/>
        <c:majorTickMark val="none"/>
        <c:tickLblPos val="none"/>
        <c:crossAx val="101135488"/>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chart>
  <c:spPr>
    <a:solidFill>
      <a:schemeClr val="bg1"/>
    </a:solidFill>
    <a:ln w="9525" cap="flat" cmpd="sng" algn="ctr">
      <a:noFill/>
      <a:round/>
    </a:ln>
    <a:effectLst/>
  </c:spPr>
  <c:txPr>
    <a:bodyPr/>
    <a:lstStyle/>
    <a:p>
      <a:pPr>
        <a:defRPr/>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73EC93-55C9-433A-822E-3320D67438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4868</Words>
  <Characters>27753</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32556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ngthudung</dc:creator>
  <cp:lastModifiedBy>huyenntt</cp:lastModifiedBy>
  <cp:revision>2</cp:revision>
  <cp:lastPrinted>2021-01-05T03:08:00Z</cp:lastPrinted>
  <dcterms:created xsi:type="dcterms:W3CDTF">2022-07-12T02:03:00Z</dcterms:created>
  <dcterms:modified xsi:type="dcterms:W3CDTF">2022-07-12T02:03:00Z</dcterms:modified>
</cp:coreProperties>
</file>