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D162C" w14:textId="57A25619" w:rsidR="00E8607E" w:rsidRDefault="00E8607E" w:rsidP="00E8607E">
      <w:pPr>
        <w:spacing w:line="276" w:lineRule="auto"/>
        <w:jc w:val="center"/>
        <w:rPr>
          <w:rFonts w:asciiTheme="minorHAnsi" w:hAnsiTheme="minorHAnsi" w:cs=".VnArialH"/>
          <w:b/>
          <w:bCs/>
          <w:sz w:val="2"/>
          <w:szCs w:val="2"/>
        </w:rPr>
      </w:pPr>
    </w:p>
    <w:p w14:paraId="09CDDABF" w14:textId="394D86D0" w:rsidR="00EC4F09" w:rsidRDefault="00EC4F09" w:rsidP="00E8607E">
      <w:pPr>
        <w:spacing w:line="276" w:lineRule="auto"/>
        <w:jc w:val="center"/>
        <w:rPr>
          <w:rFonts w:asciiTheme="minorHAnsi" w:hAnsiTheme="minorHAnsi" w:cs=".VnArialH"/>
          <w:b/>
          <w:bCs/>
          <w:sz w:val="2"/>
          <w:szCs w:val="2"/>
        </w:rPr>
      </w:pPr>
    </w:p>
    <w:p w14:paraId="6E39A098" w14:textId="33D2C88D" w:rsidR="00EC4F09" w:rsidRDefault="00EC4F09" w:rsidP="00E8607E">
      <w:pPr>
        <w:spacing w:line="276" w:lineRule="auto"/>
        <w:jc w:val="center"/>
        <w:rPr>
          <w:rFonts w:asciiTheme="minorHAnsi" w:hAnsiTheme="minorHAnsi" w:cs=".VnArialH"/>
          <w:b/>
          <w:bCs/>
          <w:sz w:val="2"/>
          <w:szCs w:val="2"/>
        </w:rPr>
      </w:pPr>
    </w:p>
    <w:tbl>
      <w:tblPr>
        <w:tblpPr w:leftFromText="180" w:rightFromText="180" w:vertAnchor="text" w:horzAnchor="margin" w:tblpXSpec="center" w:tblpY="-386"/>
        <w:tblW w:w="10710" w:type="dxa"/>
        <w:tblLayout w:type="fixed"/>
        <w:tblLook w:val="0000" w:firstRow="0" w:lastRow="0" w:firstColumn="0" w:lastColumn="0" w:noHBand="0" w:noVBand="0"/>
      </w:tblPr>
      <w:tblGrid>
        <w:gridCol w:w="5490"/>
        <w:gridCol w:w="5220"/>
      </w:tblGrid>
      <w:tr w:rsidR="00EC4F09" w:rsidRPr="00974B69" w14:paraId="59CCE4DE" w14:textId="77777777" w:rsidTr="00255053">
        <w:trPr>
          <w:trHeight w:val="1026"/>
        </w:trPr>
        <w:tc>
          <w:tcPr>
            <w:tcW w:w="5490" w:type="dxa"/>
          </w:tcPr>
          <w:p w14:paraId="3C4A6216" w14:textId="77777777" w:rsidR="00EC4F09" w:rsidRDefault="00EC4F09" w:rsidP="00255053">
            <w:pPr>
              <w:ind w:left="72" w:right="-115"/>
              <w:jc w:val="center"/>
              <w:rPr>
                <w:spacing w:val="-6"/>
                <w:sz w:val="24"/>
                <w:szCs w:val="24"/>
              </w:rPr>
            </w:pPr>
            <w:r w:rsidRPr="00974B69">
              <w:rPr>
                <w:spacing w:val="-6"/>
                <w:sz w:val="24"/>
                <w:szCs w:val="24"/>
              </w:rPr>
              <w:softHyphen/>
            </w:r>
            <w:r w:rsidRPr="00974B69">
              <w:rPr>
                <w:spacing w:val="-6"/>
                <w:sz w:val="24"/>
                <w:szCs w:val="24"/>
              </w:rPr>
              <w:softHyphen/>
            </w:r>
            <w:r w:rsidRPr="00974B69">
              <w:rPr>
                <w:spacing w:val="-6"/>
                <w:sz w:val="24"/>
                <w:szCs w:val="24"/>
              </w:rPr>
              <w:softHyphen/>
            </w:r>
            <w:r w:rsidRPr="00974B69">
              <w:rPr>
                <w:spacing w:val="-6"/>
                <w:sz w:val="24"/>
                <w:szCs w:val="24"/>
              </w:rPr>
              <w:softHyphen/>
              <w:t>MINISTRY OF PLANNING AND INVESTMENT</w:t>
            </w:r>
          </w:p>
          <w:p w14:paraId="0CA1A875" w14:textId="77777777" w:rsidR="00EC4F09" w:rsidRPr="00974B69" w:rsidRDefault="00EC4F09" w:rsidP="00255053">
            <w:pPr>
              <w:ind w:left="72" w:right="-115"/>
              <w:jc w:val="center"/>
              <w:rPr>
                <w:b/>
                <w:bCs/>
                <w:spacing w:val="-6"/>
                <w:sz w:val="24"/>
                <w:szCs w:val="24"/>
              </w:rPr>
            </w:pPr>
            <w:r>
              <w:rPr>
                <w:rFonts w:ascii="Calibri" w:hAnsi="Calibri" w:cs="Calibri"/>
                <w:noProof/>
                <w:sz w:val="22"/>
                <w:szCs w:val="22"/>
                <w:lang w:val="en-US"/>
              </w:rPr>
              <mc:AlternateContent>
                <mc:Choice Requires="wps">
                  <w:drawing>
                    <wp:anchor distT="4294967291" distB="4294967291" distL="114300" distR="114300" simplePos="0" relativeHeight="251673088" behindDoc="0" locked="0" layoutInCell="1" allowOverlap="1" wp14:anchorId="24751076" wp14:editId="3A05435A">
                      <wp:simplePos x="0" y="0"/>
                      <wp:positionH relativeFrom="column">
                        <wp:posOffset>1145540</wp:posOffset>
                      </wp:positionH>
                      <wp:positionV relativeFrom="paragraph">
                        <wp:posOffset>203199</wp:posOffset>
                      </wp:positionV>
                      <wp:extent cx="97155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669CC8" id="Straight Connector 9" o:spid="_x0000_s1026" style="position:absolute;z-index:2516730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974B69">
              <w:rPr>
                <w:b/>
                <w:bCs/>
                <w:spacing w:val="-6"/>
                <w:sz w:val="24"/>
                <w:szCs w:val="24"/>
              </w:rPr>
              <w:t>GENERAL STATISTICS OFFICE</w:t>
            </w:r>
          </w:p>
          <w:p w14:paraId="30C84867" w14:textId="77777777" w:rsidR="00EC4F09" w:rsidRDefault="00EC4F09" w:rsidP="00255053">
            <w:pPr>
              <w:spacing w:before="120"/>
              <w:ind w:left="16" w:right="-18"/>
              <w:jc w:val="center"/>
              <w:rPr>
                <w:sz w:val="26"/>
                <w:szCs w:val="26"/>
              </w:rPr>
            </w:pPr>
          </w:p>
          <w:p w14:paraId="0E8E5E3B" w14:textId="77777777" w:rsidR="00EC4F09" w:rsidRPr="00974B69" w:rsidRDefault="00EC4F09" w:rsidP="00255053">
            <w:pPr>
              <w:spacing w:before="120"/>
              <w:ind w:left="16" w:right="-18"/>
              <w:jc w:val="center"/>
              <w:rPr>
                <w:sz w:val="26"/>
                <w:szCs w:val="26"/>
              </w:rPr>
            </w:pPr>
            <w:r w:rsidRPr="00974B69">
              <w:rPr>
                <w:sz w:val="26"/>
                <w:szCs w:val="26"/>
              </w:rPr>
              <w:t xml:space="preserve">No: </w:t>
            </w:r>
            <w:r>
              <w:rPr>
                <w:sz w:val="26"/>
                <w:szCs w:val="26"/>
              </w:rPr>
              <w:t>1</w:t>
            </w:r>
            <w:r>
              <w:rPr>
                <w:sz w:val="26"/>
                <w:szCs w:val="26"/>
                <w:lang w:val="en-US"/>
              </w:rPr>
              <w:t>88</w:t>
            </w:r>
            <w:r w:rsidRPr="00974B69">
              <w:rPr>
                <w:sz w:val="26"/>
                <w:szCs w:val="26"/>
              </w:rPr>
              <w:t>/BC-TCTK</w:t>
            </w:r>
          </w:p>
        </w:tc>
        <w:tc>
          <w:tcPr>
            <w:tcW w:w="5220" w:type="dxa"/>
          </w:tcPr>
          <w:p w14:paraId="06C1A380" w14:textId="77777777" w:rsidR="00EC4F09" w:rsidRPr="00974B69" w:rsidRDefault="00EC4F09" w:rsidP="00255053">
            <w:pPr>
              <w:rPr>
                <w:b/>
                <w:bCs/>
                <w:sz w:val="24"/>
                <w:szCs w:val="24"/>
              </w:rPr>
            </w:pPr>
            <w:r w:rsidRPr="00974B69">
              <w:rPr>
                <w:b/>
                <w:bCs/>
                <w:sz w:val="24"/>
                <w:szCs w:val="24"/>
              </w:rPr>
              <w:t>SOCIALIST REPUBLIC OF VIET NAM</w:t>
            </w:r>
          </w:p>
          <w:p w14:paraId="4DAA2377" w14:textId="77777777" w:rsidR="00EC4F09" w:rsidRPr="00974B69" w:rsidRDefault="00EC4F09" w:rsidP="00255053">
            <w:pPr>
              <w:rPr>
                <w:b/>
                <w:bCs/>
                <w:sz w:val="24"/>
                <w:szCs w:val="24"/>
              </w:rPr>
            </w:pPr>
            <w:r>
              <w:rPr>
                <w:rFonts w:ascii="Calibri" w:hAnsi="Calibri" w:cs="Calibri"/>
                <w:noProof/>
                <w:sz w:val="22"/>
                <w:szCs w:val="22"/>
                <w:lang w:val="en-US"/>
              </w:rPr>
              <mc:AlternateContent>
                <mc:Choice Requires="wps">
                  <w:drawing>
                    <wp:anchor distT="4294967291" distB="4294967291" distL="114300" distR="114300" simplePos="0" relativeHeight="251674112" behindDoc="0" locked="0" layoutInCell="1" allowOverlap="1" wp14:anchorId="76F5AE48" wp14:editId="4A2BF126">
                      <wp:simplePos x="0" y="0"/>
                      <wp:positionH relativeFrom="column">
                        <wp:posOffset>336550</wp:posOffset>
                      </wp:positionH>
                      <wp:positionV relativeFrom="paragraph">
                        <wp:posOffset>203199</wp:posOffset>
                      </wp:positionV>
                      <wp:extent cx="1884045"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F8858C" id="Straight Connector 13" o:spid="_x0000_s1026" style="position:absolute;z-index:2516741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sidRPr="00974B69">
              <w:rPr>
                <w:b/>
                <w:bCs/>
                <w:sz w:val="24"/>
                <w:szCs w:val="24"/>
              </w:rPr>
              <w:t>Independence-Freedom-Happiness</w:t>
            </w:r>
          </w:p>
          <w:p w14:paraId="131F6E64" w14:textId="77777777" w:rsidR="00EC4F09" w:rsidRDefault="00EC4F09" w:rsidP="00255053">
            <w:pPr>
              <w:ind w:left="72"/>
              <w:jc w:val="center"/>
              <w:rPr>
                <w:i/>
                <w:iCs/>
                <w:sz w:val="26"/>
                <w:szCs w:val="26"/>
              </w:rPr>
            </w:pPr>
          </w:p>
          <w:p w14:paraId="37DAA3DB" w14:textId="77777777" w:rsidR="00EC4F09" w:rsidRPr="00974B69" w:rsidRDefault="00EC4F09" w:rsidP="00255053">
            <w:pPr>
              <w:ind w:left="72" w:right="849"/>
              <w:jc w:val="center"/>
              <w:rPr>
                <w:b/>
                <w:bCs/>
                <w:i/>
                <w:iCs/>
                <w:sz w:val="26"/>
                <w:szCs w:val="26"/>
              </w:rPr>
            </w:pPr>
            <w:r w:rsidRPr="00974B69">
              <w:rPr>
                <w:i/>
                <w:iCs/>
                <w:sz w:val="26"/>
                <w:szCs w:val="26"/>
              </w:rPr>
              <w:t>Ha Noi, 29</w:t>
            </w:r>
            <w:r w:rsidRPr="00974B69">
              <w:rPr>
                <w:i/>
                <w:iCs/>
                <w:sz w:val="26"/>
                <w:szCs w:val="26"/>
                <w:vertAlign w:val="superscript"/>
              </w:rPr>
              <w:t>th</w:t>
            </w:r>
            <w:r w:rsidRPr="00974B69">
              <w:rPr>
                <w:i/>
                <w:iCs/>
                <w:sz w:val="26"/>
                <w:szCs w:val="26"/>
              </w:rPr>
              <w:t xml:space="preserve"> </w:t>
            </w:r>
            <w:r>
              <w:rPr>
                <w:i/>
                <w:iCs/>
                <w:sz w:val="26"/>
                <w:szCs w:val="26"/>
                <w:lang w:val="en-US"/>
              </w:rPr>
              <w:t>August</w:t>
            </w:r>
            <w:r w:rsidRPr="00974B69">
              <w:rPr>
                <w:i/>
                <w:iCs/>
                <w:sz w:val="26"/>
                <w:szCs w:val="26"/>
              </w:rPr>
              <w:t xml:space="preserve"> 202</w:t>
            </w:r>
            <w:r>
              <w:rPr>
                <w:i/>
                <w:iCs/>
                <w:sz w:val="26"/>
                <w:szCs w:val="26"/>
              </w:rPr>
              <w:t>2</w:t>
            </w:r>
          </w:p>
        </w:tc>
      </w:tr>
    </w:tbl>
    <w:p w14:paraId="3864A144" w14:textId="77777777" w:rsidR="00EC4F09" w:rsidRPr="00EC4F09" w:rsidRDefault="00EC4F09" w:rsidP="00E8607E">
      <w:pPr>
        <w:spacing w:line="276" w:lineRule="auto"/>
        <w:jc w:val="center"/>
        <w:rPr>
          <w:rFonts w:asciiTheme="minorHAnsi" w:hAnsiTheme="minorHAnsi" w:cs=".VnArialH"/>
          <w:b/>
          <w:bCs/>
          <w:sz w:val="2"/>
          <w:szCs w:val="2"/>
        </w:rPr>
      </w:pPr>
    </w:p>
    <w:p w14:paraId="1E987A04" w14:textId="09A1FFC7" w:rsidR="00E8607E" w:rsidRDefault="00E8607E" w:rsidP="00E8607E">
      <w:pPr>
        <w:jc w:val="center"/>
        <w:rPr>
          <w:b/>
          <w:bCs/>
          <w:sz w:val="22"/>
          <w:szCs w:val="48"/>
        </w:rPr>
      </w:pPr>
    </w:p>
    <w:p w14:paraId="26DE1DD5" w14:textId="77777777" w:rsidR="00E2557B" w:rsidRPr="00CC6FF0" w:rsidRDefault="00E2557B" w:rsidP="00E8607E">
      <w:pPr>
        <w:jc w:val="center"/>
        <w:rPr>
          <w:b/>
          <w:bCs/>
          <w:sz w:val="22"/>
          <w:szCs w:val="48"/>
        </w:rPr>
      </w:pPr>
    </w:p>
    <w:p w14:paraId="5A8DB1CF" w14:textId="77777777" w:rsidR="00E8607E" w:rsidRPr="00120FE9" w:rsidRDefault="00E8607E" w:rsidP="00E8607E">
      <w:pPr>
        <w:spacing w:before="20"/>
        <w:jc w:val="center"/>
        <w:rPr>
          <w:b/>
          <w:bCs/>
          <w:sz w:val="2"/>
          <w:szCs w:val="36"/>
        </w:rPr>
      </w:pPr>
    </w:p>
    <w:p w14:paraId="290F9A3F" w14:textId="77777777" w:rsidR="003401B3" w:rsidRDefault="003401B3" w:rsidP="003401B3">
      <w:pPr>
        <w:spacing w:line="245" w:lineRule="auto"/>
        <w:jc w:val="center"/>
        <w:rPr>
          <w:b/>
          <w:bCs/>
          <w:sz w:val="32"/>
          <w:szCs w:val="32"/>
          <w:lang w:val="pt-BR"/>
        </w:rPr>
      </w:pPr>
      <w:r w:rsidRPr="006D7720">
        <w:rPr>
          <w:b/>
          <w:bCs/>
          <w:sz w:val="32"/>
          <w:szCs w:val="32"/>
          <w:lang w:val="pt-BR"/>
        </w:rPr>
        <w:t xml:space="preserve">Socio-economic situation report </w:t>
      </w:r>
    </w:p>
    <w:p w14:paraId="569D2C2A" w14:textId="77777777" w:rsidR="003401B3" w:rsidRPr="00D2474C" w:rsidRDefault="003401B3" w:rsidP="003401B3">
      <w:pPr>
        <w:spacing w:line="245" w:lineRule="auto"/>
        <w:jc w:val="center"/>
        <w:rPr>
          <w:b/>
          <w:bCs/>
          <w:sz w:val="34"/>
          <w:szCs w:val="34"/>
        </w:rPr>
      </w:pPr>
      <w:r>
        <w:rPr>
          <w:b/>
          <w:bCs/>
          <w:sz w:val="32"/>
          <w:szCs w:val="32"/>
          <w:lang w:val="pt-BR"/>
        </w:rPr>
        <w:t>in August and the 8 months of 2022</w:t>
      </w:r>
    </w:p>
    <w:p w14:paraId="24643959" w14:textId="77777777" w:rsidR="00E8607E" w:rsidRPr="00CC6FF0" w:rsidRDefault="00E8607E" w:rsidP="00E8607E">
      <w:pPr>
        <w:spacing w:before="20"/>
        <w:jc w:val="center"/>
        <w:rPr>
          <w:b/>
          <w:sz w:val="36"/>
          <w:lang w:val="fr-FR"/>
        </w:rPr>
      </w:pPr>
      <w:r w:rsidRPr="00CC6FF0">
        <w:rPr>
          <w:b/>
          <w:noProof/>
          <w:sz w:val="36"/>
          <w:lang w:val="en-US"/>
        </w:rPr>
        <mc:AlternateContent>
          <mc:Choice Requires="wps">
            <w:drawing>
              <wp:anchor distT="4294967294" distB="4294967294" distL="114300" distR="114300" simplePos="0" relativeHeight="251660800" behindDoc="0" locked="0" layoutInCell="1" allowOverlap="1" wp14:anchorId="05599807" wp14:editId="1AE87872">
                <wp:simplePos x="0" y="0"/>
                <wp:positionH relativeFrom="column">
                  <wp:posOffset>2136140</wp:posOffset>
                </wp:positionH>
                <wp:positionV relativeFrom="paragraph">
                  <wp:posOffset>26034</wp:posOffset>
                </wp:positionV>
                <wp:extent cx="1412875" cy="0"/>
                <wp:effectExtent l="0" t="0" r="158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4CADD6"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Z2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nk2mT9MMaJXX0KKa6Kxzn/mukfBKLHzloi285VWCoTXNotlyOHZ&#10;+UCLFNeEUFXpjZAy6i8VGkq8mE6mMcFpKVhwhjBn210lLTqQsEHxF3sEz32Y1XvFIljHCVtfbE+E&#10;PNtQXKqAB40BnYt1XpEfi3Sxnq/n+SifzNajPK3r0dOmykezTfYwrT/VVVVnPwO1LC86wRhXgd11&#10;XbP879bh8nDOi3Zb2NsYkvfocV5A9vofSUdlg5jntdhpdtraq+KwoTH48prCE7i/g33/5le/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DTeyZ2HgIAADsEAAAOAAAAAAAAAAAAAAAAAC4CAABkcnMvZTJvRG9jLnhtbFBLAQIt&#10;ABQABgAIAAAAIQDeLF5J3AAAAAcBAAAPAAAAAAAAAAAAAAAAAHgEAABkcnMvZG93bnJldi54bWxQ&#10;SwUGAAAAAAQABADzAAAAgQUAAAAA&#10;"/>
            </w:pict>
          </mc:Fallback>
        </mc:AlternateContent>
      </w:r>
    </w:p>
    <w:p w14:paraId="26B25197" w14:textId="161D44BC" w:rsidR="002D7123" w:rsidRPr="00CC6FF0" w:rsidRDefault="002D7123" w:rsidP="00CC6FF0">
      <w:pPr>
        <w:spacing w:before="40" w:after="40" w:line="269" w:lineRule="auto"/>
        <w:ind w:firstLine="567"/>
        <w:jc w:val="both"/>
        <w:rPr>
          <w:b/>
          <w:lang w:val="fr-FR"/>
        </w:rPr>
      </w:pPr>
      <w:r w:rsidRPr="00CC6FF0">
        <w:rPr>
          <w:b/>
          <w:lang w:val="fr-FR"/>
        </w:rPr>
        <w:t xml:space="preserve">1. </w:t>
      </w:r>
      <w:r w:rsidR="00E209CA" w:rsidRPr="00E209CA">
        <w:rPr>
          <w:b/>
          <w:lang w:val="fr-FR"/>
        </w:rPr>
        <w:t>Agriculture, forestry, and fishery</w:t>
      </w:r>
    </w:p>
    <w:p w14:paraId="65D0DDF3" w14:textId="464EC27A" w:rsidR="00133A85" w:rsidRPr="00133A85" w:rsidRDefault="00133A85" w:rsidP="00133A85">
      <w:pPr>
        <w:tabs>
          <w:tab w:val="left" w:pos="720"/>
        </w:tabs>
        <w:spacing w:before="40" w:after="40" w:line="269" w:lineRule="auto"/>
        <w:jc w:val="both"/>
        <w:rPr>
          <w:rFonts w:eastAsia="Calibri"/>
          <w:b/>
          <w:bCs/>
          <w:i/>
          <w:iCs/>
        </w:rPr>
      </w:pPr>
      <w:r>
        <w:rPr>
          <w:i/>
          <w:lang w:val="sv-SE"/>
        </w:rPr>
        <w:tab/>
      </w:r>
      <w:r w:rsidRPr="00133A85">
        <w:rPr>
          <w:i/>
          <w:lang w:val="sv-SE"/>
        </w:rPr>
        <w:t>Agricultural production in the month focuses mainly on planting and taking care of winter rice; harvesting rice and others in the summer-autumn crop and at the same time sowing rice for the</w:t>
      </w:r>
      <w:r w:rsidR="00877D40">
        <w:rPr>
          <w:i/>
          <w:lang w:val="sv-SE"/>
        </w:rPr>
        <w:t>7</w:t>
      </w:r>
      <w:r w:rsidRPr="00133A85">
        <w:rPr>
          <w:i/>
          <w:lang w:val="sv-SE"/>
        </w:rPr>
        <w:t xml:space="preserve"> autumn-winter crop. Livestock development was stable. Forestry production took place relatively smoothly, logging was actively deployed. Aquaculture fishery showed signs of slowing down; marine fishing faces many difficulties due to unfavorable weather conditions for offshore fishing.</w:t>
      </w:r>
    </w:p>
    <w:p w14:paraId="2E4C537F" w14:textId="0EE0EC2B" w:rsidR="002D7123" w:rsidRPr="00CC6FF0" w:rsidRDefault="00E209CA" w:rsidP="00CC6FF0">
      <w:pPr>
        <w:pStyle w:val="ListParagraph"/>
        <w:numPr>
          <w:ilvl w:val="0"/>
          <w:numId w:val="7"/>
        </w:numPr>
        <w:tabs>
          <w:tab w:val="left" w:pos="720"/>
        </w:tabs>
        <w:spacing w:before="40" w:after="40" w:line="269" w:lineRule="auto"/>
        <w:jc w:val="both"/>
        <w:rPr>
          <w:b/>
          <w:bCs/>
          <w:i/>
          <w:iCs/>
        </w:rPr>
      </w:pPr>
      <w:r w:rsidRPr="00FC6273">
        <w:rPr>
          <w:b/>
          <w:bCs/>
          <w:i/>
          <w:lang w:val="de-DE"/>
        </w:rPr>
        <w:t>Agriculture</w:t>
      </w:r>
      <w:r w:rsidRPr="00CC6FF0">
        <w:rPr>
          <w:b/>
          <w:bCs/>
          <w:i/>
          <w:iCs/>
        </w:rPr>
        <w:t xml:space="preserve"> </w:t>
      </w:r>
    </w:p>
    <w:p w14:paraId="7B7AEC66" w14:textId="77777777" w:rsidR="00F1701D" w:rsidRDefault="00F1701D" w:rsidP="00CC6FF0">
      <w:pPr>
        <w:tabs>
          <w:tab w:val="left" w:pos="0"/>
        </w:tabs>
        <w:spacing w:before="40" w:after="40" w:line="269" w:lineRule="auto"/>
        <w:ind w:firstLine="567"/>
        <w:jc w:val="both"/>
        <w:rPr>
          <w:i/>
          <w:iCs/>
          <w:lang w:val="en-US"/>
        </w:rPr>
      </w:pPr>
      <w:r w:rsidRPr="00F1701D">
        <w:rPr>
          <w:i/>
          <w:iCs/>
          <w:lang w:val="en-US"/>
        </w:rPr>
        <w:t>Winter rice</w:t>
      </w:r>
    </w:p>
    <w:p w14:paraId="29D24B84" w14:textId="77777777" w:rsidR="007E4A6D" w:rsidRDefault="007E4A6D" w:rsidP="007E4A6D">
      <w:pPr>
        <w:pStyle w:val="Normal1"/>
        <w:spacing w:before="0" w:beforeAutospacing="0" w:after="0" w:afterAutospacing="0" w:line="276" w:lineRule="auto"/>
        <w:ind w:firstLine="567"/>
        <w:jc w:val="both"/>
        <w:rPr>
          <w:rStyle w:val="normalchar"/>
          <w:sz w:val="28"/>
          <w:szCs w:val="28"/>
          <w:lang w:val="en-US"/>
        </w:rPr>
      </w:pPr>
      <w:r w:rsidRPr="000419B6">
        <w:rPr>
          <w:rStyle w:val="normalchar"/>
          <w:sz w:val="28"/>
          <w:szCs w:val="28"/>
          <w:lang w:val="en-US"/>
        </w:rPr>
        <w:t>As of August 15, the whole country cultivated 1,411</w:t>
      </w:r>
      <w:r>
        <w:rPr>
          <w:rStyle w:val="normalchar"/>
          <w:sz w:val="28"/>
          <w:szCs w:val="28"/>
          <w:lang w:val="en-US"/>
        </w:rPr>
        <w:t>.</w:t>
      </w:r>
      <w:r w:rsidRPr="000419B6">
        <w:rPr>
          <w:rStyle w:val="normalchar"/>
          <w:sz w:val="28"/>
          <w:szCs w:val="28"/>
          <w:lang w:val="en-US"/>
        </w:rPr>
        <w:t>3 thousand hectares of winter rice, equaling 100.6% of the same period last year. In which, the northern provinces reached 1,023.3 thousand hectares, equaling 98.6% of the same period last year due to the impact of La-Nina phenomenon, cooler weather prolongs the growth time of spring rice so affects the sowing progress of winter rice. The southern provinces reached 388 thousand hectares, equaling 106.2 percent, mainly because the Mekong River Delta was not affected by saline intrusion as in the previous year. Some localities have had rapid progress in planting winter rice compared to the same period last year, such as: Ca Mau reached 139.2%; Kien Giang reached 115.2%; Bac Lieu reached 105.3%. Currently, early rice is in the bud, flowering stage; the main rice is in the stage of buddy which is developing well.</w:t>
      </w:r>
    </w:p>
    <w:p w14:paraId="271C4025" w14:textId="77777777" w:rsidR="00B6439B" w:rsidRPr="00106F00" w:rsidRDefault="00B6439B" w:rsidP="00B6439B">
      <w:pPr>
        <w:ind w:firstLine="567"/>
        <w:jc w:val="both"/>
        <w:rPr>
          <w:i/>
        </w:rPr>
      </w:pPr>
      <w:r w:rsidRPr="00106F00">
        <w:rPr>
          <w:i/>
        </w:rPr>
        <w:t>Summer-autumn rice</w:t>
      </w:r>
    </w:p>
    <w:p w14:paraId="09DF894F" w14:textId="77777777" w:rsidR="00F24924" w:rsidRPr="007A6444" w:rsidRDefault="00F24924" w:rsidP="00F24924">
      <w:pPr>
        <w:pStyle w:val="Normal1"/>
        <w:spacing w:before="0" w:beforeAutospacing="0" w:after="0" w:afterAutospacing="0" w:line="276" w:lineRule="auto"/>
        <w:ind w:firstLine="567"/>
        <w:jc w:val="both"/>
        <w:rPr>
          <w:rStyle w:val="normalchar"/>
          <w:i/>
          <w:sz w:val="28"/>
          <w:szCs w:val="28"/>
          <w:lang w:val="en-US"/>
        </w:rPr>
      </w:pPr>
      <w:r w:rsidRPr="000419B6">
        <w:rPr>
          <w:rStyle w:val="normalchar"/>
          <w:sz w:val="28"/>
          <w:szCs w:val="28"/>
          <w:lang w:val="en-US"/>
        </w:rPr>
        <w:t xml:space="preserve">The planted area of summer-autumn crop in 2022 was estimated at 1,917.2 thousand hectares, down 1.9% compared to the previous year's summer-autumn crop mainly due to the conversion of inefficient, low-yielding rice land to fruit trees. , grass cultivation, or aquaculture for higher economic efficiency. As of mid-August, the whole country harvested 1,112.7 thousand hectares of summer-autumn rice, accounting for 58% of the cultivated area and equaling 108.6% last year, mainly in the Mekong Delta, with 931.5 thousand hectares, accounting for 63.1% and equaling 110.2%. Summer-autumn rice yield was estimated at 57 </w:t>
      </w:r>
      <w:r w:rsidRPr="000419B6">
        <w:rPr>
          <w:rStyle w:val="normalchar"/>
          <w:sz w:val="28"/>
          <w:szCs w:val="28"/>
          <w:lang w:val="en-US"/>
        </w:rPr>
        <w:lastRenderedPageBreak/>
        <w:t>quintals/ha, down 0.1 quintal/ha compared to last year's summer-autumn crop mainly due to high input costs, so farmers' limited investment; output was estimated at 10.92 million tons, down 219.2 thousand tons compared to the summer-autumn crop in 2021.</w:t>
      </w:r>
    </w:p>
    <w:p w14:paraId="69577FB1" w14:textId="77777777" w:rsidR="00B6439B" w:rsidRPr="00106F00" w:rsidRDefault="00B6439B" w:rsidP="00B6439B">
      <w:pPr>
        <w:spacing w:before="40" w:after="40" w:line="276" w:lineRule="auto"/>
        <w:ind w:firstLine="567"/>
        <w:jc w:val="both"/>
        <w:rPr>
          <w:i/>
          <w:spacing w:val="4"/>
          <w:lang w:val="sv-SE"/>
        </w:rPr>
      </w:pPr>
      <w:r w:rsidRPr="00106F00">
        <w:rPr>
          <w:i/>
          <w:spacing w:val="4"/>
          <w:lang w:val="sv-SE"/>
        </w:rPr>
        <w:t>Autumn-winter rice</w:t>
      </w:r>
    </w:p>
    <w:p w14:paraId="0B7D22E4" w14:textId="77777777" w:rsidR="00D50C62" w:rsidRPr="000419B6" w:rsidRDefault="00D50C62" w:rsidP="00D50C62">
      <w:pPr>
        <w:pStyle w:val="Normal1"/>
        <w:spacing w:before="0" w:beforeAutospacing="0" w:after="0" w:afterAutospacing="0" w:line="276" w:lineRule="auto"/>
        <w:ind w:firstLine="567"/>
        <w:jc w:val="both"/>
        <w:rPr>
          <w:rStyle w:val="normalchar"/>
          <w:sz w:val="28"/>
          <w:szCs w:val="28"/>
          <w:lang w:val="en-US"/>
        </w:rPr>
      </w:pPr>
      <w:r w:rsidRPr="007A6444">
        <w:rPr>
          <w:rStyle w:val="normalchar"/>
          <w:sz w:val="28"/>
          <w:szCs w:val="28"/>
          <w:lang w:val="en-US"/>
        </w:rPr>
        <w:t>By mid-August, the Mekong Delta region had sown 374 thousand hectares of autumn-winter rice, equaling 96.7% of the same period last year, because localities actively sowed more slowly to avoid pests and ensure irrigation resources water. Currently, autumn-winter rice is growing and developing well. In addition to directing localities to provide conditions for well-organized production, the Agriculture sector encourages farmers to produce high-quality rice for greater efficiency. The rice variety suggested was fragrant rice, accounting for 30% of the variety structure (Jasmine 85, ST, Nang Hoa 9, VD20, Dai Thom 8...); major rice varieties for the export account for 50% - 60% (OM5451, OM6976, OM18, OM 7347, OM4900...); limit the sowing of sticky rice and the group of rice varieties of medium quality.</w:t>
      </w:r>
    </w:p>
    <w:p w14:paraId="10774B71" w14:textId="77777777" w:rsidR="00C2282A" w:rsidRPr="00B337EB" w:rsidRDefault="00C2282A" w:rsidP="00C2282A">
      <w:pPr>
        <w:pStyle w:val="Normal1"/>
        <w:spacing w:before="0" w:beforeAutospacing="0" w:after="0" w:afterAutospacing="0" w:line="276" w:lineRule="auto"/>
        <w:ind w:firstLine="567"/>
        <w:jc w:val="both"/>
        <w:rPr>
          <w:rStyle w:val="normalchar"/>
          <w:i/>
          <w:sz w:val="28"/>
          <w:szCs w:val="28"/>
        </w:rPr>
      </w:pPr>
      <w:r w:rsidRPr="00B337EB">
        <w:rPr>
          <w:rStyle w:val="normalchar"/>
          <w:i/>
          <w:sz w:val="28"/>
          <w:szCs w:val="28"/>
        </w:rPr>
        <w:t>Annual crops</w:t>
      </w:r>
    </w:p>
    <w:p w14:paraId="4B4DC67F" w14:textId="77777777" w:rsidR="0096360F" w:rsidRDefault="0096360F" w:rsidP="0096360F">
      <w:pPr>
        <w:spacing w:before="40" w:after="40" w:line="269" w:lineRule="auto"/>
        <w:ind w:firstLine="567"/>
        <w:jc w:val="both"/>
      </w:pPr>
      <w:r>
        <w:t xml:space="preserve">Along with planting rice, localities across the country are planting other crops. The planted area of all kinds of crops decreased compared to the same period last year, especially soybean and sweet potato. The area planted for sweet potatoes decreased significantly in the Mekong Delta due to unstable selling prices and high fertilizer costs, leading to low economic efficiency, so farmers switched to growing fruit and </w:t>
      </w:r>
      <w:r>
        <w:rPr>
          <w:lang w:val="en-US"/>
        </w:rPr>
        <w:t>vegetables, beans</w:t>
      </w:r>
      <w:r>
        <w:t>.</w:t>
      </w:r>
    </w:p>
    <w:p w14:paraId="58ACF0D7" w14:textId="127E0874" w:rsidR="002D7123" w:rsidRPr="00A54446" w:rsidRDefault="006C38AE" w:rsidP="00644237">
      <w:pPr>
        <w:jc w:val="center"/>
        <w:rPr>
          <w:rFonts w:ascii="Arial" w:hAnsi="Arial" w:cs="Arial"/>
          <w:b/>
          <w:sz w:val="24"/>
          <w:szCs w:val="24"/>
          <w:lang w:val="de-DE"/>
        </w:rPr>
      </w:pPr>
      <w:r>
        <w:rPr>
          <w:rFonts w:ascii="Arial" w:hAnsi="Arial" w:cs="Arial"/>
          <w:b/>
          <w:sz w:val="24"/>
          <w:szCs w:val="24"/>
          <w:lang w:val="de-DE"/>
        </w:rPr>
        <w:t xml:space="preserve">Figure </w:t>
      </w:r>
      <w:r w:rsidR="002D7123" w:rsidRPr="00A54446">
        <w:rPr>
          <w:rFonts w:ascii="Arial" w:hAnsi="Arial" w:cs="Arial"/>
          <w:b/>
          <w:sz w:val="24"/>
          <w:szCs w:val="24"/>
          <w:lang w:val="de-DE"/>
        </w:rPr>
        <w:t>1.</w:t>
      </w:r>
      <w:r w:rsidR="00FB05F5" w:rsidRPr="00FB05F5">
        <w:t xml:space="preserve"> </w:t>
      </w:r>
      <w:r w:rsidR="00FB05F5" w:rsidRPr="00FB05F5">
        <w:rPr>
          <w:rFonts w:ascii="Arial" w:hAnsi="Arial" w:cs="Arial"/>
          <w:b/>
          <w:sz w:val="24"/>
          <w:szCs w:val="24"/>
          <w:lang w:val="de-DE"/>
        </w:rPr>
        <w:t>Cultivation of main annual crops</w:t>
      </w:r>
    </w:p>
    <w:p w14:paraId="7DA058B8" w14:textId="25ECAFCA" w:rsidR="002D7123" w:rsidRDefault="002D7123" w:rsidP="00644237">
      <w:pPr>
        <w:pStyle w:val="Normal1"/>
        <w:tabs>
          <w:tab w:val="left" w:pos="7380"/>
        </w:tabs>
        <w:spacing w:before="0" w:beforeAutospacing="0" w:after="0" w:afterAutospacing="0"/>
        <w:jc w:val="center"/>
        <w:rPr>
          <w:rFonts w:ascii="Arial" w:hAnsi="Arial" w:cs="Arial"/>
          <w:bCs/>
          <w:i/>
          <w:iCs/>
        </w:rPr>
      </w:pPr>
      <w:r w:rsidRPr="00A54446">
        <w:rPr>
          <w:rFonts w:ascii="Arial" w:hAnsi="Arial" w:cs="Arial"/>
          <w:bCs/>
          <w:i/>
          <w:iCs/>
        </w:rPr>
        <w:t>(</w:t>
      </w:r>
      <w:r w:rsidR="00013592">
        <w:rPr>
          <w:rFonts w:ascii="Arial" w:hAnsi="Arial" w:cs="Arial"/>
          <w:bCs/>
          <w:i/>
          <w:iCs/>
          <w:lang w:val="en-GB"/>
        </w:rPr>
        <w:t xml:space="preserve">As of </w:t>
      </w:r>
      <w:r w:rsidR="00013592" w:rsidRPr="00013592">
        <w:rPr>
          <w:rFonts w:ascii="Arial" w:hAnsi="Arial" w:cs="Arial"/>
          <w:bCs/>
          <w:i/>
          <w:iCs/>
        </w:rPr>
        <w:t>mid-August,</w:t>
      </w:r>
      <w:r w:rsidR="00013592">
        <w:rPr>
          <w:rFonts w:ascii="Arial" w:hAnsi="Arial" w:cs="Arial"/>
          <w:bCs/>
          <w:i/>
          <w:iCs/>
          <w:lang w:val="en-GB"/>
        </w:rPr>
        <w:t xml:space="preserve"> 2022</w:t>
      </w:r>
      <w:r w:rsidRPr="00A54446">
        <w:rPr>
          <w:rFonts w:ascii="Arial" w:hAnsi="Arial" w:cs="Arial"/>
          <w:bCs/>
          <w:i/>
          <w:iCs/>
        </w:rPr>
        <w:t>)</w:t>
      </w:r>
    </w:p>
    <w:p w14:paraId="26033E75" w14:textId="77777777" w:rsidR="00193F29" w:rsidRPr="00CC6FF0" w:rsidRDefault="00193F29" w:rsidP="00632A61">
      <w:pPr>
        <w:pStyle w:val="Normal1"/>
        <w:tabs>
          <w:tab w:val="left" w:pos="7380"/>
        </w:tabs>
        <w:spacing w:before="60" w:beforeAutospacing="0" w:after="60" w:afterAutospacing="0" w:line="298" w:lineRule="auto"/>
        <w:jc w:val="center"/>
        <w:rPr>
          <w:rFonts w:ascii="Arial" w:hAnsi="Arial" w:cs="Arial"/>
          <w:bCs/>
          <w:i/>
          <w:iCs/>
          <w:sz w:val="8"/>
        </w:rPr>
      </w:pPr>
    </w:p>
    <w:p w14:paraId="0B788B46" w14:textId="47FD12E9" w:rsidR="002D7123" w:rsidRPr="000849B4" w:rsidRDefault="00FB05F5" w:rsidP="00644237">
      <w:pPr>
        <w:pStyle w:val="Normal1"/>
        <w:tabs>
          <w:tab w:val="left" w:pos="7380"/>
        </w:tabs>
        <w:spacing w:before="60" w:beforeAutospacing="0" w:after="60" w:afterAutospacing="0" w:line="298" w:lineRule="auto"/>
        <w:jc w:val="center"/>
        <w:rPr>
          <w:rFonts w:ascii="Arial" w:hAnsi="Arial" w:cs="Arial"/>
          <w:bCs/>
          <w:iCs/>
        </w:rPr>
      </w:pPr>
      <w:r>
        <w:rPr>
          <w:noProof/>
        </w:rPr>
        <w:drawing>
          <wp:inline distT="0" distB="0" distL="0" distR="0" wp14:anchorId="52CB58F9" wp14:editId="5ABF8B17">
            <wp:extent cx="5520267" cy="2792449"/>
            <wp:effectExtent l="0" t="0" r="444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7029" cy="2805987"/>
                    </a:xfrm>
                    <a:prstGeom prst="rect">
                      <a:avLst/>
                    </a:prstGeom>
                    <a:noFill/>
                    <a:ln>
                      <a:noFill/>
                    </a:ln>
                  </pic:spPr>
                </pic:pic>
              </a:graphicData>
            </a:graphic>
          </wp:inline>
        </w:drawing>
      </w:r>
    </w:p>
    <w:p w14:paraId="2A83BCCB" w14:textId="77777777" w:rsidR="002D7123" w:rsidRPr="00644237" w:rsidRDefault="002D7123" w:rsidP="002D7123">
      <w:pPr>
        <w:spacing w:before="40" w:after="40" w:line="290" w:lineRule="auto"/>
        <w:ind w:firstLine="567"/>
        <w:jc w:val="both"/>
        <w:rPr>
          <w:sz w:val="4"/>
          <w:szCs w:val="26"/>
        </w:rPr>
      </w:pPr>
    </w:p>
    <w:p w14:paraId="3EFF78A6" w14:textId="77777777" w:rsidR="0013465D" w:rsidRDefault="0013465D" w:rsidP="007618F9">
      <w:pPr>
        <w:spacing w:before="40" w:after="40" w:line="269" w:lineRule="auto"/>
        <w:ind w:firstLine="567"/>
        <w:jc w:val="both"/>
        <w:rPr>
          <w:i/>
        </w:rPr>
      </w:pPr>
    </w:p>
    <w:p w14:paraId="479EF10E" w14:textId="0147EA98" w:rsidR="007618F9" w:rsidRPr="00256601" w:rsidRDefault="007618F9" w:rsidP="007618F9">
      <w:pPr>
        <w:spacing w:before="40" w:after="40" w:line="269" w:lineRule="auto"/>
        <w:ind w:firstLine="567"/>
        <w:jc w:val="both"/>
        <w:rPr>
          <w:i/>
        </w:rPr>
      </w:pPr>
      <w:r w:rsidRPr="00256601">
        <w:rPr>
          <w:i/>
        </w:rPr>
        <w:lastRenderedPageBreak/>
        <w:t>Livestock</w:t>
      </w:r>
    </w:p>
    <w:p w14:paraId="3F7C53AC" w14:textId="77777777" w:rsidR="00256601" w:rsidRDefault="00256601" w:rsidP="00256601">
      <w:pPr>
        <w:spacing w:before="40" w:after="40" w:line="269" w:lineRule="auto"/>
        <w:ind w:firstLine="567"/>
        <w:jc w:val="both"/>
      </w:pPr>
      <w:r w:rsidRPr="00626CBC">
        <w:t>Livestock in August developed stably, epidemics were well controlled. Live pork price in the month fluctuated in the range of 62,000-71,000 VND/kg, unchanged from the previous month. Currently, farmers have begun to focus on re-herding, creating a supply of meat for the market in the last months of the year and the upcoming holidays. In order to stabilize the domestic pork production and consumption market, it was necessary to implement drastic and simultaneous measures and policies against speculation and price manipulation, ensuring the interests of farmers and consumers.</w:t>
      </w:r>
    </w:p>
    <w:p w14:paraId="2C4A7D24" w14:textId="77777777" w:rsidR="004B63F3" w:rsidRPr="004B63F3" w:rsidRDefault="00246A2E" w:rsidP="004B63F3">
      <w:pPr>
        <w:jc w:val="center"/>
        <w:rPr>
          <w:rFonts w:ascii="Arial" w:hAnsi="Arial" w:cs="Arial"/>
          <w:b/>
          <w:sz w:val="24"/>
          <w:szCs w:val="24"/>
        </w:rPr>
      </w:pPr>
      <w:r>
        <w:rPr>
          <w:rFonts w:ascii="Arial" w:hAnsi="Arial" w:cs="Arial"/>
          <w:b/>
          <w:sz w:val="24"/>
          <w:szCs w:val="24"/>
          <w:lang w:val="en-GB"/>
        </w:rPr>
        <w:t>Figure</w:t>
      </w:r>
      <w:r w:rsidR="002D7123" w:rsidRPr="004E3B23">
        <w:rPr>
          <w:rFonts w:ascii="Arial" w:hAnsi="Arial" w:cs="Arial"/>
          <w:b/>
          <w:sz w:val="24"/>
          <w:szCs w:val="24"/>
        </w:rPr>
        <w:t xml:space="preserve"> 2. </w:t>
      </w:r>
      <w:r w:rsidR="004B63F3" w:rsidRPr="004B63F3">
        <w:rPr>
          <w:rFonts w:ascii="Arial" w:hAnsi="Arial" w:cs="Arial"/>
          <w:b/>
          <w:sz w:val="24"/>
          <w:szCs w:val="24"/>
        </w:rPr>
        <w:t>The growth rate of the population of livestock</w:t>
      </w:r>
    </w:p>
    <w:p w14:paraId="63B61A24" w14:textId="77777777" w:rsidR="004B63F3" w:rsidRDefault="004B63F3" w:rsidP="004B63F3">
      <w:pPr>
        <w:jc w:val="center"/>
        <w:rPr>
          <w:rFonts w:ascii="Arial" w:hAnsi="Arial" w:cs="Arial"/>
          <w:b/>
          <w:sz w:val="24"/>
          <w:szCs w:val="24"/>
        </w:rPr>
      </w:pPr>
      <w:r w:rsidRPr="004B63F3">
        <w:rPr>
          <w:rFonts w:ascii="Arial" w:hAnsi="Arial" w:cs="Arial"/>
          <w:b/>
          <w:sz w:val="24"/>
          <w:szCs w:val="24"/>
        </w:rPr>
        <w:t>at the end of August 2022 compared to the same time last year</w:t>
      </w:r>
    </w:p>
    <w:p w14:paraId="47EEB082" w14:textId="77777777" w:rsidR="004B63F3" w:rsidRDefault="004B63F3" w:rsidP="004B63F3">
      <w:pPr>
        <w:jc w:val="center"/>
        <w:rPr>
          <w:rFonts w:ascii="Arial" w:hAnsi="Arial" w:cs="Arial"/>
          <w:b/>
          <w:sz w:val="24"/>
          <w:szCs w:val="24"/>
        </w:rPr>
      </w:pPr>
    </w:p>
    <w:p w14:paraId="4714D09E" w14:textId="214D8E74" w:rsidR="002D7123" w:rsidRPr="006E0669" w:rsidRDefault="003C2635" w:rsidP="004B63F3">
      <w:pPr>
        <w:jc w:val="center"/>
      </w:pPr>
      <w:r>
        <w:rPr>
          <w:noProof/>
        </w:rPr>
        <w:drawing>
          <wp:inline distT="0" distB="0" distL="0" distR="0" wp14:anchorId="375EAB9E" wp14:editId="75F6F654">
            <wp:extent cx="5510965" cy="1710267"/>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0698" cy="1713287"/>
                    </a:xfrm>
                    <a:prstGeom prst="rect">
                      <a:avLst/>
                    </a:prstGeom>
                    <a:noFill/>
                    <a:ln>
                      <a:noFill/>
                    </a:ln>
                  </pic:spPr>
                </pic:pic>
              </a:graphicData>
            </a:graphic>
          </wp:inline>
        </w:drawing>
      </w:r>
    </w:p>
    <w:p w14:paraId="0E5B04A7" w14:textId="77777777" w:rsidR="008376DA" w:rsidRPr="00CC6FF0" w:rsidRDefault="008376DA" w:rsidP="002D7123">
      <w:pPr>
        <w:spacing w:line="271" w:lineRule="auto"/>
        <w:ind w:firstLine="567"/>
        <w:jc w:val="both"/>
        <w:rPr>
          <w:sz w:val="2"/>
          <w:lang w:val="sv-SE"/>
        </w:rPr>
      </w:pPr>
    </w:p>
    <w:p w14:paraId="049421F5" w14:textId="07094AE4" w:rsidR="002D7123" w:rsidRPr="00C570A9" w:rsidRDefault="007E0D8C" w:rsidP="00CC6FF0">
      <w:pPr>
        <w:spacing w:before="40" w:after="40" w:line="269" w:lineRule="auto"/>
        <w:ind w:firstLine="567"/>
        <w:jc w:val="both"/>
      </w:pPr>
      <w:r>
        <w:rPr>
          <w:bCs/>
          <w:spacing w:val="-2"/>
        </w:rPr>
        <w:t xml:space="preserve">As of </w:t>
      </w:r>
      <w:r>
        <w:rPr>
          <w:bCs/>
          <w:spacing w:val="-2"/>
          <w:lang w:val="en-US"/>
        </w:rPr>
        <w:t>August</w:t>
      </w:r>
      <w:r>
        <w:rPr>
          <w:bCs/>
          <w:spacing w:val="-2"/>
        </w:rPr>
        <w:t xml:space="preserve"> 2</w:t>
      </w:r>
      <w:r>
        <w:rPr>
          <w:bCs/>
          <w:spacing w:val="-2"/>
          <w:lang w:val="en-US"/>
        </w:rPr>
        <w:t>2</w:t>
      </w:r>
      <w:r>
        <w:rPr>
          <w:bCs/>
          <w:spacing w:val="-2"/>
        </w:rPr>
        <w:t xml:space="preserve">, 2022, the whole country has no longer foot-and-mouth disease; avian flu was still in </w:t>
      </w:r>
      <w:r>
        <w:rPr>
          <w:bCs/>
          <w:spacing w:val="-2"/>
          <w:lang w:val="en-US"/>
        </w:rPr>
        <w:t>Nam Dinh, Thai Binh</w:t>
      </w:r>
      <w:r>
        <w:rPr>
          <w:bCs/>
          <w:spacing w:val="-2"/>
        </w:rPr>
        <w:t xml:space="preserve">, Ha Tinh; LSD was still in </w:t>
      </w:r>
      <w:r>
        <w:rPr>
          <w:bCs/>
          <w:spacing w:val="-2"/>
          <w:lang w:val="en-US"/>
        </w:rPr>
        <w:t>Quang Ngai</w:t>
      </w:r>
      <w:r>
        <w:rPr>
          <w:bCs/>
          <w:spacing w:val="-2"/>
        </w:rPr>
        <w:t>, Dak Lak, Gia L</w:t>
      </w:r>
      <w:r>
        <w:rPr>
          <w:bCs/>
          <w:spacing w:val="-2"/>
          <w:lang w:val="en-US"/>
        </w:rPr>
        <w:t>ai</w:t>
      </w:r>
      <w:r>
        <w:rPr>
          <w:bCs/>
          <w:spacing w:val="-2"/>
        </w:rPr>
        <w:t xml:space="preserve"> and African swine </w:t>
      </w:r>
      <w:r w:rsidR="00860739">
        <w:t>fever were</w:t>
      </w:r>
      <w:r w:rsidR="00860739">
        <w:rPr>
          <w:lang w:val="en-US"/>
        </w:rPr>
        <w:t xml:space="preserve"> </w:t>
      </w:r>
      <w:r>
        <w:rPr>
          <w:bCs/>
          <w:spacing w:val="-2"/>
        </w:rPr>
        <w:t>reported in 1</w:t>
      </w:r>
      <w:r>
        <w:rPr>
          <w:bCs/>
          <w:spacing w:val="-2"/>
          <w:lang w:val="en-US"/>
        </w:rPr>
        <w:t>5</w:t>
      </w:r>
      <w:r>
        <w:rPr>
          <w:bCs/>
          <w:spacing w:val="-2"/>
        </w:rPr>
        <w:t xml:space="preserve"> localities for less than 21 days.</w:t>
      </w:r>
    </w:p>
    <w:p w14:paraId="41E75E57" w14:textId="6AE196C0" w:rsidR="002D7123" w:rsidRPr="006E0669" w:rsidRDefault="002D7123" w:rsidP="00CC6FF0">
      <w:pPr>
        <w:tabs>
          <w:tab w:val="left" w:pos="720"/>
        </w:tabs>
        <w:spacing w:before="40" w:after="40" w:line="269" w:lineRule="auto"/>
        <w:ind w:firstLine="567"/>
        <w:jc w:val="both"/>
        <w:rPr>
          <w:b/>
          <w:bCs/>
          <w:i/>
          <w:iCs/>
        </w:rPr>
      </w:pPr>
      <w:r w:rsidRPr="006E0669">
        <w:rPr>
          <w:b/>
          <w:bCs/>
          <w:i/>
          <w:iCs/>
        </w:rPr>
        <w:t xml:space="preserve">b) </w:t>
      </w:r>
      <w:r w:rsidR="00824025" w:rsidRPr="004036DA">
        <w:rPr>
          <w:b/>
          <w:bCs/>
          <w:i/>
          <w:lang w:val="de-DE"/>
        </w:rPr>
        <w:t>Forestry</w:t>
      </w:r>
      <w:r w:rsidR="00824025" w:rsidRPr="006E0669">
        <w:rPr>
          <w:b/>
          <w:bCs/>
          <w:i/>
          <w:iCs/>
        </w:rPr>
        <w:t xml:space="preserve"> </w:t>
      </w:r>
    </w:p>
    <w:p w14:paraId="2F4F4E6A" w14:textId="77777777" w:rsidR="00734700" w:rsidRPr="00626CBC" w:rsidRDefault="00734700" w:rsidP="00734700">
      <w:pPr>
        <w:spacing w:before="40" w:after="40" w:line="269" w:lineRule="auto"/>
        <w:ind w:firstLine="567"/>
        <w:jc w:val="both"/>
        <w:rPr>
          <w:lang w:val="en-US"/>
        </w:rPr>
      </w:pPr>
      <w:r w:rsidRPr="00626CBC">
        <w:rPr>
          <w:lang w:val="en-US"/>
        </w:rPr>
        <w:t>In August, the weather is relatively favorable for afforestation activities across the country. The area of ​​newly concentrated planted forests in the month was estimated at 22 thousand hectares, up 5.3% over the same period last year; the number of scattered forest trees reached 5.1 million trees, up 1%; firewood production was estimated at 1.5 million steres, equal to the same period last year; timber production reached 1,756.6 thousand m</w:t>
      </w:r>
      <w:r w:rsidRPr="000B0CF7">
        <w:rPr>
          <w:vertAlign w:val="superscript"/>
          <w:lang w:val="en-US"/>
        </w:rPr>
        <w:t>3</w:t>
      </w:r>
      <w:r w:rsidRPr="00626CBC">
        <w:rPr>
          <w:lang w:val="en-US"/>
        </w:rPr>
        <w:t>, an increase of 5.5%. Some localities have high timber production in the month compared to the same period last year, such as Quang Ngai reached 234.7 thousand m</w:t>
      </w:r>
      <w:r w:rsidRPr="000B0CF7">
        <w:rPr>
          <w:vertAlign w:val="superscript"/>
          <w:lang w:val="en-US"/>
        </w:rPr>
        <w:t>3</w:t>
      </w:r>
      <w:r w:rsidRPr="00626CBC">
        <w:rPr>
          <w:lang w:val="en-US"/>
        </w:rPr>
        <w:t>, up 7.3%; Nghe An reached 125.9 thousand m</w:t>
      </w:r>
      <w:r w:rsidRPr="000B0CF7">
        <w:rPr>
          <w:vertAlign w:val="superscript"/>
          <w:lang w:val="en-US"/>
        </w:rPr>
        <w:t>3</w:t>
      </w:r>
      <w:r w:rsidRPr="00626CBC">
        <w:rPr>
          <w:lang w:val="en-US"/>
        </w:rPr>
        <w:t>, up 9%; Quang Tri reached 89.7 thousand m</w:t>
      </w:r>
      <w:r w:rsidRPr="000B0CF7">
        <w:rPr>
          <w:vertAlign w:val="superscript"/>
          <w:lang w:val="en-US"/>
        </w:rPr>
        <w:t>3</w:t>
      </w:r>
      <w:r w:rsidRPr="00626CBC">
        <w:rPr>
          <w:lang w:val="en-US"/>
        </w:rPr>
        <w:t>, an increase of 14%.</w:t>
      </w:r>
    </w:p>
    <w:p w14:paraId="108010DA" w14:textId="42A61531" w:rsidR="00734700" w:rsidRPr="00626CBC" w:rsidRDefault="00734700" w:rsidP="00734700">
      <w:pPr>
        <w:spacing w:before="40" w:after="40" w:line="269" w:lineRule="auto"/>
        <w:ind w:firstLine="567"/>
        <w:jc w:val="both"/>
        <w:rPr>
          <w:lang w:val="en-US"/>
        </w:rPr>
      </w:pPr>
      <w:r w:rsidRPr="00626CBC">
        <w:rPr>
          <w:lang w:val="en-US"/>
        </w:rPr>
        <w:t>In the 8 months of 2022, the area of ​​newly concentrated planted forest was estimated at 156.9 thousand ha, up 4.8% over the same period last year; the number of scattered forest trees was estimated at 58.8 million trees, up 4.7%; timber production was estimated at 11,921.7 thousand m</w:t>
      </w:r>
      <w:r w:rsidRPr="000B0CF7">
        <w:rPr>
          <w:vertAlign w:val="superscript"/>
          <w:lang w:val="en-US"/>
        </w:rPr>
        <w:t>3</w:t>
      </w:r>
      <w:r w:rsidRPr="00626CBC">
        <w:rPr>
          <w:lang w:val="en-US"/>
        </w:rPr>
        <w:t xml:space="preserve">, up 5.8%; firewood production </w:t>
      </w:r>
      <w:r>
        <w:rPr>
          <w:lang w:val="en-US"/>
        </w:rPr>
        <w:t>wa</w:t>
      </w:r>
      <w:r w:rsidRPr="00626CBC">
        <w:rPr>
          <w:lang w:val="en-US"/>
        </w:rPr>
        <w:t>s estimated at 12.6 million steres, up 0.4%.</w:t>
      </w:r>
    </w:p>
    <w:p w14:paraId="6B066ECB" w14:textId="77777777" w:rsidR="00211E9A" w:rsidRPr="00626CBC" w:rsidRDefault="00211E9A" w:rsidP="00211E9A">
      <w:pPr>
        <w:spacing w:before="40" w:after="40" w:line="269" w:lineRule="auto"/>
        <w:ind w:firstLine="567"/>
        <w:jc w:val="both"/>
        <w:rPr>
          <w:lang w:val="en-US"/>
        </w:rPr>
      </w:pPr>
      <w:r w:rsidRPr="00626CBC">
        <w:rPr>
          <w:lang w:val="en-US"/>
        </w:rPr>
        <w:lastRenderedPageBreak/>
        <w:t>In August</w:t>
      </w:r>
      <w:r w:rsidRPr="00702D83">
        <w:rPr>
          <w:rStyle w:val="FootnoteReference"/>
          <w:spacing w:val="-4"/>
          <w:lang w:val="pt-BR"/>
        </w:rPr>
        <w:footnoteReference w:id="1"/>
      </w:r>
      <w:r w:rsidRPr="00626CBC">
        <w:rPr>
          <w:lang w:val="en-US"/>
        </w:rPr>
        <w:t>, the damaged forest area was 76.6 hectares, down 87.7% over the same period last year, in which mainly the forest was destroyed with 76.4 hectares, up 14.5%. In the 8 months of 2022, the damaged forest area was 781.7 hectares, down 63.3% over the same period last year, including the burned forest area was 24.5 hectares, down 98.2%; the destroyed forest area was 757.2 ha, down 0.9%.</w:t>
      </w:r>
    </w:p>
    <w:p w14:paraId="34D8994E" w14:textId="77777777" w:rsidR="00824025" w:rsidRPr="00702D83" w:rsidRDefault="002D7123" w:rsidP="00824025">
      <w:pPr>
        <w:spacing w:before="40" w:after="40" w:line="278" w:lineRule="auto"/>
        <w:ind w:firstLine="567"/>
        <w:jc w:val="both"/>
        <w:rPr>
          <w:b/>
          <w:bCs/>
          <w:i/>
          <w:iCs/>
        </w:rPr>
      </w:pPr>
      <w:r w:rsidRPr="006E0669">
        <w:rPr>
          <w:b/>
          <w:bCs/>
          <w:i/>
          <w:iCs/>
        </w:rPr>
        <w:t xml:space="preserve">c) </w:t>
      </w:r>
      <w:r w:rsidR="00824025" w:rsidRPr="006D3634">
        <w:rPr>
          <w:b/>
          <w:bCs/>
          <w:i/>
          <w:lang w:val="de-DE"/>
        </w:rPr>
        <w:t>Fishery</w:t>
      </w:r>
    </w:p>
    <w:p w14:paraId="0120B1DC" w14:textId="77777777" w:rsidR="004E4B4E" w:rsidRPr="00161007" w:rsidRDefault="004E4B4E" w:rsidP="004E4B4E">
      <w:pPr>
        <w:tabs>
          <w:tab w:val="left" w:pos="720"/>
        </w:tabs>
        <w:spacing w:before="40" w:after="40" w:line="257" w:lineRule="auto"/>
        <w:ind w:firstLine="567"/>
        <w:jc w:val="both"/>
        <w:rPr>
          <w:bCs/>
          <w:spacing w:val="-2"/>
        </w:rPr>
      </w:pPr>
      <w:r>
        <w:rPr>
          <w:bCs/>
          <w:spacing w:val="-2"/>
        </w:rPr>
        <w:t>Fishery output</w:t>
      </w:r>
      <w:r w:rsidRPr="00161007">
        <w:rPr>
          <w:bCs/>
          <w:spacing w:val="-2"/>
        </w:rPr>
        <w:t xml:space="preserve"> in </w:t>
      </w:r>
      <w:r>
        <w:rPr>
          <w:bCs/>
          <w:spacing w:val="-2"/>
          <w:lang w:val="en-US"/>
        </w:rPr>
        <w:t>August</w:t>
      </w:r>
      <w:r w:rsidRPr="00161007">
        <w:rPr>
          <w:bCs/>
          <w:spacing w:val="-2"/>
        </w:rPr>
        <w:t xml:space="preserve"> was estimated at </w:t>
      </w:r>
      <w:r>
        <w:rPr>
          <w:bCs/>
          <w:spacing w:val="-2"/>
          <w:lang w:val="en-US"/>
        </w:rPr>
        <w:t>794.5</w:t>
      </w:r>
      <w:r w:rsidRPr="00161007">
        <w:rPr>
          <w:bCs/>
          <w:spacing w:val="-2"/>
        </w:rPr>
        <w:t xml:space="preserve"> thousand tons, up </w:t>
      </w:r>
      <w:r>
        <w:rPr>
          <w:bCs/>
          <w:spacing w:val="-2"/>
          <w:lang w:val="en-US"/>
        </w:rPr>
        <w:t>2.7</w:t>
      </w:r>
      <w:r w:rsidRPr="00161007">
        <w:rPr>
          <w:bCs/>
          <w:spacing w:val="-2"/>
        </w:rPr>
        <w:t>% over the s</w:t>
      </w:r>
      <w:r>
        <w:rPr>
          <w:bCs/>
          <w:spacing w:val="-2"/>
        </w:rPr>
        <w:t>ame period last year, including</w:t>
      </w:r>
      <w:r>
        <w:rPr>
          <w:bCs/>
          <w:spacing w:val="-2"/>
          <w:lang w:val="en-US"/>
        </w:rPr>
        <w:t xml:space="preserve"> f</w:t>
      </w:r>
      <w:r>
        <w:rPr>
          <w:bCs/>
          <w:spacing w:val="-2"/>
        </w:rPr>
        <w:t>ish reached 5</w:t>
      </w:r>
      <w:r w:rsidRPr="00161007">
        <w:rPr>
          <w:bCs/>
          <w:spacing w:val="-2"/>
        </w:rPr>
        <w:t>67</w:t>
      </w:r>
      <w:r>
        <w:rPr>
          <w:bCs/>
          <w:spacing w:val="-2"/>
          <w:lang w:val="en-US"/>
        </w:rPr>
        <w:t>.6</w:t>
      </w:r>
      <w:r w:rsidRPr="00161007">
        <w:rPr>
          <w:bCs/>
          <w:spacing w:val="-2"/>
        </w:rPr>
        <w:t xml:space="preserve"> thousand tons, up </w:t>
      </w:r>
      <w:r>
        <w:rPr>
          <w:bCs/>
          <w:spacing w:val="-2"/>
          <w:lang w:val="en-US"/>
        </w:rPr>
        <w:t>2.2</w:t>
      </w:r>
      <w:r w:rsidRPr="00161007">
        <w:rPr>
          <w:bCs/>
          <w:spacing w:val="-2"/>
        </w:rPr>
        <w:t xml:space="preserve">%; shrimp reached </w:t>
      </w:r>
      <w:r>
        <w:rPr>
          <w:bCs/>
          <w:spacing w:val="-2"/>
          <w:lang w:val="en-US"/>
        </w:rPr>
        <w:t>118.2</w:t>
      </w:r>
      <w:r w:rsidRPr="00161007">
        <w:rPr>
          <w:bCs/>
          <w:spacing w:val="-2"/>
        </w:rPr>
        <w:t xml:space="preserve"> thousand tons, up </w:t>
      </w:r>
      <w:r>
        <w:rPr>
          <w:bCs/>
          <w:spacing w:val="-2"/>
          <w:lang w:val="en-US"/>
        </w:rPr>
        <w:t>6.3</w:t>
      </w:r>
      <w:r w:rsidRPr="00161007">
        <w:rPr>
          <w:bCs/>
          <w:spacing w:val="-2"/>
        </w:rPr>
        <w:t xml:space="preserve">%; other aquatic products reached 108.7 thousand tons, </w:t>
      </w:r>
      <w:r>
        <w:rPr>
          <w:bCs/>
          <w:spacing w:val="-2"/>
          <w:lang w:val="en-US"/>
        </w:rPr>
        <w:t>up 1</w:t>
      </w:r>
      <w:r w:rsidRPr="00161007">
        <w:rPr>
          <w:bCs/>
          <w:spacing w:val="-2"/>
        </w:rPr>
        <w:t>.</w:t>
      </w:r>
      <w:r>
        <w:rPr>
          <w:bCs/>
          <w:spacing w:val="-2"/>
          <w:lang w:val="en-US"/>
        </w:rPr>
        <w:t>8</w:t>
      </w:r>
      <w:r w:rsidRPr="00161007">
        <w:rPr>
          <w:bCs/>
          <w:spacing w:val="-2"/>
        </w:rPr>
        <w:t>%.</w:t>
      </w:r>
    </w:p>
    <w:p w14:paraId="5E53E49D" w14:textId="77777777" w:rsidR="004E4B4E" w:rsidRPr="00626CBC" w:rsidRDefault="004E4B4E" w:rsidP="004E4B4E">
      <w:pPr>
        <w:tabs>
          <w:tab w:val="left" w:pos="720"/>
        </w:tabs>
        <w:spacing w:before="40" w:after="40" w:line="257" w:lineRule="auto"/>
        <w:ind w:firstLine="567"/>
        <w:jc w:val="both"/>
        <w:rPr>
          <w:bCs/>
          <w:spacing w:val="-2"/>
          <w:lang w:val="en-US"/>
        </w:rPr>
      </w:pPr>
      <w:r w:rsidRPr="00161007">
        <w:rPr>
          <w:bCs/>
          <w:spacing w:val="-2"/>
        </w:rPr>
        <w:t xml:space="preserve">It was estimated that in </w:t>
      </w:r>
      <w:r>
        <w:rPr>
          <w:bCs/>
          <w:spacing w:val="-2"/>
          <w:lang w:val="en-US"/>
        </w:rPr>
        <w:t>month</w:t>
      </w:r>
      <w:r w:rsidRPr="00161007">
        <w:rPr>
          <w:bCs/>
          <w:spacing w:val="-2"/>
        </w:rPr>
        <w:t xml:space="preserve">, aquaculture </w:t>
      </w:r>
      <w:r>
        <w:rPr>
          <w:bCs/>
          <w:spacing w:val="-2"/>
        </w:rPr>
        <w:t>output reached 4</w:t>
      </w:r>
      <w:r>
        <w:rPr>
          <w:bCs/>
          <w:spacing w:val="-2"/>
          <w:lang w:val="en-US"/>
        </w:rPr>
        <w:t>41</w:t>
      </w:r>
      <w:r w:rsidRPr="00161007">
        <w:rPr>
          <w:bCs/>
          <w:spacing w:val="-2"/>
        </w:rPr>
        <w:t>.</w:t>
      </w:r>
      <w:r>
        <w:rPr>
          <w:bCs/>
          <w:spacing w:val="-2"/>
          <w:lang w:val="en-US"/>
        </w:rPr>
        <w:t>6</w:t>
      </w:r>
      <w:r w:rsidRPr="00161007">
        <w:rPr>
          <w:bCs/>
          <w:spacing w:val="-2"/>
        </w:rPr>
        <w:t xml:space="preserve"> thousand tons, up </w:t>
      </w:r>
      <w:r>
        <w:rPr>
          <w:bCs/>
          <w:spacing w:val="-2"/>
          <w:lang w:val="en-US"/>
        </w:rPr>
        <w:t>5.9</w:t>
      </w:r>
      <w:r w:rsidRPr="00161007">
        <w:rPr>
          <w:bCs/>
          <w:spacing w:val="-2"/>
        </w:rPr>
        <w:t xml:space="preserve">% over the same period last year, including </w:t>
      </w:r>
      <w:r>
        <w:rPr>
          <w:bCs/>
          <w:spacing w:val="-2"/>
          <w:lang w:val="en-US"/>
        </w:rPr>
        <w:t>f</w:t>
      </w:r>
      <w:r w:rsidRPr="00161007">
        <w:rPr>
          <w:bCs/>
          <w:spacing w:val="-2"/>
        </w:rPr>
        <w:t>ish reached 2</w:t>
      </w:r>
      <w:r>
        <w:rPr>
          <w:bCs/>
          <w:spacing w:val="-2"/>
          <w:lang w:val="en-US"/>
        </w:rPr>
        <w:t>86.</w:t>
      </w:r>
      <w:r>
        <w:rPr>
          <w:bCs/>
          <w:spacing w:val="-2"/>
        </w:rPr>
        <w:t>3 thousand tons, up 5.6</w:t>
      </w:r>
      <w:r w:rsidRPr="00161007">
        <w:rPr>
          <w:bCs/>
          <w:spacing w:val="-2"/>
        </w:rPr>
        <w:t>%; shrimp reached 1</w:t>
      </w:r>
      <w:r>
        <w:rPr>
          <w:bCs/>
          <w:spacing w:val="-2"/>
          <w:lang w:val="en-US"/>
        </w:rPr>
        <w:t>05.7</w:t>
      </w:r>
      <w:r w:rsidRPr="00161007">
        <w:rPr>
          <w:bCs/>
          <w:spacing w:val="-2"/>
        </w:rPr>
        <w:t xml:space="preserve"> thousand tons, up 7.</w:t>
      </w:r>
      <w:r>
        <w:rPr>
          <w:bCs/>
          <w:spacing w:val="-2"/>
          <w:lang w:val="en-US"/>
        </w:rPr>
        <w:t>2%.</w:t>
      </w:r>
    </w:p>
    <w:p w14:paraId="5ACAC1A6" w14:textId="6DC1BBD2" w:rsidR="0078055F" w:rsidRPr="00BF0954" w:rsidRDefault="0078055F" w:rsidP="0078055F">
      <w:pPr>
        <w:spacing w:before="40" w:after="40" w:line="269" w:lineRule="auto"/>
        <w:ind w:firstLine="567"/>
        <w:jc w:val="both"/>
        <w:rPr>
          <w:lang w:val="en-US"/>
        </w:rPr>
      </w:pPr>
      <w:r w:rsidRPr="00BF0954">
        <w:rPr>
          <w:lang w:val="en-US"/>
        </w:rPr>
        <w:t>Raw pangasius prices in the Mekong Delta provinces increased compared to the previous month</w:t>
      </w:r>
      <w:r w:rsidRPr="00702D83">
        <w:rPr>
          <w:rStyle w:val="FootnoteReference"/>
          <w:bCs/>
          <w:spacing w:val="2"/>
          <w:lang w:val="pt-BR"/>
        </w:rPr>
        <w:footnoteReference w:id="2"/>
      </w:r>
      <w:r w:rsidRPr="00BF0954">
        <w:rPr>
          <w:lang w:val="en-US"/>
        </w:rPr>
        <w:t xml:space="preserve">. Pangasius production was estimated at 122.7 thousand tons, up 6.7% over the same period last year. However, pangasius </w:t>
      </w:r>
      <w:r w:rsidR="009504CA">
        <w:t xml:space="preserve">exports slowed down due to fluctuations in the </w:t>
      </w:r>
      <w:r w:rsidR="00B30D51">
        <w:rPr>
          <w:lang w:val="en-US"/>
        </w:rPr>
        <w:t xml:space="preserve">world </w:t>
      </w:r>
      <w:r w:rsidRPr="00BF0954">
        <w:rPr>
          <w:lang w:val="en-US"/>
        </w:rPr>
        <w:t>market. Farmed shrimp is in the harvest period, the price of farmed shrimp is high and maintained at a stable level, so farmers are profitable. The application of high technology in white leg shrimp farming still brings high economic efficiency. White leg shrimp production was estimated at 73.7 thousand tons, up 9.2% over the same period last year; black tiger shrimp production was estimated at 28.1 thousand tons, up 2.6%.</w:t>
      </w:r>
    </w:p>
    <w:p w14:paraId="468CE2F3" w14:textId="5F4996F5" w:rsidR="00EA6D8E" w:rsidRDefault="00EA6D8E" w:rsidP="00EA6D8E">
      <w:pPr>
        <w:spacing w:before="40" w:after="40" w:line="269" w:lineRule="auto"/>
        <w:ind w:firstLine="567"/>
        <w:jc w:val="both"/>
        <w:rPr>
          <w:lang w:val="en-US"/>
        </w:rPr>
      </w:pPr>
      <w:r w:rsidRPr="00BF0954">
        <w:rPr>
          <w:lang w:val="en-US"/>
        </w:rPr>
        <w:t>The caught fishery output in August 2022 was estimated at 352.9 thousand tons, down 1% over the same period last year due to the decrease in fuel prices in the month, but still at a high level, along with the weather situation on fishing grounds unfavorably affected by storms and tropical depressions, fishermen limit going out to sea or letting their ships lie ashore. Fish production reached 281.3 thousand tons, down 1.1%; shrimp reached 12.5 thousand tons, down 0.8%; other aquatic products reached 59.1 thousand tons, down 0.8%. Marine fishing output in August was estimated at 333.1 thousand tons, down 1.1% over the same period last year.</w:t>
      </w:r>
    </w:p>
    <w:p w14:paraId="25311836" w14:textId="5C066F2A" w:rsidR="00A15317" w:rsidRDefault="00A15317" w:rsidP="00EA6D8E">
      <w:pPr>
        <w:spacing w:before="40" w:after="40" w:line="269" w:lineRule="auto"/>
        <w:ind w:firstLine="567"/>
        <w:jc w:val="both"/>
        <w:rPr>
          <w:lang w:val="en-US"/>
        </w:rPr>
      </w:pPr>
    </w:p>
    <w:p w14:paraId="7DE37E2A" w14:textId="35355C62" w:rsidR="00A15317" w:rsidRDefault="00A15317" w:rsidP="00EA6D8E">
      <w:pPr>
        <w:spacing w:before="40" w:after="40" w:line="269" w:lineRule="auto"/>
        <w:ind w:firstLine="567"/>
        <w:jc w:val="both"/>
        <w:rPr>
          <w:lang w:val="en-US"/>
        </w:rPr>
      </w:pPr>
    </w:p>
    <w:p w14:paraId="5B25F8E3" w14:textId="77777777" w:rsidR="00A15317" w:rsidRPr="00BF0954" w:rsidRDefault="00A15317" w:rsidP="00EA6D8E">
      <w:pPr>
        <w:spacing w:before="40" w:after="40" w:line="269" w:lineRule="auto"/>
        <w:ind w:firstLine="567"/>
        <w:jc w:val="both"/>
        <w:rPr>
          <w:lang w:val="en-US"/>
        </w:rPr>
      </w:pPr>
    </w:p>
    <w:p w14:paraId="413CB754" w14:textId="77777777" w:rsidR="003C6656" w:rsidRPr="003C6656" w:rsidRDefault="00406083" w:rsidP="003C6656">
      <w:pPr>
        <w:jc w:val="center"/>
        <w:rPr>
          <w:rFonts w:ascii="Arial" w:hAnsi="Arial" w:cs="Arial"/>
          <w:b/>
          <w:bCs/>
          <w:sz w:val="24"/>
          <w:szCs w:val="24"/>
          <w:lang w:val="de-DE"/>
        </w:rPr>
      </w:pPr>
      <w:bookmarkStart w:id="0" w:name="_Hlk113260949"/>
      <w:r>
        <w:rPr>
          <w:rFonts w:ascii="Arial" w:hAnsi="Arial" w:cs="Arial"/>
          <w:b/>
          <w:bCs/>
          <w:sz w:val="24"/>
          <w:szCs w:val="24"/>
          <w:lang w:val="de-DE"/>
        </w:rPr>
        <w:t>Figure</w:t>
      </w:r>
      <w:r w:rsidR="002D7123">
        <w:rPr>
          <w:rFonts w:ascii="Arial" w:hAnsi="Arial" w:cs="Arial"/>
          <w:b/>
          <w:bCs/>
          <w:sz w:val="24"/>
          <w:szCs w:val="24"/>
          <w:lang w:val="de-DE"/>
        </w:rPr>
        <w:t xml:space="preserve"> 3. </w:t>
      </w:r>
      <w:bookmarkEnd w:id="0"/>
      <w:r w:rsidR="003C6656" w:rsidRPr="003C6656">
        <w:rPr>
          <w:rFonts w:ascii="Arial" w:hAnsi="Arial" w:cs="Arial"/>
          <w:b/>
          <w:bCs/>
          <w:sz w:val="24"/>
          <w:szCs w:val="24"/>
          <w:lang w:val="de-DE"/>
        </w:rPr>
        <w:t>Fishery production in 8 months of 2022</w:t>
      </w:r>
    </w:p>
    <w:p w14:paraId="0D027AD4" w14:textId="5151D840" w:rsidR="008376DA" w:rsidRPr="00CC6FF0" w:rsidRDefault="003C6656" w:rsidP="003C6656">
      <w:pPr>
        <w:jc w:val="center"/>
        <w:rPr>
          <w:rFonts w:ascii="Arial" w:hAnsi="Arial" w:cs="Arial"/>
          <w:b/>
          <w:bCs/>
          <w:sz w:val="10"/>
          <w:szCs w:val="24"/>
          <w:lang w:val="de-DE"/>
        </w:rPr>
      </w:pPr>
      <w:r w:rsidRPr="003C6656">
        <w:rPr>
          <w:rFonts w:ascii="Arial" w:hAnsi="Arial" w:cs="Arial"/>
          <w:b/>
          <w:bCs/>
          <w:sz w:val="24"/>
          <w:szCs w:val="24"/>
          <w:lang w:val="de-DE"/>
        </w:rPr>
        <w:lastRenderedPageBreak/>
        <w:t xml:space="preserve">              over the same period last year</w:t>
      </w:r>
    </w:p>
    <w:p w14:paraId="317F92FF" w14:textId="12AE8C22" w:rsidR="002D7123" w:rsidRDefault="0013465D" w:rsidP="0013465D">
      <w:pPr>
        <w:spacing w:before="60" w:after="60" w:line="283" w:lineRule="auto"/>
        <w:jc w:val="center"/>
        <w:rPr>
          <w:rFonts w:ascii="Arial" w:hAnsi="Arial" w:cs="Arial"/>
          <w:b/>
          <w:bCs/>
          <w:sz w:val="24"/>
          <w:szCs w:val="24"/>
          <w:lang w:val="de-DE"/>
        </w:rPr>
      </w:pPr>
      <w:r>
        <w:rPr>
          <w:noProof/>
        </w:rPr>
        <w:drawing>
          <wp:inline distT="0" distB="0" distL="0" distR="0" wp14:anchorId="6C1AD6D8" wp14:editId="02CD6F29">
            <wp:extent cx="4969933" cy="1712330"/>
            <wp:effectExtent l="0" t="0" r="254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3199" cy="1713455"/>
                    </a:xfrm>
                    <a:prstGeom prst="rect">
                      <a:avLst/>
                    </a:prstGeom>
                    <a:noFill/>
                    <a:ln>
                      <a:noFill/>
                    </a:ln>
                  </pic:spPr>
                </pic:pic>
              </a:graphicData>
            </a:graphic>
          </wp:inline>
        </w:drawing>
      </w:r>
    </w:p>
    <w:p w14:paraId="374A508D" w14:textId="77777777" w:rsidR="008376DA" w:rsidRPr="00CC6FF0" w:rsidRDefault="008376DA" w:rsidP="00CC6FF0">
      <w:pPr>
        <w:spacing w:before="40" w:after="40" w:line="288" w:lineRule="auto"/>
        <w:ind w:firstLine="567"/>
        <w:jc w:val="both"/>
        <w:rPr>
          <w:spacing w:val="-4"/>
          <w:sz w:val="6"/>
        </w:rPr>
      </w:pPr>
    </w:p>
    <w:p w14:paraId="2FE6AF8E" w14:textId="77777777" w:rsidR="00406083" w:rsidRDefault="00406083" w:rsidP="00406083">
      <w:pPr>
        <w:spacing w:before="40" w:after="40" w:line="269" w:lineRule="auto"/>
        <w:ind w:firstLine="567"/>
        <w:jc w:val="both"/>
        <w:rPr>
          <w:rFonts w:ascii="Arial" w:hAnsi="Arial" w:cs="Arial"/>
          <w:b/>
          <w:bCs/>
          <w:sz w:val="24"/>
          <w:szCs w:val="24"/>
          <w:lang w:val="de-DE"/>
        </w:rPr>
      </w:pPr>
      <w:r>
        <w:rPr>
          <w:spacing w:val="4"/>
          <w:lang w:val="sv-SE"/>
        </w:rPr>
        <w:t>Generally, for the 8</w:t>
      </w:r>
      <w:r w:rsidRPr="002F2D12">
        <w:rPr>
          <w:spacing w:val="4"/>
          <w:lang w:val="sv-SE"/>
        </w:rPr>
        <w:t xml:space="preserve"> months of 2022, fishery </w:t>
      </w:r>
      <w:r>
        <w:rPr>
          <w:spacing w:val="4"/>
          <w:lang w:val="sv-SE"/>
        </w:rPr>
        <w:t>output was estimated at 5,797.6</w:t>
      </w:r>
      <w:r w:rsidRPr="002F2D12">
        <w:rPr>
          <w:spacing w:val="4"/>
          <w:lang w:val="sv-SE"/>
        </w:rPr>
        <w:t xml:space="preserve"> thousand tons, up 2.4% over the same period last year, of which: </w:t>
      </w:r>
      <w:r>
        <w:rPr>
          <w:bCs/>
          <w:spacing w:val="-2"/>
          <w:lang w:val="en-US"/>
        </w:rPr>
        <w:t>A</w:t>
      </w:r>
      <w:r>
        <w:rPr>
          <w:bCs/>
          <w:spacing w:val="-2"/>
        </w:rPr>
        <w:t>quaculture output reached 3,1</w:t>
      </w:r>
      <w:r>
        <w:rPr>
          <w:bCs/>
          <w:spacing w:val="-2"/>
          <w:lang w:val="en-US"/>
        </w:rPr>
        <w:t>72.2</w:t>
      </w:r>
      <w:r>
        <w:rPr>
          <w:bCs/>
          <w:spacing w:val="-2"/>
        </w:rPr>
        <w:t xml:space="preserve"> thousand tons, up 7</w:t>
      </w:r>
      <w:r w:rsidRPr="00682E8C">
        <w:rPr>
          <w:bCs/>
          <w:spacing w:val="-2"/>
        </w:rPr>
        <w:t>%</w:t>
      </w:r>
      <w:r w:rsidRPr="002F2D12">
        <w:rPr>
          <w:spacing w:val="4"/>
          <w:lang w:val="sv-SE"/>
        </w:rPr>
        <w:t xml:space="preserve">; </w:t>
      </w:r>
      <w:r>
        <w:rPr>
          <w:bCs/>
          <w:spacing w:val="-2"/>
        </w:rPr>
        <w:t>caught</w:t>
      </w:r>
      <w:r w:rsidRPr="00944FF3">
        <w:rPr>
          <w:bCs/>
          <w:spacing w:val="-2"/>
        </w:rPr>
        <w:t xml:space="preserve"> fishery</w:t>
      </w:r>
      <w:r w:rsidRPr="002F2D12">
        <w:rPr>
          <w:spacing w:val="4"/>
          <w:lang w:val="sv-SE"/>
        </w:rPr>
        <w:t xml:space="preserve"> </w:t>
      </w:r>
      <w:r>
        <w:rPr>
          <w:spacing w:val="4"/>
          <w:lang w:val="sv-SE"/>
        </w:rPr>
        <w:t>reached</w:t>
      </w:r>
      <w:r w:rsidRPr="002F2D12">
        <w:rPr>
          <w:spacing w:val="4"/>
          <w:lang w:val="sv-SE"/>
        </w:rPr>
        <w:t xml:space="preserve"> </w:t>
      </w:r>
      <w:r>
        <w:rPr>
          <w:spacing w:val="4"/>
          <w:lang w:val="sv-SE"/>
        </w:rPr>
        <w:t>2,625.4 thousand tons, down 2.6% (marine fishing output reached 2,506.1 thousand tons, down 2.7%)</w:t>
      </w:r>
      <w:r w:rsidRPr="002F2D12">
        <w:rPr>
          <w:spacing w:val="4"/>
          <w:lang w:val="sv-SE"/>
        </w:rPr>
        <w:t>.</w:t>
      </w:r>
    </w:p>
    <w:p w14:paraId="54798847" w14:textId="2D86E4AC" w:rsidR="00886B82" w:rsidRPr="00CC6FF0" w:rsidRDefault="00193F29" w:rsidP="00644237">
      <w:pPr>
        <w:spacing w:before="40" w:after="40" w:line="266" w:lineRule="auto"/>
        <w:ind w:firstLine="567"/>
        <w:jc w:val="both"/>
        <w:rPr>
          <w:b/>
          <w:bCs/>
          <w:lang w:val="pl-PL"/>
        </w:rPr>
      </w:pPr>
      <w:r w:rsidRPr="00CC6FF0">
        <w:rPr>
          <w:b/>
          <w:bCs/>
          <w:lang w:val="pl-PL"/>
        </w:rPr>
        <w:t xml:space="preserve">2. </w:t>
      </w:r>
      <w:r w:rsidR="00710BC3" w:rsidRPr="006D3634">
        <w:rPr>
          <w:b/>
          <w:lang w:val="sv-SE"/>
        </w:rPr>
        <w:t>Industrial production</w:t>
      </w:r>
    </w:p>
    <w:p w14:paraId="098587EF" w14:textId="77777777" w:rsidR="008A5C4A" w:rsidRPr="00CC6FF0" w:rsidRDefault="008A5C4A" w:rsidP="008A5C4A">
      <w:pPr>
        <w:shd w:val="clear" w:color="auto" w:fill="FFFFFF"/>
        <w:spacing w:before="40" w:after="40" w:line="266" w:lineRule="auto"/>
        <w:ind w:firstLine="567"/>
        <w:jc w:val="both"/>
        <w:rPr>
          <w:spacing w:val="2"/>
          <w:lang w:val="pl-PL"/>
        </w:rPr>
      </w:pPr>
      <w:r w:rsidRPr="00CC6FF0">
        <w:rPr>
          <w:i/>
          <w:spacing w:val="-2"/>
          <w:lang w:val="sv-SE"/>
        </w:rPr>
        <w:t>Industrial production in August continued the trend of rapid recovery, estimated to increase by 2.9</w:t>
      </w:r>
      <w:r>
        <w:rPr>
          <w:i/>
          <w:spacing w:val="-2"/>
          <w:lang w:val="sv-SE"/>
        </w:rPr>
        <w:t>%</w:t>
      </w:r>
      <w:r w:rsidRPr="00CC6FF0">
        <w:rPr>
          <w:i/>
          <w:spacing w:val="-2"/>
        </w:rPr>
        <w:t xml:space="preserve"> </w:t>
      </w:r>
      <w:r w:rsidRPr="00CC6FF0">
        <w:rPr>
          <w:i/>
          <w:spacing w:val="-2"/>
          <w:lang w:val="sv-SE"/>
        </w:rPr>
        <w:t>over the previous month and by 15.6% over the same period last year as businesses tried to e</w:t>
      </w:r>
      <w:r>
        <w:rPr>
          <w:i/>
          <w:spacing w:val="-2"/>
          <w:lang w:val="sv-SE"/>
        </w:rPr>
        <w:t xml:space="preserve">xpand production to offset the </w:t>
      </w:r>
      <w:r w:rsidRPr="00CC6FF0">
        <w:rPr>
          <w:i/>
          <w:spacing w:val="-2"/>
          <w:lang w:val="sv-SE"/>
        </w:rPr>
        <w:t xml:space="preserve">period of 2 years being affected by the Covid-19 </w:t>
      </w:r>
      <w:r>
        <w:rPr>
          <w:i/>
          <w:spacing w:val="-2"/>
          <w:lang w:val="sv-SE"/>
        </w:rPr>
        <w:t>pandemic</w:t>
      </w:r>
      <w:r w:rsidRPr="00CC6FF0">
        <w:rPr>
          <w:i/>
          <w:spacing w:val="-2"/>
          <w:lang w:val="sv-SE"/>
        </w:rPr>
        <w:t xml:space="preserve">. </w:t>
      </w:r>
      <w:r w:rsidRPr="00CC6FF0">
        <w:rPr>
          <w:i/>
          <w:lang w:val="sv-SE"/>
        </w:rPr>
        <w:t>In the 8 months of 2022</w:t>
      </w:r>
      <w:r>
        <w:rPr>
          <w:i/>
          <w:lang w:val="sv-SE"/>
        </w:rPr>
        <w:t>,</w:t>
      </w:r>
      <w:r w:rsidRPr="00CC6FF0">
        <w:rPr>
          <w:i/>
          <w:lang w:val="sv-SE"/>
        </w:rPr>
        <w:t xml:space="preserve"> </w:t>
      </w:r>
      <w:r w:rsidRPr="00CC6FF0">
        <w:rPr>
          <w:i/>
        </w:rPr>
        <w:t xml:space="preserve">the </w:t>
      </w:r>
      <w:r w:rsidRPr="00CC6FF0">
        <w:rPr>
          <w:i/>
          <w:lang w:val="sv-SE"/>
        </w:rPr>
        <w:t xml:space="preserve">production index of the whole industry </w:t>
      </w:r>
      <w:r>
        <w:rPr>
          <w:i/>
          <w:lang w:val="sv-SE"/>
        </w:rPr>
        <w:t>was</w:t>
      </w:r>
      <w:r w:rsidRPr="00CC6FF0">
        <w:rPr>
          <w:i/>
          <w:lang w:val="sv-SE"/>
        </w:rPr>
        <w:t xml:space="preserve"> estimated to increase by </w:t>
      </w:r>
      <w:r w:rsidRPr="00CC6FF0">
        <w:rPr>
          <w:i/>
          <w:lang w:val="pl-PL"/>
        </w:rPr>
        <w:t>9.4</w:t>
      </w:r>
      <w:r>
        <w:rPr>
          <w:i/>
          <w:lang w:val="pl-PL"/>
        </w:rPr>
        <w:t>%</w:t>
      </w:r>
      <w:r w:rsidRPr="00CC6FF0">
        <w:rPr>
          <w:i/>
          <w:lang w:val="sv-SE"/>
        </w:rPr>
        <w:t xml:space="preserve"> over the same period last year</w:t>
      </w:r>
      <w:r w:rsidRPr="00CC6FF0">
        <w:rPr>
          <w:rStyle w:val="FootnoteReference"/>
          <w:i/>
          <w:lang w:val="sv-SE"/>
        </w:rPr>
        <w:footnoteReference w:id="3"/>
      </w:r>
      <w:r w:rsidRPr="00CC6FF0">
        <w:rPr>
          <w:i/>
          <w:lang w:val="sv-SE"/>
        </w:rPr>
        <w:t>.</w:t>
      </w:r>
    </w:p>
    <w:p w14:paraId="64392550" w14:textId="77777777" w:rsidR="00E65DB9" w:rsidRPr="00A428B0" w:rsidRDefault="00E65DB9" w:rsidP="00E65DB9">
      <w:pPr>
        <w:shd w:val="clear" w:color="auto" w:fill="FFFFFF"/>
        <w:spacing w:before="40" w:after="40" w:line="269" w:lineRule="auto"/>
        <w:ind w:firstLine="567"/>
        <w:jc w:val="both"/>
        <w:rPr>
          <w:spacing w:val="2"/>
          <w:lang w:val="pl-PL"/>
        </w:rPr>
      </w:pPr>
      <w:r w:rsidRPr="00A428B0">
        <w:rPr>
          <w:spacing w:val="2"/>
          <w:lang w:val="pl-PL"/>
        </w:rPr>
        <w:t xml:space="preserve">The index of industrial production (IIP) in </w:t>
      </w:r>
      <w:r>
        <w:rPr>
          <w:spacing w:val="2"/>
          <w:lang w:val="sv-SE"/>
        </w:rPr>
        <w:t xml:space="preserve">August was </w:t>
      </w:r>
      <w:r w:rsidRPr="00A428B0">
        <w:rPr>
          <w:spacing w:val="2"/>
          <w:lang w:val="pl-PL"/>
        </w:rPr>
        <w:t xml:space="preserve">estimated </w:t>
      </w:r>
      <w:r w:rsidRPr="00A428B0">
        <w:rPr>
          <w:spacing w:val="2"/>
          <w:lang w:val="sv-SE"/>
        </w:rPr>
        <w:t xml:space="preserve">to increase by 2.9% </w:t>
      </w:r>
      <w:r w:rsidRPr="00A428B0">
        <w:rPr>
          <w:spacing w:val="2"/>
          <w:lang w:val="pl-PL"/>
        </w:rPr>
        <w:t>over the previous month</w:t>
      </w:r>
      <w:r w:rsidRPr="00A428B0">
        <w:rPr>
          <w:rStyle w:val="FootnoteReference"/>
          <w:spacing w:val="2"/>
          <w:lang w:val="pl-PL"/>
        </w:rPr>
        <w:footnoteReference w:id="4"/>
      </w:r>
      <w:r>
        <w:rPr>
          <w:spacing w:val="2"/>
          <w:lang w:val="pl-PL"/>
        </w:rPr>
        <w:t xml:space="preserve"> </w:t>
      </w:r>
      <w:r w:rsidRPr="00A428B0">
        <w:rPr>
          <w:spacing w:val="2"/>
          <w:lang w:val="pl-PL"/>
        </w:rPr>
        <w:t xml:space="preserve">and up </w:t>
      </w:r>
      <w:r>
        <w:rPr>
          <w:spacing w:val="2"/>
          <w:lang w:val="sv-SE"/>
        </w:rPr>
        <w:t>15.6%</w:t>
      </w:r>
      <w:r w:rsidRPr="00A428B0">
        <w:rPr>
          <w:spacing w:val="2"/>
          <w:lang w:val="pl-PL"/>
        </w:rPr>
        <w:t xml:space="preserve"> over the same period last year</w:t>
      </w:r>
      <w:r>
        <w:rPr>
          <w:spacing w:val="2"/>
          <w:lang w:val="pl-PL"/>
        </w:rPr>
        <w:t>.</w:t>
      </w:r>
      <w:r w:rsidRPr="00A428B0">
        <w:rPr>
          <w:spacing w:val="2"/>
        </w:rPr>
        <w:t xml:space="preserve"> </w:t>
      </w:r>
      <w:r>
        <w:rPr>
          <w:spacing w:val="2"/>
        </w:rPr>
        <w:t xml:space="preserve">Of </w:t>
      </w:r>
      <w:r w:rsidRPr="00A428B0">
        <w:rPr>
          <w:spacing w:val="2"/>
          <w:lang w:val="pl-PL"/>
        </w:rPr>
        <w:t>which</w:t>
      </w:r>
      <w:r>
        <w:rPr>
          <w:spacing w:val="2"/>
          <w:lang w:val="pl-PL"/>
        </w:rPr>
        <w:t>,</w:t>
      </w:r>
      <w:r w:rsidRPr="00A428B0">
        <w:rPr>
          <w:spacing w:val="2"/>
        </w:rPr>
        <w:t xml:space="preserve"> compared to the same period last year, </w:t>
      </w:r>
      <w:r w:rsidRPr="00A428B0">
        <w:rPr>
          <w:spacing w:val="2"/>
          <w:lang w:val="pl-PL"/>
        </w:rPr>
        <w:t xml:space="preserve">the manufacturing increased by 16.2%; </w:t>
      </w:r>
      <w:r w:rsidRPr="00B16081">
        <w:rPr>
          <w:spacing w:val="2"/>
          <w:lang w:val="pl-PL"/>
        </w:rPr>
        <w:t>Electricity, gas, steam and air conditioning supply</w:t>
      </w:r>
      <w:r>
        <w:rPr>
          <w:spacing w:val="2"/>
          <w:lang w:val="pl-PL"/>
        </w:rPr>
        <w:t xml:space="preserve"> </w:t>
      </w:r>
      <w:r w:rsidRPr="00A428B0">
        <w:rPr>
          <w:spacing w:val="2"/>
          <w:lang w:val="pl-PL"/>
        </w:rPr>
        <w:t xml:space="preserve">increased by 14.8%; </w:t>
      </w:r>
      <w:r w:rsidRPr="00B16081">
        <w:rPr>
          <w:spacing w:val="2"/>
          <w:lang w:val="pl-PL"/>
        </w:rPr>
        <w:t>Water supply; sewerage, waste management and remediation activities</w:t>
      </w:r>
      <w:r>
        <w:rPr>
          <w:spacing w:val="2"/>
          <w:lang w:val="pl-PL"/>
        </w:rPr>
        <w:t xml:space="preserve"> </w:t>
      </w:r>
      <w:r w:rsidRPr="00A428B0">
        <w:rPr>
          <w:spacing w:val="2"/>
          <w:lang w:val="pl-PL"/>
        </w:rPr>
        <w:t xml:space="preserve">increased by </w:t>
      </w:r>
      <w:r w:rsidRPr="00564AB7">
        <w:rPr>
          <w:spacing w:val="2"/>
        </w:rPr>
        <w:t>11</w:t>
      </w:r>
      <w:r>
        <w:rPr>
          <w:spacing w:val="2"/>
        </w:rPr>
        <w:t>%</w:t>
      </w:r>
      <w:r w:rsidRPr="00A428B0">
        <w:rPr>
          <w:spacing w:val="2"/>
          <w:lang w:val="pl-PL"/>
        </w:rPr>
        <w:t xml:space="preserve">; </w:t>
      </w:r>
      <w:r w:rsidRPr="00A428B0">
        <w:rPr>
          <w:spacing w:val="2"/>
        </w:rPr>
        <w:t xml:space="preserve">Mining industry increased </w:t>
      </w:r>
      <w:r w:rsidRPr="00A428B0">
        <w:rPr>
          <w:spacing w:val="2"/>
          <w:lang w:val="pl-PL"/>
        </w:rPr>
        <w:t xml:space="preserve">by </w:t>
      </w:r>
      <w:r w:rsidRPr="0065048D">
        <w:rPr>
          <w:spacing w:val="2"/>
        </w:rPr>
        <w:t>10.2%</w:t>
      </w:r>
      <w:r>
        <w:rPr>
          <w:spacing w:val="2"/>
        </w:rPr>
        <w:t>.</w:t>
      </w:r>
    </w:p>
    <w:p w14:paraId="0C0AD904" w14:textId="78B85BCE" w:rsidR="002F75D9" w:rsidRPr="00A428B0" w:rsidRDefault="002F75D9" w:rsidP="002F75D9">
      <w:pPr>
        <w:shd w:val="clear" w:color="auto" w:fill="FFFFFF"/>
        <w:tabs>
          <w:tab w:val="left" w:pos="8931"/>
        </w:tabs>
        <w:spacing w:before="40" w:after="40" w:line="269" w:lineRule="auto"/>
        <w:ind w:firstLine="567"/>
        <w:jc w:val="both"/>
        <w:rPr>
          <w:spacing w:val="-2"/>
          <w:lang w:val="pl-PL"/>
        </w:rPr>
      </w:pPr>
      <w:r>
        <w:rPr>
          <w:spacing w:val="-2"/>
        </w:rPr>
        <w:t xml:space="preserve">The </w:t>
      </w:r>
      <w:r w:rsidRPr="00A428B0">
        <w:rPr>
          <w:spacing w:val="-2"/>
        </w:rPr>
        <w:t xml:space="preserve">8 </w:t>
      </w:r>
      <w:r>
        <w:rPr>
          <w:spacing w:val="-2"/>
          <w:lang w:val="pl-PL"/>
        </w:rPr>
        <w:t>month</w:t>
      </w:r>
      <w:r w:rsidR="00EF5BA4">
        <w:rPr>
          <w:spacing w:val="-2"/>
          <w:lang w:val="pl-PL"/>
        </w:rPr>
        <w:t>s</w:t>
      </w:r>
      <w:r w:rsidRPr="00A428B0">
        <w:rPr>
          <w:spacing w:val="-2"/>
          <w:lang w:val="pl-PL"/>
        </w:rPr>
        <w:t xml:space="preserve"> 2022 IIP </w:t>
      </w:r>
      <w:r>
        <w:rPr>
          <w:spacing w:val="-2"/>
          <w:lang w:val="pl-PL"/>
        </w:rPr>
        <w:t>wa</w:t>
      </w:r>
      <w:r w:rsidRPr="00A428B0">
        <w:rPr>
          <w:spacing w:val="-2"/>
          <w:lang w:val="pl-PL"/>
        </w:rPr>
        <w:t xml:space="preserve">s estimated to increase by 9.4% over the same period last year (in </w:t>
      </w:r>
      <w:r w:rsidRPr="00A428B0">
        <w:rPr>
          <w:spacing w:val="-2"/>
        </w:rPr>
        <w:t xml:space="preserve">the same period </w:t>
      </w:r>
      <w:r>
        <w:rPr>
          <w:spacing w:val="-2"/>
        </w:rPr>
        <w:t>last year</w:t>
      </w:r>
      <w:r w:rsidRPr="00A428B0">
        <w:rPr>
          <w:spacing w:val="-2"/>
        </w:rPr>
        <w:t xml:space="preserve"> increase</w:t>
      </w:r>
      <w:r>
        <w:rPr>
          <w:spacing w:val="-2"/>
        </w:rPr>
        <w:t>d</w:t>
      </w:r>
      <w:r w:rsidRPr="00A428B0">
        <w:rPr>
          <w:spacing w:val="-2"/>
        </w:rPr>
        <w:t xml:space="preserve"> by </w:t>
      </w:r>
      <w:r>
        <w:rPr>
          <w:spacing w:val="-2"/>
          <w:lang w:val="pl-PL"/>
        </w:rPr>
        <w:t>5.5%). Of</w:t>
      </w:r>
      <w:r w:rsidRPr="00A428B0">
        <w:rPr>
          <w:spacing w:val="-2"/>
          <w:lang w:val="pl-PL"/>
        </w:rPr>
        <w:t xml:space="preserve"> which, the manufacturing increased by 10.4% (in the same period in 2021 increased by </w:t>
      </w:r>
      <w:r w:rsidRPr="00A428B0">
        <w:rPr>
          <w:spacing w:val="-2"/>
        </w:rPr>
        <w:t>7</w:t>
      </w:r>
      <w:r>
        <w:rPr>
          <w:spacing w:val="-2"/>
        </w:rPr>
        <w:t>%</w:t>
      </w:r>
      <w:r w:rsidRPr="00A428B0">
        <w:rPr>
          <w:spacing w:val="-2"/>
          <w:lang w:val="pl-PL"/>
        </w:rPr>
        <w:t xml:space="preserve">), contributing 8.1 percentage points to the overall growth; electricity production and distribution increased by 6.8%, contributing 0.6 percentage points; </w:t>
      </w:r>
      <w:r w:rsidRPr="00C02F01">
        <w:rPr>
          <w:spacing w:val="-2"/>
          <w:lang w:val="pl-PL"/>
        </w:rPr>
        <w:t>Water supply; sewerage, waste management and remediation activities</w:t>
      </w:r>
      <w:r w:rsidRPr="00A428B0">
        <w:rPr>
          <w:spacing w:val="-2"/>
          <w:lang w:val="pl-PL"/>
        </w:rPr>
        <w:t xml:space="preserve"> increased by 5.8%, contributing 0.1 percentage points; the mining industry increased by 4.2%, contributing </w:t>
      </w:r>
      <w:r w:rsidRPr="00A428B0">
        <w:rPr>
          <w:spacing w:val="-2"/>
        </w:rPr>
        <w:t xml:space="preserve">0.6 </w:t>
      </w:r>
      <w:r w:rsidRPr="00A428B0">
        <w:rPr>
          <w:spacing w:val="-2"/>
          <w:lang w:val="pl-PL"/>
        </w:rPr>
        <w:t>percentage points to the overall increase.</w:t>
      </w:r>
    </w:p>
    <w:p w14:paraId="7F5A4DBC" w14:textId="49A9089E" w:rsidR="003C1659" w:rsidRDefault="003C1659" w:rsidP="003C1659">
      <w:pPr>
        <w:shd w:val="clear" w:color="auto" w:fill="FFFFFF"/>
        <w:tabs>
          <w:tab w:val="left" w:pos="8931"/>
        </w:tabs>
        <w:spacing w:before="40" w:after="40" w:line="269" w:lineRule="auto"/>
        <w:ind w:firstLine="567"/>
        <w:jc w:val="both"/>
        <w:rPr>
          <w:spacing w:val="-4"/>
          <w:lang w:val="pl-PL"/>
        </w:rPr>
      </w:pPr>
      <w:r>
        <w:rPr>
          <w:rStyle w:val="Emphasis"/>
        </w:rPr>
        <w:lastRenderedPageBreak/>
        <w:t>The 2-digit industry production index of 8 months in 2022 increased sharply compared to the same period last year</w:t>
      </w:r>
      <w:r>
        <w:t>:</w:t>
      </w:r>
      <w:r w:rsidRPr="00A428B0">
        <w:rPr>
          <w:spacing w:val="-4"/>
          <w:lang w:val="pl-PL"/>
        </w:rPr>
        <w:t xml:space="preserve"> </w:t>
      </w:r>
      <w:r w:rsidRPr="00FB34C1">
        <w:rPr>
          <w:spacing w:val="-4"/>
          <w:lang w:val="pl-PL"/>
        </w:rPr>
        <w:t>Manufacture of beverages</w:t>
      </w:r>
      <w:r>
        <w:rPr>
          <w:spacing w:val="-4"/>
          <w:lang w:val="pl-PL"/>
        </w:rPr>
        <w:t xml:space="preserve"> (</w:t>
      </w:r>
      <w:r w:rsidRPr="00A428B0">
        <w:rPr>
          <w:spacing w:val="-4"/>
          <w:lang w:val="pl-PL"/>
        </w:rPr>
        <w:t>26.8%</w:t>
      </w:r>
      <w:r>
        <w:rPr>
          <w:spacing w:val="-4"/>
          <w:lang w:val="pl-PL"/>
        </w:rPr>
        <w:t>)</w:t>
      </w:r>
      <w:r w:rsidRPr="00A428B0">
        <w:rPr>
          <w:spacing w:val="-4"/>
          <w:lang w:val="pl-PL"/>
        </w:rPr>
        <w:t xml:space="preserve">; </w:t>
      </w:r>
      <w:r w:rsidRPr="00FB34C1">
        <w:rPr>
          <w:spacing w:val="-4"/>
          <w:lang w:val="pl-PL"/>
        </w:rPr>
        <w:t>Manufacture of wearing apparel</w:t>
      </w:r>
      <w:r w:rsidRPr="00A428B0">
        <w:rPr>
          <w:spacing w:val="-4"/>
          <w:lang w:val="pl-PL"/>
        </w:rPr>
        <w:t xml:space="preserve"> </w:t>
      </w:r>
      <w:r>
        <w:rPr>
          <w:spacing w:val="-4"/>
          <w:lang w:val="pl-PL"/>
        </w:rPr>
        <w:t>(</w:t>
      </w:r>
      <w:r w:rsidRPr="00A428B0">
        <w:rPr>
          <w:spacing w:val="-4"/>
          <w:lang w:val="pl-PL"/>
        </w:rPr>
        <w:t>22.5%</w:t>
      </w:r>
      <w:r>
        <w:rPr>
          <w:spacing w:val="-4"/>
          <w:lang w:val="pl-PL"/>
        </w:rPr>
        <w:t>)</w:t>
      </w:r>
      <w:r w:rsidRPr="00A428B0">
        <w:rPr>
          <w:spacing w:val="-4"/>
          <w:lang w:val="pl-PL"/>
        </w:rPr>
        <w:t xml:space="preserve">; </w:t>
      </w:r>
      <w:r w:rsidRPr="00FB34C1">
        <w:rPr>
          <w:spacing w:val="-4"/>
          <w:lang w:val="pl-PL"/>
        </w:rPr>
        <w:t>Manufacture</w:t>
      </w:r>
      <w:r w:rsidRPr="00A428B0">
        <w:rPr>
          <w:spacing w:val="-4"/>
          <w:lang w:val="pl-PL"/>
        </w:rPr>
        <w:t xml:space="preserve"> of leather and related products </w:t>
      </w:r>
      <w:r>
        <w:rPr>
          <w:spacing w:val="-4"/>
          <w:lang w:val="pl-PL"/>
        </w:rPr>
        <w:t>(</w:t>
      </w:r>
      <w:r w:rsidRPr="00A428B0">
        <w:rPr>
          <w:spacing w:val="-4"/>
          <w:lang w:val="pl-PL"/>
        </w:rPr>
        <w:t>18.5%</w:t>
      </w:r>
      <w:r>
        <w:rPr>
          <w:spacing w:val="-4"/>
          <w:lang w:val="pl-PL"/>
        </w:rPr>
        <w:t>)</w:t>
      </w:r>
      <w:r w:rsidRPr="00A428B0">
        <w:rPr>
          <w:spacing w:val="-4"/>
          <w:lang w:val="pl-PL"/>
        </w:rPr>
        <w:t xml:space="preserve">; </w:t>
      </w:r>
      <w:r>
        <w:rPr>
          <w:spacing w:val="-4"/>
          <w:lang w:val="pl-PL"/>
        </w:rPr>
        <w:t>manufacture</w:t>
      </w:r>
      <w:r w:rsidRPr="00A428B0">
        <w:rPr>
          <w:spacing w:val="-4"/>
          <w:lang w:val="pl-PL"/>
        </w:rPr>
        <w:t xml:space="preserve"> of electrical equipment and </w:t>
      </w:r>
      <w:r w:rsidRPr="00D13FAE">
        <w:rPr>
          <w:spacing w:val="-4"/>
          <w:lang w:val="pl-PL"/>
        </w:rPr>
        <w:t>Manufacture of pharmaceuticals, medicinal chemical and botanical products</w:t>
      </w:r>
      <w:r>
        <w:rPr>
          <w:spacing w:val="-4"/>
          <w:lang w:val="pl-PL"/>
        </w:rPr>
        <w:t xml:space="preserve"> (both</w:t>
      </w:r>
      <w:r w:rsidRPr="00A428B0">
        <w:rPr>
          <w:spacing w:val="-4"/>
          <w:lang w:val="pl-PL"/>
        </w:rPr>
        <w:t xml:space="preserve"> by 17.4%</w:t>
      </w:r>
      <w:r>
        <w:rPr>
          <w:spacing w:val="-4"/>
          <w:lang w:val="pl-PL"/>
        </w:rPr>
        <w:t>)</w:t>
      </w:r>
      <w:r w:rsidRPr="00A428B0">
        <w:rPr>
          <w:spacing w:val="-4"/>
          <w:lang w:val="pl-PL"/>
        </w:rPr>
        <w:t xml:space="preserve">; </w:t>
      </w:r>
      <w:r w:rsidRPr="001229E3">
        <w:rPr>
          <w:spacing w:val="-4"/>
          <w:lang w:val="pl-PL"/>
        </w:rPr>
        <w:t xml:space="preserve">Manufacture of machinery and equipment n.e.c </w:t>
      </w:r>
      <w:r>
        <w:rPr>
          <w:spacing w:val="-4"/>
          <w:lang w:val="pl-PL"/>
        </w:rPr>
        <w:t>(</w:t>
      </w:r>
      <w:r w:rsidRPr="00A428B0">
        <w:rPr>
          <w:spacing w:val="-4"/>
          <w:lang w:val="pl-PL"/>
        </w:rPr>
        <w:t>14.3%</w:t>
      </w:r>
      <w:r>
        <w:rPr>
          <w:spacing w:val="-4"/>
          <w:lang w:val="pl-PL"/>
        </w:rPr>
        <w:t>)</w:t>
      </w:r>
      <w:r w:rsidRPr="00A428B0">
        <w:rPr>
          <w:spacing w:val="-4"/>
          <w:lang w:val="pl-PL"/>
        </w:rPr>
        <w:t xml:space="preserve">; </w:t>
      </w:r>
      <w:r w:rsidRPr="001229E3">
        <w:rPr>
          <w:spacing w:val="-4"/>
          <w:lang w:val="pl-PL"/>
        </w:rPr>
        <w:t xml:space="preserve">Manufacture of wood and of products of wood and cork </w:t>
      </w:r>
      <w:r>
        <w:rPr>
          <w:spacing w:val="-4"/>
          <w:lang w:val="pl-PL"/>
        </w:rPr>
        <w:t>(</w:t>
      </w:r>
      <w:r w:rsidRPr="00A428B0">
        <w:rPr>
          <w:spacing w:val="-4"/>
          <w:lang w:val="pl-PL"/>
        </w:rPr>
        <w:t>14.2%</w:t>
      </w:r>
      <w:r>
        <w:rPr>
          <w:spacing w:val="-4"/>
          <w:lang w:val="pl-PL"/>
        </w:rPr>
        <w:t>)</w:t>
      </w:r>
      <w:r w:rsidRPr="00A428B0">
        <w:rPr>
          <w:spacing w:val="-4"/>
          <w:lang w:val="pl-PL"/>
        </w:rPr>
        <w:t xml:space="preserve">; </w:t>
      </w:r>
      <w:r w:rsidRPr="001229E3">
        <w:rPr>
          <w:spacing w:val="-4"/>
          <w:lang w:val="pl-PL"/>
        </w:rPr>
        <w:t xml:space="preserve">Manufacture of computer, electronic and optical </w:t>
      </w:r>
      <w:r w:rsidRPr="00D72032">
        <w:rPr>
          <w:spacing w:val="-4"/>
          <w:lang w:val="pl-PL"/>
        </w:rPr>
        <w:t>products (11.3%);</w:t>
      </w:r>
      <w:r w:rsidRPr="00A428B0">
        <w:rPr>
          <w:spacing w:val="-4"/>
          <w:lang w:val="pl-PL"/>
        </w:rPr>
        <w:t xml:space="preserve"> production of prefabricated metal products (except for machinery and equipment) </w:t>
      </w:r>
      <w:r>
        <w:rPr>
          <w:spacing w:val="-4"/>
          <w:lang w:val="pl-PL"/>
        </w:rPr>
        <w:t>(</w:t>
      </w:r>
      <w:r w:rsidRPr="00A428B0">
        <w:rPr>
          <w:spacing w:val="-4"/>
          <w:lang w:val="pl-PL"/>
        </w:rPr>
        <w:t>10.4%</w:t>
      </w:r>
      <w:r>
        <w:rPr>
          <w:spacing w:val="-4"/>
          <w:lang w:val="pl-PL"/>
        </w:rPr>
        <w:t>)</w:t>
      </w:r>
      <w:r w:rsidRPr="00A428B0">
        <w:rPr>
          <w:spacing w:val="-4"/>
          <w:lang w:val="pl-PL"/>
        </w:rPr>
        <w:t xml:space="preserve">. In the opposite direction, the IIP index of some industries decreased: </w:t>
      </w:r>
      <w:r>
        <w:rPr>
          <w:spacing w:val="-4"/>
        </w:rPr>
        <w:t>manufacture</w:t>
      </w:r>
      <w:r w:rsidRPr="00A428B0">
        <w:rPr>
          <w:spacing w:val="-4"/>
        </w:rPr>
        <w:t xml:space="preserve"> of rubber and plastic products </w:t>
      </w:r>
      <w:r>
        <w:rPr>
          <w:spacing w:val="-4"/>
        </w:rPr>
        <w:t>(-</w:t>
      </w:r>
      <w:r w:rsidRPr="00A428B0">
        <w:rPr>
          <w:spacing w:val="-4"/>
        </w:rPr>
        <w:t xml:space="preserve"> </w:t>
      </w:r>
      <w:r>
        <w:rPr>
          <w:spacing w:val="-4"/>
          <w:lang w:val="pl-PL"/>
        </w:rPr>
        <w:t>6.3</w:t>
      </w:r>
      <w:r w:rsidRPr="00A428B0">
        <w:rPr>
          <w:spacing w:val="-4"/>
        </w:rPr>
        <w:t>%</w:t>
      </w:r>
      <w:r>
        <w:rPr>
          <w:spacing w:val="-4"/>
        </w:rPr>
        <w:t>)</w:t>
      </w:r>
      <w:r w:rsidRPr="00A428B0">
        <w:rPr>
          <w:spacing w:val="-4"/>
        </w:rPr>
        <w:t xml:space="preserve">; </w:t>
      </w:r>
      <w:r w:rsidRPr="00931912">
        <w:rPr>
          <w:spacing w:val="-4"/>
          <w:lang w:val="pl-PL"/>
        </w:rPr>
        <w:t xml:space="preserve">Manufacture of basic metals </w:t>
      </w:r>
      <w:r>
        <w:rPr>
          <w:spacing w:val="-4"/>
          <w:lang w:val="pl-PL"/>
        </w:rPr>
        <w:t>(-</w:t>
      </w:r>
      <w:r w:rsidRPr="00890043">
        <w:rPr>
          <w:spacing w:val="-4"/>
          <w:lang w:val="pl-PL"/>
        </w:rPr>
        <w:t>0.8%</w:t>
      </w:r>
      <w:r>
        <w:rPr>
          <w:spacing w:val="-4"/>
          <w:lang w:val="pl-PL"/>
        </w:rPr>
        <w:t>)</w:t>
      </w:r>
      <w:r w:rsidRPr="00890043">
        <w:rPr>
          <w:spacing w:val="-4"/>
          <w:lang w:val="pl-PL"/>
        </w:rPr>
        <w:t xml:space="preserve">; </w:t>
      </w:r>
      <w:r w:rsidRPr="00931912">
        <w:rPr>
          <w:spacing w:val="-4"/>
          <w:lang w:val="pl-PL"/>
        </w:rPr>
        <w:t>Extraction of crude petroleum and natural gas</w:t>
      </w:r>
      <w:r w:rsidRPr="00890043">
        <w:rPr>
          <w:spacing w:val="-4"/>
          <w:lang w:val="pl-PL"/>
        </w:rPr>
        <w:t xml:space="preserve"> </w:t>
      </w:r>
      <w:r>
        <w:rPr>
          <w:spacing w:val="-4"/>
          <w:lang w:val="pl-PL"/>
        </w:rPr>
        <w:t>(-</w:t>
      </w:r>
      <w:r w:rsidRPr="00890043">
        <w:rPr>
          <w:spacing w:val="-4"/>
          <w:lang w:val="pl-PL"/>
        </w:rPr>
        <w:t>0.7%</w:t>
      </w:r>
      <w:r>
        <w:rPr>
          <w:spacing w:val="-4"/>
          <w:lang w:val="pl-PL"/>
        </w:rPr>
        <w:t>)</w:t>
      </w:r>
      <w:r w:rsidRPr="00890043">
        <w:rPr>
          <w:spacing w:val="-4"/>
          <w:lang w:val="pl-PL"/>
        </w:rPr>
        <w:t>.</w:t>
      </w:r>
    </w:p>
    <w:p w14:paraId="7DD5F3E1" w14:textId="77777777" w:rsidR="000C054A" w:rsidRDefault="000C054A" w:rsidP="000C054A">
      <w:pPr>
        <w:shd w:val="clear" w:color="auto" w:fill="FFFFFF"/>
        <w:tabs>
          <w:tab w:val="left" w:pos="8931"/>
        </w:tabs>
        <w:spacing w:after="120" w:line="252" w:lineRule="auto"/>
        <w:jc w:val="center"/>
        <w:rPr>
          <w:rFonts w:ascii="Arial" w:hAnsi="Arial" w:cs="Arial"/>
          <w:b/>
          <w:spacing w:val="-2"/>
          <w:sz w:val="24"/>
          <w:lang w:val="pl-PL"/>
        </w:rPr>
      </w:pPr>
      <w:r w:rsidRPr="001C3C67">
        <w:rPr>
          <w:rFonts w:ascii="Arial" w:hAnsi="Arial" w:cs="Arial"/>
          <w:b/>
          <w:spacing w:val="-2"/>
          <w:sz w:val="24"/>
          <w:lang w:val="pl-PL"/>
        </w:rPr>
        <w:t xml:space="preserve">Table 1. Growth/decrease rate of IIP index in the 8 </w:t>
      </w:r>
      <w:r>
        <w:rPr>
          <w:rFonts w:ascii="Arial" w:hAnsi="Arial" w:cs="Arial"/>
          <w:b/>
          <w:spacing w:val="-2"/>
          <w:sz w:val="24"/>
        </w:rPr>
        <w:t xml:space="preserve">months </w:t>
      </w:r>
      <w:r w:rsidRPr="001C3C67">
        <w:rPr>
          <w:rFonts w:ascii="Arial" w:hAnsi="Arial" w:cs="Arial"/>
          <w:b/>
          <w:spacing w:val="-2"/>
          <w:sz w:val="24"/>
          <w:lang w:val="pl-PL"/>
        </w:rPr>
        <w:t xml:space="preserve">of 2018-2022 </w:t>
      </w:r>
      <w:r w:rsidRPr="001C3C67">
        <w:rPr>
          <w:rFonts w:ascii="Arial" w:hAnsi="Arial" w:cs="Arial"/>
          <w:b/>
          <w:spacing w:val="-2"/>
          <w:sz w:val="24"/>
          <w:lang w:val="pl-PL"/>
        </w:rPr>
        <w:br/>
        <w:t>compared to the same period last year of some key industries</w:t>
      </w:r>
    </w:p>
    <w:p w14:paraId="13F9EF0F" w14:textId="77777777" w:rsidR="000C054A" w:rsidRPr="004E3B23" w:rsidRDefault="000C054A" w:rsidP="000C054A">
      <w:pPr>
        <w:shd w:val="clear" w:color="auto" w:fill="FFFFFF"/>
        <w:tabs>
          <w:tab w:val="left" w:pos="8789"/>
        </w:tabs>
        <w:ind w:right="187"/>
        <w:jc w:val="right"/>
        <w:rPr>
          <w:i/>
          <w:sz w:val="4"/>
          <w:lang w:val="pl-PL"/>
        </w:rPr>
      </w:pPr>
      <w:r>
        <w:rPr>
          <w:rFonts w:ascii="Arial" w:hAnsi="Arial" w:cs="Arial"/>
          <w:spacing w:val="-2"/>
          <w:sz w:val="24"/>
          <w:lang w:val="pl-PL"/>
        </w:rPr>
        <w:t xml:space="preserve">                                                                                                                              %</w:t>
      </w:r>
    </w:p>
    <w:tbl>
      <w:tblPr>
        <w:tblW w:w="8789" w:type="dxa"/>
        <w:jc w:val="center"/>
        <w:tblBorders>
          <w:top w:val="single" w:sz="4" w:space="0" w:color="auto"/>
        </w:tblBorders>
        <w:tblLook w:val="04A0" w:firstRow="1" w:lastRow="0" w:firstColumn="1" w:lastColumn="0" w:noHBand="0" w:noVBand="1"/>
      </w:tblPr>
      <w:tblGrid>
        <w:gridCol w:w="5162"/>
        <w:gridCol w:w="792"/>
        <w:gridCol w:w="709"/>
        <w:gridCol w:w="708"/>
        <w:gridCol w:w="709"/>
        <w:gridCol w:w="709"/>
      </w:tblGrid>
      <w:tr w:rsidR="000C054A" w:rsidRPr="0034680C" w14:paraId="13FC913E" w14:textId="77777777" w:rsidTr="00D6757E">
        <w:trPr>
          <w:trHeight w:val="286"/>
          <w:jc w:val="center"/>
        </w:trPr>
        <w:tc>
          <w:tcPr>
            <w:tcW w:w="5162" w:type="dxa"/>
            <w:shd w:val="clear" w:color="auto" w:fill="auto"/>
            <w:noWrap/>
            <w:vAlign w:val="center"/>
            <w:hideMark/>
          </w:tcPr>
          <w:p w14:paraId="7654D0B6" w14:textId="77777777" w:rsidR="000C054A" w:rsidRPr="00CC6FF0" w:rsidRDefault="000C054A" w:rsidP="00D6757E">
            <w:pPr>
              <w:rPr>
                <w:rFonts w:ascii="Arial" w:hAnsi="Arial" w:cs="Arial"/>
                <w:sz w:val="24"/>
                <w:szCs w:val="24"/>
                <w:lang w:val="en-US"/>
              </w:rPr>
            </w:pPr>
          </w:p>
        </w:tc>
        <w:tc>
          <w:tcPr>
            <w:tcW w:w="792" w:type="dxa"/>
            <w:tcBorders>
              <w:top w:val="single" w:sz="4" w:space="0" w:color="auto"/>
              <w:bottom w:val="single" w:sz="4" w:space="0" w:color="auto"/>
            </w:tcBorders>
            <w:shd w:val="clear" w:color="auto" w:fill="auto"/>
            <w:noWrap/>
            <w:vAlign w:val="center"/>
            <w:hideMark/>
          </w:tcPr>
          <w:p w14:paraId="2ED7D426" w14:textId="77777777" w:rsidR="000C054A" w:rsidRPr="00644237" w:rsidRDefault="000C054A" w:rsidP="00D6757E">
            <w:pPr>
              <w:jc w:val="right"/>
              <w:rPr>
                <w:rFonts w:ascii="Arial" w:hAnsi="Arial" w:cs="Arial"/>
                <w:bCs/>
                <w:sz w:val="20"/>
                <w:szCs w:val="20"/>
                <w:lang w:val="en-US"/>
              </w:rPr>
            </w:pPr>
            <w:r w:rsidRPr="00644237">
              <w:rPr>
                <w:rFonts w:ascii="Arial" w:hAnsi="Arial" w:cs="Arial"/>
                <w:bCs/>
                <w:sz w:val="20"/>
                <w:szCs w:val="20"/>
                <w:lang w:val="en-US"/>
              </w:rPr>
              <w:t>2018</w:t>
            </w:r>
          </w:p>
        </w:tc>
        <w:tc>
          <w:tcPr>
            <w:tcW w:w="709" w:type="dxa"/>
            <w:tcBorders>
              <w:top w:val="single" w:sz="4" w:space="0" w:color="auto"/>
              <w:bottom w:val="single" w:sz="4" w:space="0" w:color="auto"/>
            </w:tcBorders>
            <w:shd w:val="clear" w:color="auto" w:fill="auto"/>
            <w:vAlign w:val="center"/>
            <w:hideMark/>
          </w:tcPr>
          <w:p w14:paraId="28F27D5D" w14:textId="77777777" w:rsidR="000C054A" w:rsidRPr="00644237" w:rsidRDefault="000C054A" w:rsidP="00D6757E">
            <w:pPr>
              <w:jc w:val="right"/>
              <w:rPr>
                <w:rFonts w:ascii="Arial" w:hAnsi="Arial" w:cs="Arial"/>
                <w:bCs/>
                <w:sz w:val="20"/>
                <w:szCs w:val="20"/>
                <w:lang w:val="en-US"/>
              </w:rPr>
            </w:pPr>
            <w:r w:rsidRPr="00644237">
              <w:rPr>
                <w:rFonts w:ascii="Arial" w:hAnsi="Arial" w:cs="Arial"/>
                <w:bCs/>
                <w:sz w:val="20"/>
                <w:szCs w:val="20"/>
                <w:lang w:val="en-US"/>
              </w:rPr>
              <w:t>2019</w:t>
            </w:r>
          </w:p>
        </w:tc>
        <w:tc>
          <w:tcPr>
            <w:tcW w:w="708" w:type="dxa"/>
            <w:tcBorders>
              <w:top w:val="single" w:sz="4" w:space="0" w:color="auto"/>
              <w:bottom w:val="single" w:sz="4" w:space="0" w:color="auto"/>
            </w:tcBorders>
            <w:shd w:val="clear" w:color="auto" w:fill="auto"/>
            <w:vAlign w:val="center"/>
            <w:hideMark/>
          </w:tcPr>
          <w:p w14:paraId="79C01E2A" w14:textId="77777777" w:rsidR="000C054A" w:rsidRPr="00644237" w:rsidRDefault="000C054A" w:rsidP="00D6757E">
            <w:pPr>
              <w:jc w:val="right"/>
              <w:rPr>
                <w:rFonts w:ascii="Arial" w:hAnsi="Arial" w:cs="Arial"/>
                <w:bCs/>
                <w:sz w:val="20"/>
                <w:szCs w:val="20"/>
                <w:lang w:val="en-US"/>
              </w:rPr>
            </w:pPr>
            <w:r w:rsidRPr="00644237">
              <w:rPr>
                <w:rFonts w:ascii="Arial" w:hAnsi="Arial" w:cs="Arial"/>
                <w:bCs/>
                <w:sz w:val="20"/>
                <w:szCs w:val="20"/>
                <w:lang w:val="en-US"/>
              </w:rPr>
              <w:t>2020</w:t>
            </w:r>
          </w:p>
        </w:tc>
        <w:tc>
          <w:tcPr>
            <w:tcW w:w="709" w:type="dxa"/>
            <w:tcBorders>
              <w:top w:val="single" w:sz="4" w:space="0" w:color="auto"/>
              <w:bottom w:val="single" w:sz="4" w:space="0" w:color="auto"/>
            </w:tcBorders>
            <w:shd w:val="clear" w:color="auto" w:fill="auto"/>
            <w:vAlign w:val="center"/>
            <w:hideMark/>
          </w:tcPr>
          <w:p w14:paraId="5A52391A" w14:textId="77777777" w:rsidR="000C054A" w:rsidRPr="00644237" w:rsidRDefault="000C054A" w:rsidP="00D6757E">
            <w:pPr>
              <w:jc w:val="right"/>
              <w:rPr>
                <w:rFonts w:ascii="Arial" w:hAnsi="Arial" w:cs="Arial"/>
                <w:bCs/>
                <w:sz w:val="20"/>
                <w:szCs w:val="20"/>
                <w:lang w:val="en-US"/>
              </w:rPr>
            </w:pPr>
            <w:r w:rsidRPr="00644237">
              <w:rPr>
                <w:rFonts w:ascii="Arial" w:hAnsi="Arial" w:cs="Arial"/>
                <w:bCs/>
                <w:sz w:val="20"/>
                <w:szCs w:val="20"/>
                <w:lang w:val="en-US"/>
              </w:rPr>
              <w:t>2021</w:t>
            </w:r>
          </w:p>
        </w:tc>
        <w:tc>
          <w:tcPr>
            <w:tcW w:w="709" w:type="dxa"/>
            <w:tcBorders>
              <w:top w:val="single" w:sz="4" w:space="0" w:color="auto"/>
              <w:bottom w:val="single" w:sz="4" w:space="0" w:color="auto"/>
            </w:tcBorders>
            <w:shd w:val="clear" w:color="auto" w:fill="auto"/>
            <w:vAlign w:val="center"/>
            <w:hideMark/>
          </w:tcPr>
          <w:p w14:paraId="1F65806D" w14:textId="77777777" w:rsidR="000C054A" w:rsidRPr="00644237" w:rsidRDefault="000C054A" w:rsidP="00D6757E">
            <w:pPr>
              <w:jc w:val="right"/>
              <w:rPr>
                <w:rFonts w:ascii="Arial" w:hAnsi="Arial" w:cs="Arial"/>
                <w:bCs/>
                <w:sz w:val="20"/>
                <w:szCs w:val="20"/>
                <w:lang w:val="en-US"/>
              </w:rPr>
            </w:pPr>
            <w:r w:rsidRPr="00644237">
              <w:rPr>
                <w:rFonts w:ascii="Arial" w:hAnsi="Arial" w:cs="Arial"/>
                <w:bCs/>
                <w:sz w:val="20"/>
                <w:szCs w:val="20"/>
                <w:lang w:val="en-US"/>
              </w:rPr>
              <w:t>2022</w:t>
            </w:r>
          </w:p>
        </w:tc>
      </w:tr>
      <w:tr w:rsidR="000C054A" w:rsidRPr="0034680C" w14:paraId="7620E994" w14:textId="77777777" w:rsidTr="00D6757E">
        <w:trPr>
          <w:trHeight w:val="475"/>
          <w:jc w:val="center"/>
        </w:trPr>
        <w:tc>
          <w:tcPr>
            <w:tcW w:w="5162" w:type="dxa"/>
            <w:shd w:val="clear" w:color="auto" w:fill="auto"/>
            <w:noWrap/>
            <w:vAlign w:val="center"/>
            <w:hideMark/>
          </w:tcPr>
          <w:p w14:paraId="5B5CC17A" w14:textId="77777777" w:rsidR="000C054A" w:rsidRPr="0034680C" w:rsidRDefault="000C054A" w:rsidP="00D6757E">
            <w:pPr>
              <w:rPr>
                <w:rFonts w:ascii="Arial" w:hAnsi="Arial" w:cs="Arial"/>
                <w:color w:val="000000"/>
                <w:sz w:val="20"/>
                <w:szCs w:val="20"/>
                <w:lang w:val="en-US"/>
              </w:rPr>
            </w:pPr>
            <w:r w:rsidRPr="00931912">
              <w:rPr>
                <w:rFonts w:ascii="Arial" w:hAnsi="Arial" w:cs="Arial"/>
                <w:color w:val="000000"/>
                <w:sz w:val="20"/>
                <w:szCs w:val="20"/>
                <w:lang w:val="en-US"/>
              </w:rPr>
              <w:t>Manufacture of beverages</w:t>
            </w:r>
          </w:p>
        </w:tc>
        <w:tc>
          <w:tcPr>
            <w:tcW w:w="792" w:type="dxa"/>
            <w:tcBorders>
              <w:top w:val="single" w:sz="4" w:space="0" w:color="auto"/>
            </w:tcBorders>
            <w:shd w:val="clear" w:color="auto" w:fill="auto"/>
            <w:vAlign w:val="center"/>
            <w:hideMark/>
          </w:tcPr>
          <w:p w14:paraId="107749E1"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8.6</w:t>
            </w:r>
          </w:p>
        </w:tc>
        <w:tc>
          <w:tcPr>
            <w:tcW w:w="709" w:type="dxa"/>
            <w:tcBorders>
              <w:top w:val="single" w:sz="4" w:space="0" w:color="auto"/>
            </w:tcBorders>
            <w:shd w:val="clear" w:color="auto" w:fill="auto"/>
            <w:vAlign w:val="center"/>
            <w:hideMark/>
          </w:tcPr>
          <w:p w14:paraId="4B59E713"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10.2</w:t>
            </w:r>
          </w:p>
        </w:tc>
        <w:tc>
          <w:tcPr>
            <w:tcW w:w="708" w:type="dxa"/>
            <w:tcBorders>
              <w:top w:val="single" w:sz="4" w:space="0" w:color="auto"/>
            </w:tcBorders>
            <w:shd w:val="clear" w:color="auto" w:fill="auto"/>
            <w:vAlign w:val="center"/>
            <w:hideMark/>
          </w:tcPr>
          <w:p w14:paraId="53028F6E"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-7.0</w:t>
            </w:r>
          </w:p>
        </w:tc>
        <w:tc>
          <w:tcPr>
            <w:tcW w:w="709" w:type="dxa"/>
            <w:tcBorders>
              <w:top w:val="single" w:sz="4" w:space="0" w:color="auto"/>
            </w:tcBorders>
            <w:shd w:val="clear" w:color="auto" w:fill="auto"/>
            <w:vAlign w:val="center"/>
            <w:hideMark/>
          </w:tcPr>
          <w:p w14:paraId="24454C66"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0.2</w:t>
            </w:r>
          </w:p>
        </w:tc>
        <w:tc>
          <w:tcPr>
            <w:tcW w:w="709" w:type="dxa"/>
            <w:tcBorders>
              <w:top w:val="single" w:sz="4" w:space="0" w:color="auto"/>
            </w:tcBorders>
            <w:shd w:val="clear" w:color="auto" w:fill="auto"/>
            <w:vAlign w:val="center"/>
            <w:hideMark/>
          </w:tcPr>
          <w:p w14:paraId="1190ABF1"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26.8</w:t>
            </w:r>
          </w:p>
        </w:tc>
      </w:tr>
      <w:tr w:rsidR="000C054A" w:rsidRPr="0034680C" w14:paraId="0E38597D" w14:textId="77777777" w:rsidTr="00D6757E">
        <w:trPr>
          <w:trHeight w:val="223"/>
          <w:jc w:val="center"/>
        </w:trPr>
        <w:tc>
          <w:tcPr>
            <w:tcW w:w="5162" w:type="dxa"/>
            <w:shd w:val="clear" w:color="auto" w:fill="auto"/>
            <w:noWrap/>
            <w:vAlign w:val="center"/>
            <w:hideMark/>
          </w:tcPr>
          <w:p w14:paraId="67ADD956" w14:textId="77777777" w:rsidR="000C054A" w:rsidRPr="0034680C" w:rsidRDefault="000C054A" w:rsidP="00D6757E">
            <w:pPr>
              <w:rPr>
                <w:rFonts w:ascii="Arial" w:hAnsi="Arial" w:cs="Arial"/>
                <w:color w:val="000000"/>
                <w:sz w:val="20"/>
                <w:szCs w:val="20"/>
                <w:lang w:val="en-US"/>
              </w:rPr>
            </w:pPr>
            <w:r w:rsidRPr="00931912">
              <w:rPr>
                <w:rFonts w:ascii="Arial" w:hAnsi="Arial" w:cs="Arial"/>
                <w:color w:val="000000"/>
                <w:sz w:val="20"/>
                <w:szCs w:val="20"/>
                <w:lang w:val="en-US"/>
              </w:rPr>
              <w:t>Manufacture of wearing apparel</w:t>
            </w:r>
          </w:p>
        </w:tc>
        <w:tc>
          <w:tcPr>
            <w:tcW w:w="792" w:type="dxa"/>
            <w:shd w:val="clear" w:color="auto" w:fill="auto"/>
            <w:vAlign w:val="center"/>
            <w:hideMark/>
          </w:tcPr>
          <w:p w14:paraId="13779AC7"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10.5</w:t>
            </w:r>
          </w:p>
        </w:tc>
        <w:tc>
          <w:tcPr>
            <w:tcW w:w="709" w:type="dxa"/>
            <w:shd w:val="clear" w:color="auto" w:fill="auto"/>
            <w:vAlign w:val="center"/>
            <w:hideMark/>
          </w:tcPr>
          <w:p w14:paraId="6E79724C"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8.4</w:t>
            </w:r>
          </w:p>
        </w:tc>
        <w:tc>
          <w:tcPr>
            <w:tcW w:w="708" w:type="dxa"/>
            <w:shd w:val="clear" w:color="auto" w:fill="auto"/>
            <w:vAlign w:val="center"/>
            <w:hideMark/>
          </w:tcPr>
          <w:p w14:paraId="4422BBAE"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-5.7</w:t>
            </w:r>
          </w:p>
        </w:tc>
        <w:tc>
          <w:tcPr>
            <w:tcW w:w="709" w:type="dxa"/>
            <w:shd w:val="clear" w:color="auto" w:fill="auto"/>
            <w:vAlign w:val="center"/>
            <w:hideMark/>
          </w:tcPr>
          <w:p w14:paraId="0386D59C"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5.8</w:t>
            </w:r>
          </w:p>
        </w:tc>
        <w:tc>
          <w:tcPr>
            <w:tcW w:w="709" w:type="dxa"/>
            <w:shd w:val="clear" w:color="auto" w:fill="auto"/>
            <w:vAlign w:val="center"/>
            <w:hideMark/>
          </w:tcPr>
          <w:p w14:paraId="66BD7B84"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22.5</w:t>
            </w:r>
          </w:p>
        </w:tc>
      </w:tr>
      <w:tr w:rsidR="000C054A" w:rsidRPr="0034680C" w14:paraId="511D8DE1" w14:textId="77777777" w:rsidTr="00D6757E">
        <w:trPr>
          <w:trHeight w:val="319"/>
          <w:jc w:val="center"/>
        </w:trPr>
        <w:tc>
          <w:tcPr>
            <w:tcW w:w="5162" w:type="dxa"/>
            <w:shd w:val="clear" w:color="auto" w:fill="auto"/>
            <w:noWrap/>
            <w:vAlign w:val="center"/>
            <w:hideMark/>
          </w:tcPr>
          <w:p w14:paraId="22CDBE6B" w14:textId="77777777" w:rsidR="000C054A" w:rsidRPr="00032F36" w:rsidRDefault="000C054A" w:rsidP="00D6757E">
            <w:pPr>
              <w:rPr>
                <w:rFonts w:ascii="Arial" w:hAnsi="Arial" w:cs="Arial"/>
                <w:color w:val="000000"/>
                <w:sz w:val="20"/>
                <w:szCs w:val="20"/>
              </w:rPr>
            </w:pPr>
            <w:r w:rsidRPr="00032F36">
              <w:rPr>
                <w:rFonts w:ascii="Arial" w:hAnsi="Arial" w:cs="Arial"/>
                <w:color w:val="000000"/>
                <w:sz w:val="20"/>
                <w:szCs w:val="20"/>
              </w:rPr>
              <w:t>Manufacture of leather and related products</w:t>
            </w:r>
          </w:p>
        </w:tc>
        <w:tc>
          <w:tcPr>
            <w:tcW w:w="792" w:type="dxa"/>
            <w:shd w:val="clear" w:color="auto" w:fill="auto"/>
            <w:vAlign w:val="center"/>
            <w:hideMark/>
          </w:tcPr>
          <w:p w14:paraId="4A0ED694"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10.2</w:t>
            </w:r>
          </w:p>
        </w:tc>
        <w:tc>
          <w:tcPr>
            <w:tcW w:w="709" w:type="dxa"/>
            <w:shd w:val="clear" w:color="auto" w:fill="auto"/>
            <w:vAlign w:val="center"/>
            <w:hideMark/>
          </w:tcPr>
          <w:p w14:paraId="364ABF16"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9.0</w:t>
            </w:r>
          </w:p>
        </w:tc>
        <w:tc>
          <w:tcPr>
            <w:tcW w:w="708" w:type="dxa"/>
            <w:shd w:val="clear" w:color="auto" w:fill="auto"/>
            <w:vAlign w:val="center"/>
            <w:hideMark/>
          </w:tcPr>
          <w:p w14:paraId="6C91883B"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-4.2</w:t>
            </w:r>
          </w:p>
        </w:tc>
        <w:tc>
          <w:tcPr>
            <w:tcW w:w="709" w:type="dxa"/>
            <w:shd w:val="clear" w:color="auto" w:fill="auto"/>
            <w:vAlign w:val="center"/>
            <w:hideMark/>
          </w:tcPr>
          <w:p w14:paraId="26242616"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8.2</w:t>
            </w:r>
          </w:p>
        </w:tc>
        <w:tc>
          <w:tcPr>
            <w:tcW w:w="709" w:type="dxa"/>
            <w:shd w:val="clear" w:color="auto" w:fill="auto"/>
            <w:vAlign w:val="center"/>
            <w:hideMark/>
          </w:tcPr>
          <w:p w14:paraId="53D5EE23"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18.5</w:t>
            </w:r>
          </w:p>
        </w:tc>
      </w:tr>
      <w:tr w:rsidR="000C054A" w:rsidRPr="0034680C" w14:paraId="01D07C9F" w14:textId="77777777" w:rsidTr="00D6757E">
        <w:trPr>
          <w:trHeight w:val="245"/>
          <w:jc w:val="center"/>
        </w:trPr>
        <w:tc>
          <w:tcPr>
            <w:tcW w:w="5162" w:type="dxa"/>
            <w:shd w:val="clear" w:color="auto" w:fill="auto"/>
            <w:noWrap/>
            <w:vAlign w:val="center"/>
            <w:hideMark/>
          </w:tcPr>
          <w:p w14:paraId="75D8D06B" w14:textId="77777777" w:rsidR="000C054A" w:rsidRPr="00032F36" w:rsidRDefault="000C054A" w:rsidP="00D6757E">
            <w:pPr>
              <w:rPr>
                <w:rFonts w:ascii="Arial" w:hAnsi="Arial" w:cs="Arial"/>
                <w:color w:val="000000"/>
                <w:sz w:val="20"/>
                <w:szCs w:val="20"/>
              </w:rPr>
            </w:pPr>
            <w:r w:rsidRPr="002935AC">
              <w:rPr>
                <w:rFonts w:ascii="Arial" w:hAnsi="Arial" w:cs="Arial"/>
                <w:color w:val="000000"/>
                <w:sz w:val="20"/>
                <w:szCs w:val="20"/>
              </w:rPr>
              <w:t>Manufacture of pharmaceuticals, medicinal chemical and botanical products</w:t>
            </w:r>
          </w:p>
        </w:tc>
        <w:tc>
          <w:tcPr>
            <w:tcW w:w="792" w:type="dxa"/>
            <w:shd w:val="clear" w:color="auto" w:fill="auto"/>
            <w:vAlign w:val="center"/>
            <w:hideMark/>
          </w:tcPr>
          <w:p w14:paraId="19C0975A"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23.2</w:t>
            </w:r>
          </w:p>
        </w:tc>
        <w:tc>
          <w:tcPr>
            <w:tcW w:w="709" w:type="dxa"/>
            <w:shd w:val="clear" w:color="auto" w:fill="auto"/>
            <w:vAlign w:val="center"/>
            <w:hideMark/>
          </w:tcPr>
          <w:p w14:paraId="0C7B228D"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-1.7</w:t>
            </w:r>
          </w:p>
        </w:tc>
        <w:tc>
          <w:tcPr>
            <w:tcW w:w="708" w:type="dxa"/>
            <w:shd w:val="clear" w:color="auto" w:fill="auto"/>
            <w:vAlign w:val="center"/>
            <w:hideMark/>
          </w:tcPr>
          <w:p w14:paraId="6AE9404E"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26.6</w:t>
            </w:r>
          </w:p>
        </w:tc>
        <w:tc>
          <w:tcPr>
            <w:tcW w:w="709" w:type="dxa"/>
            <w:shd w:val="clear" w:color="auto" w:fill="auto"/>
            <w:vAlign w:val="center"/>
            <w:hideMark/>
          </w:tcPr>
          <w:p w14:paraId="1154DC50"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-16.3</w:t>
            </w:r>
          </w:p>
        </w:tc>
        <w:tc>
          <w:tcPr>
            <w:tcW w:w="709" w:type="dxa"/>
            <w:shd w:val="clear" w:color="auto" w:fill="auto"/>
            <w:vAlign w:val="center"/>
            <w:hideMark/>
          </w:tcPr>
          <w:p w14:paraId="7F9492CB"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17.4</w:t>
            </w:r>
          </w:p>
        </w:tc>
      </w:tr>
      <w:tr w:rsidR="000C054A" w:rsidRPr="0034680C" w14:paraId="328BA5AB" w14:textId="77777777" w:rsidTr="00D6757E">
        <w:trPr>
          <w:trHeight w:val="319"/>
          <w:jc w:val="center"/>
        </w:trPr>
        <w:tc>
          <w:tcPr>
            <w:tcW w:w="5162" w:type="dxa"/>
            <w:shd w:val="clear" w:color="auto" w:fill="auto"/>
            <w:noWrap/>
            <w:vAlign w:val="center"/>
            <w:hideMark/>
          </w:tcPr>
          <w:p w14:paraId="36499171" w14:textId="77777777" w:rsidR="000C054A" w:rsidRPr="00032F36" w:rsidRDefault="000C054A" w:rsidP="00D6757E">
            <w:pPr>
              <w:rPr>
                <w:rFonts w:ascii="Arial" w:hAnsi="Arial" w:cs="Arial"/>
                <w:color w:val="000000"/>
                <w:sz w:val="20"/>
                <w:szCs w:val="20"/>
              </w:rPr>
            </w:pPr>
            <w:r w:rsidRPr="00032F36">
              <w:rPr>
                <w:rFonts w:ascii="Arial" w:hAnsi="Arial" w:cs="Arial"/>
                <w:color w:val="000000"/>
                <w:sz w:val="20"/>
                <w:szCs w:val="20"/>
              </w:rPr>
              <w:t>Manufacture of electrical equipment</w:t>
            </w:r>
          </w:p>
        </w:tc>
        <w:tc>
          <w:tcPr>
            <w:tcW w:w="792" w:type="dxa"/>
            <w:shd w:val="clear" w:color="auto" w:fill="auto"/>
            <w:vAlign w:val="center"/>
            <w:hideMark/>
          </w:tcPr>
          <w:p w14:paraId="3F5D5FF0"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8.4</w:t>
            </w:r>
          </w:p>
        </w:tc>
        <w:tc>
          <w:tcPr>
            <w:tcW w:w="709" w:type="dxa"/>
            <w:shd w:val="clear" w:color="auto" w:fill="auto"/>
            <w:vAlign w:val="center"/>
            <w:hideMark/>
          </w:tcPr>
          <w:p w14:paraId="7C365A64"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10.5</w:t>
            </w:r>
          </w:p>
        </w:tc>
        <w:tc>
          <w:tcPr>
            <w:tcW w:w="708" w:type="dxa"/>
            <w:shd w:val="clear" w:color="auto" w:fill="auto"/>
            <w:vAlign w:val="center"/>
            <w:hideMark/>
          </w:tcPr>
          <w:p w14:paraId="4C36B739"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-0.9</w:t>
            </w:r>
          </w:p>
        </w:tc>
        <w:tc>
          <w:tcPr>
            <w:tcW w:w="709" w:type="dxa"/>
            <w:shd w:val="clear" w:color="auto" w:fill="auto"/>
            <w:vAlign w:val="center"/>
            <w:hideMark/>
          </w:tcPr>
          <w:p w14:paraId="6A1FDA26"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2.9</w:t>
            </w:r>
          </w:p>
        </w:tc>
        <w:tc>
          <w:tcPr>
            <w:tcW w:w="709" w:type="dxa"/>
            <w:shd w:val="clear" w:color="auto" w:fill="auto"/>
            <w:vAlign w:val="center"/>
            <w:hideMark/>
          </w:tcPr>
          <w:p w14:paraId="6300D8D7"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17.4</w:t>
            </w:r>
          </w:p>
        </w:tc>
      </w:tr>
      <w:tr w:rsidR="000C054A" w:rsidRPr="0034680C" w14:paraId="469C19E1" w14:textId="77777777" w:rsidTr="00D6757E">
        <w:trPr>
          <w:trHeight w:val="239"/>
          <w:jc w:val="center"/>
        </w:trPr>
        <w:tc>
          <w:tcPr>
            <w:tcW w:w="5162" w:type="dxa"/>
            <w:shd w:val="clear" w:color="auto" w:fill="auto"/>
            <w:vAlign w:val="center"/>
            <w:hideMark/>
          </w:tcPr>
          <w:p w14:paraId="325F6ABD" w14:textId="77777777" w:rsidR="000C054A" w:rsidRPr="00032F36" w:rsidRDefault="000C054A" w:rsidP="00D6757E">
            <w:pPr>
              <w:rPr>
                <w:rFonts w:ascii="Arial" w:hAnsi="Arial" w:cs="Arial"/>
                <w:color w:val="000000"/>
                <w:sz w:val="20"/>
                <w:szCs w:val="20"/>
              </w:rPr>
            </w:pPr>
            <w:r w:rsidRPr="00032F36">
              <w:rPr>
                <w:rFonts w:ascii="Arial" w:hAnsi="Arial" w:cs="Arial"/>
                <w:color w:val="000000"/>
                <w:sz w:val="20"/>
                <w:szCs w:val="20"/>
              </w:rPr>
              <w:t xml:space="preserve">Manufacture of machinery and equipment </w:t>
            </w:r>
            <w:r>
              <w:rPr>
                <w:rFonts w:ascii="Arial" w:hAnsi="Arial" w:cs="Arial"/>
                <w:color w:val="000000"/>
                <w:sz w:val="20"/>
                <w:szCs w:val="20"/>
              </w:rPr>
              <w:t>n.e.c</w:t>
            </w:r>
            <w:r w:rsidRPr="00032F36">
              <w:rPr>
                <w:rFonts w:ascii="Arial" w:hAnsi="Arial" w:cs="Arial"/>
                <w:color w:val="000000"/>
                <w:sz w:val="20"/>
                <w:szCs w:val="20"/>
              </w:rPr>
              <w:t xml:space="preserve"> </w:t>
            </w:r>
          </w:p>
        </w:tc>
        <w:tc>
          <w:tcPr>
            <w:tcW w:w="792" w:type="dxa"/>
            <w:shd w:val="clear" w:color="auto" w:fill="auto"/>
            <w:vAlign w:val="center"/>
            <w:hideMark/>
          </w:tcPr>
          <w:p w14:paraId="118E916E"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3.0</w:t>
            </w:r>
          </w:p>
        </w:tc>
        <w:tc>
          <w:tcPr>
            <w:tcW w:w="709" w:type="dxa"/>
            <w:shd w:val="clear" w:color="auto" w:fill="auto"/>
            <w:vAlign w:val="center"/>
            <w:hideMark/>
          </w:tcPr>
          <w:p w14:paraId="256DE85A"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11.7</w:t>
            </w:r>
          </w:p>
        </w:tc>
        <w:tc>
          <w:tcPr>
            <w:tcW w:w="708" w:type="dxa"/>
            <w:shd w:val="clear" w:color="auto" w:fill="auto"/>
            <w:vAlign w:val="center"/>
            <w:hideMark/>
          </w:tcPr>
          <w:p w14:paraId="047791CD"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-4.3</w:t>
            </w:r>
          </w:p>
        </w:tc>
        <w:tc>
          <w:tcPr>
            <w:tcW w:w="709" w:type="dxa"/>
            <w:shd w:val="clear" w:color="auto" w:fill="auto"/>
            <w:vAlign w:val="center"/>
            <w:hideMark/>
          </w:tcPr>
          <w:p w14:paraId="7A21156C"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7.6</w:t>
            </w:r>
          </w:p>
        </w:tc>
        <w:tc>
          <w:tcPr>
            <w:tcW w:w="709" w:type="dxa"/>
            <w:shd w:val="clear" w:color="auto" w:fill="auto"/>
            <w:vAlign w:val="center"/>
            <w:hideMark/>
          </w:tcPr>
          <w:p w14:paraId="623FDA07"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14.3</w:t>
            </w:r>
          </w:p>
        </w:tc>
      </w:tr>
      <w:tr w:rsidR="000C054A" w:rsidRPr="0034680C" w14:paraId="171EC547" w14:textId="77777777" w:rsidTr="00D6757E">
        <w:trPr>
          <w:trHeight w:val="403"/>
          <w:jc w:val="center"/>
        </w:trPr>
        <w:tc>
          <w:tcPr>
            <w:tcW w:w="5162" w:type="dxa"/>
            <w:shd w:val="clear" w:color="auto" w:fill="auto"/>
            <w:vAlign w:val="center"/>
            <w:hideMark/>
          </w:tcPr>
          <w:p w14:paraId="6D99B6AF" w14:textId="77777777" w:rsidR="000C054A" w:rsidRPr="00032F36" w:rsidRDefault="000C054A" w:rsidP="00D6757E">
            <w:pPr>
              <w:rPr>
                <w:rFonts w:ascii="Arial" w:hAnsi="Arial" w:cs="Arial"/>
                <w:color w:val="000000"/>
                <w:sz w:val="20"/>
                <w:szCs w:val="20"/>
              </w:rPr>
            </w:pPr>
            <w:r w:rsidRPr="00D25A0E">
              <w:rPr>
                <w:rFonts w:ascii="Arial" w:hAnsi="Arial" w:cs="Arial"/>
                <w:color w:val="000000"/>
                <w:sz w:val="20"/>
                <w:szCs w:val="20"/>
              </w:rPr>
              <w:t>Manufacture of wood and of products of wood and cork</w:t>
            </w:r>
          </w:p>
        </w:tc>
        <w:tc>
          <w:tcPr>
            <w:tcW w:w="792" w:type="dxa"/>
            <w:shd w:val="clear" w:color="auto" w:fill="auto"/>
            <w:vAlign w:val="center"/>
            <w:hideMark/>
          </w:tcPr>
          <w:p w14:paraId="3D0251A2"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2.1</w:t>
            </w:r>
          </w:p>
        </w:tc>
        <w:tc>
          <w:tcPr>
            <w:tcW w:w="709" w:type="dxa"/>
            <w:shd w:val="clear" w:color="auto" w:fill="auto"/>
            <w:vAlign w:val="center"/>
            <w:hideMark/>
          </w:tcPr>
          <w:p w14:paraId="1D0289A6"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11.1</w:t>
            </w:r>
          </w:p>
        </w:tc>
        <w:tc>
          <w:tcPr>
            <w:tcW w:w="708" w:type="dxa"/>
            <w:shd w:val="clear" w:color="auto" w:fill="auto"/>
            <w:vAlign w:val="center"/>
            <w:hideMark/>
          </w:tcPr>
          <w:p w14:paraId="056757F6"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-5.4</w:t>
            </w:r>
          </w:p>
        </w:tc>
        <w:tc>
          <w:tcPr>
            <w:tcW w:w="709" w:type="dxa"/>
            <w:shd w:val="clear" w:color="auto" w:fill="auto"/>
            <w:vAlign w:val="center"/>
            <w:hideMark/>
          </w:tcPr>
          <w:p w14:paraId="68A623C0"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4.3</w:t>
            </w:r>
          </w:p>
        </w:tc>
        <w:tc>
          <w:tcPr>
            <w:tcW w:w="709" w:type="dxa"/>
            <w:shd w:val="clear" w:color="auto" w:fill="auto"/>
            <w:vAlign w:val="center"/>
            <w:hideMark/>
          </w:tcPr>
          <w:p w14:paraId="48B65D1C"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14.2</w:t>
            </w:r>
          </w:p>
        </w:tc>
      </w:tr>
      <w:tr w:rsidR="000C054A" w:rsidRPr="0034680C" w14:paraId="2CD7B9CD" w14:textId="77777777" w:rsidTr="00D6757E">
        <w:trPr>
          <w:trHeight w:val="422"/>
          <w:jc w:val="center"/>
        </w:trPr>
        <w:tc>
          <w:tcPr>
            <w:tcW w:w="5162" w:type="dxa"/>
            <w:shd w:val="clear" w:color="auto" w:fill="auto"/>
            <w:vAlign w:val="center"/>
            <w:hideMark/>
          </w:tcPr>
          <w:p w14:paraId="128300EC" w14:textId="77777777" w:rsidR="000C054A" w:rsidRPr="00032F36" w:rsidRDefault="000C054A" w:rsidP="00D6757E">
            <w:pPr>
              <w:rPr>
                <w:rFonts w:ascii="Arial" w:hAnsi="Arial" w:cs="Arial"/>
                <w:color w:val="000000"/>
                <w:sz w:val="20"/>
                <w:szCs w:val="20"/>
              </w:rPr>
            </w:pPr>
            <w:r w:rsidRPr="00032F36">
              <w:rPr>
                <w:rFonts w:ascii="Arial" w:hAnsi="Arial" w:cs="Arial"/>
                <w:color w:val="000000"/>
                <w:sz w:val="20"/>
                <w:szCs w:val="20"/>
              </w:rPr>
              <w:t>Manufacture of electronic products, computers and optical products</w:t>
            </w:r>
          </w:p>
        </w:tc>
        <w:tc>
          <w:tcPr>
            <w:tcW w:w="792" w:type="dxa"/>
            <w:shd w:val="clear" w:color="auto" w:fill="auto"/>
            <w:vAlign w:val="center"/>
            <w:hideMark/>
          </w:tcPr>
          <w:p w14:paraId="46C72631"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17.0</w:t>
            </w:r>
          </w:p>
        </w:tc>
        <w:tc>
          <w:tcPr>
            <w:tcW w:w="709" w:type="dxa"/>
            <w:shd w:val="clear" w:color="auto" w:fill="auto"/>
            <w:vAlign w:val="center"/>
            <w:hideMark/>
          </w:tcPr>
          <w:p w14:paraId="6110F213"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3.8</w:t>
            </w:r>
          </w:p>
        </w:tc>
        <w:tc>
          <w:tcPr>
            <w:tcW w:w="708" w:type="dxa"/>
            <w:shd w:val="clear" w:color="auto" w:fill="auto"/>
            <w:vAlign w:val="center"/>
            <w:hideMark/>
          </w:tcPr>
          <w:p w14:paraId="6223BFA8"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8.7</w:t>
            </w:r>
          </w:p>
        </w:tc>
        <w:tc>
          <w:tcPr>
            <w:tcW w:w="709" w:type="dxa"/>
            <w:shd w:val="clear" w:color="auto" w:fill="auto"/>
            <w:vAlign w:val="center"/>
            <w:hideMark/>
          </w:tcPr>
          <w:p w14:paraId="107C7A6F"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8.5</w:t>
            </w:r>
          </w:p>
        </w:tc>
        <w:tc>
          <w:tcPr>
            <w:tcW w:w="709" w:type="dxa"/>
            <w:shd w:val="clear" w:color="auto" w:fill="auto"/>
            <w:vAlign w:val="center"/>
            <w:hideMark/>
          </w:tcPr>
          <w:p w14:paraId="1271A51B"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11.3</w:t>
            </w:r>
          </w:p>
        </w:tc>
      </w:tr>
      <w:tr w:rsidR="000C054A" w:rsidRPr="0034680C" w14:paraId="2C9B43D5" w14:textId="77777777" w:rsidTr="00D6757E">
        <w:trPr>
          <w:trHeight w:val="400"/>
          <w:jc w:val="center"/>
        </w:trPr>
        <w:tc>
          <w:tcPr>
            <w:tcW w:w="5162" w:type="dxa"/>
            <w:shd w:val="clear" w:color="auto" w:fill="auto"/>
            <w:vAlign w:val="center"/>
            <w:hideMark/>
          </w:tcPr>
          <w:p w14:paraId="6AFFC1C4" w14:textId="77777777" w:rsidR="000C054A" w:rsidRPr="00032F36" w:rsidRDefault="000C054A" w:rsidP="00D6757E">
            <w:pPr>
              <w:rPr>
                <w:rFonts w:ascii="Arial" w:hAnsi="Arial" w:cs="Arial"/>
                <w:color w:val="000000"/>
                <w:sz w:val="20"/>
                <w:szCs w:val="20"/>
              </w:rPr>
            </w:pPr>
            <w:r w:rsidRPr="00032F36">
              <w:rPr>
                <w:rFonts w:ascii="Arial" w:hAnsi="Arial" w:cs="Arial"/>
                <w:color w:val="000000"/>
                <w:sz w:val="20"/>
                <w:szCs w:val="20"/>
              </w:rPr>
              <w:t>Manufacture of prefabricated metal products (except machinery and equipment)</w:t>
            </w:r>
          </w:p>
        </w:tc>
        <w:tc>
          <w:tcPr>
            <w:tcW w:w="792" w:type="dxa"/>
            <w:shd w:val="clear" w:color="auto" w:fill="auto"/>
            <w:vAlign w:val="center"/>
            <w:hideMark/>
          </w:tcPr>
          <w:p w14:paraId="70B9634D"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15.4</w:t>
            </w:r>
          </w:p>
        </w:tc>
        <w:tc>
          <w:tcPr>
            <w:tcW w:w="709" w:type="dxa"/>
            <w:shd w:val="clear" w:color="auto" w:fill="auto"/>
            <w:vAlign w:val="center"/>
            <w:hideMark/>
          </w:tcPr>
          <w:p w14:paraId="13237EC8"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6.0</w:t>
            </w:r>
          </w:p>
        </w:tc>
        <w:tc>
          <w:tcPr>
            <w:tcW w:w="708" w:type="dxa"/>
            <w:shd w:val="clear" w:color="auto" w:fill="auto"/>
            <w:vAlign w:val="center"/>
            <w:hideMark/>
          </w:tcPr>
          <w:p w14:paraId="53C3713B"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2.9</w:t>
            </w:r>
          </w:p>
        </w:tc>
        <w:tc>
          <w:tcPr>
            <w:tcW w:w="709" w:type="dxa"/>
            <w:shd w:val="clear" w:color="auto" w:fill="auto"/>
            <w:vAlign w:val="center"/>
            <w:hideMark/>
          </w:tcPr>
          <w:p w14:paraId="0BDBD594"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5.7</w:t>
            </w:r>
          </w:p>
        </w:tc>
        <w:tc>
          <w:tcPr>
            <w:tcW w:w="709" w:type="dxa"/>
            <w:shd w:val="clear" w:color="auto" w:fill="auto"/>
            <w:vAlign w:val="center"/>
            <w:hideMark/>
          </w:tcPr>
          <w:p w14:paraId="0B9D4CE2"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10.4</w:t>
            </w:r>
          </w:p>
        </w:tc>
      </w:tr>
      <w:tr w:rsidR="000C054A" w:rsidRPr="0034680C" w14:paraId="78EB34B4" w14:textId="77777777" w:rsidTr="00D6757E">
        <w:trPr>
          <w:trHeight w:val="209"/>
          <w:jc w:val="center"/>
        </w:trPr>
        <w:tc>
          <w:tcPr>
            <w:tcW w:w="5162" w:type="dxa"/>
            <w:shd w:val="clear" w:color="auto" w:fill="auto"/>
            <w:noWrap/>
            <w:vAlign w:val="center"/>
            <w:hideMark/>
          </w:tcPr>
          <w:p w14:paraId="5B861207" w14:textId="77777777" w:rsidR="000C054A" w:rsidRPr="00032F36" w:rsidRDefault="000C054A" w:rsidP="00D6757E">
            <w:pPr>
              <w:rPr>
                <w:rFonts w:ascii="Arial" w:hAnsi="Arial" w:cs="Arial"/>
                <w:color w:val="000000"/>
                <w:sz w:val="20"/>
                <w:szCs w:val="20"/>
              </w:rPr>
            </w:pPr>
            <w:r w:rsidRPr="00D25A0E">
              <w:rPr>
                <w:rFonts w:ascii="Arial" w:hAnsi="Arial" w:cs="Arial"/>
                <w:color w:val="000000"/>
                <w:sz w:val="20"/>
                <w:szCs w:val="20"/>
              </w:rPr>
              <w:t>Extraction of crude petroleum and natural gas</w:t>
            </w:r>
          </w:p>
        </w:tc>
        <w:tc>
          <w:tcPr>
            <w:tcW w:w="792" w:type="dxa"/>
            <w:shd w:val="clear" w:color="auto" w:fill="auto"/>
            <w:vAlign w:val="center"/>
            <w:hideMark/>
          </w:tcPr>
          <w:p w14:paraId="416E739B"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-5.1</w:t>
            </w:r>
          </w:p>
        </w:tc>
        <w:tc>
          <w:tcPr>
            <w:tcW w:w="709" w:type="dxa"/>
            <w:shd w:val="clear" w:color="auto" w:fill="auto"/>
            <w:vAlign w:val="center"/>
            <w:hideMark/>
          </w:tcPr>
          <w:p w14:paraId="4555CBB6"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-1.4</w:t>
            </w:r>
          </w:p>
        </w:tc>
        <w:tc>
          <w:tcPr>
            <w:tcW w:w="708" w:type="dxa"/>
            <w:shd w:val="clear" w:color="auto" w:fill="auto"/>
            <w:vAlign w:val="center"/>
            <w:hideMark/>
          </w:tcPr>
          <w:p w14:paraId="0774ED1F"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-11.6</w:t>
            </w:r>
          </w:p>
        </w:tc>
        <w:tc>
          <w:tcPr>
            <w:tcW w:w="709" w:type="dxa"/>
            <w:shd w:val="clear" w:color="auto" w:fill="auto"/>
            <w:vAlign w:val="center"/>
            <w:hideMark/>
          </w:tcPr>
          <w:p w14:paraId="2BB9763C"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-11.1</w:t>
            </w:r>
          </w:p>
        </w:tc>
        <w:tc>
          <w:tcPr>
            <w:tcW w:w="709" w:type="dxa"/>
            <w:shd w:val="clear" w:color="auto" w:fill="auto"/>
            <w:vAlign w:val="center"/>
            <w:hideMark/>
          </w:tcPr>
          <w:p w14:paraId="04F9A994"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-0.7</w:t>
            </w:r>
          </w:p>
        </w:tc>
      </w:tr>
      <w:tr w:rsidR="000C054A" w:rsidRPr="0034680C" w14:paraId="5736D9DA" w14:textId="77777777" w:rsidTr="00D6757E">
        <w:trPr>
          <w:trHeight w:val="319"/>
          <w:jc w:val="center"/>
        </w:trPr>
        <w:tc>
          <w:tcPr>
            <w:tcW w:w="5162" w:type="dxa"/>
            <w:tcBorders>
              <w:bottom w:val="nil"/>
            </w:tcBorders>
            <w:shd w:val="clear" w:color="auto" w:fill="auto"/>
            <w:noWrap/>
            <w:vAlign w:val="center"/>
            <w:hideMark/>
          </w:tcPr>
          <w:p w14:paraId="7251E874" w14:textId="77777777" w:rsidR="000C054A" w:rsidRPr="0034680C" w:rsidRDefault="000C054A" w:rsidP="00D6757E">
            <w:pPr>
              <w:rPr>
                <w:rFonts w:ascii="Arial" w:hAnsi="Arial" w:cs="Arial"/>
                <w:color w:val="000000"/>
                <w:sz w:val="20"/>
                <w:szCs w:val="20"/>
                <w:lang w:val="en-US"/>
              </w:rPr>
            </w:pPr>
            <w:r w:rsidRPr="00857D4D">
              <w:rPr>
                <w:rFonts w:ascii="Arial" w:hAnsi="Arial" w:cs="Arial"/>
                <w:color w:val="000000"/>
                <w:sz w:val="20"/>
                <w:szCs w:val="20"/>
                <w:lang w:val="en-US"/>
              </w:rPr>
              <w:t>Manufacture of basic metals</w:t>
            </w:r>
          </w:p>
        </w:tc>
        <w:tc>
          <w:tcPr>
            <w:tcW w:w="792" w:type="dxa"/>
            <w:tcBorders>
              <w:bottom w:val="nil"/>
            </w:tcBorders>
            <w:shd w:val="clear" w:color="auto" w:fill="auto"/>
            <w:vAlign w:val="center"/>
            <w:hideMark/>
          </w:tcPr>
          <w:p w14:paraId="4B4FAF23"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17.9</w:t>
            </w:r>
          </w:p>
        </w:tc>
        <w:tc>
          <w:tcPr>
            <w:tcW w:w="709" w:type="dxa"/>
            <w:tcBorders>
              <w:bottom w:val="nil"/>
            </w:tcBorders>
            <w:shd w:val="clear" w:color="auto" w:fill="auto"/>
            <w:vAlign w:val="center"/>
            <w:hideMark/>
          </w:tcPr>
          <w:p w14:paraId="4AFEBB70"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40.2</w:t>
            </w:r>
          </w:p>
        </w:tc>
        <w:tc>
          <w:tcPr>
            <w:tcW w:w="708" w:type="dxa"/>
            <w:tcBorders>
              <w:bottom w:val="nil"/>
            </w:tcBorders>
            <w:shd w:val="clear" w:color="auto" w:fill="auto"/>
            <w:vAlign w:val="center"/>
            <w:hideMark/>
          </w:tcPr>
          <w:p w14:paraId="29699CD8"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-1.9</w:t>
            </w:r>
          </w:p>
        </w:tc>
        <w:tc>
          <w:tcPr>
            <w:tcW w:w="709" w:type="dxa"/>
            <w:tcBorders>
              <w:bottom w:val="nil"/>
            </w:tcBorders>
            <w:shd w:val="clear" w:color="auto" w:fill="auto"/>
            <w:vAlign w:val="center"/>
            <w:hideMark/>
          </w:tcPr>
          <w:p w14:paraId="53B2C630"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30.6</w:t>
            </w:r>
          </w:p>
        </w:tc>
        <w:tc>
          <w:tcPr>
            <w:tcW w:w="709" w:type="dxa"/>
            <w:tcBorders>
              <w:bottom w:val="nil"/>
            </w:tcBorders>
            <w:shd w:val="clear" w:color="auto" w:fill="auto"/>
            <w:vAlign w:val="center"/>
            <w:hideMark/>
          </w:tcPr>
          <w:p w14:paraId="0C69F05D"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-0.8</w:t>
            </w:r>
          </w:p>
        </w:tc>
      </w:tr>
      <w:tr w:rsidR="000C054A" w:rsidRPr="0034680C" w14:paraId="1D285761" w14:textId="77777777" w:rsidTr="00D6757E">
        <w:trPr>
          <w:trHeight w:val="68"/>
          <w:jc w:val="center"/>
        </w:trPr>
        <w:tc>
          <w:tcPr>
            <w:tcW w:w="5162" w:type="dxa"/>
            <w:tcBorders>
              <w:top w:val="nil"/>
              <w:bottom w:val="single" w:sz="4" w:space="0" w:color="auto"/>
            </w:tcBorders>
            <w:shd w:val="clear" w:color="auto" w:fill="auto"/>
            <w:noWrap/>
            <w:vAlign w:val="center"/>
            <w:hideMark/>
          </w:tcPr>
          <w:p w14:paraId="6E5077A1" w14:textId="77777777" w:rsidR="000C054A" w:rsidRPr="00032F36" w:rsidRDefault="000C054A" w:rsidP="00D6757E">
            <w:pPr>
              <w:rPr>
                <w:rFonts w:ascii="Arial" w:hAnsi="Arial" w:cs="Arial"/>
                <w:color w:val="000000"/>
                <w:sz w:val="20"/>
                <w:szCs w:val="20"/>
              </w:rPr>
            </w:pPr>
            <w:r w:rsidRPr="00104F60">
              <w:rPr>
                <w:rFonts w:ascii="Arial" w:hAnsi="Arial" w:cs="Arial"/>
                <w:color w:val="000000"/>
                <w:sz w:val="20"/>
                <w:szCs w:val="20"/>
              </w:rPr>
              <w:t>Manufacture of rubber and plastics products</w:t>
            </w:r>
          </w:p>
        </w:tc>
        <w:tc>
          <w:tcPr>
            <w:tcW w:w="792" w:type="dxa"/>
            <w:tcBorders>
              <w:top w:val="nil"/>
              <w:bottom w:val="single" w:sz="4" w:space="0" w:color="auto"/>
            </w:tcBorders>
            <w:shd w:val="clear" w:color="auto" w:fill="auto"/>
            <w:vAlign w:val="center"/>
            <w:hideMark/>
          </w:tcPr>
          <w:p w14:paraId="200A49DC"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4.0</w:t>
            </w:r>
          </w:p>
        </w:tc>
        <w:tc>
          <w:tcPr>
            <w:tcW w:w="709" w:type="dxa"/>
            <w:tcBorders>
              <w:top w:val="nil"/>
              <w:bottom w:val="single" w:sz="4" w:space="0" w:color="auto"/>
            </w:tcBorders>
            <w:shd w:val="clear" w:color="auto" w:fill="auto"/>
            <w:vAlign w:val="center"/>
            <w:hideMark/>
          </w:tcPr>
          <w:p w14:paraId="45C045D4"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15.2</w:t>
            </w:r>
          </w:p>
        </w:tc>
        <w:tc>
          <w:tcPr>
            <w:tcW w:w="708" w:type="dxa"/>
            <w:tcBorders>
              <w:top w:val="nil"/>
              <w:bottom w:val="single" w:sz="4" w:space="0" w:color="auto"/>
            </w:tcBorders>
            <w:shd w:val="clear" w:color="auto" w:fill="auto"/>
            <w:vAlign w:val="center"/>
            <w:hideMark/>
          </w:tcPr>
          <w:p w14:paraId="7C43A5BC"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3.3</w:t>
            </w:r>
          </w:p>
        </w:tc>
        <w:tc>
          <w:tcPr>
            <w:tcW w:w="709" w:type="dxa"/>
            <w:tcBorders>
              <w:top w:val="nil"/>
              <w:bottom w:val="single" w:sz="4" w:space="0" w:color="auto"/>
            </w:tcBorders>
            <w:shd w:val="clear" w:color="auto" w:fill="auto"/>
            <w:vAlign w:val="center"/>
            <w:hideMark/>
          </w:tcPr>
          <w:p w14:paraId="4A3A27B0"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-0.1</w:t>
            </w:r>
          </w:p>
        </w:tc>
        <w:tc>
          <w:tcPr>
            <w:tcW w:w="709" w:type="dxa"/>
            <w:tcBorders>
              <w:top w:val="nil"/>
              <w:bottom w:val="single" w:sz="4" w:space="0" w:color="auto"/>
            </w:tcBorders>
            <w:shd w:val="clear" w:color="auto" w:fill="auto"/>
            <w:vAlign w:val="center"/>
            <w:hideMark/>
          </w:tcPr>
          <w:p w14:paraId="341177A9" w14:textId="77777777" w:rsidR="000C054A" w:rsidRPr="0034680C" w:rsidRDefault="000C054A" w:rsidP="00D6757E">
            <w:pPr>
              <w:jc w:val="right"/>
              <w:rPr>
                <w:rFonts w:ascii="Arial" w:hAnsi="Arial" w:cs="Arial"/>
                <w:color w:val="000000"/>
                <w:sz w:val="20"/>
                <w:szCs w:val="20"/>
                <w:lang w:val="en-US"/>
              </w:rPr>
            </w:pPr>
            <w:r w:rsidRPr="0034680C">
              <w:rPr>
                <w:rFonts w:ascii="Arial" w:hAnsi="Arial" w:cs="Arial"/>
                <w:color w:val="000000"/>
                <w:sz w:val="20"/>
                <w:szCs w:val="20"/>
                <w:lang w:val="en-US"/>
              </w:rPr>
              <w:t>-6.3</w:t>
            </w:r>
          </w:p>
        </w:tc>
      </w:tr>
    </w:tbl>
    <w:p w14:paraId="2FACD491" w14:textId="77777777" w:rsidR="000C054A" w:rsidRDefault="000C054A" w:rsidP="000C054A">
      <w:pPr>
        <w:shd w:val="clear" w:color="auto" w:fill="FFFFFF"/>
        <w:spacing w:before="40" w:after="40" w:line="276" w:lineRule="auto"/>
        <w:ind w:firstLine="567"/>
        <w:jc w:val="both"/>
        <w:rPr>
          <w:i/>
          <w:lang w:val="pl-PL"/>
        </w:rPr>
      </w:pPr>
    </w:p>
    <w:p w14:paraId="082B90B3" w14:textId="3B28EF26" w:rsidR="00AB1DDB" w:rsidRDefault="00107E6D" w:rsidP="00AB1DDB">
      <w:pPr>
        <w:shd w:val="clear" w:color="auto" w:fill="FFFFFF"/>
        <w:spacing w:before="40" w:after="40" w:line="276" w:lineRule="auto"/>
        <w:ind w:firstLine="567"/>
        <w:jc w:val="both"/>
        <w:rPr>
          <w:spacing w:val="-2"/>
        </w:rPr>
      </w:pPr>
      <w:r>
        <w:rPr>
          <w:rStyle w:val="Emphasis"/>
        </w:rPr>
        <w:t xml:space="preserve">The 8-month 2022 IIP </w:t>
      </w:r>
      <w:r>
        <w:t>compared with the same period last year increased in 61 localities and decreased in 02 localities across the country. Some localities with the IIP index achieved a relatively high increase due to manufacturing; electricity production and distribution increased</w:t>
      </w:r>
      <w:r w:rsidR="00AB1DDB" w:rsidRPr="009669F9">
        <w:rPr>
          <w:rStyle w:val="FootnoteReference"/>
          <w:spacing w:val="-2"/>
          <w:lang w:val="en-US"/>
        </w:rPr>
        <w:footnoteReference w:id="5"/>
      </w:r>
      <w:r w:rsidR="00AB1DDB" w:rsidRPr="009669F9">
        <w:rPr>
          <w:spacing w:val="-2"/>
        </w:rPr>
        <w:t xml:space="preserve">. In the opposite direction, some localities have decreased or low IIP index when production and business activities are still facing many difficulties due to the impact of the Covid-19 pandemic, the manufacturing industries has not regained their momentum as before the </w:t>
      </w:r>
      <w:r w:rsidR="00AB1DDB" w:rsidRPr="009669F9">
        <w:rPr>
          <w:spacing w:val="-2"/>
        </w:rPr>
        <w:lastRenderedPageBreak/>
        <w:t>pandemic; Mining industry and electricity production and distribution industry increase or decrease</w:t>
      </w:r>
      <w:r w:rsidR="00AB1DDB" w:rsidRPr="009669F9">
        <w:rPr>
          <w:rStyle w:val="FootnoteReference"/>
          <w:spacing w:val="-2"/>
          <w:lang w:val="en-US"/>
        </w:rPr>
        <w:footnoteReference w:id="6"/>
      </w:r>
      <w:r w:rsidR="00AB1DDB" w:rsidRPr="009669F9">
        <w:rPr>
          <w:spacing w:val="-2"/>
        </w:rPr>
        <w:t>.</w:t>
      </w:r>
    </w:p>
    <w:p w14:paraId="5F88BA99" w14:textId="77777777" w:rsidR="00D50979" w:rsidRPr="00E21E71" w:rsidRDefault="00D50979" w:rsidP="00D50979">
      <w:pPr>
        <w:shd w:val="clear" w:color="auto" w:fill="FFFFFF"/>
        <w:spacing w:before="120"/>
        <w:jc w:val="center"/>
        <w:rPr>
          <w:rFonts w:ascii="Arial" w:hAnsi="Arial" w:cs="Arial"/>
          <w:b/>
          <w:bCs/>
          <w:sz w:val="24"/>
          <w:szCs w:val="24"/>
          <w:lang w:val="pl-PL"/>
        </w:rPr>
      </w:pPr>
      <w:r w:rsidRPr="001C2D73">
        <w:rPr>
          <w:rFonts w:ascii="Arial" w:hAnsi="Arial" w:cs="Arial"/>
          <w:b/>
          <w:bCs/>
          <w:sz w:val="24"/>
          <w:szCs w:val="24"/>
          <w:lang w:val="pl-PL"/>
        </w:rPr>
        <w:t xml:space="preserve">Figure 4. </w:t>
      </w:r>
      <w:r w:rsidRPr="00E21E71">
        <w:rPr>
          <w:rFonts w:ascii="Arial" w:hAnsi="Arial" w:cs="Arial"/>
          <w:b/>
          <w:bCs/>
          <w:sz w:val="24"/>
          <w:szCs w:val="24"/>
          <w:lang w:val="pl-PL"/>
        </w:rPr>
        <w:t xml:space="preserve">IIP growth/decrease rate in 8 </w:t>
      </w:r>
      <w:r>
        <w:rPr>
          <w:rFonts w:ascii="Arial" w:hAnsi="Arial" w:cs="Arial"/>
          <w:b/>
          <w:bCs/>
          <w:sz w:val="24"/>
          <w:szCs w:val="24"/>
        </w:rPr>
        <w:t xml:space="preserve">months </w:t>
      </w:r>
      <w:r w:rsidRPr="00E21E71">
        <w:rPr>
          <w:rFonts w:ascii="Arial" w:hAnsi="Arial" w:cs="Arial"/>
          <w:b/>
          <w:bCs/>
          <w:sz w:val="24"/>
          <w:szCs w:val="24"/>
          <w:lang w:val="pl-PL"/>
        </w:rPr>
        <w:t>of 2022</w:t>
      </w:r>
    </w:p>
    <w:p w14:paraId="1B6B7167" w14:textId="77777777" w:rsidR="00D50979" w:rsidRPr="0059365D" w:rsidRDefault="00D50979" w:rsidP="00D50979">
      <w:pPr>
        <w:shd w:val="clear" w:color="auto" w:fill="FFFFFF"/>
        <w:jc w:val="center"/>
        <w:rPr>
          <w:rFonts w:ascii="Arial" w:hAnsi="Arial" w:cs="Arial"/>
          <w:b/>
          <w:bCs/>
          <w:sz w:val="24"/>
          <w:szCs w:val="24"/>
          <w:lang w:val="pl-PL"/>
        </w:rPr>
      </w:pPr>
      <w:r w:rsidRPr="00E21E71">
        <w:rPr>
          <w:rFonts w:ascii="Arial" w:hAnsi="Arial" w:cs="Arial"/>
          <w:b/>
          <w:bCs/>
          <w:sz w:val="24"/>
          <w:szCs w:val="24"/>
          <w:lang w:val="pl-PL"/>
        </w:rPr>
        <w:t>compared to the same period last year</w:t>
      </w:r>
      <w:r w:rsidRPr="001C2D73">
        <w:rPr>
          <w:rFonts w:ascii="Arial" w:hAnsi="Arial" w:cs="Arial"/>
          <w:b/>
          <w:bCs/>
          <w:sz w:val="24"/>
          <w:szCs w:val="24"/>
        </w:rPr>
        <w:t xml:space="preserve"> </w:t>
      </w:r>
      <w:r w:rsidRPr="00E21E71">
        <w:rPr>
          <w:rFonts w:ascii="Arial" w:hAnsi="Arial" w:cs="Arial"/>
          <w:b/>
          <w:bCs/>
          <w:sz w:val="24"/>
          <w:szCs w:val="24"/>
          <w:lang w:val="pl-PL"/>
        </w:rPr>
        <w:t xml:space="preserve">of some </w:t>
      </w:r>
      <w:r w:rsidRPr="001C2D73">
        <w:rPr>
          <w:rFonts w:ascii="Arial" w:hAnsi="Arial" w:cs="Arial"/>
          <w:b/>
          <w:bCs/>
          <w:sz w:val="24"/>
          <w:szCs w:val="24"/>
        </w:rPr>
        <w:t xml:space="preserve">localities </w:t>
      </w:r>
      <w:r w:rsidRPr="0059365D">
        <w:rPr>
          <w:rFonts w:ascii="Arial" w:hAnsi="Arial" w:cs="Arial"/>
          <w:b/>
          <w:bCs/>
          <w:sz w:val="24"/>
          <w:szCs w:val="24"/>
          <w:lang w:val="pl-PL"/>
        </w:rPr>
        <w:t>(%)</w:t>
      </w:r>
    </w:p>
    <w:p w14:paraId="03EA2C87" w14:textId="77777777" w:rsidR="00D50979" w:rsidRPr="004E3B23" w:rsidRDefault="00D50979" w:rsidP="00D50979">
      <w:pPr>
        <w:shd w:val="clear" w:color="auto" w:fill="FFFFFF"/>
        <w:spacing w:before="40" w:after="40" w:line="262" w:lineRule="auto"/>
        <w:jc w:val="both"/>
        <w:rPr>
          <w:i/>
          <w:spacing w:val="-2"/>
          <w:sz w:val="2"/>
          <w:szCs w:val="10"/>
          <w:lang w:val="pl-PL"/>
        </w:rPr>
      </w:pPr>
      <w:r w:rsidRPr="003C6A53">
        <w:rPr>
          <w:noProof/>
          <w:lang w:val="pl-PL"/>
        </w:rPr>
        <w:t xml:space="preserve">  </w:t>
      </w:r>
    </w:p>
    <w:tbl>
      <w:tblPr>
        <w:tblStyle w:val="TableGrid"/>
        <w:tblW w:w="99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1"/>
        <w:gridCol w:w="5265"/>
      </w:tblGrid>
      <w:tr w:rsidR="00D50979" w14:paraId="007FF9F4" w14:textId="77777777" w:rsidTr="00BF29DB">
        <w:trPr>
          <w:trHeight w:val="5007"/>
          <w:jc w:val="center"/>
        </w:trPr>
        <w:tc>
          <w:tcPr>
            <w:tcW w:w="4731" w:type="dxa"/>
          </w:tcPr>
          <w:p w14:paraId="49BADBAF" w14:textId="77777777" w:rsidR="00D50979" w:rsidRDefault="00D50979" w:rsidP="00D6757E">
            <w:pPr>
              <w:spacing w:before="40" w:after="40" w:line="262" w:lineRule="auto"/>
              <w:ind w:left="-246"/>
              <w:jc w:val="both"/>
              <w:rPr>
                <w:i/>
                <w:spacing w:val="-2"/>
                <w:lang w:val="pl-PL"/>
              </w:rPr>
            </w:pPr>
            <w:r>
              <w:rPr>
                <w:noProof/>
                <w:lang w:val="en-US"/>
              </w:rPr>
              <w:drawing>
                <wp:inline distT="0" distB="0" distL="0" distR="0" wp14:anchorId="48A4B00D" wp14:editId="7102B538">
                  <wp:extent cx="3162300" cy="3002280"/>
                  <wp:effectExtent l="0" t="0" r="0" b="762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5265" w:type="dxa"/>
          </w:tcPr>
          <w:p w14:paraId="208A9B99" w14:textId="77777777" w:rsidR="00D50979" w:rsidRDefault="00D50979" w:rsidP="00D6757E">
            <w:pPr>
              <w:spacing w:before="40" w:after="40" w:line="262" w:lineRule="auto"/>
              <w:jc w:val="both"/>
              <w:rPr>
                <w:i/>
                <w:spacing w:val="-2"/>
                <w:lang w:val="pl-PL"/>
              </w:rPr>
            </w:pPr>
            <w:r>
              <w:rPr>
                <w:noProof/>
                <w:lang w:val="en-US"/>
              </w:rPr>
              <w:drawing>
                <wp:inline distT="0" distB="0" distL="0" distR="0" wp14:anchorId="0FEF0A20" wp14:editId="60642CF0">
                  <wp:extent cx="3581400" cy="3002280"/>
                  <wp:effectExtent l="0" t="0" r="0" b="762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1F724CCB" w14:textId="77777777" w:rsidR="00976EC1" w:rsidRPr="00711F2C" w:rsidRDefault="00976EC1" w:rsidP="00711F2C">
      <w:pPr>
        <w:spacing w:before="40" w:after="40" w:line="266" w:lineRule="auto"/>
        <w:ind w:firstLine="567"/>
        <w:jc w:val="both"/>
        <w:rPr>
          <w:lang w:val="it-IT"/>
        </w:rPr>
      </w:pPr>
      <w:r w:rsidRPr="00711F2C">
        <w:rPr>
          <w:lang w:val="it-IT"/>
        </w:rPr>
        <w:t>Some key industrial products in the 8 months of 2022, it increased sharply compared to the same period last year: Beer (31.2%); Processed fishery products (20.7%); phone accessories (19.6%); automobiles (13.9%); clothes (12.7%); leather footwears (12.5%); tobacco (9.6%). In the opposite direction, a number of products decreased compared to the same period last year: Crude steel, iron (-12.3%); television (-10.7%); N.P.K mixed fertilizer (-6%); Textile fabric from polyester or artificial yarn (-5.8%); mobile phones (-5.4%); aquatic feed (-4.9%); Liquidized gas (LPG) (- 2.4%); Extracted crude oil (-1%); natural gas (-0.5%).</w:t>
      </w:r>
    </w:p>
    <w:p w14:paraId="5DE03F24" w14:textId="77777777" w:rsidR="00DB0AFF" w:rsidRDefault="00DB0AFF" w:rsidP="00991A4D">
      <w:pPr>
        <w:spacing w:before="40" w:after="40" w:line="281" w:lineRule="auto"/>
        <w:ind w:firstLine="567"/>
        <w:jc w:val="both"/>
        <w:rPr>
          <w:lang w:val="it-IT"/>
        </w:rPr>
      </w:pPr>
      <w:r w:rsidRPr="00DB0AFF">
        <w:rPr>
          <w:lang w:val="it-IT"/>
        </w:rPr>
        <w:t xml:space="preserve">The number of employees working in industrial enterprises as of August 1st, 2022 increased by 0.6% over the same period last month and 23.2% over the same period last year. Of which, Labor in State-owned enterprises remained unchanged and decreased by 6.1%; non-state enterprises increased by 0.7% and 20.1%; foreign-invested enterprises increased by 1.5% and 27.1%. By industry, the number of employees working in mining enterprises remained unchanged from the same period last month and increased by 2.7% over the same period last </w:t>
      </w:r>
      <w:r w:rsidRPr="00DB0AFF">
        <w:rPr>
          <w:lang w:val="it-IT"/>
        </w:rPr>
        <w:lastRenderedPageBreak/>
        <w:t>year; manufacturing increased by 0.7% and 25.1%; Electricity, gas, steam and air conditioning supply remained unchanged and increased by 1.9%; Water supply; sewerage, waste management and remediation activities increased by 0.1% and up 4.6%.</w:t>
      </w:r>
    </w:p>
    <w:p w14:paraId="77559919" w14:textId="26246916" w:rsidR="00991A4D" w:rsidRDefault="00991A4D" w:rsidP="00991A4D">
      <w:pPr>
        <w:spacing w:before="40" w:after="40" w:line="281" w:lineRule="auto"/>
        <w:ind w:firstLine="567"/>
        <w:jc w:val="both"/>
        <w:rPr>
          <w:b/>
          <w:lang w:val="it-IT"/>
        </w:rPr>
      </w:pPr>
      <w:r>
        <w:rPr>
          <w:b/>
          <w:bCs/>
          <w:lang w:val="pl-PL"/>
        </w:rPr>
        <w:t>3</w:t>
      </w:r>
      <w:r w:rsidRPr="00E2141C">
        <w:rPr>
          <w:b/>
          <w:bCs/>
          <w:lang w:val="pl-PL"/>
        </w:rPr>
        <w:t xml:space="preserve">. </w:t>
      </w:r>
      <w:r w:rsidR="00C85205" w:rsidRPr="00133A85">
        <w:rPr>
          <w:b/>
          <w:bCs/>
          <w:i/>
          <w:lang w:val="pl-PL"/>
        </w:rPr>
        <w:t>Enterprise registration status</w:t>
      </w:r>
      <w:r w:rsidR="00C85205" w:rsidRPr="00B337EB">
        <w:rPr>
          <w:bCs/>
          <w:i/>
          <w:vertAlign w:val="superscript"/>
        </w:rPr>
        <w:t xml:space="preserve"> </w:t>
      </w:r>
      <w:r w:rsidRPr="003976F4">
        <w:rPr>
          <w:bCs/>
          <w:vertAlign w:val="superscript"/>
        </w:rPr>
        <w:footnoteReference w:id="7"/>
      </w:r>
    </w:p>
    <w:p w14:paraId="5497BD57" w14:textId="77777777" w:rsidR="007872CE" w:rsidRPr="007058D9" w:rsidRDefault="007872CE" w:rsidP="007872CE">
      <w:pPr>
        <w:spacing w:before="40" w:after="40" w:line="266" w:lineRule="auto"/>
        <w:ind w:right="45" w:firstLine="567"/>
        <w:jc w:val="both"/>
        <w:rPr>
          <w:i/>
          <w:spacing w:val="-2"/>
          <w:lang w:val="it-IT"/>
        </w:rPr>
      </w:pPr>
      <w:r>
        <w:rPr>
          <w:i/>
          <w:iCs/>
          <w:spacing w:val="-2"/>
          <w:lang w:val="en"/>
        </w:rPr>
        <w:t>Although the number of newly registered businesses in the month decreased compared to the previous month because August coincided with the seventh lunar month, people had a limited mentality to start a business. However, in the 8 months of 2022, the total number of newly registered enterprises and returning to operation reached nearly 149.5 thousand enterprises, up 31.1% over the same period last year, of which the number of newly established enterprises increased by 24.2% and the number of enterprises returning to operation increased by 48.3%.</w:t>
      </w:r>
    </w:p>
    <w:p w14:paraId="2946B266" w14:textId="77777777" w:rsidR="005E3CFF" w:rsidRDefault="005E3CFF" w:rsidP="00FE2113">
      <w:pPr>
        <w:spacing w:before="40" w:after="40" w:line="269" w:lineRule="auto"/>
        <w:ind w:firstLine="567"/>
        <w:jc w:val="both"/>
      </w:pPr>
      <w:r>
        <w:t>In the 8 months of 2022, the country had 101.3 thousand newly registered enterprises with a total registered capital of nearly 1,136.3 trillion VND and the total number of registered employees was 696.2 thousand employees, an increase of 24.2% in the number of enterprises, an increase of 0.3% in registered capital and an increase of 16.2% in the number of employees compared to the same period last year. The average registered capital of a newly established enterprise in the 8 months of 2022 reached 11.2 billion VND, down 19.3% compared to the same period in 2021. If including 2,502.1 trillion VND of the additionally registered capital of 35.1 thousand passengers’ enterprises that recorded an upward adjustment of capital, the total additional registered capital in the economy in the 8 months of 2022 was 3,638.4 trillion VND, an increase of 36.1% compared to the same period last year. In addition, nearly 48.1 thousand re-operated enterprises (up 48.3% compared to the same period in 2021), bringing the total number of newly established enterprises and re-operated enterprises in the 8 months of 2022 to 149.5 thousand enterprises, up 31.1% compared to the same period last year. The average every month had 18.7 thousand newly established and re-operated enterprises.</w:t>
      </w:r>
    </w:p>
    <w:p w14:paraId="108A5CED" w14:textId="2CA74D21" w:rsidR="00FE2113" w:rsidRPr="00B337EB" w:rsidRDefault="00FE2113" w:rsidP="00FE2113">
      <w:pPr>
        <w:spacing w:before="40" w:after="40" w:line="269" w:lineRule="auto"/>
        <w:ind w:firstLine="567"/>
        <w:jc w:val="both"/>
        <w:rPr>
          <w:lang w:val="it-IT"/>
        </w:rPr>
      </w:pPr>
      <w:r w:rsidRPr="00B337EB">
        <w:rPr>
          <w:lang w:val="en-US"/>
        </w:rPr>
        <w:t xml:space="preserve">In the </w:t>
      </w:r>
      <w:r>
        <w:rPr>
          <w:lang w:val="en-US"/>
        </w:rPr>
        <w:t>8</w:t>
      </w:r>
      <w:r w:rsidRPr="00B337EB">
        <w:rPr>
          <w:lang w:val="en-US"/>
        </w:rPr>
        <w:t xml:space="preserve"> months of 2022, the country had </w:t>
      </w:r>
      <w:r>
        <w:rPr>
          <w:lang w:val="en-US"/>
        </w:rPr>
        <w:t>101</w:t>
      </w:r>
      <w:r w:rsidRPr="00B337EB">
        <w:rPr>
          <w:lang w:val="en-US"/>
        </w:rPr>
        <w:t>.</w:t>
      </w:r>
      <w:r>
        <w:rPr>
          <w:lang w:val="en-US"/>
        </w:rPr>
        <w:t xml:space="preserve">3 </w:t>
      </w:r>
      <w:r w:rsidRPr="00B337EB">
        <w:rPr>
          <w:lang w:val="en-US"/>
        </w:rPr>
        <w:t>thousand newly registered enterprises wit</w:t>
      </w:r>
      <w:r>
        <w:rPr>
          <w:lang w:val="en-US"/>
        </w:rPr>
        <w:t>h a total registered capital nearly 1,136</w:t>
      </w:r>
      <w:r w:rsidRPr="00B337EB">
        <w:rPr>
          <w:lang w:val="en-US"/>
        </w:rPr>
        <w:t>.</w:t>
      </w:r>
      <w:r>
        <w:rPr>
          <w:lang w:val="en-US"/>
        </w:rPr>
        <w:t>3</w:t>
      </w:r>
      <w:r w:rsidRPr="00B337EB">
        <w:rPr>
          <w:lang w:val="en-US"/>
        </w:rPr>
        <w:t xml:space="preserve"> trillion VND and the total number of registered employees was </w:t>
      </w:r>
      <w:r>
        <w:rPr>
          <w:lang w:val="en-US"/>
        </w:rPr>
        <w:t>696.2</w:t>
      </w:r>
      <w:r w:rsidRPr="00B337EB">
        <w:rPr>
          <w:lang w:val="en-US"/>
        </w:rPr>
        <w:t xml:space="preserve"> thousand employees, an increase of </w:t>
      </w:r>
      <w:r>
        <w:rPr>
          <w:lang w:val="en-US"/>
        </w:rPr>
        <w:t>24</w:t>
      </w:r>
      <w:r w:rsidRPr="00B337EB">
        <w:rPr>
          <w:lang w:val="en-US"/>
        </w:rPr>
        <w:t>.</w:t>
      </w:r>
      <w:r>
        <w:rPr>
          <w:lang w:val="en-US"/>
        </w:rPr>
        <w:t>2</w:t>
      </w:r>
      <w:r w:rsidRPr="00B337EB">
        <w:rPr>
          <w:lang w:val="en-US"/>
        </w:rPr>
        <w:t>% in the number of enterprises, a</w:t>
      </w:r>
      <w:r>
        <w:rPr>
          <w:lang w:val="en-US"/>
        </w:rPr>
        <w:t>n in</w:t>
      </w:r>
      <w:r w:rsidRPr="00B337EB">
        <w:rPr>
          <w:lang w:val="en-US"/>
        </w:rPr>
        <w:t xml:space="preserve">crease of </w:t>
      </w:r>
      <w:r>
        <w:rPr>
          <w:lang w:val="en-US"/>
        </w:rPr>
        <w:t>0</w:t>
      </w:r>
      <w:r w:rsidRPr="00B337EB">
        <w:rPr>
          <w:lang w:val="en-US"/>
        </w:rPr>
        <w:t>.</w:t>
      </w:r>
      <w:r>
        <w:rPr>
          <w:lang w:val="en-US"/>
        </w:rPr>
        <w:t>3</w:t>
      </w:r>
      <w:r w:rsidRPr="00B337EB">
        <w:rPr>
          <w:lang w:val="en-US"/>
        </w:rPr>
        <w:t xml:space="preserve">% in registered capital and an increase of </w:t>
      </w:r>
      <w:r>
        <w:rPr>
          <w:lang w:val="en-US"/>
        </w:rPr>
        <w:t>16</w:t>
      </w:r>
      <w:r w:rsidRPr="00B337EB">
        <w:rPr>
          <w:lang w:val="en-US"/>
        </w:rPr>
        <w:t>.</w:t>
      </w:r>
      <w:r>
        <w:rPr>
          <w:lang w:val="en-US"/>
        </w:rPr>
        <w:t>2</w:t>
      </w:r>
      <w:r w:rsidRPr="00B337EB">
        <w:rPr>
          <w:lang w:val="en-US"/>
        </w:rPr>
        <w:t xml:space="preserve">% in the number of employees compared to the same period last year. The average registered capital of a newly established enterprise in the </w:t>
      </w:r>
      <w:r>
        <w:rPr>
          <w:lang w:val="en-US"/>
        </w:rPr>
        <w:t>8</w:t>
      </w:r>
      <w:r w:rsidRPr="00B337EB">
        <w:rPr>
          <w:lang w:val="en-US"/>
        </w:rPr>
        <w:t xml:space="preserve"> months of 2022 reached 11.</w:t>
      </w:r>
      <w:r>
        <w:rPr>
          <w:lang w:val="en-US"/>
        </w:rPr>
        <w:t>2</w:t>
      </w:r>
      <w:r w:rsidRPr="00B337EB">
        <w:rPr>
          <w:lang w:val="en-US"/>
        </w:rPr>
        <w:t xml:space="preserve"> billion VND, down 1</w:t>
      </w:r>
      <w:r>
        <w:rPr>
          <w:lang w:val="en-US"/>
        </w:rPr>
        <w:t>9</w:t>
      </w:r>
      <w:r w:rsidRPr="00B337EB">
        <w:rPr>
          <w:lang w:val="en-US"/>
        </w:rPr>
        <w:t>.</w:t>
      </w:r>
      <w:r>
        <w:rPr>
          <w:lang w:val="en-US"/>
        </w:rPr>
        <w:t>3</w:t>
      </w:r>
      <w:r w:rsidRPr="00B337EB">
        <w:rPr>
          <w:lang w:val="en-US"/>
        </w:rPr>
        <w:t xml:space="preserve">% compared to the same </w:t>
      </w:r>
      <w:r w:rsidRPr="00B337EB">
        <w:rPr>
          <w:lang w:val="en-US"/>
        </w:rPr>
        <w:lastRenderedPageBreak/>
        <w:t xml:space="preserve">period in 2021. If including </w:t>
      </w:r>
      <w:r>
        <w:rPr>
          <w:lang w:val="en-US"/>
        </w:rPr>
        <w:t>2,502</w:t>
      </w:r>
      <w:r w:rsidRPr="00B337EB">
        <w:rPr>
          <w:lang w:val="en-US"/>
        </w:rPr>
        <w:t>.</w:t>
      </w:r>
      <w:r>
        <w:rPr>
          <w:lang w:val="en-US"/>
        </w:rPr>
        <w:t>1</w:t>
      </w:r>
      <w:r w:rsidRPr="00B337EB">
        <w:rPr>
          <w:lang w:val="en-US"/>
        </w:rPr>
        <w:t xml:space="preserve"> trillion VND of the additionally registered capital of </w:t>
      </w:r>
      <w:r>
        <w:rPr>
          <w:lang w:val="en-US"/>
        </w:rPr>
        <w:t>35.1</w:t>
      </w:r>
      <w:r w:rsidRPr="00B337EB">
        <w:rPr>
          <w:lang w:val="en-US"/>
        </w:rPr>
        <w:t xml:space="preserve"> thousand passengers’ enterprises that recorded an upward adjustment of capital, the total additional registered capital in the economy in the </w:t>
      </w:r>
      <w:r>
        <w:rPr>
          <w:lang w:val="en-US"/>
        </w:rPr>
        <w:t>8</w:t>
      </w:r>
      <w:r w:rsidRPr="00B337EB">
        <w:rPr>
          <w:lang w:val="en-US"/>
        </w:rPr>
        <w:t xml:space="preserve"> months of 2022 was</w:t>
      </w:r>
      <w:r>
        <w:rPr>
          <w:lang w:val="en-US"/>
        </w:rPr>
        <w:t xml:space="preserve"> 3</w:t>
      </w:r>
      <w:r w:rsidRPr="00B337EB">
        <w:rPr>
          <w:lang w:val="en-US"/>
        </w:rPr>
        <w:t>,</w:t>
      </w:r>
      <w:r>
        <w:rPr>
          <w:lang w:val="en-US"/>
        </w:rPr>
        <w:t>638.4</w:t>
      </w:r>
      <w:r w:rsidRPr="00B337EB">
        <w:rPr>
          <w:lang w:val="en-US"/>
        </w:rPr>
        <w:t xml:space="preserve"> trillion VND, an increase of 3</w:t>
      </w:r>
      <w:r>
        <w:rPr>
          <w:lang w:val="en-US"/>
        </w:rPr>
        <w:t>6</w:t>
      </w:r>
      <w:r w:rsidRPr="00B337EB">
        <w:rPr>
          <w:lang w:val="en-US"/>
        </w:rPr>
        <w:t>.</w:t>
      </w:r>
      <w:r>
        <w:rPr>
          <w:lang w:val="en-US"/>
        </w:rPr>
        <w:t>1</w:t>
      </w:r>
      <w:r w:rsidRPr="00B337EB">
        <w:rPr>
          <w:lang w:val="en-US"/>
        </w:rPr>
        <w:t>% compared to the same period last year. In addition, nearly 4</w:t>
      </w:r>
      <w:r>
        <w:rPr>
          <w:lang w:val="en-US"/>
        </w:rPr>
        <w:t>8</w:t>
      </w:r>
      <w:r w:rsidRPr="00B337EB">
        <w:rPr>
          <w:lang w:val="en-US"/>
        </w:rPr>
        <w:t>.</w:t>
      </w:r>
      <w:r>
        <w:rPr>
          <w:lang w:val="en-US"/>
        </w:rPr>
        <w:t>1</w:t>
      </w:r>
      <w:r w:rsidRPr="00B337EB">
        <w:rPr>
          <w:lang w:val="en-US"/>
        </w:rPr>
        <w:t xml:space="preserve"> thousand re-operated enterprises (up </w:t>
      </w:r>
      <w:r>
        <w:rPr>
          <w:lang w:val="en-US"/>
        </w:rPr>
        <w:t>48</w:t>
      </w:r>
      <w:r w:rsidRPr="00B337EB">
        <w:rPr>
          <w:lang w:val="en-US"/>
        </w:rPr>
        <w:t>.</w:t>
      </w:r>
      <w:r>
        <w:rPr>
          <w:lang w:val="en-US"/>
        </w:rPr>
        <w:t>3</w:t>
      </w:r>
      <w:r w:rsidRPr="00B337EB">
        <w:rPr>
          <w:lang w:val="en-US"/>
        </w:rPr>
        <w:t xml:space="preserve">% compared to the same period in 2021), bringing the total number of newly established enterprises and re-operated enterprises in the </w:t>
      </w:r>
      <w:r>
        <w:rPr>
          <w:lang w:val="en-US"/>
        </w:rPr>
        <w:t>8</w:t>
      </w:r>
      <w:r w:rsidRPr="00B337EB">
        <w:rPr>
          <w:lang w:val="en-US"/>
        </w:rPr>
        <w:t xml:space="preserve"> months of 2022 to 1</w:t>
      </w:r>
      <w:r>
        <w:rPr>
          <w:lang w:val="en-US"/>
        </w:rPr>
        <w:t>49</w:t>
      </w:r>
      <w:r w:rsidRPr="00B337EB">
        <w:rPr>
          <w:lang w:val="en-US"/>
        </w:rPr>
        <w:t>.</w:t>
      </w:r>
      <w:r>
        <w:rPr>
          <w:lang w:val="en-US"/>
        </w:rPr>
        <w:t>5</w:t>
      </w:r>
      <w:r w:rsidRPr="00B337EB">
        <w:rPr>
          <w:lang w:val="en-US"/>
        </w:rPr>
        <w:t xml:space="preserve"> thousand enterprises, up </w:t>
      </w:r>
      <w:r>
        <w:rPr>
          <w:lang w:val="en-US"/>
        </w:rPr>
        <w:t>31</w:t>
      </w:r>
      <w:r w:rsidRPr="00B337EB">
        <w:rPr>
          <w:lang w:val="en-US"/>
        </w:rPr>
        <w:t>.</w:t>
      </w:r>
      <w:r>
        <w:rPr>
          <w:lang w:val="en-US"/>
        </w:rPr>
        <w:t>1</w:t>
      </w:r>
      <w:r w:rsidRPr="00B337EB">
        <w:rPr>
          <w:lang w:val="en-US"/>
        </w:rPr>
        <w:t>% compared to the same period last year. The average every month had 1</w:t>
      </w:r>
      <w:r>
        <w:rPr>
          <w:lang w:val="en-US"/>
        </w:rPr>
        <w:t>8</w:t>
      </w:r>
      <w:r w:rsidRPr="00B337EB">
        <w:rPr>
          <w:lang w:val="en-US"/>
        </w:rPr>
        <w:t>.</w:t>
      </w:r>
      <w:r>
        <w:rPr>
          <w:lang w:val="en-US"/>
        </w:rPr>
        <w:t xml:space="preserve">7 </w:t>
      </w:r>
      <w:r w:rsidRPr="00B337EB">
        <w:rPr>
          <w:lang w:val="en-US"/>
        </w:rPr>
        <w:t>thousand newly established and re-operated enterprises</w:t>
      </w:r>
      <w:r>
        <w:rPr>
          <w:lang w:val="en-US"/>
        </w:rPr>
        <w:t>.</w:t>
      </w:r>
    </w:p>
    <w:p w14:paraId="016B7394" w14:textId="77777777" w:rsidR="00BC5F21" w:rsidRPr="00B337EB" w:rsidRDefault="00BC5F21" w:rsidP="00BC5F21">
      <w:pPr>
        <w:spacing w:before="40" w:after="40" w:line="288" w:lineRule="auto"/>
        <w:ind w:firstLine="567"/>
        <w:jc w:val="both"/>
        <w:rPr>
          <w:lang w:val="en-US"/>
        </w:rPr>
      </w:pPr>
      <w:r w:rsidRPr="00B337EB">
        <w:rPr>
          <w:lang w:val="en-US"/>
        </w:rPr>
        <w:t xml:space="preserve">By economic sector in </w:t>
      </w:r>
      <w:r>
        <w:rPr>
          <w:lang w:val="en-US"/>
        </w:rPr>
        <w:t>8</w:t>
      </w:r>
      <w:r w:rsidRPr="00B337EB">
        <w:rPr>
          <w:lang w:val="en-US"/>
        </w:rPr>
        <w:t xml:space="preserve"> months, there were 1,</w:t>
      </w:r>
      <w:r>
        <w:rPr>
          <w:lang w:val="en-US"/>
        </w:rPr>
        <w:t>388</w:t>
      </w:r>
      <w:r w:rsidRPr="00B337EB">
        <w:rPr>
          <w:lang w:val="en-US"/>
        </w:rPr>
        <w:t xml:space="preserve"> newly established enterprises in the agricultural, forestry, and fishery sectors, the same period last year; </w:t>
      </w:r>
      <w:r>
        <w:rPr>
          <w:lang w:val="en-US"/>
        </w:rPr>
        <w:t>nearly 25.3</w:t>
      </w:r>
      <w:r w:rsidRPr="00B337EB">
        <w:rPr>
          <w:lang w:val="en-US"/>
        </w:rPr>
        <w:t xml:space="preserve"> thousand enterprises in the industrial and construction sectors, an increase of </w:t>
      </w:r>
      <w:r>
        <w:rPr>
          <w:lang w:val="en-US"/>
        </w:rPr>
        <w:t>14</w:t>
      </w:r>
      <w:r w:rsidRPr="00B337EB">
        <w:rPr>
          <w:lang w:val="en-US"/>
        </w:rPr>
        <w:t>.</w:t>
      </w:r>
      <w:r>
        <w:rPr>
          <w:lang w:val="en-US"/>
        </w:rPr>
        <w:t>2</w:t>
      </w:r>
      <w:r w:rsidRPr="00B337EB">
        <w:rPr>
          <w:lang w:val="en-US"/>
        </w:rPr>
        <w:t>%;</w:t>
      </w:r>
      <w:r>
        <w:rPr>
          <w:lang w:val="en-US"/>
        </w:rPr>
        <w:t xml:space="preserve"> 74.7</w:t>
      </w:r>
      <w:r w:rsidRPr="00B337EB">
        <w:rPr>
          <w:lang w:val="en-US"/>
        </w:rPr>
        <w:t xml:space="preserve"> thousand enterprises in the</w:t>
      </w:r>
      <w:r>
        <w:rPr>
          <w:lang w:val="en-US"/>
        </w:rPr>
        <w:t xml:space="preserve"> service sector, an increase of 28.6</w:t>
      </w:r>
      <w:r w:rsidRPr="00B337EB">
        <w:rPr>
          <w:lang w:val="en-US"/>
        </w:rPr>
        <w:t>%.</w:t>
      </w:r>
    </w:p>
    <w:p w14:paraId="0D93DAE0" w14:textId="04CDA77E" w:rsidR="00991A4D" w:rsidRDefault="009211CE" w:rsidP="00991A4D">
      <w:pPr>
        <w:spacing w:before="40" w:after="40" w:line="288" w:lineRule="auto"/>
        <w:jc w:val="center"/>
        <w:rPr>
          <w:noProof/>
          <w:lang w:val="en-US"/>
        </w:rPr>
      </w:pPr>
      <w:r w:rsidRPr="009211CE">
        <w:rPr>
          <w:rFonts w:ascii="Arial" w:hAnsi="Arial" w:cs="Arial"/>
          <w:b/>
          <w:sz w:val="24"/>
          <w:szCs w:val="24"/>
          <w:lang w:val="it-IT"/>
        </w:rPr>
        <w:t xml:space="preserve">Figure 5. Enterprise registration situation </w:t>
      </w:r>
    </w:p>
    <w:p w14:paraId="609F4BF0" w14:textId="61796697" w:rsidR="009211CE" w:rsidRDefault="009211CE" w:rsidP="00991A4D">
      <w:pPr>
        <w:spacing w:before="40" w:after="40" w:line="288" w:lineRule="auto"/>
        <w:jc w:val="center"/>
        <w:rPr>
          <w:lang w:val="it-IT"/>
        </w:rPr>
      </w:pPr>
      <w:r>
        <w:rPr>
          <w:noProof/>
          <w:lang w:val="en-US"/>
        </w:rPr>
        <w:drawing>
          <wp:inline distT="0" distB="0" distL="0" distR="0" wp14:anchorId="096192AA" wp14:editId="7F443522">
            <wp:extent cx="5618480" cy="2647049"/>
            <wp:effectExtent l="0" t="0" r="1270" b="1270"/>
            <wp:docPr id="25" name="Picture 25" descr="C:\Users\dtthuy\Documents\4.enterprises T8.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thuy\Documents\4.enterprises T8.20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8480" cy="2647049"/>
                    </a:xfrm>
                    <a:prstGeom prst="rect">
                      <a:avLst/>
                    </a:prstGeom>
                    <a:noFill/>
                    <a:ln>
                      <a:noFill/>
                    </a:ln>
                  </pic:spPr>
                </pic:pic>
              </a:graphicData>
            </a:graphic>
          </wp:inline>
        </w:drawing>
      </w:r>
    </w:p>
    <w:p w14:paraId="4D8E2F06" w14:textId="77777777" w:rsidR="00DA0235" w:rsidRPr="00B337EB" w:rsidRDefault="00DA0235" w:rsidP="00DA0235">
      <w:pPr>
        <w:spacing w:before="40" w:after="40" w:line="288" w:lineRule="auto"/>
        <w:ind w:firstLine="567"/>
        <w:jc w:val="both"/>
        <w:rPr>
          <w:lang w:val="en-US"/>
        </w:rPr>
      </w:pPr>
      <w:r>
        <w:rPr>
          <w:lang w:val="en-US"/>
        </w:rPr>
        <w:t>Also in August, 3,756</w:t>
      </w:r>
      <w:r w:rsidRPr="00B337EB">
        <w:rPr>
          <w:lang w:val="en-US"/>
        </w:rPr>
        <w:t xml:space="preserve"> enterprises c</w:t>
      </w:r>
      <w:r>
        <w:rPr>
          <w:lang w:val="en-US"/>
        </w:rPr>
        <w:t>eased for a certain time, down 28.9</w:t>
      </w:r>
      <w:r w:rsidRPr="00B337EB">
        <w:rPr>
          <w:lang w:val="en-US"/>
        </w:rPr>
        <w:t>% compare</w:t>
      </w:r>
      <w:r>
        <w:rPr>
          <w:lang w:val="en-US"/>
        </w:rPr>
        <w:t>d to the previous month and up 20</w:t>
      </w:r>
      <w:r w:rsidRPr="00B337EB">
        <w:rPr>
          <w:lang w:val="en-US"/>
        </w:rPr>
        <w:t>.</w:t>
      </w:r>
      <w:r>
        <w:rPr>
          <w:lang w:val="en-US"/>
        </w:rPr>
        <w:t>5</w:t>
      </w:r>
      <w:r w:rsidRPr="00B337EB">
        <w:rPr>
          <w:lang w:val="en-US"/>
        </w:rPr>
        <w:t>% ove</w:t>
      </w:r>
      <w:r>
        <w:rPr>
          <w:lang w:val="en-US"/>
        </w:rPr>
        <w:t>r the same period in 2021; 4,453</w:t>
      </w:r>
      <w:r w:rsidRPr="00B337EB">
        <w:rPr>
          <w:lang w:val="en-US"/>
        </w:rPr>
        <w:t xml:space="preserve"> enterprises temporarily ceased and aw</w:t>
      </w:r>
      <w:r>
        <w:rPr>
          <w:lang w:val="en-US"/>
        </w:rPr>
        <w:t>aited dissolution procedures, an increase of 0</w:t>
      </w:r>
      <w:r w:rsidRPr="00B337EB">
        <w:rPr>
          <w:lang w:val="en-US"/>
        </w:rPr>
        <w:t>.</w:t>
      </w:r>
      <w:r>
        <w:rPr>
          <w:lang w:val="en-US"/>
        </w:rPr>
        <w:t>8</w:t>
      </w:r>
      <w:r w:rsidRPr="00B337EB">
        <w:rPr>
          <w:lang w:val="en-US"/>
        </w:rPr>
        <w:t xml:space="preserve">% and </w:t>
      </w:r>
      <w:r>
        <w:rPr>
          <w:lang w:val="en-US"/>
        </w:rPr>
        <w:t>an in</w:t>
      </w:r>
      <w:r w:rsidRPr="00B337EB">
        <w:rPr>
          <w:lang w:val="en-US"/>
        </w:rPr>
        <w:t xml:space="preserve">crease of </w:t>
      </w:r>
      <w:r>
        <w:rPr>
          <w:lang w:val="en-US"/>
        </w:rPr>
        <w:t>77</w:t>
      </w:r>
      <w:r w:rsidRPr="00B337EB">
        <w:rPr>
          <w:lang w:val="en-US"/>
        </w:rPr>
        <w:t>.</w:t>
      </w:r>
      <w:r>
        <w:rPr>
          <w:lang w:val="en-US"/>
        </w:rPr>
        <w:t>3%; 1,953</w:t>
      </w:r>
      <w:r w:rsidRPr="00B337EB">
        <w:rPr>
          <w:lang w:val="en-US"/>
        </w:rPr>
        <w:t xml:space="preserve"> enterprises complet</w:t>
      </w:r>
      <w:r>
        <w:rPr>
          <w:lang w:val="en-US"/>
        </w:rPr>
        <w:t>ed dissolution procedures, up 10</w:t>
      </w:r>
      <w:r w:rsidRPr="00B337EB">
        <w:rPr>
          <w:lang w:val="en-US"/>
        </w:rPr>
        <w:t>.</w:t>
      </w:r>
      <w:r>
        <w:rPr>
          <w:lang w:val="en-US"/>
        </w:rPr>
        <w:t>5</w:t>
      </w:r>
      <w:r w:rsidRPr="00B337EB">
        <w:rPr>
          <w:lang w:val="en-US"/>
        </w:rPr>
        <w:t xml:space="preserve">% and </w:t>
      </w:r>
      <w:r>
        <w:rPr>
          <w:lang w:val="en-US"/>
        </w:rPr>
        <w:t>140.5</w:t>
      </w:r>
      <w:r w:rsidRPr="00B337EB">
        <w:rPr>
          <w:lang w:val="en-US"/>
        </w:rPr>
        <w:t xml:space="preserve">%. </w:t>
      </w:r>
    </w:p>
    <w:p w14:paraId="1DF5D2FE" w14:textId="7639E48B" w:rsidR="001B73A8" w:rsidRDefault="001B73A8" w:rsidP="001B73A8">
      <w:pPr>
        <w:spacing w:before="40" w:after="40" w:line="269" w:lineRule="auto"/>
        <w:ind w:firstLine="567"/>
        <w:jc w:val="both"/>
        <w:rPr>
          <w:lang w:val="en-US"/>
        </w:rPr>
      </w:pPr>
      <w:r w:rsidRPr="00B337EB">
        <w:rPr>
          <w:lang w:val="en-US"/>
        </w:rPr>
        <w:t xml:space="preserve">In the </w:t>
      </w:r>
      <w:r>
        <w:rPr>
          <w:lang w:val="en-US"/>
        </w:rPr>
        <w:t>8</w:t>
      </w:r>
      <w:r w:rsidRPr="00B337EB">
        <w:rPr>
          <w:lang w:val="en-US"/>
        </w:rPr>
        <w:t xml:space="preserve"> months of 2022, there were </w:t>
      </w:r>
      <w:r>
        <w:rPr>
          <w:lang w:val="en-US"/>
        </w:rPr>
        <w:t>59.6</w:t>
      </w:r>
      <w:r w:rsidRPr="00B337EB">
        <w:rPr>
          <w:lang w:val="en-US"/>
        </w:rPr>
        <w:t xml:space="preserve"> thousand enterprises temporarily ceased for a certain time, an increase of </w:t>
      </w:r>
      <w:r>
        <w:rPr>
          <w:lang w:val="en-US"/>
        </w:rPr>
        <w:t>38</w:t>
      </w:r>
      <w:r w:rsidRPr="00B337EB">
        <w:rPr>
          <w:lang w:val="en-US"/>
        </w:rPr>
        <w:t>.</w:t>
      </w:r>
      <w:r>
        <w:rPr>
          <w:lang w:val="en-US"/>
        </w:rPr>
        <w:t>1</w:t>
      </w:r>
      <w:r w:rsidRPr="00B337EB">
        <w:rPr>
          <w:lang w:val="en-US"/>
        </w:rPr>
        <w:t xml:space="preserve">% compared to the </w:t>
      </w:r>
      <w:r>
        <w:rPr>
          <w:lang w:val="en-US"/>
        </w:rPr>
        <w:t>same period last year; 32.4</w:t>
      </w:r>
      <w:r w:rsidRPr="00B337EB">
        <w:rPr>
          <w:lang w:val="en-US"/>
        </w:rPr>
        <w:t xml:space="preserve"> thousand enterprises temporarily ceased and awaited dissolution procedures, a</w:t>
      </w:r>
      <w:r>
        <w:rPr>
          <w:lang w:val="en-US"/>
        </w:rPr>
        <w:t>n in</w:t>
      </w:r>
      <w:r w:rsidRPr="00B337EB">
        <w:rPr>
          <w:lang w:val="en-US"/>
        </w:rPr>
        <w:t xml:space="preserve">crease of </w:t>
      </w:r>
      <w:r>
        <w:rPr>
          <w:lang w:val="en-US"/>
        </w:rPr>
        <w:t>7</w:t>
      </w:r>
      <w:r w:rsidRPr="00B337EB">
        <w:rPr>
          <w:lang w:val="en-US"/>
        </w:rPr>
        <w:t>.</w:t>
      </w:r>
      <w:r>
        <w:rPr>
          <w:lang w:val="en-US"/>
        </w:rPr>
        <w:t>5</w:t>
      </w:r>
      <w:r w:rsidRPr="00B337EB">
        <w:rPr>
          <w:lang w:val="en-US"/>
        </w:rPr>
        <w:t xml:space="preserve">%; </w:t>
      </w:r>
      <w:r>
        <w:rPr>
          <w:lang w:val="en-US"/>
        </w:rPr>
        <w:t>12</w:t>
      </w:r>
      <w:r w:rsidRPr="00B337EB">
        <w:rPr>
          <w:lang w:val="en-US"/>
        </w:rPr>
        <w:t>.</w:t>
      </w:r>
      <w:r>
        <w:rPr>
          <w:lang w:val="en-US"/>
        </w:rPr>
        <w:t>3</w:t>
      </w:r>
      <w:r w:rsidRPr="00B337EB">
        <w:rPr>
          <w:lang w:val="en-US"/>
        </w:rPr>
        <w:t xml:space="preserve"> thousand enterprises completed dissolution procedures, down </w:t>
      </w:r>
      <w:r>
        <w:rPr>
          <w:lang w:val="en-US"/>
        </w:rPr>
        <w:t>0.9%. On average, 13</w:t>
      </w:r>
      <w:r w:rsidRPr="00B337EB">
        <w:rPr>
          <w:lang w:val="en-US"/>
        </w:rPr>
        <w:t xml:space="preserve"> thousand enterprises withdraw from the market each month.</w:t>
      </w:r>
    </w:p>
    <w:p w14:paraId="26019C7D" w14:textId="77777777" w:rsidR="00954D84" w:rsidRPr="009A1F65" w:rsidRDefault="00954D84" w:rsidP="001B73A8">
      <w:pPr>
        <w:spacing w:before="40" w:after="40" w:line="269" w:lineRule="auto"/>
        <w:ind w:firstLine="567"/>
        <w:jc w:val="both"/>
        <w:rPr>
          <w:lang w:val="it-IT"/>
        </w:rPr>
      </w:pPr>
    </w:p>
    <w:p w14:paraId="25B83EA2" w14:textId="77777777" w:rsidR="00991A4D" w:rsidRPr="0099499D" w:rsidRDefault="00991A4D" w:rsidP="00991A4D">
      <w:pPr>
        <w:tabs>
          <w:tab w:val="left" w:pos="6810"/>
        </w:tabs>
        <w:jc w:val="center"/>
        <w:rPr>
          <w:rFonts w:ascii="Arial" w:hAnsi="Arial" w:cs="Arial"/>
          <w:b/>
          <w:sz w:val="4"/>
          <w:szCs w:val="20"/>
          <w:lang w:val="it-IT"/>
        </w:rPr>
      </w:pPr>
    </w:p>
    <w:p w14:paraId="13BBD635" w14:textId="77EE931D" w:rsidR="00991A4D" w:rsidRDefault="00954D84" w:rsidP="00991A4D">
      <w:pPr>
        <w:tabs>
          <w:tab w:val="left" w:pos="6810"/>
        </w:tabs>
        <w:spacing w:before="40" w:after="40" w:line="278" w:lineRule="auto"/>
        <w:ind w:firstLine="567"/>
        <w:jc w:val="center"/>
        <w:rPr>
          <w:rFonts w:ascii="Arial" w:hAnsi="Arial" w:cs="Arial"/>
          <w:b/>
          <w:sz w:val="24"/>
          <w:szCs w:val="20"/>
          <w:lang w:val="it-IT"/>
        </w:rPr>
      </w:pPr>
      <w:r w:rsidRPr="00954D84">
        <w:rPr>
          <w:rFonts w:ascii="Arial" w:hAnsi="Arial" w:cs="Arial"/>
          <w:b/>
          <w:sz w:val="24"/>
          <w:szCs w:val="20"/>
          <w:lang w:val="it-IT"/>
        </w:rPr>
        <w:t>Table 2: Number of newly registered enterprises and  completed dissolution procedures in 8 months, 2022  by kinds of activity</w:t>
      </w:r>
    </w:p>
    <w:tbl>
      <w:tblPr>
        <w:tblW w:w="8893" w:type="dxa"/>
        <w:jc w:val="center"/>
        <w:tblLook w:val="04A0" w:firstRow="1" w:lastRow="0" w:firstColumn="1" w:lastColumn="0" w:noHBand="0" w:noVBand="1"/>
      </w:tblPr>
      <w:tblGrid>
        <w:gridCol w:w="3509"/>
        <w:gridCol w:w="1398"/>
        <w:gridCol w:w="1425"/>
        <w:gridCol w:w="1345"/>
        <w:gridCol w:w="1216"/>
      </w:tblGrid>
      <w:tr w:rsidR="0037663B" w:rsidRPr="00D65A12" w14:paraId="461AD269" w14:textId="77777777" w:rsidTr="00D6757E">
        <w:trPr>
          <w:cantSplit/>
          <w:trHeight w:val="962"/>
          <w:jc w:val="center"/>
        </w:trPr>
        <w:tc>
          <w:tcPr>
            <w:tcW w:w="3509" w:type="dxa"/>
            <w:vMerge w:val="restart"/>
            <w:tcBorders>
              <w:top w:val="single" w:sz="4" w:space="0" w:color="auto"/>
            </w:tcBorders>
            <w:shd w:val="clear" w:color="auto" w:fill="auto"/>
            <w:noWrap/>
            <w:vAlign w:val="bottom"/>
            <w:hideMark/>
          </w:tcPr>
          <w:p w14:paraId="376599CA" w14:textId="77777777" w:rsidR="0037663B" w:rsidRPr="00D65A12" w:rsidRDefault="0037663B" w:rsidP="00D6757E">
            <w:pPr>
              <w:jc w:val="center"/>
              <w:rPr>
                <w:color w:val="000000"/>
                <w:sz w:val="20"/>
                <w:szCs w:val="20"/>
                <w:lang w:val="it-IT"/>
              </w:rPr>
            </w:pPr>
            <w:r w:rsidRPr="00D65A12">
              <w:rPr>
                <w:color w:val="000000"/>
                <w:sz w:val="20"/>
                <w:szCs w:val="20"/>
                <w:lang w:val="it-IT"/>
              </w:rPr>
              <w:t> </w:t>
            </w:r>
          </w:p>
        </w:tc>
        <w:tc>
          <w:tcPr>
            <w:tcW w:w="2823" w:type="dxa"/>
            <w:gridSpan w:val="2"/>
            <w:tcBorders>
              <w:top w:val="single" w:sz="4" w:space="0" w:color="auto"/>
              <w:bottom w:val="single" w:sz="4" w:space="0" w:color="auto"/>
            </w:tcBorders>
            <w:shd w:val="clear" w:color="auto" w:fill="auto"/>
            <w:vAlign w:val="center"/>
            <w:hideMark/>
          </w:tcPr>
          <w:p w14:paraId="4FC9ABFB" w14:textId="77777777" w:rsidR="0037663B" w:rsidRPr="00D65A12" w:rsidRDefault="0037663B" w:rsidP="00D6757E">
            <w:pPr>
              <w:spacing w:before="40" w:after="40"/>
              <w:jc w:val="center"/>
              <w:rPr>
                <w:bCs/>
                <w:color w:val="000000"/>
                <w:sz w:val="20"/>
                <w:szCs w:val="20"/>
                <w:lang w:val="it-IT"/>
              </w:rPr>
            </w:pPr>
            <w:r w:rsidRPr="00D65A12">
              <w:rPr>
                <w:bCs/>
                <w:color w:val="000000"/>
                <w:sz w:val="20"/>
                <w:szCs w:val="20"/>
                <w:lang w:val="en-US"/>
              </w:rPr>
              <w:t>Number of enterprises (Enterprise)</w:t>
            </w:r>
          </w:p>
        </w:tc>
        <w:tc>
          <w:tcPr>
            <w:tcW w:w="2561" w:type="dxa"/>
            <w:gridSpan w:val="2"/>
            <w:tcBorders>
              <w:top w:val="single" w:sz="4" w:space="0" w:color="auto"/>
              <w:bottom w:val="single" w:sz="4" w:space="0" w:color="auto"/>
            </w:tcBorders>
            <w:shd w:val="clear" w:color="auto" w:fill="auto"/>
            <w:vAlign w:val="center"/>
            <w:hideMark/>
          </w:tcPr>
          <w:p w14:paraId="06D78E9C" w14:textId="77777777" w:rsidR="0037663B" w:rsidRPr="00D65A12" w:rsidRDefault="0037663B" w:rsidP="00D6757E">
            <w:pPr>
              <w:spacing w:before="40" w:after="40"/>
              <w:jc w:val="center"/>
              <w:rPr>
                <w:bCs/>
                <w:color w:val="000000"/>
                <w:sz w:val="20"/>
                <w:szCs w:val="20"/>
              </w:rPr>
            </w:pPr>
            <w:r w:rsidRPr="00D65A12">
              <w:rPr>
                <w:bCs/>
                <w:color w:val="000000"/>
                <w:sz w:val="20"/>
                <w:szCs w:val="20"/>
              </w:rPr>
              <w:t xml:space="preserve">Growth rate </w:t>
            </w:r>
          </w:p>
          <w:p w14:paraId="1686A2A8" w14:textId="77777777" w:rsidR="0037663B" w:rsidRPr="00D65A12" w:rsidRDefault="0037663B" w:rsidP="00D6757E">
            <w:pPr>
              <w:spacing w:before="40" w:after="40"/>
              <w:jc w:val="center"/>
              <w:rPr>
                <w:bCs/>
                <w:color w:val="000000"/>
                <w:sz w:val="20"/>
                <w:szCs w:val="20"/>
                <w:lang w:val="it-IT"/>
              </w:rPr>
            </w:pPr>
            <w:r w:rsidRPr="00D65A12">
              <w:rPr>
                <w:bCs/>
                <w:color w:val="000000"/>
                <w:sz w:val="20"/>
                <w:szCs w:val="20"/>
                <w:lang w:val="en-US"/>
              </w:rPr>
              <w:t>over the same period last year (%)</w:t>
            </w:r>
          </w:p>
        </w:tc>
      </w:tr>
      <w:tr w:rsidR="0037663B" w:rsidRPr="00D65A12" w14:paraId="00D4D8DD" w14:textId="77777777" w:rsidTr="00D6757E">
        <w:trPr>
          <w:cantSplit/>
          <w:trHeight w:val="611"/>
          <w:jc w:val="center"/>
        </w:trPr>
        <w:tc>
          <w:tcPr>
            <w:tcW w:w="3509" w:type="dxa"/>
            <w:vMerge/>
            <w:vAlign w:val="center"/>
            <w:hideMark/>
          </w:tcPr>
          <w:p w14:paraId="0E06D5A6" w14:textId="77777777" w:rsidR="0037663B" w:rsidRPr="00D65A12" w:rsidRDefault="0037663B" w:rsidP="00D6757E">
            <w:pPr>
              <w:rPr>
                <w:color w:val="000000"/>
                <w:sz w:val="20"/>
                <w:szCs w:val="20"/>
                <w:lang w:val="it-IT"/>
              </w:rPr>
            </w:pPr>
          </w:p>
        </w:tc>
        <w:tc>
          <w:tcPr>
            <w:tcW w:w="1398" w:type="dxa"/>
            <w:tcBorders>
              <w:top w:val="single" w:sz="4" w:space="0" w:color="auto"/>
              <w:bottom w:val="single" w:sz="4" w:space="0" w:color="auto"/>
            </w:tcBorders>
            <w:shd w:val="clear" w:color="auto" w:fill="auto"/>
            <w:vAlign w:val="center"/>
            <w:hideMark/>
          </w:tcPr>
          <w:p w14:paraId="373EEA11" w14:textId="77777777" w:rsidR="0037663B" w:rsidRPr="00D65A12" w:rsidRDefault="0037663B" w:rsidP="00D6757E">
            <w:pPr>
              <w:spacing w:before="60" w:after="60"/>
              <w:jc w:val="center"/>
              <w:rPr>
                <w:bCs/>
                <w:color w:val="000000"/>
                <w:sz w:val="20"/>
                <w:szCs w:val="20"/>
                <w:lang w:val="en-US"/>
              </w:rPr>
            </w:pPr>
            <w:r w:rsidRPr="00D65A12">
              <w:rPr>
                <w:bCs/>
                <w:color w:val="000000"/>
                <w:sz w:val="20"/>
                <w:szCs w:val="20"/>
                <w:lang w:val="en-US"/>
              </w:rPr>
              <w:t>Newly registered</w:t>
            </w:r>
          </w:p>
        </w:tc>
        <w:tc>
          <w:tcPr>
            <w:tcW w:w="1425" w:type="dxa"/>
            <w:tcBorders>
              <w:top w:val="single" w:sz="4" w:space="0" w:color="auto"/>
              <w:bottom w:val="single" w:sz="4" w:space="0" w:color="auto"/>
            </w:tcBorders>
            <w:shd w:val="clear" w:color="auto" w:fill="auto"/>
            <w:vAlign w:val="center"/>
            <w:hideMark/>
          </w:tcPr>
          <w:p w14:paraId="03A660D3" w14:textId="77777777" w:rsidR="0037663B" w:rsidRPr="00D65A12" w:rsidRDefault="0037663B" w:rsidP="00D6757E">
            <w:pPr>
              <w:spacing w:before="60" w:after="60"/>
              <w:jc w:val="center"/>
              <w:rPr>
                <w:bCs/>
                <w:color w:val="000000"/>
                <w:sz w:val="20"/>
                <w:szCs w:val="20"/>
                <w:lang w:val="en-US"/>
              </w:rPr>
            </w:pPr>
          </w:p>
          <w:p w14:paraId="20DD3F8B" w14:textId="77777777" w:rsidR="0037663B" w:rsidRPr="00D65A12" w:rsidRDefault="0037663B" w:rsidP="00D6757E">
            <w:pPr>
              <w:spacing w:before="60" w:after="60"/>
              <w:jc w:val="center"/>
              <w:rPr>
                <w:bCs/>
                <w:color w:val="000000"/>
                <w:sz w:val="20"/>
                <w:szCs w:val="20"/>
                <w:lang w:val="en-US"/>
              </w:rPr>
            </w:pPr>
            <w:r w:rsidRPr="00D65A12">
              <w:rPr>
                <w:bCs/>
                <w:color w:val="000000"/>
                <w:sz w:val="20"/>
                <w:szCs w:val="20"/>
                <w:lang w:val="en-US"/>
              </w:rPr>
              <w:t>Dissolution</w:t>
            </w:r>
          </w:p>
          <w:p w14:paraId="62DB7682" w14:textId="77777777" w:rsidR="0037663B" w:rsidRPr="00D65A12" w:rsidRDefault="0037663B" w:rsidP="00D6757E">
            <w:pPr>
              <w:spacing w:before="60" w:after="60"/>
              <w:jc w:val="center"/>
              <w:rPr>
                <w:bCs/>
                <w:color w:val="000000"/>
                <w:sz w:val="20"/>
                <w:szCs w:val="20"/>
                <w:lang w:val="en-US"/>
              </w:rPr>
            </w:pPr>
          </w:p>
        </w:tc>
        <w:tc>
          <w:tcPr>
            <w:tcW w:w="1345" w:type="dxa"/>
            <w:tcBorders>
              <w:top w:val="single" w:sz="4" w:space="0" w:color="auto"/>
              <w:bottom w:val="single" w:sz="4" w:space="0" w:color="auto"/>
            </w:tcBorders>
            <w:shd w:val="clear" w:color="auto" w:fill="auto"/>
            <w:vAlign w:val="center"/>
            <w:hideMark/>
          </w:tcPr>
          <w:p w14:paraId="185E5037" w14:textId="77777777" w:rsidR="0037663B" w:rsidRPr="00D65A12" w:rsidRDefault="0037663B" w:rsidP="00D6757E">
            <w:pPr>
              <w:spacing w:before="60" w:after="60"/>
              <w:jc w:val="center"/>
              <w:rPr>
                <w:bCs/>
                <w:color w:val="000000"/>
                <w:sz w:val="20"/>
                <w:szCs w:val="20"/>
                <w:lang w:val="en-US"/>
              </w:rPr>
            </w:pPr>
            <w:r w:rsidRPr="00D65A12">
              <w:rPr>
                <w:bCs/>
                <w:color w:val="000000"/>
                <w:sz w:val="20"/>
                <w:szCs w:val="20"/>
                <w:lang w:val="en-US"/>
              </w:rPr>
              <w:t>Newly registered</w:t>
            </w:r>
          </w:p>
        </w:tc>
        <w:tc>
          <w:tcPr>
            <w:tcW w:w="1216" w:type="dxa"/>
            <w:tcBorders>
              <w:top w:val="single" w:sz="4" w:space="0" w:color="auto"/>
              <w:bottom w:val="single" w:sz="4" w:space="0" w:color="auto"/>
            </w:tcBorders>
            <w:shd w:val="clear" w:color="auto" w:fill="auto"/>
            <w:vAlign w:val="center"/>
            <w:hideMark/>
          </w:tcPr>
          <w:p w14:paraId="75381289" w14:textId="77777777" w:rsidR="0037663B" w:rsidRPr="00D65A12" w:rsidRDefault="0037663B" w:rsidP="00D6757E">
            <w:pPr>
              <w:spacing w:before="60" w:after="60"/>
              <w:jc w:val="center"/>
              <w:rPr>
                <w:bCs/>
                <w:color w:val="000000"/>
                <w:sz w:val="20"/>
                <w:szCs w:val="20"/>
                <w:lang w:val="en-US"/>
              </w:rPr>
            </w:pPr>
          </w:p>
          <w:p w14:paraId="032C19B2" w14:textId="77777777" w:rsidR="0037663B" w:rsidRPr="00D65A12" w:rsidRDefault="0037663B" w:rsidP="00D6757E">
            <w:pPr>
              <w:spacing w:before="60" w:after="60"/>
              <w:jc w:val="center"/>
              <w:rPr>
                <w:bCs/>
                <w:color w:val="000000"/>
                <w:sz w:val="20"/>
                <w:szCs w:val="20"/>
                <w:lang w:val="en-US"/>
              </w:rPr>
            </w:pPr>
            <w:r w:rsidRPr="00D65A12">
              <w:rPr>
                <w:bCs/>
                <w:color w:val="000000"/>
                <w:sz w:val="20"/>
                <w:szCs w:val="20"/>
                <w:lang w:val="en-US"/>
              </w:rPr>
              <w:t>Dissolution</w:t>
            </w:r>
          </w:p>
          <w:p w14:paraId="4DE261F5" w14:textId="77777777" w:rsidR="0037663B" w:rsidRPr="00D65A12" w:rsidRDefault="0037663B" w:rsidP="00D6757E">
            <w:pPr>
              <w:spacing w:before="60" w:after="60"/>
              <w:jc w:val="center"/>
              <w:rPr>
                <w:bCs/>
                <w:color w:val="000000"/>
                <w:sz w:val="20"/>
                <w:szCs w:val="20"/>
                <w:lang w:val="en-US"/>
              </w:rPr>
            </w:pPr>
          </w:p>
        </w:tc>
      </w:tr>
      <w:tr w:rsidR="0037663B" w:rsidRPr="00D65A12" w14:paraId="6B9384F5" w14:textId="77777777" w:rsidTr="00D6757E">
        <w:trPr>
          <w:cantSplit/>
          <w:trHeight w:val="611"/>
          <w:jc w:val="center"/>
        </w:trPr>
        <w:tc>
          <w:tcPr>
            <w:tcW w:w="3509" w:type="dxa"/>
            <w:shd w:val="clear" w:color="auto" w:fill="auto"/>
            <w:noWrap/>
            <w:vAlign w:val="bottom"/>
            <w:hideMark/>
          </w:tcPr>
          <w:p w14:paraId="00904D23" w14:textId="77777777" w:rsidR="0037663B" w:rsidRPr="00D65A12" w:rsidRDefault="0037663B" w:rsidP="00D6757E">
            <w:pPr>
              <w:spacing w:before="240" w:after="40"/>
              <w:rPr>
                <w:color w:val="000000"/>
                <w:sz w:val="20"/>
                <w:szCs w:val="20"/>
              </w:rPr>
            </w:pPr>
            <w:r w:rsidRPr="00D65A12">
              <w:rPr>
                <w:color w:val="000000"/>
                <w:sz w:val="20"/>
                <w:szCs w:val="20"/>
                <w:lang w:val="en-US"/>
              </w:rPr>
              <w:t>1. Wholesale and retail trade; repair of motor vehicles and motorcycles</w:t>
            </w:r>
          </w:p>
        </w:tc>
        <w:tc>
          <w:tcPr>
            <w:tcW w:w="1398" w:type="dxa"/>
            <w:tcBorders>
              <w:top w:val="single" w:sz="4" w:space="0" w:color="auto"/>
            </w:tcBorders>
            <w:shd w:val="clear" w:color="auto" w:fill="auto"/>
            <w:noWrap/>
            <w:vAlign w:val="bottom"/>
            <w:hideMark/>
          </w:tcPr>
          <w:p w14:paraId="3AEBE9B2" w14:textId="77777777" w:rsidR="0037663B" w:rsidRPr="00B767FB" w:rsidRDefault="0037663B" w:rsidP="00D6757E">
            <w:pPr>
              <w:spacing w:before="120" w:after="120"/>
              <w:ind w:right="176"/>
              <w:jc w:val="right"/>
              <w:rPr>
                <w:color w:val="000000"/>
                <w:sz w:val="20"/>
                <w:szCs w:val="20"/>
                <w:lang w:val="en-US"/>
              </w:rPr>
            </w:pPr>
            <w:r>
              <w:rPr>
                <w:color w:val="000000"/>
                <w:sz w:val="20"/>
                <w:szCs w:val="20"/>
              </w:rPr>
              <w:t>3</w:t>
            </w:r>
            <w:r>
              <w:rPr>
                <w:color w:val="000000"/>
                <w:sz w:val="20"/>
                <w:szCs w:val="20"/>
                <w:lang w:val="en-US"/>
              </w:rPr>
              <w:t>5</w:t>
            </w:r>
            <w:r w:rsidRPr="00D65A12">
              <w:rPr>
                <w:color w:val="000000"/>
                <w:sz w:val="20"/>
                <w:szCs w:val="20"/>
              </w:rPr>
              <w:t>,</w:t>
            </w:r>
            <w:r>
              <w:rPr>
                <w:color w:val="000000"/>
                <w:sz w:val="20"/>
                <w:szCs w:val="20"/>
                <w:lang w:val="en-US"/>
              </w:rPr>
              <w:t>631</w:t>
            </w:r>
          </w:p>
        </w:tc>
        <w:tc>
          <w:tcPr>
            <w:tcW w:w="1425" w:type="dxa"/>
            <w:tcBorders>
              <w:top w:val="single" w:sz="4" w:space="0" w:color="auto"/>
            </w:tcBorders>
            <w:shd w:val="clear" w:color="auto" w:fill="auto"/>
            <w:noWrap/>
            <w:vAlign w:val="bottom"/>
            <w:hideMark/>
          </w:tcPr>
          <w:p w14:paraId="07711690" w14:textId="77777777" w:rsidR="0037663B" w:rsidRPr="00B767FB" w:rsidRDefault="0037663B" w:rsidP="00D6757E">
            <w:pPr>
              <w:spacing w:before="120" w:after="120"/>
              <w:ind w:right="176"/>
              <w:jc w:val="right"/>
              <w:rPr>
                <w:color w:val="FF0000"/>
                <w:sz w:val="20"/>
                <w:szCs w:val="20"/>
                <w:lang w:val="en-US"/>
              </w:rPr>
            </w:pPr>
            <w:r>
              <w:rPr>
                <w:sz w:val="20"/>
                <w:szCs w:val="20"/>
                <w:lang w:val="en-US"/>
              </w:rPr>
              <w:t>4</w:t>
            </w:r>
            <w:r w:rsidRPr="00D65A12">
              <w:rPr>
                <w:sz w:val="20"/>
                <w:szCs w:val="20"/>
              </w:rPr>
              <w:t>,</w:t>
            </w:r>
            <w:r>
              <w:rPr>
                <w:sz w:val="20"/>
                <w:szCs w:val="20"/>
                <w:lang w:val="en-US"/>
              </w:rPr>
              <w:t>286</w:t>
            </w:r>
          </w:p>
        </w:tc>
        <w:tc>
          <w:tcPr>
            <w:tcW w:w="1345" w:type="dxa"/>
            <w:tcBorders>
              <w:top w:val="single" w:sz="4" w:space="0" w:color="auto"/>
            </w:tcBorders>
            <w:shd w:val="clear" w:color="auto" w:fill="auto"/>
            <w:noWrap/>
            <w:vAlign w:val="bottom"/>
            <w:hideMark/>
          </w:tcPr>
          <w:p w14:paraId="187B42B8" w14:textId="77777777" w:rsidR="0037663B" w:rsidRPr="00B767FB" w:rsidRDefault="0037663B" w:rsidP="00D6757E">
            <w:pPr>
              <w:spacing w:before="120" w:after="120"/>
              <w:ind w:right="316"/>
              <w:jc w:val="right"/>
              <w:rPr>
                <w:sz w:val="20"/>
                <w:szCs w:val="20"/>
                <w:lang w:val="en-US"/>
              </w:rPr>
            </w:pPr>
            <w:r>
              <w:rPr>
                <w:sz w:val="20"/>
                <w:szCs w:val="20"/>
                <w:lang w:val="en-US"/>
              </w:rPr>
              <w:t>30</w:t>
            </w:r>
            <w:r>
              <w:rPr>
                <w:sz w:val="20"/>
                <w:szCs w:val="20"/>
              </w:rPr>
              <w:t>.</w:t>
            </w:r>
            <w:r>
              <w:rPr>
                <w:sz w:val="20"/>
                <w:szCs w:val="20"/>
                <w:lang w:val="en-US"/>
              </w:rPr>
              <w:t>1</w:t>
            </w:r>
          </w:p>
        </w:tc>
        <w:tc>
          <w:tcPr>
            <w:tcW w:w="1216" w:type="dxa"/>
            <w:tcBorders>
              <w:top w:val="single" w:sz="4" w:space="0" w:color="auto"/>
            </w:tcBorders>
            <w:shd w:val="clear" w:color="auto" w:fill="auto"/>
            <w:noWrap/>
            <w:vAlign w:val="bottom"/>
            <w:hideMark/>
          </w:tcPr>
          <w:p w14:paraId="4BBB4D5B" w14:textId="77777777" w:rsidR="0037663B" w:rsidRPr="00B767FB" w:rsidRDefault="0037663B" w:rsidP="00D6757E">
            <w:pPr>
              <w:spacing w:before="120" w:after="120"/>
              <w:ind w:right="176"/>
              <w:jc w:val="right"/>
              <w:rPr>
                <w:color w:val="FF0000"/>
                <w:sz w:val="20"/>
                <w:szCs w:val="20"/>
                <w:lang w:val="en-US"/>
              </w:rPr>
            </w:pPr>
            <w:r w:rsidRPr="00D65A12">
              <w:rPr>
                <w:sz w:val="20"/>
                <w:szCs w:val="20"/>
              </w:rPr>
              <w:t>-</w:t>
            </w:r>
            <w:r>
              <w:rPr>
                <w:sz w:val="20"/>
                <w:szCs w:val="20"/>
                <w:lang w:val="en-US"/>
              </w:rPr>
              <w:t>4</w:t>
            </w:r>
            <w:r>
              <w:rPr>
                <w:sz w:val="20"/>
                <w:szCs w:val="20"/>
              </w:rPr>
              <w:t>.</w:t>
            </w:r>
            <w:r>
              <w:rPr>
                <w:sz w:val="20"/>
                <w:szCs w:val="20"/>
                <w:lang w:val="en-US"/>
              </w:rPr>
              <w:t>9</w:t>
            </w:r>
          </w:p>
        </w:tc>
      </w:tr>
      <w:tr w:rsidR="0037663B" w:rsidRPr="00D65A12" w14:paraId="2F6E221F" w14:textId="77777777" w:rsidTr="00D6757E">
        <w:trPr>
          <w:cantSplit/>
          <w:trHeight w:val="234"/>
          <w:jc w:val="center"/>
        </w:trPr>
        <w:tc>
          <w:tcPr>
            <w:tcW w:w="3509" w:type="dxa"/>
            <w:shd w:val="clear" w:color="auto" w:fill="auto"/>
            <w:noWrap/>
            <w:vAlign w:val="bottom"/>
            <w:hideMark/>
          </w:tcPr>
          <w:p w14:paraId="1560903C" w14:textId="77777777" w:rsidR="0037663B" w:rsidRPr="00D65A12" w:rsidRDefault="0037663B" w:rsidP="00D6757E">
            <w:pPr>
              <w:spacing w:before="60" w:after="60"/>
              <w:rPr>
                <w:color w:val="000000"/>
                <w:sz w:val="20"/>
                <w:szCs w:val="20"/>
              </w:rPr>
            </w:pPr>
            <w:r w:rsidRPr="00D65A12">
              <w:rPr>
                <w:color w:val="000000"/>
                <w:sz w:val="20"/>
                <w:szCs w:val="20"/>
                <w:lang w:val="en-US"/>
              </w:rPr>
              <w:t>2. Manufacturing</w:t>
            </w:r>
          </w:p>
        </w:tc>
        <w:tc>
          <w:tcPr>
            <w:tcW w:w="1398" w:type="dxa"/>
            <w:shd w:val="clear" w:color="auto" w:fill="auto"/>
            <w:noWrap/>
            <w:vAlign w:val="bottom"/>
            <w:hideMark/>
          </w:tcPr>
          <w:p w14:paraId="348A108F" w14:textId="77777777" w:rsidR="0037663B" w:rsidRPr="00B767FB" w:rsidRDefault="0037663B" w:rsidP="00D6757E">
            <w:pPr>
              <w:spacing w:before="120" w:after="120"/>
              <w:ind w:right="176"/>
              <w:jc w:val="right"/>
              <w:rPr>
                <w:color w:val="000000"/>
                <w:sz w:val="20"/>
                <w:szCs w:val="20"/>
                <w:lang w:val="en-US"/>
              </w:rPr>
            </w:pPr>
            <w:r>
              <w:rPr>
                <w:color w:val="000000"/>
                <w:sz w:val="20"/>
                <w:szCs w:val="20"/>
              </w:rPr>
              <w:t>13</w:t>
            </w:r>
            <w:r w:rsidRPr="00D65A12">
              <w:rPr>
                <w:color w:val="000000"/>
                <w:sz w:val="20"/>
                <w:szCs w:val="20"/>
              </w:rPr>
              <w:t>,</w:t>
            </w:r>
            <w:r>
              <w:rPr>
                <w:color w:val="000000"/>
                <w:sz w:val="20"/>
                <w:szCs w:val="20"/>
                <w:lang w:val="en-US"/>
              </w:rPr>
              <w:t>047</w:t>
            </w:r>
          </w:p>
        </w:tc>
        <w:tc>
          <w:tcPr>
            <w:tcW w:w="1425" w:type="dxa"/>
            <w:shd w:val="clear" w:color="auto" w:fill="auto"/>
            <w:noWrap/>
            <w:vAlign w:val="bottom"/>
            <w:hideMark/>
          </w:tcPr>
          <w:p w14:paraId="2FAA11B8" w14:textId="77777777" w:rsidR="0037663B" w:rsidRPr="00B767FB" w:rsidRDefault="0037663B" w:rsidP="00D6757E">
            <w:pPr>
              <w:spacing w:before="120" w:after="120"/>
              <w:ind w:right="176"/>
              <w:jc w:val="right"/>
              <w:rPr>
                <w:sz w:val="20"/>
                <w:szCs w:val="20"/>
                <w:lang w:val="en-US"/>
              </w:rPr>
            </w:pPr>
            <w:r>
              <w:rPr>
                <w:sz w:val="20"/>
                <w:szCs w:val="20"/>
              </w:rPr>
              <w:t>1,</w:t>
            </w:r>
            <w:r>
              <w:rPr>
                <w:sz w:val="20"/>
                <w:szCs w:val="20"/>
                <w:lang w:val="en-US"/>
              </w:rPr>
              <w:t>496</w:t>
            </w:r>
          </w:p>
        </w:tc>
        <w:tc>
          <w:tcPr>
            <w:tcW w:w="1345" w:type="dxa"/>
            <w:shd w:val="clear" w:color="auto" w:fill="auto"/>
            <w:noWrap/>
            <w:vAlign w:val="bottom"/>
            <w:hideMark/>
          </w:tcPr>
          <w:p w14:paraId="2A769C88" w14:textId="77777777" w:rsidR="0037663B" w:rsidRPr="00B767FB" w:rsidRDefault="0037663B" w:rsidP="00D6757E">
            <w:pPr>
              <w:spacing w:before="120" w:after="120"/>
              <w:ind w:right="316"/>
              <w:jc w:val="right"/>
              <w:rPr>
                <w:sz w:val="20"/>
                <w:szCs w:val="20"/>
                <w:lang w:val="en-US"/>
              </w:rPr>
            </w:pPr>
            <w:r>
              <w:rPr>
                <w:sz w:val="20"/>
                <w:szCs w:val="20"/>
                <w:lang w:val="en-US"/>
              </w:rPr>
              <w:t>23</w:t>
            </w:r>
            <w:r>
              <w:rPr>
                <w:sz w:val="20"/>
                <w:szCs w:val="20"/>
              </w:rPr>
              <w:t>.</w:t>
            </w:r>
            <w:r>
              <w:rPr>
                <w:sz w:val="20"/>
                <w:szCs w:val="20"/>
                <w:lang w:val="en-US"/>
              </w:rPr>
              <w:t>6</w:t>
            </w:r>
          </w:p>
        </w:tc>
        <w:tc>
          <w:tcPr>
            <w:tcW w:w="1216" w:type="dxa"/>
            <w:shd w:val="clear" w:color="auto" w:fill="auto"/>
            <w:noWrap/>
            <w:vAlign w:val="bottom"/>
            <w:hideMark/>
          </w:tcPr>
          <w:p w14:paraId="235FDB55" w14:textId="77777777" w:rsidR="0037663B" w:rsidRPr="00B767FB" w:rsidRDefault="0037663B" w:rsidP="00D6757E">
            <w:pPr>
              <w:spacing w:before="120" w:after="120"/>
              <w:ind w:right="176"/>
              <w:jc w:val="right"/>
              <w:rPr>
                <w:color w:val="FF0000"/>
                <w:sz w:val="20"/>
                <w:szCs w:val="20"/>
                <w:lang w:val="en-US"/>
              </w:rPr>
            </w:pPr>
            <w:r>
              <w:rPr>
                <w:sz w:val="20"/>
                <w:szCs w:val="20"/>
                <w:lang w:val="en-US"/>
              </w:rPr>
              <w:t>3</w:t>
            </w:r>
            <w:r>
              <w:rPr>
                <w:sz w:val="20"/>
                <w:szCs w:val="20"/>
              </w:rPr>
              <w:t>.</w:t>
            </w:r>
            <w:r>
              <w:rPr>
                <w:sz w:val="20"/>
                <w:szCs w:val="20"/>
                <w:lang w:val="en-US"/>
              </w:rPr>
              <w:t>7</w:t>
            </w:r>
          </w:p>
        </w:tc>
      </w:tr>
      <w:tr w:rsidR="0037663B" w:rsidRPr="00D65A12" w14:paraId="70EE2FCC" w14:textId="77777777" w:rsidTr="00D6757E">
        <w:trPr>
          <w:cantSplit/>
          <w:trHeight w:val="216"/>
          <w:jc w:val="center"/>
        </w:trPr>
        <w:tc>
          <w:tcPr>
            <w:tcW w:w="3509" w:type="dxa"/>
            <w:shd w:val="clear" w:color="auto" w:fill="auto"/>
            <w:noWrap/>
            <w:vAlign w:val="bottom"/>
            <w:hideMark/>
          </w:tcPr>
          <w:p w14:paraId="2F1FDBB9" w14:textId="77777777" w:rsidR="0037663B" w:rsidRPr="00D65A12" w:rsidRDefault="0037663B" w:rsidP="00D6757E">
            <w:pPr>
              <w:spacing w:before="60" w:after="60"/>
              <w:rPr>
                <w:color w:val="000000"/>
                <w:sz w:val="20"/>
                <w:szCs w:val="20"/>
                <w:lang w:val="en-US"/>
              </w:rPr>
            </w:pPr>
            <w:r w:rsidRPr="00D65A12">
              <w:rPr>
                <w:color w:val="000000"/>
                <w:sz w:val="20"/>
                <w:szCs w:val="20"/>
                <w:lang w:val="en-US"/>
              </w:rPr>
              <w:t>3. Construction</w:t>
            </w:r>
          </w:p>
        </w:tc>
        <w:tc>
          <w:tcPr>
            <w:tcW w:w="1398" w:type="dxa"/>
            <w:shd w:val="clear" w:color="auto" w:fill="auto"/>
            <w:noWrap/>
            <w:vAlign w:val="bottom"/>
            <w:hideMark/>
          </w:tcPr>
          <w:p w14:paraId="743D2796" w14:textId="77777777" w:rsidR="0037663B" w:rsidRPr="00B767FB" w:rsidRDefault="0037663B" w:rsidP="00D6757E">
            <w:pPr>
              <w:spacing w:before="120" w:after="120"/>
              <w:ind w:right="176"/>
              <w:jc w:val="right"/>
              <w:rPr>
                <w:color w:val="000000"/>
                <w:sz w:val="20"/>
                <w:szCs w:val="20"/>
                <w:lang w:val="en-US"/>
              </w:rPr>
            </w:pPr>
            <w:r>
              <w:rPr>
                <w:color w:val="000000"/>
                <w:sz w:val="20"/>
                <w:szCs w:val="20"/>
                <w:lang w:val="en-US"/>
              </w:rPr>
              <w:t>10</w:t>
            </w:r>
            <w:r w:rsidRPr="00D65A12">
              <w:rPr>
                <w:color w:val="000000"/>
                <w:sz w:val="20"/>
                <w:szCs w:val="20"/>
              </w:rPr>
              <w:t>,</w:t>
            </w:r>
            <w:r>
              <w:rPr>
                <w:color w:val="000000"/>
                <w:sz w:val="20"/>
                <w:szCs w:val="20"/>
                <w:lang w:val="en-US"/>
              </w:rPr>
              <w:t>975</w:t>
            </w:r>
          </w:p>
        </w:tc>
        <w:tc>
          <w:tcPr>
            <w:tcW w:w="1425" w:type="dxa"/>
            <w:shd w:val="clear" w:color="auto" w:fill="auto"/>
            <w:noWrap/>
            <w:vAlign w:val="bottom"/>
            <w:hideMark/>
          </w:tcPr>
          <w:p w14:paraId="6924AE75" w14:textId="77777777" w:rsidR="0037663B" w:rsidRPr="00D65A12" w:rsidRDefault="0037663B" w:rsidP="00D6757E">
            <w:pPr>
              <w:spacing w:before="120" w:after="120"/>
              <w:ind w:right="176"/>
              <w:jc w:val="right"/>
              <w:rPr>
                <w:sz w:val="20"/>
                <w:szCs w:val="20"/>
              </w:rPr>
            </w:pPr>
            <w:r>
              <w:rPr>
                <w:sz w:val="20"/>
                <w:szCs w:val="20"/>
                <w:lang w:val="en-US"/>
              </w:rPr>
              <w:t>1.158</w:t>
            </w:r>
          </w:p>
        </w:tc>
        <w:tc>
          <w:tcPr>
            <w:tcW w:w="1345" w:type="dxa"/>
            <w:shd w:val="clear" w:color="auto" w:fill="auto"/>
            <w:noWrap/>
            <w:vAlign w:val="bottom"/>
            <w:hideMark/>
          </w:tcPr>
          <w:p w14:paraId="3F45C035" w14:textId="77777777" w:rsidR="0037663B" w:rsidRPr="00B767FB" w:rsidRDefault="0037663B" w:rsidP="00D6757E">
            <w:pPr>
              <w:spacing w:before="120" w:after="120"/>
              <w:ind w:right="316"/>
              <w:jc w:val="right"/>
              <w:rPr>
                <w:color w:val="FF0000"/>
                <w:sz w:val="20"/>
                <w:szCs w:val="20"/>
                <w:lang w:val="en-US"/>
              </w:rPr>
            </w:pPr>
            <w:r>
              <w:rPr>
                <w:sz w:val="20"/>
                <w:szCs w:val="20"/>
                <w:lang w:val="en-US"/>
              </w:rPr>
              <w:t>7</w:t>
            </w:r>
            <w:r>
              <w:rPr>
                <w:sz w:val="20"/>
                <w:szCs w:val="20"/>
              </w:rPr>
              <w:t>.</w:t>
            </w:r>
            <w:r>
              <w:rPr>
                <w:sz w:val="20"/>
                <w:szCs w:val="20"/>
                <w:lang w:val="en-US"/>
              </w:rPr>
              <w:t>3</w:t>
            </w:r>
          </w:p>
        </w:tc>
        <w:tc>
          <w:tcPr>
            <w:tcW w:w="1216" w:type="dxa"/>
            <w:shd w:val="clear" w:color="auto" w:fill="auto"/>
            <w:noWrap/>
            <w:vAlign w:val="bottom"/>
            <w:hideMark/>
          </w:tcPr>
          <w:p w14:paraId="71EB74D6" w14:textId="77777777" w:rsidR="0037663B" w:rsidRPr="00B767FB" w:rsidRDefault="0037663B" w:rsidP="00D6757E">
            <w:pPr>
              <w:spacing w:before="120" w:after="120"/>
              <w:ind w:right="176"/>
              <w:jc w:val="right"/>
              <w:rPr>
                <w:sz w:val="20"/>
                <w:szCs w:val="20"/>
                <w:lang w:val="en-US"/>
              </w:rPr>
            </w:pPr>
            <w:r>
              <w:rPr>
                <w:sz w:val="20"/>
                <w:szCs w:val="20"/>
              </w:rPr>
              <w:t>7.</w:t>
            </w:r>
            <w:r>
              <w:rPr>
                <w:sz w:val="20"/>
                <w:szCs w:val="20"/>
                <w:lang w:val="en-US"/>
              </w:rPr>
              <w:t>2</w:t>
            </w:r>
          </w:p>
        </w:tc>
      </w:tr>
      <w:tr w:rsidR="0037663B" w:rsidRPr="00D65A12" w14:paraId="0352CAB2" w14:textId="77777777" w:rsidTr="00D6757E">
        <w:trPr>
          <w:cantSplit/>
          <w:trHeight w:val="387"/>
          <w:jc w:val="center"/>
        </w:trPr>
        <w:tc>
          <w:tcPr>
            <w:tcW w:w="3509" w:type="dxa"/>
            <w:shd w:val="clear" w:color="auto" w:fill="auto"/>
            <w:noWrap/>
            <w:vAlign w:val="bottom"/>
            <w:hideMark/>
          </w:tcPr>
          <w:p w14:paraId="7CACA143" w14:textId="77777777" w:rsidR="0037663B" w:rsidRPr="00D65A12" w:rsidRDefault="0037663B" w:rsidP="00D6757E">
            <w:pPr>
              <w:spacing w:before="60" w:after="60"/>
              <w:rPr>
                <w:color w:val="000000"/>
                <w:sz w:val="20"/>
                <w:szCs w:val="20"/>
              </w:rPr>
            </w:pPr>
            <w:r w:rsidRPr="00D65A12">
              <w:rPr>
                <w:color w:val="000000"/>
                <w:sz w:val="20"/>
                <w:szCs w:val="20"/>
                <w:lang w:val="en-US"/>
              </w:rPr>
              <w:t>4. Real estate business</w:t>
            </w:r>
          </w:p>
        </w:tc>
        <w:tc>
          <w:tcPr>
            <w:tcW w:w="1398" w:type="dxa"/>
            <w:shd w:val="clear" w:color="auto" w:fill="auto"/>
            <w:noWrap/>
            <w:vAlign w:val="bottom"/>
            <w:hideMark/>
          </w:tcPr>
          <w:p w14:paraId="05B386CC" w14:textId="77777777" w:rsidR="0037663B" w:rsidRPr="00B767FB" w:rsidRDefault="0037663B" w:rsidP="00D6757E">
            <w:pPr>
              <w:spacing w:before="120" w:after="120"/>
              <w:ind w:right="176"/>
              <w:jc w:val="right"/>
              <w:rPr>
                <w:sz w:val="20"/>
                <w:szCs w:val="20"/>
                <w:lang w:val="en-US"/>
              </w:rPr>
            </w:pPr>
            <w:r>
              <w:rPr>
                <w:sz w:val="20"/>
                <w:szCs w:val="20"/>
                <w:lang w:val="en-US"/>
              </w:rPr>
              <w:t>6</w:t>
            </w:r>
            <w:r w:rsidRPr="00D65A12">
              <w:rPr>
                <w:sz w:val="20"/>
                <w:szCs w:val="20"/>
              </w:rPr>
              <w:t>,</w:t>
            </w:r>
            <w:r>
              <w:rPr>
                <w:sz w:val="20"/>
                <w:szCs w:val="20"/>
                <w:lang w:val="en-US"/>
              </w:rPr>
              <w:t>573</w:t>
            </w:r>
          </w:p>
        </w:tc>
        <w:tc>
          <w:tcPr>
            <w:tcW w:w="1425" w:type="dxa"/>
            <w:shd w:val="clear" w:color="auto" w:fill="auto"/>
            <w:noWrap/>
            <w:vAlign w:val="bottom"/>
            <w:hideMark/>
          </w:tcPr>
          <w:p w14:paraId="5346F289" w14:textId="77777777" w:rsidR="0037663B" w:rsidRPr="00B767FB" w:rsidRDefault="0037663B" w:rsidP="00D6757E">
            <w:pPr>
              <w:spacing w:before="120" w:after="120"/>
              <w:ind w:right="176"/>
              <w:jc w:val="right"/>
              <w:rPr>
                <w:sz w:val="20"/>
                <w:szCs w:val="20"/>
                <w:lang w:val="en-US"/>
              </w:rPr>
            </w:pPr>
            <w:r>
              <w:rPr>
                <w:sz w:val="20"/>
                <w:szCs w:val="20"/>
                <w:lang w:val="en-US"/>
              </w:rPr>
              <w:t>772</w:t>
            </w:r>
          </w:p>
        </w:tc>
        <w:tc>
          <w:tcPr>
            <w:tcW w:w="1345" w:type="dxa"/>
            <w:shd w:val="clear" w:color="auto" w:fill="auto"/>
            <w:noWrap/>
            <w:vAlign w:val="bottom"/>
            <w:hideMark/>
          </w:tcPr>
          <w:p w14:paraId="63D354F9" w14:textId="77777777" w:rsidR="0037663B" w:rsidRPr="00B767FB" w:rsidRDefault="0037663B" w:rsidP="00D6757E">
            <w:pPr>
              <w:spacing w:before="120" w:after="120"/>
              <w:ind w:right="316"/>
              <w:jc w:val="right"/>
              <w:rPr>
                <w:color w:val="000000"/>
                <w:sz w:val="20"/>
                <w:szCs w:val="20"/>
                <w:lang w:val="en-US"/>
              </w:rPr>
            </w:pPr>
            <w:r>
              <w:rPr>
                <w:color w:val="000000"/>
                <w:sz w:val="20"/>
                <w:szCs w:val="20"/>
              </w:rPr>
              <w:t>2</w:t>
            </w:r>
            <w:r>
              <w:rPr>
                <w:color w:val="000000"/>
                <w:sz w:val="20"/>
                <w:szCs w:val="20"/>
                <w:lang w:val="en-US"/>
              </w:rPr>
              <w:t>7</w:t>
            </w:r>
            <w:r>
              <w:rPr>
                <w:color w:val="000000"/>
                <w:sz w:val="20"/>
                <w:szCs w:val="20"/>
              </w:rPr>
              <w:t>.</w:t>
            </w:r>
            <w:r>
              <w:rPr>
                <w:color w:val="000000"/>
                <w:sz w:val="20"/>
                <w:szCs w:val="20"/>
                <w:lang w:val="en-US"/>
              </w:rPr>
              <w:t>3</w:t>
            </w:r>
          </w:p>
        </w:tc>
        <w:tc>
          <w:tcPr>
            <w:tcW w:w="1216" w:type="dxa"/>
            <w:shd w:val="clear" w:color="auto" w:fill="auto"/>
            <w:noWrap/>
            <w:vAlign w:val="bottom"/>
            <w:hideMark/>
          </w:tcPr>
          <w:p w14:paraId="3D6FC12E" w14:textId="77777777" w:rsidR="0037663B" w:rsidRPr="00B767FB" w:rsidRDefault="0037663B" w:rsidP="00D6757E">
            <w:pPr>
              <w:spacing w:before="120" w:after="120"/>
              <w:ind w:right="176"/>
              <w:jc w:val="right"/>
              <w:rPr>
                <w:sz w:val="20"/>
                <w:szCs w:val="20"/>
                <w:lang w:val="en-US"/>
              </w:rPr>
            </w:pPr>
            <w:r>
              <w:rPr>
                <w:sz w:val="20"/>
                <w:szCs w:val="20"/>
              </w:rPr>
              <w:t>2</w:t>
            </w:r>
            <w:r>
              <w:rPr>
                <w:sz w:val="20"/>
                <w:szCs w:val="20"/>
                <w:lang w:val="en-US"/>
              </w:rPr>
              <w:t>6</w:t>
            </w:r>
            <w:r>
              <w:rPr>
                <w:sz w:val="20"/>
                <w:szCs w:val="20"/>
              </w:rPr>
              <w:t>.</w:t>
            </w:r>
            <w:r>
              <w:rPr>
                <w:sz w:val="20"/>
                <w:szCs w:val="20"/>
                <w:lang w:val="en-US"/>
              </w:rPr>
              <w:t>4</w:t>
            </w:r>
          </w:p>
        </w:tc>
      </w:tr>
      <w:tr w:rsidR="0037663B" w:rsidRPr="00D65A12" w14:paraId="04D55484" w14:textId="77777777" w:rsidTr="00D6757E">
        <w:trPr>
          <w:cantSplit/>
          <w:trHeight w:val="261"/>
          <w:jc w:val="center"/>
        </w:trPr>
        <w:tc>
          <w:tcPr>
            <w:tcW w:w="3509" w:type="dxa"/>
            <w:shd w:val="clear" w:color="auto" w:fill="auto"/>
            <w:noWrap/>
            <w:vAlign w:val="bottom"/>
            <w:hideMark/>
          </w:tcPr>
          <w:p w14:paraId="1A36BEFF" w14:textId="77777777" w:rsidR="0037663B" w:rsidRPr="00D65A12" w:rsidRDefault="0037663B" w:rsidP="00D6757E">
            <w:pPr>
              <w:spacing w:before="60" w:after="60"/>
              <w:rPr>
                <w:color w:val="000000"/>
                <w:sz w:val="20"/>
                <w:szCs w:val="20"/>
                <w:lang w:val="en-US"/>
              </w:rPr>
            </w:pPr>
            <w:r w:rsidRPr="00D65A12">
              <w:rPr>
                <w:color w:val="000000"/>
                <w:sz w:val="20"/>
                <w:szCs w:val="20"/>
                <w:lang w:val="en-US"/>
              </w:rPr>
              <w:t>5. Transportation and storage</w:t>
            </w:r>
          </w:p>
        </w:tc>
        <w:tc>
          <w:tcPr>
            <w:tcW w:w="1398" w:type="dxa"/>
            <w:shd w:val="clear" w:color="auto" w:fill="auto"/>
            <w:noWrap/>
            <w:vAlign w:val="bottom"/>
            <w:hideMark/>
          </w:tcPr>
          <w:p w14:paraId="4149F62F" w14:textId="77777777" w:rsidR="0037663B" w:rsidRPr="00D65A12" w:rsidRDefault="0037663B" w:rsidP="00D6757E">
            <w:pPr>
              <w:spacing w:before="120" w:after="120"/>
              <w:ind w:right="176"/>
              <w:jc w:val="right"/>
              <w:rPr>
                <w:sz w:val="20"/>
                <w:szCs w:val="20"/>
              </w:rPr>
            </w:pPr>
            <w:r>
              <w:rPr>
                <w:sz w:val="20"/>
                <w:szCs w:val="20"/>
              </w:rPr>
              <w:t>4</w:t>
            </w:r>
            <w:r w:rsidRPr="00D65A12">
              <w:rPr>
                <w:sz w:val="20"/>
                <w:szCs w:val="20"/>
              </w:rPr>
              <w:t>,</w:t>
            </w:r>
            <w:r>
              <w:rPr>
                <w:sz w:val="20"/>
                <w:szCs w:val="20"/>
                <w:lang w:val="en-US"/>
              </w:rPr>
              <w:t>97</w:t>
            </w:r>
            <w:r>
              <w:rPr>
                <w:sz w:val="20"/>
                <w:szCs w:val="20"/>
              </w:rPr>
              <w:t>9</w:t>
            </w:r>
          </w:p>
        </w:tc>
        <w:tc>
          <w:tcPr>
            <w:tcW w:w="1425" w:type="dxa"/>
            <w:shd w:val="clear" w:color="auto" w:fill="auto"/>
            <w:noWrap/>
            <w:vAlign w:val="bottom"/>
            <w:hideMark/>
          </w:tcPr>
          <w:p w14:paraId="4D7646BC" w14:textId="77777777" w:rsidR="0037663B" w:rsidRPr="00B767FB" w:rsidRDefault="0037663B" w:rsidP="00D6757E">
            <w:pPr>
              <w:spacing w:before="120" w:after="120"/>
              <w:ind w:right="176"/>
              <w:jc w:val="right"/>
              <w:rPr>
                <w:sz w:val="20"/>
                <w:szCs w:val="20"/>
                <w:lang w:val="en-US"/>
              </w:rPr>
            </w:pPr>
            <w:r>
              <w:rPr>
                <w:sz w:val="20"/>
                <w:szCs w:val="20"/>
                <w:lang w:val="en-US"/>
              </w:rPr>
              <w:t>461</w:t>
            </w:r>
          </w:p>
        </w:tc>
        <w:tc>
          <w:tcPr>
            <w:tcW w:w="1345" w:type="dxa"/>
            <w:shd w:val="clear" w:color="auto" w:fill="auto"/>
            <w:noWrap/>
            <w:vAlign w:val="bottom"/>
            <w:hideMark/>
          </w:tcPr>
          <w:p w14:paraId="4D847615" w14:textId="77777777" w:rsidR="0037663B" w:rsidRPr="00D65A12" w:rsidRDefault="0037663B" w:rsidP="00D6757E">
            <w:pPr>
              <w:spacing w:before="120" w:after="120"/>
              <w:ind w:right="316"/>
              <w:jc w:val="right"/>
              <w:rPr>
                <w:color w:val="000000"/>
                <w:sz w:val="20"/>
                <w:szCs w:val="20"/>
              </w:rPr>
            </w:pPr>
            <w:r>
              <w:rPr>
                <w:color w:val="000000"/>
                <w:sz w:val="20"/>
                <w:szCs w:val="20"/>
              </w:rPr>
              <w:t>2</w:t>
            </w:r>
            <w:r>
              <w:rPr>
                <w:color w:val="000000"/>
                <w:sz w:val="20"/>
                <w:szCs w:val="20"/>
                <w:lang w:val="en-US"/>
              </w:rPr>
              <w:t>5</w:t>
            </w:r>
            <w:r>
              <w:rPr>
                <w:color w:val="000000"/>
                <w:sz w:val="20"/>
                <w:szCs w:val="20"/>
              </w:rPr>
              <w:t>.4</w:t>
            </w:r>
          </w:p>
        </w:tc>
        <w:tc>
          <w:tcPr>
            <w:tcW w:w="1216" w:type="dxa"/>
            <w:shd w:val="clear" w:color="auto" w:fill="auto"/>
            <w:noWrap/>
            <w:vAlign w:val="bottom"/>
            <w:hideMark/>
          </w:tcPr>
          <w:p w14:paraId="6DB2F106" w14:textId="77777777" w:rsidR="0037663B" w:rsidRPr="00B767FB" w:rsidRDefault="0037663B" w:rsidP="00D6757E">
            <w:pPr>
              <w:spacing w:before="120" w:after="120"/>
              <w:ind w:right="176"/>
              <w:jc w:val="right"/>
              <w:rPr>
                <w:sz w:val="20"/>
                <w:szCs w:val="20"/>
                <w:lang w:val="en-US"/>
              </w:rPr>
            </w:pPr>
            <w:r>
              <w:rPr>
                <w:sz w:val="20"/>
                <w:szCs w:val="20"/>
                <w:lang w:val="en-US"/>
              </w:rPr>
              <w:t>14</w:t>
            </w:r>
            <w:r>
              <w:rPr>
                <w:sz w:val="20"/>
                <w:szCs w:val="20"/>
              </w:rPr>
              <w:t>.</w:t>
            </w:r>
            <w:r>
              <w:rPr>
                <w:sz w:val="20"/>
                <w:szCs w:val="20"/>
                <w:lang w:val="en-US"/>
              </w:rPr>
              <w:t>6</w:t>
            </w:r>
          </w:p>
        </w:tc>
      </w:tr>
      <w:tr w:rsidR="0037663B" w:rsidRPr="00D65A12" w14:paraId="4F560717" w14:textId="77777777" w:rsidTr="00D6757E">
        <w:trPr>
          <w:cantSplit/>
          <w:trHeight w:val="162"/>
          <w:jc w:val="center"/>
        </w:trPr>
        <w:tc>
          <w:tcPr>
            <w:tcW w:w="3509" w:type="dxa"/>
            <w:shd w:val="clear" w:color="auto" w:fill="auto"/>
            <w:noWrap/>
            <w:vAlign w:val="bottom"/>
            <w:hideMark/>
          </w:tcPr>
          <w:p w14:paraId="0717FDA2" w14:textId="77777777" w:rsidR="0037663B" w:rsidRPr="00D65A12" w:rsidRDefault="0037663B" w:rsidP="00D6757E">
            <w:pPr>
              <w:spacing w:before="60" w:after="60"/>
              <w:rPr>
                <w:color w:val="000000"/>
                <w:sz w:val="20"/>
                <w:szCs w:val="20"/>
              </w:rPr>
            </w:pPr>
            <w:r w:rsidRPr="00D65A12">
              <w:rPr>
                <w:color w:val="000000"/>
                <w:sz w:val="20"/>
                <w:szCs w:val="20"/>
                <w:lang w:val="en-US"/>
              </w:rPr>
              <w:t>6. Accommodation and catering service</w:t>
            </w:r>
          </w:p>
        </w:tc>
        <w:tc>
          <w:tcPr>
            <w:tcW w:w="1398" w:type="dxa"/>
            <w:shd w:val="clear" w:color="auto" w:fill="auto"/>
            <w:noWrap/>
            <w:vAlign w:val="bottom"/>
            <w:hideMark/>
          </w:tcPr>
          <w:p w14:paraId="3E69F3BD" w14:textId="77777777" w:rsidR="0037663B" w:rsidRPr="00B767FB" w:rsidRDefault="0037663B" w:rsidP="00D6757E">
            <w:pPr>
              <w:spacing w:before="120" w:after="120"/>
              <w:ind w:right="176"/>
              <w:jc w:val="right"/>
              <w:rPr>
                <w:sz w:val="20"/>
                <w:szCs w:val="20"/>
                <w:lang w:val="en-US"/>
              </w:rPr>
            </w:pPr>
            <w:r>
              <w:rPr>
                <w:sz w:val="20"/>
                <w:szCs w:val="20"/>
                <w:lang w:val="en-US"/>
              </w:rPr>
              <w:t>4</w:t>
            </w:r>
            <w:r w:rsidRPr="00D65A12">
              <w:rPr>
                <w:sz w:val="20"/>
                <w:szCs w:val="20"/>
              </w:rPr>
              <w:t>,</w:t>
            </w:r>
            <w:r>
              <w:rPr>
                <w:sz w:val="20"/>
                <w:szCs w:val="20"/>
                <w:lang w:val="en-US"/>
              </w:rPr>
              <w:t>259</w:t>
            </w:r>
          </w:p>
        </w:tc>
        <w:tc>
          <w:tcPr>
            <w:tcW w:w="1425" w:type="dxa"/>
            <w:shd w:val="clear" w:color="auto" w:fill="auto"/>
            <w:noWrap/>
            <w:vAlign w:val="bottom"/>
            <w:hideMark/>
          </w:tcPr>
          <w:p w14:paraId="01B862DF" w14:textId="77777777" w:rsidR="0037663B" w:rsidRPr="00B767FB" w:rsidRDefault="0037663B" w:rsidP="00D6757E">
            <w:pPr>
              <w:spacing w:before="120" w:after="120"/>
              <w:ind w:right="176"/>
              <w:jc w:val="right"/>
              <w:rPr>
                <w:sz w:val="20"/>
                <w:szCs w:val="20"/>
                <w:lang w:val="en-US"/>
              </w:rPr>
            </w:pPr>
            <w:r>
              <w:rPr>
                <w:sz w:val="20"/>
                <w:szCs w:val="20"/>
                <w:lang w:val="en-US"/>
              </w:rPr>
              <w:t>588</w:t>
            </w:r>
          </w:p>
        </w:tc>
        <w:tc>
          <w:tcPr>
            <w:tcW w:w="1345" w:type="dxa"/>
            <w:shd w:val="clear" w:color="auto" w:fill="auto"/>
            <w:noWrap/>
            <w:vAlign w:val="bottom"/>
            <w:hideMark/>
          </w:tcPr>
          <w:p w14:paraId="19B5A3E3" w14:textId="77777777" w:rsidR="0037663B" w:rsidRPr="00B767FB" w:rsidRDefault="0037663B" w:rsidP="00D6757E">
            <w:pPr>
              <w:spacing w:before="120" w:after="120"/>
              <w:ind w:right="316"/>
              <w:jc w:val="right"/>
              <w:rPr>
                <w:color w:val="000000"/>
                <w:sz w:val="20"/>
                <w:szCs w:val="20"/>
                <w:lang w:val="en-US"/>
              </w:rPr>
            </w:pPr>
            <w:r>
              <w:rPr>
                <w:color w:val="000000"/>
                <w:sz w:val="20"/>
                <w:szCs w:val="20"/>
                <w:lang w:val="en-US"/>
              </w:rPr>
              <w:t>51</w:t>
            </w:r>
            <w:r>
              <w:rPr>
                <w:color w:val="000000"/>
                <w:sz w:val="20"/>
                <w:szCs w:val="20"/>
              </w:rPr>
              <w:t>.</w:t>
            </w:r>
            <w:r>
              <w:rPr>
                <w:color w:val="000000"/>
                <w:sz w:val="20"/>
                <w:szCs w:val="20"/>
                <w:lang w:val="en-US"/>
              </w:rPr>
              <w:t>7</w:t>
            </w:r>
          </w:p>
        </w:tc>
        <w:tc>
          <w:tcPr>
            <w:tcW w:w="1216" w:type="dxa"/>
            <w:shd w:val="clear" w:color="auto" w:fill="auto"/>
            <w:noWrap/>
            <w:vAlign w:val="bottom"/>
            <w:hideMark/>
          </w:tcPr>
          <w:p w14:paraId="685CE8A6" w14:textId="77777777" w:rsidR="0037663B" w:rsidRPr="00B767FB" w:rsidRDefault="0037663B" w:rsidP="00D6757E">
            <w:pPr>
              <w:spacing w:before="120" w:after="120"/>
              <w:ind w:right="176"/>
              <w:jc w:val="right"/>
              <w:rPr>
                <w:sz w:val="20"/>
                <w:szCs w:val="20"/>
                <w:lang w:val="en-US"/>
              </w:rPr>
            </w:pPr>
            <w:r>
              <w:rPr>
                <w:sz w:val="20"/>
                <w:szCs w:val="20"/>
              </w:rPr>
              <w:t>-</w:t>
            </w:r>
            <w:r>
              <w:rPr>
                <w:sz w:val="20"/>
                <w:szCs w:val="20"/>
                <w:lang w:val="en-US"/>
              </w:rPr>
              <w:t>16</w:t>
            </w:r>
            <w:r>
              <w:rPr>
                <w:sz w:val="20"/>
                <w:szCs w:val="20"/>
              </w:rPr>
              <w:t>.</w:t>
            </w:r>
            <w:r>
              <w:rPr>
                <w:sz w:val="20"/>
                <w:szCs w:val="20"/>
                <w:lang w:val="en-US"/>
              </w:rPr>
              <w:t>0</w:t>
            </w:r>
          </w:p>
        </w:tc>
      </w:tr>
      <w:tr w:rsidR="0037663B" w:rsidRPr="00D65A12" w14:paraId="218CB7ED" w14:textId="77777777" w:rsidTr="00D6757E">
        <w:trPr>
          <w:cantSplit/>
          <w:trHeight w:val="504"/>
          <w:jc w:val="center"/>
        </w:trPr>
        <w:tc>
          <w:tcPr>
            <w:tcW w:w="3509" w:type="dxa"/>
            <w:tcBorders>
              <w:bottom w:val="single" w:sz="4" w:space="0" w:color="auto"/>
            </w:tcBorders>
            <w:shd w:val="clear" w:color="auto" w:fill="auto"/>
            <w:noWrap/>
            <w:vAlign w:val="bottom"/>
          </w:tcPr>
          <w:p w14:paraId="325ACE94" w14:textId="77777777" w:rsidR="0037663B" w:rsidRPr="00D65A12" w:rsidRDefault="0037663B" w:rsidP="00D6757E">
            <w:pPr>
              <w:spacing w:before="60" w:after="60"/>
              <w:rPr>
                <w:color w:val="000000"/>
                <w:sz w:val="20"/>
                <w:szCs w:val="20"/>
              </w:rPr>
            </w:pPr>
            <w:r w:rsidRPr="00D65A12">
              <w:rPr>
                <w:color w:val="000000"/>
                <w:sz w:val="20"/>
                <w:szCs w:val="20"/>
                <w:lang w:val="en-US"/>
              </w:rPr>
              <w:t>7. Production and distribution of electricity, water, gas</w:t>
            </w:r>
          </w:p>
        </w:tc>
        <w:tc>
          <w:tcPr>
            <w:tcW w:w="1398" w:type="dxa"/>
            <w:tcBorders>
              <w:bottom w:val="single" w:sz="4" w:space="0" w:color="auto"/>
            </w:tcBorders>
            <w:shd w:val="clear" w:color="auto" w:fill="auto"/>
            <w:noWrap/>
            <w:vAlign w:val="bottom"/>
          </w:tcPr>
          <w:p w14:paraId="60B3D9B5" w14:textId="77777777" w:rsidR="0037663B" w:rsidRPr="00B767FB" w:rsidRDefault="0037663B" w:rsidP="00D6757E">
            <w:pPr>
              <w:spacing w:before="120" w:after="120"/>
              <w:ind w:right="176"/>
              <w:jc w:val="right"/>
              <w:rPr>
                <w:sz w:val="20"/>
                <w:szCs w:val="20"/>
                <w:lang w:val="en-US"/>
              </w:rPr>
            </w:pPr>
            <w:r>
              <w:rPr>
                <w:sz w:val="20"/>
                <w:szCs w:val="20"/>
                <w:lang w:val="en-US"/>
              </w:rPr>
              <w:t>742</w:t>
            </w:r>
          </w:p>
        </w:tc>
        <w:tc>
          <w:tcPr>
            <w:tcW w:w="1425" w:type="dxa"/>
            <w:tcBorders>
              <w:bottom w:val="single" w:sz="4" w:space="0" w:color="auto"/>
            </w:tcBorders>
            <w:shd w:val="clear" w:color="auto" w:fill="auto"/>
            <w:noWrap/>
            <w:vAlign w:val="bottom"/>
          </w:tcPr>
          <w:p w14:paraId="6EB3DBB4" w14:textId="77777777" w:rsidR="0037663B" w:rsidRPr="00B767FB" w:rsidRDefault="0037663B" w:rsidP="00D6757E">
            <w:pPr>
              <w:spacing w:before="120" w:after="120"/>
              <w:ind w:right="176"/>
              <w:jc w:val="right"/>
              <w:rPr>
                <w:sz w:val="20"/>
                <w:szCs w:val="20"/>
                <w:lang w:val="en-US"/>
              </w:rPr>
            </w:pPr>
            <w:r>
              <w:rPr>
                <w:sz w:val="20"/>
                <w:szCs w:val="20"/>
                <w:lang w:val="en-US"/>
              </w:rPr>
              <w:t>316</w:t>
            </w:r>
          </w:p>
        </w:tc>
        <w:tc>
          <w:tcPr>
            <w:tcW w:w="1345" w:type="dxa"/>
            <w:tcBorders>
              <w:bottom w:val="single" w:sz="4" w:space="0" w:color="auto"/>
            </w:tcBorders>
            <w:shd w:val="clear" w:color="auto" w:fill="auto"/>
            <w:noWrap/>
            <w:vAlign w:val="bottom"/>
          </w:tcPr>
          <w:p w14:paraId="05007843" w14:textId="77777777" w:rsidR="0037663B" w:rsidRPr="00B767FB" w:rsidRDefault="0037663B" w:rsidP="00D6757E">
            <w:pPr>
              <w:spacing w:before="120" w:after="120"/>
              <w:ind w:right="316"/>
              <w:jc w:val="right"/>
              <w:rPr>
                <w:color w:val="000000"/>
                <w:sz w:val="20"/>
                <w:szCs w:val="20"/>
                <w:lang w:val="en-US"/>
              </w:rPr>
            </w:pPr>
            <w:r w:rsidRPr="00D65A12">
              <w:rPr>
                <w:color w:val="000000"/>
                <w:sz w:val="20"/>
                <w:szCs w:val="20"/>
              </w:rPr>
              <w:t>-</w:t>
            </w:r>
            <w:r>
              <w:rPr>
                <w:color w:val="000000"/>
                <w:sz w:val="20"/>
                <w:szCs w:val="20"/>
                <w:lang w:val="en-US"/>
              </w:rPr>
              <w:t>19</w:t>
            </w:r>
            <w:r>
              <w:rPr>
                <w:color w:val="000000"/>
                <w:sz w:val="20"/>
                <w:szCs w:val="20"/>
              </w:rPr>
              <w:t>.</w:t>
            </w:r>
            <w:r>
              <w:rPr>
                <w:color w:val="000000"/>
                <w:sz w:val="20"/>
                <w:szCs w:val="20"/>
                <w:lang w:val="en-US"/>
              </w:rPr>
              <w:t>1</w:t>
            </w:r>
          </w:p>
        </w:tc>
        <w:tc>
          <w:tcPr>
            <w:tcW w:w="1216" w:type="dxa"/>
            <w:tcBorders>
              <w:bottom w:val="single" w:sz="4" w:space="0" w:color="auto"/>
            </w:tcBorders>
            <w:shd w:val="clear" w:color="auto" w:fill="auto"/>
            <w:noWrap/>
            <w:vAlign w:val="bottom"/>
          </w:tcPr>
          <w:p w14:paraId="7E125D28" w14:textId="77777777" w:rsidR="0037663B" w:rsidRPr="00B767FB" w:rsidRDefault="0037663B" w:rsidP="00D6757E">
            <w:pPr>
              <w:spacing w:before="120" w:after="120"/>
              <w:ind w:right="176"/>
              <w:jc w:val="right"/>
              <w:rPr>
                <w:color w:val="000000"/>
                <w:sz w:val="20"/>
                <w:szCs w:val="20"/>
                <w:lang w:val="en-US"/>
              </w:rPr>
            </w:pPr>
            <w:r>
              <w:rPr>
                <w:color w:val="000000"/>
                <w:sz w:val="20"/>
                <w:szCs w:val="20"/>
                <w:lang w:val="en-US"/>
              </w:rPr>
              <w:t>20</w:t>
            </w:r>
            <w:r>
              <w:rPr>
                <w:color w:val="000000"/>
                <w:sz w:val="20"/>
                <w:szCs w:val="20"/>
              </w:rPr>
              <w:t>.</w:t>
            </w:r>
            <w:r>
              <w:rPr>
                <w:color w:val="000000"/>
                <w:sz w:val="20"/>
                <w:szCs w:val="20"/>
                <w:lang w:val="en-US"/>
              </w:rPr>
              <w:t>6</w:t>
            </w:r>
          </w:p>
        </w:tc>
      </w:tr>
    </w:tbl>
    <w:p w14:paraId="168EBAF2" w14:textId="77777777" w:rsidR="0037663B" w:rsidRPr="007058D9" w:rsidRDefault="0037663B" w:rsidP="00991A4D">
      <w:pPr>
        <w:tabs>
          <w:tab w:val="left" w:pos="6810"/>
        </w:tabs>
        <w:spacing w:before="40" w:after="40" w:line="278" w:lineRule="auto"/>
        <w:ind w:firstLine="567"/>
        <w:jc w:val="center"/>
        <w:rPr>
          <w:rFonts w:ascii="Arial" w:hAnsi="Arial" w:cs="Arial"/>
          <w:b/>
          <w:sz w:val="14"/>
          <w:szCs w:val="20"/>
          <w:lang w:val="it-IT"/>
        </w:rPr>
      </w:pPr>
    </w:p>
    <w:p w14:paraId="5BCA9024" w14:textId="11FF749B" w:rsidR="00E8607E" w:rsidRPr="009C038B" w:rsidRDefault="00E8607E" w:rsidP="007058D9">
      <w:pPr>
        <w:spacing w:before="40" w:after="40" w:line="264" w:lineRule="auto"/>
        <w:ind w:firstLine="567"/>
        <w:jc w:val="both"/>
        <w:rPr>
          <w:b/>
          <w:bCs/>
          <w:lang w:val="af-ZA"/>
        </w:rPr>
      </w:pPr>
      <w:r w:rsidRPr="009C038B">
        <w:rPr>
          <w:b/>
          <w:bCs/>
          <w:lang w:val="af-ZA"/>
        </w:rPr>
        <w:t xml:space="preserve">4. </w:t>
      </w:r>
      <w:r w:rsidR="00BE1D1F">
        <w:rPr>
          <w:b/>
          <w:bCs/>
          <w:lang w:val="af-ZA"/>
        </w:rPr>
        <w:t>Investment</w:t>
      </w:r>
    </w:p>
    <w:p w14:paraId="2D9A46F5" w14:textId="77777777" w:rsidR="00CA631C" w:rsidRDefault="00CA631C" w:rsidP="00C04548">
      <w:pPr>
        <w:spacing w:before="40" w:after="40" w:line="288" w:lineRule="auto"/>
        <w:ind w:firstLine="567"/>
        <w:jc w:val="both"/>
        <w:rPr>
          <w:rStyle w:val="Emphasis"/>
        </w:rPr>
      </w:pPr>
      <w:r>
        <w:rPr>
          <w:rStyle w:val="Emphasis"/>
        </w:rPr>
        <w:t>Investment capital from the State budget in August focused on deploying, implementing, and disbursing the efforts of ministries, branches, and localities in the context that the Covid-19 epidemic is well controlled, production and business activities are strong recovery. Generally, in the first eight months of 2022, investment capital realized from the State budget is estimated at 51% of the plan, up 16.9% over the same period last year. Realized foreign direct investment in Vietnam in the first eight months of 2022 was estimated at 12.8 billion USD, up 10.5% over the same period last year.</w:t>
      </w:r>
    </w:p>
    <w:p w14:paraId="26E95AE8" w14:textId="64ABCB11" w:rsidR="00C04548" w:rsidRDefault="00C04548" w:rsidP="00C04548">
      <w:pPr>
        <w:spacing w:before="40" w:after="40" w:line="288" w:lineRule="auto"/>
        <w:ind w:firstLine="567"/>
        <w:jc w:val="both"/>
        <w:rPr>
          <w:lang w:val="af-ZA"/>
        </w:rPr>
      </w:pPr>
      <w:r w:rsidRPr="00A44FEF">
        <w:rPr>
          <w:lang w:val="af-ZA"/>
        </w:rPr>
        <w:t>Realized investment capital from the State budget in August was estimated at 48.3 trillion VND, up 51.4% over the same period last year, including Centrally managed capital of 8.9 trillion VND, up 36.8%; local capital under management is 39.4 trillion VND, up 55.2%. In the 8 months of 2022, investment capital realized from the State budget was estimated at 285.4 trillion VND, equaling 51% of the year plan and increasing by 16.9% over the same period last year (the same period last year was 48.6% and down 0.7%). Specifically:</w:t>
      </w:r>
    </w:p>
    <w:p w14:paraId="61513512" w14:textId="77777777" w:rsidR="00C04548" w:rsidRPr="00A44FEF" w:rsidRDefault="00C04548" w:rsidP="00C04548">
      <w:pPr>
        <w:spacing w:before="40" w:after="40" w:line="288" w:lineRule="auto"/>
        <w:ind w:firstLine="567"/>
        <w:jc w:val="both"/>
        <w:rPr>
          <w:lang w:val="af-ZA"/>
        </w:rPr>
      </w:pPr>
      <w:r w:rsidRPr="00A44FEF">
        <w:rPr>
          <w:lang w:val="af-ZA"/>
        </w:rPr>
        <w:t>- Realized investment capital under central management was estimated at 50.4 trillion VND, equaling 47.7% of the year plan and increasing by 18.1% over the same period last year.</w:t>
      </w:r>
    </w:p>
    <w:p w14:paraId="036DD5A0" w14:textId="77777777" w:rsidR="00C04548" w:rsidRPr="00A02538" w:rsidRDefault="00C04548" w:rsidP="00C04548">
      <w:pPr>
        <w:jc w:val="center"/>
        <w:rPr>
          <w:rFonts w:ascii="Arial" w:hAnsi="Arial" w:cs="Arial"/>
          <w:b/>
          <w:bCs/>
          <w:sz w:val="24"/>
          <w:szCs w:val="24"/>
          <w:lang w:val="af-ZA"/>
        </w:rPr>
      </w:pPr>
      <w:r>
        <w:rPr>
          <w:rFonts w:ascii="Arial" w:hAnsi="Arial" w:cs="Arial"/>
          <w:b/>
          <w:bCs/>
          <w:sz w:val="24"/>
          <w:szCs w:val="24"/>
          <w:lang w:val="af-ZA"/>
        </w:rPr>
        <w:t>Figure</w:t>
      </w:r>
      <w:r w:rsidRPr="00A02538">
        <w:rPr>
          <w:rFonts w:ascii="Arial" w:hAnsi="Arial" w:cs="Arial"/>
          <w:b/>
          <w:bCs/>
          <w:sz w:val="24"/>
          <w:szCs w:val="24"/>
          <w:lang w:val="af-ZA"/>
        </w:rPr>
        <w:t xml:space="preserve"> 6. </w:t>
      </w:r>
      <w:r w:rsidRPr="008C7685">
        <w:rPr>
          <w:rFonts w:ascii="Arial" w:hAnsi="Arial" w:cs="Arial"/>
          <w:b/>
          <w:bCs/>
          <w:sz w:val="24"/>
          <w:szCs w:val="24"/>
          <w:lang w:val="af-ZA"/>
        </w:rPr>
        <w:t>Realized investment capital from the State budget</w:t>
      </w:r>
    </w:p>
    <w:p w14:paraId="27A905B0" w14:textId="77777777" w:rsidR="00C04548" w:rsidRPr="00F61993" w:rsidRDefault="00C04548" w:rsidP="00C04548">
      <w:pPr>
        <w:spacing w:line="276" w:lineRule="auto"/>
        <w:jc w:val="center"/>
        <w:rPr>
          <w:b/>
          <w:bCs/>
          <w:lang w:val="af-ZA"/>
        </w:rPr>
      </w:pPr>
      <w:r>
        <w:rPr>
          <w:rFonts w:ascii="Arial" w:hAnsi="Arial" w:cs="Arial"/>
          <w:b/>
          <w:bCs/>
          <w:sz w:val="24"/>
          <w:szCs w:val="24"/>
        </w:rPr>
        <w:lastRenderedPageBreak/>
        <w:t>8</w:t>
      </w:r>
      <w:r w:rsidRPr="00A02538">
        <w:rPr>
          <w:rFonts w:ascii="Arial" w:hAnsi="Arial" w:cs="Arial"/>
          <w:b/>
          <w:bCs/>
          <w:sz w:val="24"/>
          <w:szCs w:val="24"/>
          <w:lang w:val="af-ZA"/>
        </w:rPr>
        <w:t xml:space="preserve"> </w:t>
      </w:r>
      <w:r>
        <w:rPr>
          <w:rFonts w:ascii="Arial" w:hAnsi="Arial" w:cs="Arial"/>
          <w:b/>
          <w:bCs/>
          <w:sz w:val="24"/>
          <w:szCs w:val="24"/>
          <w:lang w:val="af-ZA"/>
        </w:rPr>
        <w:t>months of</w:t>
      </w:r>
      <w:r w:rsidRPr="00A02538">
        <w:rPr>
          <w:rFonts w:ascii="Arial" w:hAnsi="Arial" w:cs="Arial"/>
          <w:b/>
          <w:bCs/>
          <w:sz w:val="24"/>
          <w:szCs w:val="24"/>
          <w:lang w:val="af-ZA"/>
        </w:rPr>
        <w:t xml:space="preserve"> 2022 </w:t>
      </w:r>
      <w:r>
        <w:rPr>
          <w:rFonts w:ascii="Arial" w:hAnsi="Arial" w:cs="Arial"/>
          <w:b/>
          <w:bCs/>
          <w:sz w:val="24"/>
          <w:szCs w:val="24"/>
          <w:lang w:val="af-ZA"/>
        </w:rPr>
        <w:t>by Ministries</w:t>
      </w:r>
      <w:r>
        <w:rPr>
          <w:noProof/>
          <w:lang w:val="en-US"/>
        </w:rPr>
        <w:t xml:space="preserve"> </w:t>
      </w:r>
    </w:p>
    <w:p w14:paraId="1A4BEB02" w14:textId="77777777" w:rsidR="00C04548" w:rsidRDefault="00C04548" w:rsidP="00C04548">
      <w:pPr>
        <w:spacing w:before="40" w:after="40" w:line="288" w:lineRule="auto"/>
        <w:jc w:val="both"/>
        <w:rPr>
          <w:lang w:val="af-ZA"/>
        </w:rPr>
      </w:pPr>
      <w:r>
        <w:rPr>
          <w:noProof/>
          <w:lang w:val="en-US"/>
        </w:rPr>
        <w:drawing>
          <wp:inline distT="0" distB="0" distL="0" distR="0" wp14:anchorId="1B9E020A" wp14:editId="17C0F760">
            <wp:extent cx="5952983" cy="3309326"/>
            <wp:effectExtent l="0" t="0" r="10160" b="5715"/>
            <wp:docPr id="2" name="Chart 2">
              <a:extLst xmlns:a="http://schemas.openxmlformats.org/drawingml/2006/main">
                <a:ext uri="{FF2B5EF4-FFF2-40B4-BE49-F238E27FC236}">
                  <a16:creationId xmlns:a16="http://schemas.microsoft.com/office/drawing/2014/main" id="{EB07F8C4-D4F2-4C67-80A9-85814C2BB4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lang w:val="af-ZA"/>
        </w:rPr>
        <w:br/>
      </w:r>
    </w:p>
    <w:p w14:paraId="6D837CCC" w14:textId="77777777" w:rsidR="00C04548" w:rsidRPr="00BB480A" w:rsidRDefault="00C04548" w:rsidP="00C04548">
      <w:pPr>
        <w:spacing w:before="40" w:after="40" w:line="288" w:lineRule="auto"/>
        <w:ind w:firstLine="567"/>
        <w:jc w:val="both"/>
        <w:rPr>
          <w:lang w:val="af-ZA"/>
        </w:rPr>
      </w:pPr>
      <w:r w:rsidRPr="00BB480A">
        <w:rPr>
          <w:lang w:val="af-ZA"/>
        </w:rPr>
        <w:t xml:space="preserve">- Realized investment capital under local management was estimated at </w:t>
      </w:r>
      <w:r>
        <w:t>235</w:t>
      </w:r>
      <w:r w:rsidRPr="00BB480A">
        <w:rPr>
          <w:lang w:val="af-ZA"/>
        </w:rPr>
        <w:t xml:space="preserve"> trillion VND, equaling </w:t>
      </w:r>
      <w:r>
        <w:t>51</w:t>
      </w:r>
      <w:r w:rsidRPr="00BB480A">
        <w:rPr>
          <w:lang w:val="af-ZA"/>
        </w:rPr>
        <w:t>.</w:t>
      </w:r>
      <w:r>
        <w:t>8</w:t>
      </w:r>
      <w:r w:rsidRPr="00BB480A">
        <w:rPr>
          <w:lang w:val="af-ZA"/>
        </w:rPr>
        <w:t xml:space="preserve">% of the year plan and increasing </w:t>
      </w:r>
      <w:r>
        <w:rPr>
          <w:lang w:val="af-ZA"/>
        </w:rPr>
        <w:t xml:space="preserve">by </w:t>
      </w:r>
      <w:r w:rsidRPr="00BB480A">
        <w:rPr>
          <w:lang w:val="af-ZA"/>
        </w:rPr>
        <w:t>1</w:t>
      </w:r>
      <w:r>
        <w:t>6</w:t>
      </w:r>
      <w:r w:rsidRPr="00BB480A">
        <w:rPr>
          <w:lang w:val="af-ZA"/>
        </w:rPr>
        <w:t>.</w:t>
      </w:r>
      <w:r>
        <w:t>6</w:t>
      </w:r>
      <w:r w:rsidRPr="00BB480A">
        <w:rPr>
          <w:lang w:val="af-ZA"/>
        </w:rPr>
        <w:t>% over the same period last year, of which:</w:t>
      </w:r>
    </w:p>
    <w:p w14:paraId="68578C7A" w14:textId="77777777" w:rsidR="00C04548" w:rsidRPr="00BB480A" w:rsidRDefault="00C04548" w:rsidP="00C04548">
      <w:pPr>
        <w:spacing w:before="40" w:after="40" w:line="288" w:lineRule="auto"/>
        <w:ind w:firstLine="567"/>
        <w:jc w:val="both"/>
        <w:rPr>
          <w:lang w:val="af-ZA"/>
        </w:rPr>
      </w:pPr>
      <w:r w:rsidRPr="00BB480A">
        <w:rPr>
          <w:lang w:val="af-ZA"/>
        </w:rPr>
        <w:t>Provincial state budget capital reached 1</w:t>
      </w:r>
      <w:r>
        <w:t>54</w:t>
      </w:r>
      <w:r w:rsidRPr="00BB480A">
        <w:rPr>
          <w:lang w:val="af-ZA"/>
        </w:rPr>
        <w:t>.</w:t>
      </w:r>
      <w:r>
        <w:t>4</w:t>
      </w:r>
      <w:r w:rsidRPr="00BB480A">
        <w:rPr>
          <w:lang w:val="af-ZA"/>
        </w:rPr>
        <w:t xml:space="preserve"> trillion VND, equaling 4</w:t>
      </w:r>
      <w:r>
        <w:t>9.2</w:t>
      </w:r>
      <w:r w:rsidRPr="00BB480A">
        <w:rPr>
          <w:lang w:val="af-ZA"/>
        </w:rPr>
        <w:t xml:space="preserve">% and increasing </w:t>
      </w:r>
      <w:r>
        <w:t>13</w:t>
      </w:r>
      <w:r w:rsidRPr="00BB480A">
        <w:rPr>
          <w:lang w:val="af-ZA"/>
        </w:rPr>
        <w:t>.</w:t>
      </w:r>
      <w:r>
        <w:t>3</w:t>
      </w:r>
      <w:r w:rsidRPr="00BB480A">
        <w:rPr>
          <w:lang w:val="af-ZA"/>
        </w:rPr>
        <w:t>% over the same period in 2021;</w:t>
      </w:r>
    </w:p>
    <w:p w14:paraId="01B51398" w14:textId="77777777" w:rsidR="00C04548" w:rsidRPr="00BB480A" w:rsidRDefault="00C04548" w:rsidP="00C04548">
      <w:pPr>
        <w:spacing w:before="40" w:after="40" w:line="288" w:lineRule="auto"/>
        <w:ind w:firstLine="567"/>
        <w:jc w:val="both"/>
        <w:rPr>
          <w:lang w:val="af-ZA"/>
        </w:rPr>
      </w:pPr>
      <w:r w:rsidRPr="00BB480A">
        <w:rPr>
          <w:lang w:val="af-ZA"/>
        </w:rPr>
        <w:t xml:space="preserve">State budget capital at the district level reached </w:t>
      </w:r>
      <w:r>
        <w:t>69</w:t>
      </w:r>
      <w:r w:rsidRPr="00BB480A">
        <w:rPr>
          <w:lang w:val="af-ZA"/>
        </w:rPr>
        <w:t>.</w:t>
      </w:r>
      <w:r>
        <w:t>3</w:t>
      </w:r>
      <w:r w:rsidRPr="00BB480A">
        <w:rPr>
          <w:lang w:val="af-ZA"/>
        </w:rPr>
        <w:t xml:space="preserve"> trillion VND, equaling </w:t>
      </w:r>
      <w:r>
        <w:t>56</w:t>
      </w:r>
      <w:r w:rsidRPr="00BB480A">
        <w:rPr>
          <w:lang w:val="af-ZA"/>
        </w:rPr>
        <w:t>.</w:t>
      </w:r>
      <w:r>
        <w:t>4</w:t>
      </w:r>
      <w:r w:rsidRPr="00BB480A">
        <w:rPr>
          <w:lang w:val="af-ZA"/>
        </w:rPr>
        <w:t>% and increasing by 2</w:t>
      </w:r>
      <w:r>
        <w:t>6</w:t>
      </w:r>
      <w:r w:rsidRPr="00BB480A">
        <w:rPr>
          <w:lang w:val="af-ZA"/>
        </w:rPr>
        <w:t>.</w:t>
      </w:r>
      <w:r>
        <w:t>1</w:t>
      </w:r>
      <w:r w:rsidRPr="00BB480A">
        <w:rPr>
          <w:lang w:val="af-ZA"/>
        </w:rPr>
        <w:t>%;</w:t>
      </w:r>
    </w:p>
    <w:p w14:paraId="1ABD5795" w14:textId="77777777" w:rsidR="00C04548" w:rsidRPr="00BB480A" w:rsidRDefault="00C04548" w:rsidP="00C04548">
      <w:pPr>
        <w:spacing w:before="40" w:after="40" w:line="288" w:lineRule="auto"/>
        <w:ind w:firstLine="567"/>
        <w:jc w:val="both"/>
        <w:rPr>
          <w:lang w:val="af-ZA"/>
        </w:rPr>
      </w:pPr>
      <w:r w:rsidRPr="00BB480A">
        <w:rPr>
          <w:lang w:val="af-ZA"/>
        </w:rPr>
        <w:t xml:space="preserve">State budget capital at the commune level reached </w:t>
      </w:r>
      <w:r>
        <w:t>11</w:t>
      </w:r>
      <w:r w:rsidRPr="00BB480A">
        <w:rPr>
          <w:lang w:val="af-ZA"/>
        </w:rPr>
        <w:t>.</w:t>
      </w:r>
      <w:r>
        <w:t>3</w:t>
      </w:r>
      <w:r w:rsidRPr="00BB480A">
        <w:rPr>
          <w:lang w:val="af-ZA"/>
        </w:rPr>
        <w:t xml:space="preserve"> trillion VND, equaling </w:t>
      </w:r>
      <w:r>
        <w:t>6</w:t>
      </w:r>
      <w:r w:rsidRPr="00BB480A">
        <w:rPr>
          <w:lang w:val="af-ZA"/>
        </w:rPr>
        <w:t>5.</w:t>
      </w:r>
      <w:r>
        <w:t>2</w:t>
      </w:r>
      <w:r w:rsidRPr="00BB480A">
        <w:rPr>
          <w:lang w:val="af-ZA"/>
        </w:rPr>
        <w:t xml:space="preserve">% and increasing by </w:t>
      </w:r>
      <w:r>
        <w:t>9</w:t>
      </w:r>
      <w:r w:rsidRPr="00BB480A">
        <w:rPr>
          <w:lang w:val="af-ZA"/>
        </w:rPr>
        <w:t>.</w:t>
      </w:r>
      <w:r>
        <w:t>9</w:t>
      </w:r>
      <w:r w:rsidRPr="00BB480A">
        <w:rPr>
          <w:lang w:val="af-ZA"/>
        </w:rPr>
        <w:t>%.</w:t>
      </w:r>
    </w:p>
    <w:p w14:paraId="5C52EB65" w14:textId="091471DD" w:rsidR="00C04548" w:rsidRDefault="00C04548" w:rsidP="007F54A2">
      <w:pPr>
        <w:spacing w:before="40" w:after="40" w:line="288" w:lineRule="auto"/>
        <w:ind w:firstLine="567"/>
        <w:jc w:val="both"/>
        <w:rPr>
          <w:bCs/>
          <w:iCs/>
          <w:lang w:val="af-ZA"/>
        </w:rPr>
      </w:pPr>
      <w:r w:rsidRPr="004520A4">
        <w:rPr>
          <w:lang w:val="af-ZA"/>
        </w:rPr>
        <w:t>Realized investment capital from the State budget</w:t>
      </w:r>
      <w:r w:rsidRPr="00BB480A">
        <w:rPr>
          <w:lang w:val="af-ZA"/>
        </w:rPr>
        <w:t xml:space="preserve"> for the seven months of 2022 of some provinces and centrally-run cities </w:t>
      </w:r>
      <w:r>
        <w:rPr>
          <w:lang w:val="af-ZA"/>
        </w:rPr>
        <w:t>wa</w:t>
      </w:r>
      <w:r w:rsidRPr="00BB480A">
        <w:rPr>
          <w:lang w:val="af-ZA"/>
        </w:rPr>
        <w:t>s as follows:</w:t>
      </w:r>
    </w:p>
    <w:p w14:paraId="741D6113" w14:textId="77777777" w:rsidR="00C04548" w:rsidRPr="00A02538" w:rsidRDefault="00C04548" w:rsidP="00C04548">
      <w:pPr>
        <w:jc w:val="center"/>
        <w:rPr>
          <w:rFonts w:ascii="Arial" w:hAnsi="Arial" w:cs="Arial"/>
          <w:b/>
          <w:bCs/>
          <w:sz w:val="24"/>
          <w:szCs w:val="24"/>
          <w:lang w:val="af-ZA"/>
        </w:rPr>
      </w:pPr>
      <w:r>
        <w:rPr>
          <w:rFonts w:ascii="Arial" w:hAnsi="Arial" w:cs="Arial"/>
          <w:b/>
          <w:bCs/>
          <w:sz w:val="24"/>
          <w:szCs w:val="24"/>
          <w:lang w:val="af-ZA"/>
        </w:rPr>
        <w:t>Figure</w:t>
      </w:r>
      <w:r w:rsidRPr="00A02538">
        <w:rPr>
          <w:rFonts w:ascii="Arial" w:hAnsi="Arial" w:cs="Arial"/>
          <w:b/>
          <w:bCs/>
          <w:sz w:val="24"/>
          <w:szCs w:val="24"/>
          <w:lang w:val="af-ZA"/>
        </w:rPr>
        <w:t xml:space="preserve"> 7. </w:t>
      </w:r>
      <w:r w:rsidRPr="008C7685">
        <w:rPr>
          <w:rFonts w:ascii="Arial" w:hAnsi="Arial" w:cs="Arial"/>
          <w:b/>
          <w:bCs/>
          <w:sz w:val="24"/>
          <w:szCs w:val="24"/>
          <w:lang w:val="af-ZA"/>
        </w:rPr>
        <w:t>Realized investment capital from the State budget</w:t>
      </w:r>
    </w:p>
    <w:p w14:paraId="2621F883" w14:textId="77777777" w:rsidR="00C04548" w:rsidRDefault="00C04548" w:rsidP="00C04548">
      <w:pPr>
        <w:spacing w:line="276" w:lineRule="auto"/>
        <w:jc w:val="center"/>
        <w:rPr>
          <w:rFonts w:ascii="Arial" w:hAnsi="Arial" w:cs="Arial"/>
          <w:b/>
          <w:bCs/>
          <w:sz w:val="24"/>
          <w:szCs w:val="24"/>
          <w:lang w:val="af-ZA"/>
        </w:rPr>
      </w:pPr>
      <w:r>
        <w:rPr>
          <w:rFonts w:ascii="Arial" w:hAnsi="Arial" w:cs="Arial"/>
          <w:b/>
          <w:bCs/>
          <w:sz w:val="24"/>
          <w:szCs w:val="24"/>
        </w:rPr>
        <w:t>8</w:t>
      </w:r>
      <w:r w:rsidRPr="00A02538">
        <w:rPr>
          <w:rFonts w:ascii="Arial" w:hAnsi="Arial" w:cs="Arial"/>
          <w:b/>
          <w:bCs/>
          <w:sz w:val="24"/>
          <w:szCs w:val="24"/>
          <w:lang w:val="af-ZA"/>
        </w:rPr>
        <w:t xml:space="preserve"> </w:t>
      </w:r>
      <w:r>
        <w:rPr>
          <w:rFonts w:ascii="Arial" w:hAnsi="Arial" w:cs="Arial"/>
          <w:b/>
          <w:bCs/>
          <w:sz w:val="24"/>
          <w:szCs w:val="24"/>
          <w:lang w:val="af-ZA"/>
        </w:rPr>
        <w:t>months of</w:t>
      </w:r>
      <w:r w:rsidRPr="00A02538">
        <w:rPr>
          <w:rFonts w:ascii="Arial" w:hAnsi="Arial" w:cs="Arial"/>
          <w:b/>
          <w:bCs/>
          <w:sz w:val="24"/>
          <w:szCs w:val="24"/>
          <w:lang w:val="af-ZA"/>
        </w:rPr>
        <w:t xml:space="preserve"> 2022 </w:t>
      </w:r>
      <w:r>
        <w:rPr>
          <w:rFonts w:ascii="Arial" w:hAnsi="Arial" w:cs="Arial"/>
          <w:b/>
          <w:bCs/>
          <w:sz w:val="24"/>
          <w:szCs w:val="24"/>
          <w:lang w:val="af-ZA"/>
        </w:rPr>
        <w:t>by some provinces</w:t>
      </w:r>
    </w:p>
    <w:p w14:paraId="00476E92" w14:textId="77777777" w:rsidR="00C04548" w:rsidRPr="00AF5223" w:rsidRDefault="00C04548" w:rsidP="00C04548">
      <w:pPr>
        <w:spacing w:line="276" w:lineRule="auto"/>
        <w:jc w:val="center"/>
      </w:pPr>
      <w:r>
        <w:rPr>
          <w:noProof/>
          <w:lang w:val="en-US"/>
        </w:rPr>
        <w:lastRenderedPageBreak/>
        <w:drawing>
          <wp:inline distT="0" distB="0" distL="0" distR="0" wp14:anchorId="60DEEB20" wp14:editId="62EF0EE1">
            <wp:extent cx="5943600" cy="3766783"/>
            <wp:effectExtent l="0" t="0" r="0" b="5715"/>
            <wp:docPr id="3" name="Chart 3">
              <a:extLst xmlns:a="http://schemas.openxmlformats.org/drawingml/2006/main">
                <a:ext uri="{FF2B5EF4-FFF2-40B4-BE49-F238E27FC236}">
                  <a16:creationId xmlns:a16="http://schemas.microsoft.com/office/drawing/2014/main" id="{C09D9296-ED92-4D31-9968-20E0BE1732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697443" w14:textId="77777777" w:rsidR="00C04548" w:rsidRDefault="00C04548" w:rsidP="00C04548">
      <w:pPr>
        <w:spacing w:line="276" w:lineRule="auto"/>
      </w:pPr>
    </w:p>
    <w:p w14:paraId="7F84773F" w14:textId="70317AC5" w:rsidR="0083303A" w:rsidRDefault="00BE4783" w:rsidP="00F51178">
      <w:pPr>
        <w:spacing w:before="40" w:after="40" w:line="264" w:lineRule="auto"/>
        <w:ind w:firstLine="567"/>
        <w:jc w:val="both"/>
        <w:rPr>
          <w:rFonts w:ascii="Arial" w:hAnsi="Arial" w:cs="Arial"/>
          <w:b/>
          <w:bCs/>
          <w:sz w:val="24"/>
          <w:szCs w:val="24"/>
          <w:lang w:val="de-DE"/>
        </w:rPr>
      </w:pPr>
      <w:r>
        <w:rPr>
          <w:i/>
          <w:iCs/>
          <w:lang w:val="de-DE"/>
        </w:rPr>
        <w:t>The foreign direct investment from the beginning of the year to 20th August 2022</w:t>
      </w:r>
      <w:r w:rsidR="0083303A" w:rsidRPr="0008105E">
        <w:rPr>
          <w:rStyle w:val="FootnoteReference"/>
          <w:i/>
          <w:iCs/>
          <w:lang w:val="de-DE"/>
        </w:rPr>
        <w:footnoteReference w:id="8"/>
      </w:r>
      <w:r w:rsidR="00C52AA0">
        <w:rPr>
          <w:iCs/>
          <w:lang w:val="de-DE"/>
        </w:rPr>
        <w:t xml:space="preserve"> including newly registered capital, adjust registered capital, and the total value of capital contribution and share purchases of foreign investors reached nearly 16.78 billion USD, decreased by 12.3% compared to the same period in 2021.</w:t>
      </w:r>
    </w:p>
    <w:p w14:paraId="0F31CA30" w14:textId="77777777" w:rsidR="0028154C" w:rsidRDefault="0028154C" w:rsidP="0028154C">
      <w:pPr>
        <w:shd w:val="clear" w:color="auto" w:fill="FFFFFF"/>
        <w:spacing w:before="40" w:after="40" w:line="292" w:lineRule="auto"/>
        <w:ind w:right="140"/>
        <w:jc w:val="center"/>
        <w:rPr>
          <w:rFonts w:ascii="Arial" w:hAnsi="Arial" w:cs="Arial"/>
          <w:b/>
          <w:bCs/>
          <w:sz w:val="24"/>
          <w:lang w:val="de-DE"/>
        </w:rPr>
      </w:pPr>
      <w:r>
        <w:rPr>
          <w:rFonts w:ascii="Arial" w:hAnsi="Arial" w:cs="Arial"/>
          <w:b/>
          <w:bCs/>
          <w:sz w:val="24"/>
          <w:lang w:val="de-DE"/>
        </w:rPr>
        <w:t>Figure 8. The registered capital of foreign investment in Vietnam from date 20/08, in 2018-2022 (Billion USD)</w:t>
      </w:r>
    </w:p>
    <w:p w14:paraId="424EBB63" w14:textId="77777777" w:rsidR="0083303A" w:rsidRDefault="0083303A" w:rsidP="0083303A">
      <w:pPr>
        <w:jc w:val="center"/>
        <w:rPr>
          <w:rFonts w:ascii="Arial" w:hAnsi="Arial" w:cs="Arial"/>
          <w:b/>
          <w:bCs/>
          <w:sz w:val="24"/>
          <w:szCs w:val="24"/>
          <w:lang w:val="de-DE"/>
        </w:rPr>
      </w:pPr>
    </w:p>
    <w:p w14:paraId="6177AA7E" w14:textId="60044A06" w:rsidR="0083303A" w:rsidRDefault="0083303A" w:rsidP="0083303A">
      <w:pPr>
        <w:jc w:val="center"/>
        <w:rPr>
          <w:rFonts w:ascii="Arial" w:hAnsi="Arial" w:cs="Arial"/>
          <w:b/>
          <w:bCs/>
          <w:noProof/>
          <w:sz w:val="24"/>
          <w:szCs w:val="24"/>
          <w:lang w:val="en-US"/>
        </w:rPr>
      </w:pPr>
      <w:r w:rsidRPr="00133A85">
        <w:rPr>
          <w:rFonts w:ascii="Arial" w:hAnsi="Arial" w:cs="Arial"/>
          <w:b/>
          <w:bCs/>
          <w:noProof/>
          <w:sz w:val="24"/>
          <w:szCs w:val="24"/>
          <w:lang w:val="de-DE"/>
        </w:rPr>
        <w:softHyphen/>
      </w:r>
      <w:r w:rsidRPr="00133A85">
        <w:rPr>
          <w:rFonts w:ascii="Arial" w:hAnsi="Arial" w:cs="Arial"/>
          <w:b/>
          <w:bCs/>
          <w:noProof/>
          <w:sz w:val="24"/>
          <w:szCs w:val="24"/>
          <w:lang w:val="de-DE"/>
        </w:rPr>
        <w:softHyphen/>
      </w:r>
      <w:r w:rsidRPr="00133A85">
        <w:rPr>
          <w:rFonts w:ascii="Arial" w:hAnsi="Arial" w:cs="Arial"/>
          <w:b/>
          <w:bCs/>
          <w:noProof/>
          <w:sz w:val="24"/>
          <w:szCs w:val="24"/>
          <w:lang w:val="de-DE"/>
        </w:rPr>
        <w:softHyphen/>
      </w:r>
      <w:r w:rsidR="00F51178" w:rsidRPr="00D8615F">
        <w:rPr>
          <w:rFonts w:ascii="Arial" w:hAnsi="Arial" w:cs="Arial"/>
          <w:b/>
          <w:bCs/>
          <w:noProof/>
          <w:sz w:val="24"/>
          <w:lang w:val="de-DE"/>
        </w:rPr>
        <w:drawing>
          <wp:inline distT="0" distB="0" distL="0" distR="0" wp14:anchorId="1F98B2E1" wp14:editId="3B957836">
            <wp:extent cx="5384800" cy="2878667"/>
            <wp:effectExtent l="0" t="0" r="6350" b="17145"/>
            <wp:docPr id="2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531FBBD" w14:textId="77777777" w:rsidR="00F51178" w:rsidRDefault="00F51178" w:rsidP="0083303A">
      <w:pPr>
        <w:jc w:val="center"/>
        <w:rPr>
          <w:rFonts w:ascii="Arial" w:hAnsi="Arial" w:cs="Arial"/>
          <w:b/>
          <w:bCs/>
          <w:sz w:val="24"/>
          <w:szCs w:val="24"/>
          <w:lang w:val="de-DE"/>
        </w:rPr>
      </w:pPr>
    </w:p>
    <w:p w14:paraId="1787652F" w14:textId="77777777" w:rsidR="0035643A" w:rsidRDefault="0035643A" w:rsidP="0083303A">
      <w:pPr>
        <w:spacing w:before="40" w:after="40" w:line="295" w:lineRule="auto"/>
        <w:ind w:firstLine="567"/>
        <w:jc w:val="both"/>
        <w:rPr>
          <w:iCs/>
          <w:spacing w:val="-4"/>
          <w:lang w:val="de-DE"/>
        </w:rPr>
      </w:pPr>
      <w:r w:rsidRPr="0035643A">
        <w:rPr>
          <w:iCs/>
          <w:spacing w:val="-4"/>
          <w:lang w:val="de-DE"/>
        </w:rPr>
        <w:t xml:space="preserve">- Newly registered capital included 1,135 newly licensed projects with a registered capital of 6.35 billion USD, the same period last year in the number of projects and a decrease of 43.9% of registered capital compared to the same period last year; of which, processing and manufacturing industry attracted the 1st foreign direct investor with the registered capital of newly licensed projects reaching 4.25 billion USD, accounting for 66.9% of the total newly registered capital; real estate business reached 1.17 billion USD, accounting for 18.5%, the remaining industries reached 929.2 million USD, accounting for 14.6%. </w:t>
      </w:r>
    </w:p>
    <w:p w14:paraId="1E069FD0" w14:textId="77777777" w:rsidR="00BF1969" w:rsidRDefault="00BF1969" w:rsidP="00BF1969">
      <w:pPr>
        <w:spacing w:before="40" w:after="40" w:line="276" w:lineRule="auto"/>
        <w:ind w:firstLine="567"/>
        <w:jc w:val="both"/>
        <w:rPr>
          <w:iCs/>
          <w:lang w:val="de-DE"/>
        </w:rPr>
      </w:pPr>
      <w:bookmarkStart w:id="1" w:name="_Hlk110935311"/>
      <w:r>
        <w:rPr>
          <w:iCs/>
          <w:lang w:val="de-DE"/>
        </w:rPr>
        <w:t xml:space="preserve">Among 58 countries and territories having newly licensed investment projects to Vietnam in 8 months in 2022, Singapore was the largest investor with 1.35 billion USD, accounting for 21.2% of total newly registered capital; Denmark 1.32 billion USD, accounting for 20.8%; Japan 789.1 million USD, accounting for 12.4%; China 691.2 million USD, accounting for 10.9%; </w:t>
      </w:r>
      <w:r w:rsidRPr="004A3B58">
        <w:rPr>
          <w:iCs/>
          <w:lang w:val="de-DE"/>
        </w:rPr>
        <w:t>South Korea</w:t>
      </w:r>
      <w:r>
        <w:rPr>
          <w:iCs/>
          <w:lang w:val="de-DE"/>
        </w:rPr>
        <w:t xml:space="preserve"> 690.1 million USD, accounting for 10.8%; </w:t>
      </w:r>
      <w:r w:rsidRPr="002D0866">
        <w:rPr>
          <w:iCs/>
          <w:lang w:val="de-DE"/>
        </w:rPr>
        <w:t xml:space="preserve">Hong Kong </w:t>
      </w:r>
      <w:r>
        <w:rPr>
          <w:iCs/>
          <w:lang w:val="de-DE"/>
        </w:rPr>
        <w:t>515</w:t>
      </w:r>
      <w:r w:rsidRPr="002D0866">
        <w:rPr>
          <w:iCs/>
          <w:lang w:val="de-DE"/>
        </w:rPr>
        <w:t xml:space="preserve"> million</w:t>
      </w:r>
      <w:r>
        <w:rPr>
          <w:iCs/>
          <w:lang w:val="de-DE"/>
        </w:rPr>
        <w:t xml:space="preserve"> USD</w:t>
      </w:r>
      <w:r w:rsidRPr="002D0866">
        <w:rPr>
          <w:iCs/>
          <w:lang w:val="de-DE"/>
        </w:rPr>
        <w:t>, accounting for 8.</w:t>
      </w:r>
      <w:r>
        <w:rPr>
          <w:iCs/>
          <w:lang w:val="de-DE"/>
        </w:rPr>
        <w:t>1</w:t>
      </w:r>
      <w:r w:rsidRPr="002D0866">
        <w:rPr>
          <w:iCs/>
          <w:lang w:val="de-DE"/>
        </w:rPr>
        <w:t>%.</w:t>
      </w:r>
    </w:p>
    <w:p w14:paraId="5645ECD7" w14:textId="77777777" w:rsidR="00B94722" w:rsidRDefault="00B94722" w:rsidP="00B94722">
      <w:pPr>
        <w:spacing w:before="40" w:after="40" w:line="276" w:lineRule="auto"/>
        <w:ind w:firstLine="567"/>
        <w:jc w:val="both"/>
        <w:rPr>
          <w:iCs/>
          <w:lang w:val="de-DE"/>
        </w:rPr>
      </w:pPr>
      <w:bookmarkStart w:id="2" w:name="_Hlk110935326"/>
      <w:bookmarkEnd w:id="1"/>
      <w:r>
        <w:rPr>
          <w:iCs/>
          <w:lang w:val="de-DE"/>
        </w:rPr>
        <w:t>- Adjust registered capital included 676 turns of projects which were licensed in the previous years registered to adjust investment capital with the additional capital of 7.51 billion USD, increased by 50.7% compared to same previous of last year.</w:t>
      </w:r>
    </w:p>
    <w:p w14:paraId="0262FCF3" w14:textId="77777777" w:rsidR="00F81204" w:rsidRDefault="00F81204" w:rsidP="00F81204">
      <w:pPr>
        <w:spacing w:before="40" w:after="40" w:line="276" w:lineRule="auto"/>
        <w:ind w:firstLine="567"/>
        <w:jc w:val="both"/>
        <w:rPr>
          <w:lang w:val="de-DE"/>
        </w:rPr>
      </w:pPr>
      <w:bookmarkStart w:id="3" w:name="_Hlk110935360"/>
      <w:bookmarkEnd w:id="2"/>
      <w:r>
        <w:rPr>
          <w:lang w:val="de-DE"/>
        </w:rPr>
        <w:t xml:space="preserve">If including additionally newly registered capital and </w:t>
      </w:r>
      <w:r>
        <w:rPr>
          <w:iCs/>
          <w:lang w:val="de-DE"/>
        </w:rPr>
        <w:t xml:space="preserve">adjust registered capital </w:t>
      </w:r>
      <w:r>
        <w:rPr>
          <w:lang w:val="de-DE"/>
        </w:rPr>
        <w:t xml:space="preserve">of licensed projects in previous years, foreign direct investment capital in the processing and manufacturing industry reached 10.04 billion USD, accounting for 72.4% of the total newly registered capital and additional capital; </w:t>
      </w:r>
      <w:r>
        <w:rPr>
          <w:iCs/>
          <w:lang w:val="de-DE"/>
        </w:rPr>
        <w:t>real estate business</w:t>
      </w:r>
      <w:r>
        <w:rPr>
          <w:lang w:val="de-DE"/>
        </w:rPr>
        <w:t xml:space="preserve"> reached 2.17 billion USD, accounting for 15.7%; the remaining industries reached 1.65 billion USD, accounting for 11.9%.</w:t>
      </w:r>
    </w:p>
    <w:bookmarkEnd w:id="3"/>
    <w:p w14:paraId="0347178D" w14:textId="77777777" w:rsidR="00290530" w:rsidRDefault="00290530" w:rsidP="00E97F28">
      <w:pPr>
        <w:spacing w:before="40" w:after="40" w:line="300" w:lineRule="auto"/>
        <w:ind w:firstLine="567"/>
        <w:jc w:val="both"/>
      </w:pPr>
      <w:r>
        <w:t xml:space="preserve">- Capital contribution and share purchases of foreign investors included 2,425 turns with a total value of the capital contribution of 2.92 billion USD, an increase of 3.6% compared to the same period last year. Of which 1,086 turns of capital contribution, share purchase caused the increase of charter capital of the enterprise with the value of contributed capital of 1.52 billion USD, and 1,339 turns of foreign investors repurchased domestic shares without increasing the charter capital with a value of 1.39 billion USD. About the form of capital contribution and share purchase by foreign investors, the investment capital in the real estate business reached 1.16 billion USD, accounting for 39.9% of the total capital contribution; the processing and manufacturing industry reached </w:t>
      </w:r>
      <w:r>
        <w:lastRenderedPageBreak/>
        <w:t>683.7 million USD, accounting for 23.5%; the remaining industries reached 1.07 billion USD, accounting for 36.6%.</w:t>
      </w:r>
    </w:p>
    <w:p w14:paraId="7C030D6A" w14:textId="618F38EF" w:rsidR="00ED4476" w:rsidRPr="00E97F28" w:rsidRDefault="00ED4476" w:rsidP="00E97F28">
      <w:pPr>
        <w:spacing w:before="40" w:after="40" w:line="300" w:lineRule="auto"/>
        <w:ind w:firstLine="567"/>
        <w:jc w:val="both"/>
        <w:rPr>
          <w:iCs/>
          <w:lang w:val="de-DE"/>
        </w:rPr>
      </w:pPr>
      <w:r>
        <w:t>Foreign direct investment capital that was implemented in 8 months of 2022 reached 12.8 billion USD, an increase of 10.5% over the same period last year, this is the highest increase of the 8 months of the year in the past 5 years; of which the processing and manufacturing industry reached 9.86 billion USD, accounting for 77% of total realized foreign direct investment capital; real estate business activities gained 1.1 billion USD, making up 8.6%; electricity, gas, steam, and air conditioning supply recorded 994.4 million USD, comprising of 7.8%.</w:t>
      </w:r>
    </w:p>
    <w:p w14:paraId="01375E20" w14:textId="3C0A5871" w:rsidR="009057D2" w:rsidRDefault="009057D2" w:rsidP="009057D2">
      <w:pPr>
        <w:spacing w:before="120"/>
        <w:jc w:val="center"/>
        <w:rPr>
          <w:rFonts w:ascii="Arial" w:hAnsi="Arial" w:cs="Arial"/>
          <w:b/>
          <w:bCs/>
          <w:sz w:val="24"/>
          <w:lang w:val="de-DE"/>
        </w:rPr>
      </w:pPr>
      <w:r>
        <w:rPr>
          <w:rFonts w:ascii="Arial" w:hAnsi="Arial" w:cs="Arial"/>
          <w:b/>
          <w:bCs/>
          <w:sz w:val="24"/>
          <w:lang w:val="de-DE"/>
        </w:rPr>
        <w:t>Figure 9. Implemented foreign direct investment</w:t>
      </w:r>
      <w:r>
        <w:rPr>
          <w:rFonts w:ascii="Arial" w:hAnsi="Arial" w:cs="Arial"/>
          <w:b/>
          <w:bCs/>
          <w:sz w:val="24"/>
          <w:lang w:val="de-DE"/>
        </w:rPr>
        <w:br/>
        <w:t>8 months of the years 2018-2022 (Billion USD)</w:t>
      </w:r>
    </w:p>
    <w:p w14:paraId="23AE4482" w14:textId="77777777" w:rsidR="0083303A" w:rsidRDefault="0083303A" w:rsidP="0083303A">
      <w:pPr>
        <w:jc w:val="center"/>
        <w:rPr>
          <w:rFonts w:ascii="Arial" w:hAnsi="Arial" w:cs="Arial"/>
          <w:b/>
          <w:bCs/>
          <w:sz w:val="24"/>
          <w:lang w:val="de-DE"/>
        </w:rPr>
      </w:pPr>
    </w:p>
    <w:p w14:paraId="6F86F535" w14:textId="77777777" w:rsidR="0083303A" w:rsidRDefault="0083303A" w:rsidP="0083303A">
      <w:pPr>
        <w:jc w:val="center"/>
        <w:rPr>
          <w:rFonts w:ascii="Arial" w:hAnsi="Arial" w:cs="Arial"/>
          <w:b/>
          <w:bCs/>
          <w:sz w:val="24"/>
          <w:lang w:val="de-DE"/>
        </w:rPr>
      </w:pPr>
      <w:r w:rsidRPr="0096695E">
        <w:rPr>
          <w:rFonts w:ascii="Arial" w:hAnsi="Arial" w:cs="Arial"/>
          <w:b/>
          <w:bCs/>
          <w:noProof/>
          <w:sz w:val="24"/>
          <w:lang w:val="en-US"/>
        </w:rPr>
        <w:drawing>
          <wp:inline distT="0" distB="0" distL="0" distR="0" wp14:anchorId="7673DCEA" wp14:editId="60C57F59">
            <wp:extent cx="4968240" cy="2613660"/>
            <wp:effectExtent l="0" t="0" r="3810" b="1524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79E51F" w14:textId="77777777" w:rsidR="0083303A" w:rsidRPr="007058D9" w:rsidRDefault="0083303A" w:rsidP="0083303A">
      <w:pPr>
        <w:jc w:val="center"/>
        <w:rPr>
          <w:rFonts w:ascii="Arial" w:hAnsi="Arial" w:cs="Arial"/>
          <w:b/>
          <w:bCs/>
          <w:sz w:val="14"/>
          <w:lang w:val="de-DE"/>
        </w:rPr>
      </w:pPr>
    </w:p>
    <w:p w14:paraId="56A005AF" w14:textId="1D231557" w:rsidR="0083303A" w:rsidRPr="00EB31FD" w:rsidRDefault="002573BD" w:rsidP="007058D9">
      <w:pPr>
        <w:spacing w:before="40" w:after="40" w:line="293" w:lineRule="auto"/>
        <w:ind w:firstLine="567"/>
        <w:jc w:val="both"/>
        <w:rPr>
          <w:i/>
          <w:iCs/>
          <w:lang w:val="de-DE"/>
        </w:rPr>
      </w:pPr>
      <w:r>
        <w:rPr>
          <w:rStyle w:val="Emphasis"/>
        </w:rPr>
        <w:t>Vietnam's investment abroad</w:t>
      </w:r>
      <w:r>
        <w:t xml:space="preserve"> in 8 months of 2022, there were 75 projects newly granted investment certificates with a total investment capital of 344.8 million USD, 2.3 times higher over the same period of last year</w:t>
      </w:r>
      <w:r w:rsidR="0083303A" w:rsidRPr="00EB31FD">
        <w:rPr>
          <w:rStyle w:val="FootnoteReference"/>
          <w:iCs/>
          <w:lang w:val="de-DE"/>
        </w:rPr>
        <w:footnoteReference w:id="9"/>
      </w:r>
      <w:r w:rsidR="0083303A" w:rsidRPr="00EB31FD">
        <w:rPr>
          <w:iCs/>
          <w:lang w:val="de-DE"/>
        </w:rPr>
        <w:t xml:space="preserve">; </w:t>
      </w:r>
      <w:r w:rsidR="00740E1C">
        <w:rPr>
          <w:iCs/>
          <w:spacing w:val="-2"/>
          <w:lang w:val="de-DE"/>
        </w:rPr>
        <w:t xml:space="preserve">15 turns of projects adjusted capital with adjust capital up 50.9 million USD, </w:t>
      </w:r>
      <w:r w:rsidR="00740E1C">
        <w:rPr>
          <w:lang w:val="de-DE"/>
        </w:rPr>
        <w:t>a decrease of 88%</w:t>
      </w:r>
      <w:r w:rsidR="0083303A" w:rsidRPr="00EB31FD">
        <w:rPr>
          <w:rStyle w:val="FootnoteReference"/>
          <w:iCs/>
          <w:lang w:val="de-DE"/>
        </w:rPr>
        <w:footnoteReference w:id="10"/>
      </w:r>
      <w:r w:rsidR="0083303A" w:rsidRPr="00EB31FD">
        <w:rPr>
          <w:iCs/>
          <w:lang w:val="de-DE"/>
        </w:rPr>
        <w:t>.</w:t>
      </w:r>
    </w:p>
    <w:p w14:paraId="2A2E7DA6" w14:textId="77777777" w:rsidR="007C3444" w:rsidRDefault="007C3444" w:rsidP="007058D9">
      <w:pPr>
        <w:spacing w:before="40" w:after="40" w:line="293" w:lineRule="auto"/>
        <w:ind w:firstLine="567"/>
        <w:jc w:val="both"/>
        <w:rPr>
          <w:iCs/>
          <w:lang w:val="de-DE"/>
        </w:rPr>
      </w:pPr>
      <w:r w:rsidRPr="007C3444">
        <w:rPr>
          <w:iCs/>
          <w:lang w:val="de-DE"/>
        </w:rPr>
        <w:t xml:space="preserve">Generally, the total investment capital of Vietnam abroad (newly and additionally licensed capital) reached 395.8 million USD, a decrease of 31.2% </w:t>
      </w:r>
      <w:r w:rsidRPr="007C3444">
        <w:rPr>
          <w:iCs/>
          <w:lang w:val="de-DE"/>
        </w:rPr>
        <w:lastRenderedPageBreak/>
        <w:t>over the same period last year, in which the processing and manufacturing industry 218.4 million USD, making up 55.2%; the financial, banking insurance activities reached 35.3 million USD, making up 9.8%; mining activities 34.9 million USD, making up 8.8%.</w:t>
      </w:r>
    </w:p>
    <w:p w14:paraId="4ACBBC47" w14:textId="77777777" w:rsidR="00863DE2" w:rsidRDefault="00863DE2" w:rsidP="007058D9">
      <w:pPr>
        <w:spacing w:before="40" w:after="40" w:line="293" w:lineRule="auto"/>
        <w:ind w:firstLine="567"/>
        <w:jc w:val="both"/>
      </w:pPr>
      <w:r>
        <w:t>In 8 months of 2022, 24 countries and territories received investment from Vietnam, of which Laos was the leading country with 66.4 million USD, making up16.8%; Singapore with 41.5 million USD, making up 10.5%; United States with 37.8 million USD, making up 9.6%; Germany, Netherland, France also reached 34.7 million USD, also making up 8.8%.</w:t>
      </w:r>
    </w:p>
    <w:p w14:paraId="039B5ED5" w14:textId="69FDDB1C" w:rsidR="008E19E5" w:rsidRPr="00F660F6" w:rsidRDefault="008E19E5" w:rsidP="007058D9">
      <w:pPr>
        <w:spacing w:before="40" w:after="40" w:line="293" w:lineRule="auto"/>
        <w:ind w:firstLine="567"/>
        <w:jc w:val="both"/>
        <w:rPr>
          <w:b/>
          <w:bCs/>
        </w:rPr>
      </w:pPr>
      <w:r w:rsidRPr="00F660F6">
        <w:rPr>
          <w:b/>
          <w:bCs/>
        </w:rPr>
        <w:t xml:space="preserve">5. </w:t>
      </w:r>
      <w:r w:rsidR="001B5F1B" w:rsidRPr="00F660F6">
        <w:rPr>
          <w:b/>
          <w:bCs/>
        </w:rPr>
        <w:t>State budget revenue and expenditure</w:t>
      </w:r>
      <w:r w:rsidR="001B5F1B">
        <w:rPr>
          <w:rStyle w:val="FootnoteReference"/>
          <w:b/>
          <w:bCs/>
        </w:rPr>
        <w:t xml:space="preserve"> </w:t>
      </w:r>
      <w:r>
        <w:rPr>
          <w:rStyle w:val="FootnoteReference"/>
          <w:b/>
          <w:bCs/>
        </w:rPr>
        <w:footnoteReference w:id="11"/>
      </w:r>
    </w:p>
    <w:p w14:paraId="5F6C0811" w14:textId="77777777" w:rsidR="009B3925" w:rsidRPr="00871B14" w:rsidRDefault="009B3925" w:rsidP="009B3925">
      <w:pPr>
        <w:spacing w:before="40" w:after="40" w:line="276" w:lineRule="auto"/>
        <w:ind w:firstLine="567"/>
        <w:jc w:val="both"/>
        <w:rPr>
          <w:rFonts w:ascii="Arial" w:hAnsi="Arial" w:cs="Arial"/>
          <w:b/>
          <w:spacing w:val="-2"/>
          <w:sz w:val="10"/>
          <w:szCs w:val="10"/>
          <w:lang w:val="nl-NL"/>
        </w:rPr>
      </w:pPr>
      <w:r w:rsidRPr="00871B14">
        <w:rPr>
          <w:i/>
          <w:spacing w:val="-2"/>
          <w:lang w:val="nl-NL"/>
        </w:rPr>
        <w:t>State budget revenue in the eight months of 2022 increased by 19.4% over the same period last year. State budget expenditure increased by 4.2% over the same period in 2021, meeting the needs of socio-economic development, defense, security, state management, payment of due debts as well as expenditures</w:t>
      </w:r>
      <w:r>
        <w:rPr>
          <w:i/>
          <w:spacing w:val="-2"/>
          <w:lang w:val="nl-NL"/>
        </w:rPr>
        <w:t xml:space="preserve"> and</w:t>
      </w:r>
      <w:r w:rsidRPr="00871B14">
        <w:rPr>
          <w:i/>
          <w:spacing w:val="-2"/>
          <w:lang w:val="nl-NL"/>
        </w:rPr>
        <w:t xml:space="preserve"> timely payment to the subjects as prescribed.</w:t>
      </w:r>
      <w:r w:rsidRPr="00871B14">
        <w:rPr>
          <w:rFonts w:ascii="Arial" w:hAnsi="Arial" w:cs="Arial"/>
          <w:b/>
          <w:spacing w:val="-2"/>
          <w:sz w:val="24"/>
          <w:szCs w:val="24"/>
          <w:lang w:val="nl-NL"/>
        </w:rPr>
        <w:t xml:space="preserve"> </w:t>
      </w:r>
    </w:p>
    <w:p w14:paraId="6E162BF4" w14:textId="77777777" w:rsidR="00CA1115" w:rsidRPr="00871B14" w:rsidRDefault="00CA1115" w:rsidP="007058D9">
      <w:pPr>
        <w:spacing w:before="40" w:after="40" w:line="293" w:lineRule="auto"/>
        <w:ind w:firstLine="567"/>
        <w:jc w:val="both"/>
        <w:rPr>
          <w:rFonts w:ascii="Arial" w:hAnsi="Arial" w:cs="Arial"/>
          <w:b/>
          <w:spacing w:val="-2"/>
          <w:sz w:val="10"/>
          <w:szCs w:val="10"/>
          <w:lang w:val="nl-NL"/>
        </w:rPr>
      </w:pPr>
    </w:p>
    <w:p w14:paraId="1B7B8EC5" w14:textId="1D12BFE5" w:rsidR="00CA1115" w:rsidRDefault="00CA1115" w:rsidP="00CA1115">
      <w:pPr>
        <w:spacing w:before="40" w:after="160" w:line="264" w:lineRule="auto"/>
        <w:jc w:val="center"/>
        <w:rPr>
          <w:rFonts w:ascii="Arial" w:hAnsi="Arial" w:cs="Arial"/>
          <w:b/>
          <w:sz w:val="24"/>
          <w:szCs w:val="24"/>
          <w:lang w:val="nl-NL"/>
        </w:rPr>
      </w:pPr>
      <w:r>
        <w:rPr>
          <w:rFonts w:ascii="Arial" w:hAnsi="Arial" w:cs="Arial"/>
          <w:b/>
          <w:sz w:val="24"/>
          <w:szCs w:val="24"/>
          <w:lang w:val="nl-NL"/>
        </w:rPr>
        <w:t>Figure 10. State budget revenues and expenditures</w:t>
      </w:r>
      <w:r w:rsidR="00A135F6">
        <w:rPr>
          <w:rFonts w:ascii="Arial" w:hAnsi="Arial" w:cs="Arial"/>
          <w:b/>
          <w:sz w:val="24"/>
          <w:szCs w:val="24"/>
        </w:rPr>
        <w:t xml:space="preserve"> </w:t>
      </w:r>
      <w:r>
        <w:rPr>
          <w:rFonts w:ascii="Arial" w:hAnsi="Arial" w:cs="Arial"/>
          <w:b/>
          <w:sz w:val="24"/>
          <w:szCs w:val="24"/>
          <w:lang w:val="nl-NL"/>
        </w:rPr>
        <w:t>in the</w:t>
      </w:r>
      <w:r w:rsidR="00A135F6">
        <w:rPr>
          <w:rFonts w:ascii="Arial" w:hAnsi="Arial" w:cs="Arial"/>
          <w:b/>
          <w:sz w:val="24"/>
          <w:szCs w:val="24"/>
        </w:rPr>
        <w:t xml:space="preserve"> 8</w:t>
      </w:r>
      <w:r>
        <w:rPr>
          <w:rFonts w:ascii="Arial" w:hAnsi="Arial" w:cs="Arial"/>
          <w:b/>
          <w:sz w:val="24"/>
          <w:szCs w:val="24"/>
          <w:lang w:val="nl-NL"/>
        </w:rPr>
        <w:t xml:space="preserve"> months of 2022</w:t>
      </w:r>
    </w:p>
    <w:p w14:paraId="48489646" w14:textId="316F9434" w:rsidR="008E19E5" w:rsidRDefault="008E19E5" w:rsidP="008E19E5">
      <w:pPr>
        <w:spacing w:before="40" w:after="160" w:line="264" w:lineRule="auto"/>
        <w:jc w:val="center"/>
        <w:rPr>
          <w:rFonts w:ascii="Arial" w:hAnsi="Arial" w:cs="Arial"/>
          <w:b/>
          <w:sz w:val="24"/>
          <w:szCs w:val="24"/>
          <w:lang w:val="nl-NL"/>
        </w:rPr>
      </w:pPr>
      <w:r>
        <w:rPr>
          <w:rFonts w:ascii="Arial" w:hAnsi="Arial" w:cs="Arial"/>
          <w:b/>
          <w:sz w:val="24"/>
          <w:szCs w:val="24"/>
          <w:lang w:val="nl-NL"/>
        </w:rPr>
        <w:t xml:space="preserve">  </w:t>
      </w:r>
      <w:r w:rsidR="00FF7BEB">
        <w:rPr>
          <w:noProof/>
        </w:rPr>
        <w:drawing>
          <wp:inline distT="0" distB="0" distL="0" distR="0" wp14:anchorId="20955C38" wp14:editId="30FD1655">
            <wp:extent cx="5345271" cy="1988127"/>
            <wp:effectExtent l="0" t="0" r="8255" b="0"/>
            <wp:docPr id="34" name="Picture 3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6060" cy="1995859"/>
                    </a:xfrm>
                    <a:prstGeom prst="rect">
                      <a:avLst/>
                    </a:prstGeom>
                    <a:noFill/>
                    <a:ln>
                      <a:noFill/>
                    </a:ln>
                  </pic:spPr>
                </pic:pic>
              </a:graphicData>
            </a:graphic>
          </wp:inline>
        </w:drawing>
      </w:r>
    </w:p>
    <w:p w14:paraId="2148DFC1" w14:textId="77777777" w:rsidR="00932B75" w:rsidRDefault="00932B75" w:rsidP="00932B75">
      <w:pPr>
        <w:spacing w:before="40" w:after="40" w:line="288" w:lineRule="auto"/>
        <w:ind w:firstLine="567"/>
        <w:jc w:val="both"/>
        <w:rPr>
          <w:b/>
          <w:i/>
          <w:lang w:val="it-IT"/>
        </w:rPr>
      </w:pPr>
      <w:r w:rsidRPr="00F15246">
        <w:rPr>
          <w:b/>
          <w:i/>
          <w:lang w:val="it-IT"/>
        </w:rPr>
        <w:t>State budget revenue:</w:t>
      </w:r>
    </w:p>
    <w:p w14:paraId="06B43677" w14:textId="77777777" w:rsidR="004C20AC" w:rsidRPr="00862382" w:rsidRDefault="004C20AC" w:rsidP="004C20AC">
      <w:pPr>
        <w:spacing w:before="40" w:after="40" w:line="276" w:lineRule="auto"/>
        <w:ind w:firstLine="567"/>
        <w:jc w:val="both"/>
        <w:rPr>
          <w:lang w:val="nl-NL"/>
        </w:rPr>
      </w:pPr>
      <w:r w:rsidRPr="00862382">
        <w:rPr>
          <w:lang w:val="it-IT"/>
        </w:rPr>
        <w:t xml:space="preserve">Total state budget revenue in August 2022 </w:t>
      </w:r>
      <w:r>
        <w:rPr>
          <w:lang w:val="it-IT"/>
        </w:rPr>
        <w:t>wa</w:t>
      </w:r>
      <w:r w:rsidRPr="00862382">
        <w:rPr>
          <w:lang w:val="it-IT"/>
        </w:rPr>
        <w:t xml:space="preserve">s estimated at </w:t>
      </w:r>
      <w:r>
        <w:rPr>
          <w:lang w:val="nl-NL"/>
        </w:rPr>
        <w:t>106 trillion VND.</w:t>
      </w:r>
      <w:r w:rsidRPr="00862382">
        <w:rPr>
          <w:lang w:val="it-IT"/>
        </w:rPr>
        <w:t xml:space="preserve"> Accumulated total state budget revenue in 8 months of 2022 reached 1,208.2 trillion</w:t>
      </w:r>
      <w:r>
        <w:rPr>
          <w:lang w:val="it-IT"/>
        </w:rPr>
        <w:t xml:space="preserve"> </w:t>
      </w:r>
      <w:r w:rsidRPr="00862382">
        <w:rPr>
          <w:lang w:val="it-IT"/>
        </w:rPr>
        <w:t>VND, equaling 85.6% of the yearly estimate and up 19.4% over the same period last year</w:t>
      </w:r>
      <w:r>
        <w:rPr>
          <w:lang w:val="it-IT"/>
        </w:rPr>
        <w:t>.</w:t>
      </w:r>
      <w:r w:rsidRPr="00862382">
        <w:rPr>
          <w:lang w:val="nl-NL"/>
        </w:rPr>
        <w:t xml:space="preserve"> Some of the main revenues are as follows:</w:t>
      </w:r>
    </w:p>
    <w:p w14:paraId="78991FC7" w14:textId="77777777" w:rsidR="007C3E74" w:rsidRPr="00862108" w:rsidRDefault="007C3E74" w:rsidP="007C3E74">
      <w:pPr>
        <w:spacing w:before="40" w:after="40" w:line="276" w:lineRule="auto"/>
        <w:ind w:firstLine="567"/>
        <w:jc w:val="both"/>
        <w:rPr>
          <w:lang w:val="nl-NL"/>
        </w:rPr>
      </w:pPr>
      <w:r w:rsidRPr="00441C87">
        <w:rPr>
          <w:i/>
          <w:lang w:val="nl-NL"/>
        </w:rPr>
        <w:t xml:space="preserve">- Domestic </w:t>
      </w:r>
      <w:r w:rsidRPr="00862108">
        <w:rPr>
          <w:lang w:val="nl-NL"/>
        </w:rPr>
        <w:t xml:space="preserve">revenue in August 2022 </w:t>
      </w:r>
      <w:r>
        <w:rPr>
          <w:lang w:val="nl-NL"/>
        </w:rPr>
        <w:t>wa</w:t>
      </w:r>
      <w:r w:rsidRPr="00862108">
        <w:rPr>
          <w:lang w:val="nl-NL"/>
        </w:rPr>
        <w:t>s estimated at 78.4 trillion</w:t>
      </w:r>
      <w:r>
        <w:rPr>
          <w:lang w:val="nl-NL"/>
        </w:rPr>
        <w:t xml:space="preserve"> </w:t>
      </w:r>
      <w:r w:rsidRPr="00862108">
        <w:rPr>
          <w:lang w:val="nl-NL"/>
        </w:rPr>
        <w:t xml:space="preserve">VND. Accumulated 8 months of 2022 reached 954.6 trillion </w:t>
      </w:r>
      <w:r>
        <w:rPr>
          <w:lang w:val="nl-NL"/>
        </w:rPr>
        <w:t>VND</w:t>
      </w:r>
      <w:r w:rsidRPr="00862108">
        <w:rPr>
          <w:lang w:val="nl-NL"/>
        </w:rPr>
        <w:t xml:space="preserve">, equaling 81.1% of the year estimate and increasing by 15.9% </w:t>
      </w:r>
      <w:r w:rsidRPr="00862382">
        <w:rPr>
          <w:lang w:val="it-IT"/>
        </w:rPr>
        <w:t>over the same period last year</w:t>
      </w:r>
      <w:r>
        <w:rPr>
          <w:lang w:val="it-IT"/>
        </w:rPr>
        <w:t>.</w:t>
      </w:r>
    </w:p>
    <w:p w14:paraId="73F745C3" w14:textId="77777777" w:rsidR="005B5AEA" w:rsidRPr="008816F9" w:rsidRDefault="005B5AEA" w:rsidP="005B5AEA">
      <w:pPr>
        <w:spacing w:before="40" w:after="40" w:line="288" w:lineRule="auto"/>
        <w:ind w:firstLine="567"/>
        <w:jc w:val="both"/>
        <w:rPr>
          <w:lang w:val="nl-NL"/>
        </w:rPr>
      </w:pPr>
      <w:r w:rsidRPr="00441C87">
        <w:rPr>
          <w:i/>
          <w:lang w:val="nl-NL"/>
        </w:rPr>
        <w:lastRenderedPageBreak/>
        <w:t xml:space="preserve">- Revenue from crude oil in </w:t>
      </w:r>
      <w:r>
        <w:rPr>
          <w:lang w:val="nl-NL"/>
        </w:rPr>
        <w:t xml:space="preserve">August 2022 was estimated at 6.2 trillion VND; accumulated 8 months of 2022 reached </w:t>
      </w:r>
      <w:r>
        <w:rPr>
          <w:lang w:val="it-IT"/>
        </w:rPr>
        <w:t xml:space="preserve">51.1 </w:t>
      </w:r>
      <w:r w:rsidRPr="008816F9">
        <w:rPr>
          <w:lang w:val="nl-NL"/>
        </w:rPr>
        <w:t xml:space="preserve">trillion </w:t>
      </w:r>
      <w:r>
        <w:rPr>
          <w:lang w:val="nl-NL"/>
        </w:rPr>
        <w:t>VND</w:t>
      </w:r>
      <w:r w:rsidRPr="008816F9">
        <w:rPr>
          <w:lang w:val="nl-NL"/>
        </w:rPr>
        <w:t xml:space="preserve">, equaling </w:t>
      </w:r>
      <w:r>
        <w:rPr>
          <w:lang w:val="it-IT"/>
        </w:rPr>
        <w:t xml:space="preserve">181.2 </w:t>
      </w:r>
      <w:r>
        <w:t xml:space="preserve">% </w:t>
      </w:r>
      <w:r w:rsidRPr="008816F9">
        <w:rPr>
          <w:lang w:val="nl-NL"/>
        </w:rPr>
        <w:t xml:space="preserve">of the year estimate and increasing 98.8% </w:t>
      </w:r>
      <w:r w:rsidRPr="00862382">
        <w:rPr>
          <w:lang w:val="it-IT"/>
        </w:rPr>
        <w:t>over the same period last year</w:t>
      </w:r>
      <w:r>
        <w:rPr>
          <w:lang w:val="it-IT"/>
        </w:rPr>
        <w:t>.</w:t>
      </w:r>
    </w:p>
    <w:p w14:paraId="384D7A44" w14:textId="61164C52" w:rsidR="002C0107" w:rsidRPr="008E19E5" w:rsidRDefault="002C0107" w:rsidP="0031117F">
      <w:pPr>
        <w:spacing w:before="40" w:after="40" w:line="283" w:lineRule="auto"/>
        <w:ind w:firstLine="567"/>
        <w:jc w:val="both"/>
        <w:rPr>
          <w:lang w:val="nl-NL"/>
        </w:rPr>
      </w:pPr>
      <w:r w:rsidRPr="00441C87">
        <w:rPr>
          <w:i/>
          <w:lang w:val="nl-NL"/>
        </w:rPr>
        <w:t xml:space="preserve">- Balanced budget revenue from import and export activities in </w:t>
      </w:r>
      <w:r w:rsidRPr="008816F9">
        <w:rPr>
          <w:lang w:val="nl-NL"/>
        </w:rPr>
        <w:t xml:space="preserve">August 2022 </w:t>
      </w:r>
      <w:r>
        <w:t>wa</w:t>
      </w:r>
      <w:r w:rsidRPr="008816F9">
        <w:rPr>
          <w:lang w:val="nl-NL"/>
        </w:rPr>
        <w:t xml:space="preserve">s estimated at 16.6 trillion VND; accumulated 8 months of 2022 reached 197.6 trillion </w:t>
      </w:r>
      <w:r>
        <w:rPr>
          <w:lang w:val="nl-NL"/>
        </w:rPr>
        <w:t>VND</w:t>
      </w:r>
      <w:r w:rsidRPr="008816F9">
        <w:rPr>
          <w:lang w:val="nl-NL"/>
        </w:rPr>
        <w:t xml:space="preserve">, equaling </w:t>
      </w:r>
      <w:r>
        <w:rPr>
          <w:lang w:val="it-IT"/>
        </w:rPr>
        <w:t xml:space="preserve">99.3 </w:t>
      </w:r>
      <w:r w:rsidRPr="008816F9">
        <w:rPr>
          <w:lang w:val="nl-NL"/>
        </w:rPr>
        <w:t xml:space="preserve">% of the year estimate and increasing 21.5% </w:t>
      </w:r>
      <w:r w:rsidRPr="00862382">
        <w:rPr>
          <w:lang w:val="it-IT"/>
        </w:rPr>
        <w:t>over the same period last year</w:t>
      </w:r>
      <w:r>
        <w:rPr>
          <w:lang w:val="it-IT"/>
        </w:rPr>
        <w:t>.</w:t>
      </w:r>
    </w:p>
    <w:p w14:paraId="4C24EEE4" w14:textId="77777777" w:rsidR="00932B75" w:rsidRDefault="00932B75" w:rsidP="00932B75">
      <w:pPr>
        <w:spacing w:before="40" w:after="40"/>
        <w:ind w:firstLine="567"/>
        <w:jc w:val="both"/>
        <w:rPr>
          <w:b/>
          <w:i/>
          <w:lang w:val="nl-NL"/>
        </w:rPr>
      </w:pPr>
      <w:r w:rsidRPr="00FE2513">
        <w:rPr>
          <w:b/>
          <w:i/>
          <w:lang w:val="nl-NL"/>
        </w:rPr>
        <w:t>State budget expenditure:</w:t>
      </w:r>
    </w:p>
    <w:p w14:paraId="6DFEE6D4" w14:textId="77777777" w:rsidR="00891B20" w:rsidRPr="00FC323D" w:rsidRDefault="00891B20" w:rsidP="00891B20">
      <w:pPr>
        <w:spacing w:before="40" w:after="40" w:line="283" w:lineRule="auto"/>
        <w:ind w:firstLine="567"/>
        <w:jc w:val="both"/>
        <w:rPr>
          <w:lang w:val="nl-NL"/>
        </w:rPr>
      </w:pPr>
      <w:bookmarkStart w:id="4" w:name="_Hlk89176061"/>
      <w:bookmarkStart w:id="5" w:name="_Hlk54593811"/>
      <w:r w:rsidRPr="00FC323D">
        <w:rPr>
          <w:lang w:val="nl-NL"/>
        </w:rPr>
        <w:t xml:space="preserve">Total state budget expenditure in August 2022 </w:t>
      </w:r>
      <w:r>
        <w:t>wa</w:t>
      </w:r>
      <w:r w:rsidRPr="00FC323D">
        <w:rPr>
          <w:lang w:val="nl-NL"/>
        </w:rPr>
        <w:t xml:space="preserve">s estimated at 123.7 trillion VND; accumulated 8 months of 2022 </w:t>
      </w:r>
      <w:r>
        <w:t>wa</w:t>
      </w:r>
      <w:r w:rsidRPr="00FC323D">
        <w:rPr>
          <w:lang w:val="nl-NL"/>
        </w:rPr>
        <w:t>s estimated at 956.5 trillion</w:t>
      </w:r>
      <w:r>
        <w:t xml:space="preserve"> VND</w:t>
      </w:r>
      <w:r w:rsidRPr="00FC323D">
        <w:rPr>
          <w:lang w:val="nl-NL"/>
        </w:rPr>
        <w:t>, equaling 53.6% of the yearly estimate and up 4.2% over the same period last year</w:t>
      </w:r>
      <w:r>
        <w:rPr>
          <w:lang w:val="nl-NL"/>
        </w:rPr>
        <w:t>.</w:t>
      </w:r>
      <w:r w:rsidRPr="00FC323D">
        <w:t xml:space="preserve"> </w:t>
      </w:r>
      <w:r>
        <w:rPr>
          <w:lang w:val="en-US"/>
        </w:rPr>
        <w:t>Of</w:t>
      </w:r>
      <w:r w:rsidRPr="00FC323D">
        <w:t xml:space="preserve"> </w:t>
      </w:r>
      <w:r w:rsidRPr="00FC323D">
        <w:rPr>
          <w:lang w:val="nl-NL"/>
        </w:rPr>
        <w:t>which</w:t>
      </w:r>
      <w:r>
        <w:rPr>
          <w:lang w:val="nl-NL"/>
        </w:rPr>
        <w:t>,</w:t>
      </w:r>
      <w:r w:rsidRPr="00FC323D">
        <w:t xml:space="preserve"> </w:t>
      </w:r>
      <w:r w:rsidRPr="00FC323D">
        <w:rPr>
          <w:lang w:val="nl-NL"/>
        </w:rPr>
        <w:t>the regular expenditure in 8 months of 2022 reached 677.3 trillion VND, equaling 60.9% of the yearly estimate and increasing by 3.8% over the same period last year</w:t>
      </w:r>
      <w:r>
        <w:rPr>
          <w:lang w:val="nl-NL"/>
        </w:rPr>
        <w:t>;</w:t>
      </w:r>
      <w:r w:rsidRPr="00FC323D">
        <w:t xml:space="preserve"> </w:t>
      </w:r>
      <w:r w:rsidRPr="00FC323D">
        <w:rPr>
          <w:lang w:val="nl-NL"/>
        </w:rPr>
        <w:t xml:space="preserve">development investment expenditure reached 212.2 trillion </w:t>
      </w:r>
      <w:r>
        <w:rPr>
          <w:lang w:val="nl-NL"/>
        </w:rPr>
        <w:t>VND</w:t>
      </w:r>
      <w:r w:rsidRPr="00FC323D">
        <w:rPr>
          <w:lang w:val="nl-NL"/>
        </w:rPr>
        <w:t xml:space="preserve">, equaling 40.3% and increasing by 13.3%; debt payment interest </w:t>
      </w:r>
      <w:r>
        <w:t>was</w:t>
      </w:r>
      <w:r w:rsidRPr="00FC323D">
        <w:rPr>
          <w:lang w:val="nl-NL"/>
        </w:rPr>
        <w:t xml:space="preserve"> 65.3 trillion </w:t>
      </w:r>
      <w:r>
        <w:rPr>
          <w:lang w:val="nl-NL"/>
        </w:rPr>
        <w:t>VND</w:t>
      </w:r>
      <w:r w:rsidRPr="00FC323D">
        <w:rPr>
          <w:lang w:val="nl-NL"/>
        </w:rPr>
        <w:t>, equaling 62.9% and decreasing by 9.4%.</w:t>
      </w:r>
    </w:p>
    <w:p w14:paraId="00F212F0" w14:textId="77777777" w:rsidR="00BE086B" w:rsidRDefault="00395EF1" w:rsidP="007058D9">
      <w:pPr>
        <w:spacing w:before="40" w:after="40" w:line="300" w:lineRule="auto"/>
        <w:ind w:firstLine="567"/>
        <w:jc w:val="both"/>
        <w:rPr>
          <w:b/>
          <w:i/>
          <w:lang w:val="it-IT"/>
        </w:rPr>
      </w:pPr>
      <w:r w:rsidRPr="00C570A9">
        <w:rPr>
          <w:b/>
          <w:bCs/>
          <w:lang w:val="it-IT"/>
        </w:rPr>
        <w:t xml:space="preserve">6. </w:t>
      </w:r>
      <w:r w:rsidR="00BE086B" w:rsidRPr="004F7766">
        <w:rPr>
          <w:b/>
          <w:bCs/>
          <w:lang w:val="it-IT"/>
        </w:rPr>
        <w:t>Trade, prices, transport and tourism</w:t>
      </w:r>
      <w:r w:rsidR="00BE086B" w:rsidRPr="001B2AD0">
        <w:rPr>
          <w:b/>
          <w:i/>
          <w:lang w:val="it-IT"/>
        </w:rPr>
        <w:t xml:space="preserve"> </w:t>
      </w:r>
    </w:p>
    <w:p w14:paraId="081653F2" w14:textId="59D33DE6" w:rsidR="00395EF1" w:rsidRDefault="00395EF1" w:rsidP="007058D9">
      <w:pPr>
        <w:spacing w:before="40" w:after="40" w:line="300" w:lineRule="auto"/>
        <w:ind w:firstLine="567"/>
        <w:jc w:val="both"/>
        <w:rPr>
          <w:b/>
          <w:i/>
          <w:lang w:val="it-IT"/>
        </w:rPr>
      </w:pPr>
      <w:r w:rsidRPr="001B2AD0">
        <w:rPr>
          <w:b/>
          <w:i/>
          <w:lang w:val="it-IT"/>
        </w:rPr>
        <w:t xml:space="preserve">a) </w:t>
      </w:r>
      <w:r w:rsidR="00BE086B" w:rsidRPr="003A0526">
        <w:rPr>
          <w:b/>
          <w:i/>
          <w:lang w:val="it-IT"/>
        </w:rPr>
        <w:t>Retail sales of consumer goods and services</w:t>
      </w:r>
    </w:p>
    <w:p w14:paraId="0B1C4D2A" w14:textId="77777777" w:rsidR="00441A2B" w:rsidRDefault="00441A2B" w:rsidP="007058D9">
      <w:pPr>
        <w:spacing w:before="40" w:after="40" w:line="300" w:lineRule="auto"/>
        <w:ind w:firstLine="567"/>
        <w:jc w:val="both"/>
        <w:rPr>
          <w:rStyle w:val="Emphasis"/>
          <w:color w:val="0E101A"/>
        </w:rPr>
      </w:pPr>
      <w:r>
        <w:rPr>
          <w:rStyle w:val="Emphasis"/>
          <w:color w:val="0E101A"/>
        </w:rPr>
        <w:t>Trade and service activities in August recovered in all industries and recorded a high increase compared to the same period last year (August 2021 was the time when the Covid-19 epidemic broke out strongly in the Southern provinces, and many must implement social distancing). Total retail sales of consumer goods and services in August increased by 0.6% over the previous month and by 50.2% over the same period last year. In which, accommodation services were 2.9 times higher than the same period last year, catering and travel services were 65.4 times higher. In 8 months of 2022, the total retail sales of consumer goods and services increased by 19.3% over the same period last year.</w:t>
      </w:r>
    </w:p>
    <w:p w14:paraId="2EC14E3A" w14:textId="77777777" w:rsidR="00D72862" w:rsidRPr="00483451" w:rsidRDefault="00D72862" w:rsidP="00D72862">
      <w:pPr>
        <w:spacing w:before="60" w:after="60" w:line="360" w:lineRule="auto"/>
        <w:ind w:firstLine="567"/>
        <w:jc w:val="both"/>
        <w:rPr>
          <w:bCs/>
          <w:color w:val="000000" w:themeColor="text1"/>
          <w:lang w:val="it-IT"/>
        </w:rPr>
      </w:pPr>
      <w:bookmarkStart w:id="6" w:name="_Hlk110956136"/>
      <w:r w:rsidRPr="00483451">
        <w:rPr>
          <w:bCs/>
          <w:iCs/>
          <w:color w:val="000000" w:themeColor="text1"/>
          <w:lang w:val="it-IT"/>
        </w:rPr>
        <w:t xml:space="preserve">Total retail sales of consumer goods and services </w:t>
      </w:r>
      <w:r w:rsidRPr="00483451">
        <w:rPr>
          <w:bCs/>
          <w:color w:val="000000" w:themeColor="text1"/>
          <w:lang w:val="it-IT"/>
        </w:rPr>
        <w:t xml:space="preserve">in </w:t>
      </w:r>
      <w:r>
        <w:rPr>
          <w:bCs/>
          <w:color w:val="000000" w:themeColor="text1"/>
          <w:lang w:val="it-IT"/>
        </w:rPr>
        <w:t>August</w:t>
      </w:r>
      <w:r w:rsidRPr="00483451">
        <w:rPr>
          <w:bCs/>
          <w:color w:val="000000" w:themeColor="text1"/>
          <w:lang w:val="it-IT"/>
        </w:rPr>
        <w:t xml:space="preserve"> 2022 were estimated at </w:t>
      </w:r>
      <w:r>
        <w:rPr>
          <w:bCs/>
          <w:color w:val="000000" w:themeColor="text1"/>
          <w:lang w:val="it-IT"/>
        </w:rPr>
        <w:t>481.2</w:t>
      </w:r>
      <w:r w:rsidRPr="00483451">
        <w:rPr>
          <w:bCs/>
          <w:color w:val="000000" w:themeColor="text1"/>
          <w:lang w:val="it-IT"/>
        </w:rPr>
        <w:t xml:space="preserve"> trillion VND, up </w:t>
      </w:r>
      <w:r>
        <w:rPr>
          <w:bCs/>
          <w:color w:val="000000" w:themeColor="text1"/>
          <w:lang w:val="it-IT"/>
        </w:rPr>
        <w:t>0.6</w:t>
      </w:r>
      <w:r w:rsidRPr="00483451">
        <w:rPr>
          <w:bCs/>
          <w:color w:val="000000" w:themeColor="text1"/>
          <w:lang w:val="it-IT"/>
        </w:rPr>
        <w:t xml:space="preserve">% from the previous month and up </w:t>
      </w:r>
      <w:r>
        <w:rPr>
          <w:bCs/>
          <w:color w:val="000000" w:themeColor="text1"/>
          <w:lang w:val="it-IT"/>
        </w:rPr>
        <w:t>50.2</w:t>
      </w:r>
      <w:r w:rsidRPr="00483451">
        <w:rPr>
          <w:bCs/>
          <w:color w:val="000000" w:themeColor="text1"/>
          <w:lang w:val="it-IT"/>
        </w:rPr>
        <w:t>% over the same period last year, achieving a higher scale and growth rate compared to the same period in the years before the Covid-19 epidemic</w:t>
      </w:r>
      <w:r w:rsidRPr="00483451">
        <w:rPr>
          <w:rStyle w:val="FootnoteReference"/>
          <w:bCs/>
          <w:color w:val="000000" w:themeColor="text1"/>
          <w:lang w:val="it-IT"/>
        </w:rPr>
        <w:footnoteReference w:id="12"/>
      </w:r>
      <w:r w:rsidRPr="00483451">
        <w:rPr>
          <w:bCs/>
          <w:color w:val="000000" w:themeColor="text1"/>
          <w:lang w:val="it-IT"/>
        </w:rPr>
        <w:t xml:space="preserve">. Generally, in </w:t>
      </w:r>
      <w:r>
        <w:rPr>
          <w:bCs/>
          <w:color w:val="000000" w:themeColor="text1"/>
          <w:lang w:val="it-IT"/>
        </w:rPr>
        <w:t>8 months</w:t>
      </w:r>
      <w:r w:rsidRPr="00483451">
        <w:rPr>
          <w:bCs/>
          <w:color w:val="000000" w:themeColor="text1"/>
          <w:lang w:val="it-IT"/>
        </w:rPr>
        <w:t xml:space="preserve"> of 2022, the total retail sales of consumer goods and services were estimated at </w:t>
      </w:r>
      <w:r>
        <w:rPr>
          <w:bCs/>
          <w:color w:val="000000" w:themeColor="text1"/>
          <w:lang w:val="it-IT"/>
        </w:rPr>
        <w:t>3,679.2</w:t>
      </w:r>
      <w:r w:rsidRPr="00483451">
        <w:rPr>
          <w:bCs/>
          <w:color w:val="000000" w:themeColor="text1"/>
          <w:lang w:val="it-IT"/>
        </w:rPr>
        <w:t xml:space="preserve"> trillion VND, up </w:t>
      </w:r>
      <w:r>
        <w:rPr>
          <w:bCs/>
          <w:color w:val="000000" w:themeColor="text1"/>
          <w:lang w:val="it-IT"/>
        </w:rPr>
        <w:t>19.3</w:t>
      </w:r>
      <w:r w:rsidRPr="00483451">
        <w:rPr>
          <w:bCs/>
          <w:color w:val="000000" w:themeColor="text1"/>
          <w:lang w:val="it-IT"/>
        </w:rPr>
        <w:t>% over the same period last year</w:t>
      </w:r>
      <w:r w:rsidRPr="00483451">
        <w:rPr>
          <w:color w:val="000000" w:themeColor="text1"/>
          <w:lang w:val="nl-NL"/>
        </w:rPr>
        <w:t xml:space="preserve"> (</w:t>
      </w:r>
      <w:r w:rsidRPr="00483451">
        <w:rPr>
          <w:bCs/>
          <w:color w:val="000000" w:themeColor="text1"/>
          <w:lang w:val="it-IT"/>
        </w:rPr>
        <w:t xml:space="preserve">in </w:t>
      </w:r>
      <w:r w:rsidRPr="00483451">
        <w:rPr>
          <w:bCs/>
          <w:color w:val="000000" w:themeColor="text1"/>
          <w:lang w:val="it-IT"/>
        </w:rPr>
        <w:lastRenderedPageBreak/>
        <w:t xml:space="preserve">the same period in 2021 down </w:t>
      </w:r>
      <w:r>
        <w:rPr>
          <w:bCs/>
          <w:color w:val="000000" w:themeColor="text1"/>
          <w:lang w:val="it-IT"/>
        </w:rPr>
        <w:t>3.5</w:t>
      </w:r>
      <w:r w:rsidRPr="00483451">
        <w:rPr>
          <w:bCs/>
          <w:color w:val="000000" w:themeColor="text1"/>
          <w:lang w:val="it-IT"/>
        </w:rPr>
        <w:t xml:space="preserve">%), if excluding the price factor it was an increase of </w:t>
      </w:r>
      <w:r>
        <w:rPr>
          <w:bCs/>
          <w:color w:val="000000" w:themeColor="text1"/>
          <w:lang w:val="it-IT"/>
        </w:rPr>
        <w:t>15.1</w:t>
      </w:r>
      <w:r w:rsidRPr="00483451">
        <w:rPr>
          <w:bCs/>
          <w:color w:val="000000" w:themeColor="text1"/>
          <w:lang w:val="it-IT"/>
        </w:rPr>
        <w:t xml:space="preserve">% (in the same period in 2021 down </w:t>
      </w:r>
      <w:r>
        <w:rPr>
          <w:bCs/>
          <w:color w:val="000000" w:themeColor="text1"/>
          <w:lang w:val="it-IT"/>
        </w:rPr>
        <w:t>5.1</w:t>
      </w:r>
      <w:r w:rsidRPr="00483451">
        <w:rPr>
          <w:bCs/>
          <w:color w:val="000000" w:themeColor="text1"/>
          <w:lang w:val="it-IT"/>
        </w:rPr>
        <w:t>%).</w:t>
      </w:r>
    </w:p>
    <w:bookmarkEnd w:id="6"/>
    <w:p w14:paraId="10CA3D7A" w14:textId="77777777" w:rsidR="00680CBE" w:rsidRPr="007058D9" w:rsidRDefault="00680CBE" w:rsidP="007058D9">
      <w:pPr>
        <w:spacing w:after="160" w:line="259" w:lineRule="auto"/>
        <w:jc w:val="center"/>
        <w:rPr>
          <w:rFonts w:ascii="Arial" w:hAnsi="Arial" w:cs="Arial"/>
          <w:b/>
          <w:spacing w:val="-2"/>
          <w:sz w:val="2"/>
          <w:szCs w:val="20"/>
          <w:lang w:val="pl-PL"/>
        </w:rPr>
      </w:pPr>
    </w:p>
    <w:p w14:paraId="6FDA6D66" w14:textId="77777777" w:rsidR="00816FC2" w:rsidRPr="00FA6831" w:rsidRDefault="00816FC2" w:rsidP="00816FC2">
      <w:pPr>
        <w:spacing w:before="40" w:after="40" w:line="288" w:lineRule="auto"/>
        <w:jc w:val="center"/>
        <w:rPr>
          <w:rFonts w:ascii="Arial" w:hAnsi="Arial" w:cs="Arial"/>
          <w:b/>
          <w:bCs/>
          <w:spacing w:val="-6"/>
          <w:sz w:val="24"/>
          <w:szCs w:val="20"/>
          <w:lang w:val="it-IT"/>
        </w:rPr>
      </w:pPr>
      <w:r>
        <w:rPr>
          <w:rFonts w:ascii="Arial" w:hAnsi="Arial" w:cs="Arial"/>
          <w:b/>
          <w:spacing w:val="-2"/>
          <w:sz w:val="24"/>
          <w:szCs w:val="20"/>
          <w:lang w:val="pl-PL"/>
        </w:rPr>
        <w:t>Table</w:t>
      </w:r>
      <w:r w:rsidRPr="00FA6831">
        <w:rPr>
          <w:rFonts w:ascii="Arial" w:hAnsi="Arial" w:cs="Arial"/>
          <w:b/>
          <w:spacing w:val="-2"/>
          <w:sz w:val="24"/>
          <w:szCs w:val="20"/>
          <w:lang w:val="pl-PL"/>
        </w:rPr>
        <w:t xml:space="preserve"> </w:t>
      </w:r>
      <w:r>
        <w:rPr>
          <w:rFonts w:ascii="Arial" w:hAnsi="Arial" w:cs="Arial"/>
          <w:b/>
          <w:spacing w:val="-2"/>
          <w:sz w:val="24"/>
          <w:szCs w:val="20"/>
          <w:lang w:val="pl-PL"/>
        </w:rPr>
        <w:t>3</w:t>
      </w:r>
      <w:r w:rsidRPr="00FA6831">
        <w:rPr>
          <w:rFonts w:ascii="Arial" w:hAnsi="Arial" w:cs="Arial"/>
          <w:b/>
          <w:spacing w:val="-2"/>
          <w:sz w:val="24"/>
          <w:szCs w:val="20"/>
          <w:lang w:val="pl-PL"/>
        </w:rPr>
        <w:t xml:space="preserve">. </w:t>
      </w:r>
      <w:r w:rsidRPr="00087BA8">
        <w:rPr>
          <w:rFonts w:ascii="Arial" w:hAnsi="Arial" w:cs="Arial"/>
          <w:b/>
          <w:bCs/>
          <w:spacing w:val="-6"/>
          <w:sz w:val="24"/>
          <w:szCs w:val="20"/>
          <w:lang w:val="it-IT"/>
        </w:rPr>
        <w:t>Retail sales of consumer goods and services</w:t>
      </w:r>
    </w:p>
    <w:p w14:paraId="36982725" w14:textId="77777777" w:rsidR="00E56D20" w:rsidRPr="007058D9" w:rsidRDefault="00E56D20" w:rsidP="007058D9">
      <w:pPr>
        <w:spacing w:after="120" w:line="259" w:lineRule="auto"/>
        <w:jc w:val="center"/>
        <w:rPr>
          <w:rFonts w:ascii="Arial" w:hAnsi="Arial" w:cs="Arial"/>
          <w:b/>
          <w:bCs/>
          <w:spacing w:val="-6"/>
          <w:sz w:val="2"/>
          <w:szCs w:val="20"/>
          <w:lang w:val="it-IT"/>
        </w:rPr>
      </w:pPr>
    </w:p>
    <w:p w14:paraId="374EF34D" w14:textId="7C373146" w:rsidR="00E263E7" w:rsidRDefault="008C70FC" w:rsidP="00E263E7">
      <w:pPr>
        <w:tabs>
          <w:tab w:val="left" w:pos="2835"/>
        </w:tabs>
        <w:spacing w:line="264" w:lineRule="auto"/>
        <w:ind w:right="471" w:firstLine="567"/>
        <w:jc w:val="right"/>
        <w:rPr>
          <w:spacing w:val="-6"/>
        </w:rPr>
      </w:pPr>
      <w:r w:rsidRPr="0022480B">
        <w:rPr>
          <w:rFonts w:ascii="Arial" w:hAnsi="Arial" w:cs="Arial"/>
          <w:b/>
          <w:bCs/>
          <w:i/>
          <w:spacing w:val="-6"/>
          <w:sz w:val="20"/>
          <w:szCs w:val="20"/>
        </w:rPr>
        <w:t>Trillion VND</w:t>
      </w:r>
    </w:p>
    <w:tbl>
      <w:tblPr>
        <w:tblW w:w="9018" w:type="dxa"/>
        <w:jc w:val="center"/>
        <w:tblLook w:val="04A0" w:firstRow="1" w:lastRow="0" w:firstColumn="1" w:lastColumn="0" w:noHBand="0" w:noVBand="1"/>
      </w:tblPr>
      <w:tblGrid>
        <w:gridCol w:w="2694"/>
        <w:gridCol w:w="1734"/>
        <w:gridCol w:w="1719"/>
        <w:gridCol w:w="1341"/>
        <w:gridCol w:w="400"/>
        <w:gridCol w:w="1130"/>
      </w:tblGrid>
      <w:tr w:rsidR="00E263E7" w:rsidRPr="00483451" w14:paraId="2C9408EA" w14:textId="77777777" w:rsidTr="00E263E7">
        <w:trPr>
          <w:cantSplit/>
          <w:jc w:val="center"/>
        </w:trPr>
        <w:tc>
          <w:tcPr>
            <w:tcW w:w="2694" w:type="dxa"/>
            <w:tcBorders>
              <w:top w:val="single" w:sz="8" w:space="0" w:color="auto"/>
              <w:left w:val="nil"/>
              <w:bottom w:val="nil"/>
              <w:right w:val="nil"/>
            </w:tcBorders>
            <w:shd w:val="clear" w:color="auto" w:fill="auto"/>
            <w:hideMark/>
          </w:tcPr>
          <w:p w14:paraId="6AD8AE2E" w14:textId="77777777" w:rsidR="00E263E7" w:rsidRPr="00483451" w:rsidRDefault="00E263E7" w:rsidP="00255053">
            <w:pPr>
              <w:spacing w:before="60" w:after="60"/>
              <w:jc w:val="center"/>
              <w:rPr>
                <w:rFonts w:ascii="Arial" w:hAnsi="Arial" w:cs="Arial"/>
                <w:color w:val="000000" w:themeColor="text1"/>
                <w:sz w:val="20"/>
                <w:szCs w:val="20"/>
              </w:rPr>
            </w:pPr>
            <w:bookmarkStart w:id="7" w:name="_Hlk110956242"/>
          </w:p>
        </w:tc>
        <w:tc>
          <w:tcPr>
            <w:tcW w:w="1734" w:type="dxa"/>
            <w:vMerge w:val="restart"/>
            <w:tcBorders>
              <w:top w:val="single" w:sz="8" w:space="0" w:color="auto"/>
              <w:left w:val="nil"/>
              <w:right w:val="nil"/>
            </w:tcBorders>
            <w:shd w:val="clear" w:color="auto" w:fill="auto"/>
            <w:vAlign w:val="center"/>
            <w:hideMark/>
          </w:tcPr>
          <w:p w14:paraId="159F196B" w14:textId="77777777" w:rsidR="00E263E7" w:rsidRPr="00483451" w:rsidRDefault="00E263E7" w:rsidP="00255053">
            <w:pPr>
              <w:spacing w:before="60" w:after="60"/>
              <w:jc w:val="center"/>
              <w:rPr>
                <w:rFonts w:ascii="Arial" w:hAnsi="Arial" w:cs="Arial"/>
                <w:color w:val="000000" w:themeColor="text1"/>
                <w:sz w:val="20"/>
                <w:szCs w:val="20"/>
              </w:rPr>
            </w:pPr>
            <w:r w:rsidRPr="00483451">
              <w:rPr>
                <w:rFonts w:ascii="Arial" w:hAnsi="Arial" w:cs="Arial"/>
                <w:bCs/>
                <w:color w:val="000000" w:themeColor="text1"/>
                <w:sz w:val="20"/>
                <w:szCs w:val="20"/>
              </w:rPr>
              <w:t>Estimate</w:t>
            </w:r>
          </w:p>
          <w:p w14:paraId="139ED758" w14:textId="77777777" w:rsidR="00E263E7" w:rsidRPr="00483451" w:rsidRDefault="00E263E7" w:rsidP="00255053">
            <w:pPr>
              <w:spacing w:before="60" w:after="60"/>
              <w:jc w:val="center"/>
              <w:rPr>
                <w:rFonts w:ascii="Arial" w:hAnsi="Arial" w:cs="Arial"/>
                <w:color w:val="000000" w:themeColor="text1"/>
                <w:sz w:val="20"/>
                <w:szCs w:val="20"/>
              </w:rPr>
            </w:pPr>
            <w:r>
              <w:rPr>
                <w:rFonts w:ascii="Arial" w:hAnsi="Arial" w:cs="Arial"/>
                <w:color w:val="000000" w:themeColor="text1"/>
                <w:sz w:val="20"/>
                <w:szCs w:val="20"/>
              </w:rPr>
              <w:t xml:space="preserve">August </w:t>
            </w:r>
            <w:r w:rsidRPr="00483451">
              <w:rPr>
                <w:rFonts w:ascii="Arial" w:hAnsi="Arial" w:cs="Arial"/>
                <w:color w:val="000000" w:themeColor="text1"/>
                <w:sz w:val="20"/>
                <w:szCs w:val="20"/>
              </w:rPr>
              <w:t>2022</w:t>
            </w:r>
          </w:p>
        </w:tc>
        <w:tc>
          <w:tcPr>
            <w:tcW w:w="1719" w:type="dxa"/>
            <w:vMerge w:val="restart"/>
            <w:tcBorders>
              <w:top w:val="single" w:sz="8" w:space="0" w:color="auto"/>
              <w:left w:val="nil"/>
              <w:right w:val="nil"/>
            </w:tcBorders>
            <w:shd w:val="clear" w:color="auto" w:fill="auto"/>
            <w:vAlign w:val="center"/>
            <w:hideMark/>
          </w:tcPr>
          <w:p w14:paraId="4FB80AA8" w14:textId="77777777" w:rsidR="00E263E7" w:rsidRPr="00483451" w:rsidRDefault="00E263E7" w:rsidP="00255053">
            <w:pPr>
              <w:spacing w:before="60" w:after="60"/>
              <w:jc w:val="center"/>
              <w:rPr>
                <w:rFonts w:ascii="Arial" w:hAnsi="Arial" w:cs="Arial"/>
                <w:color w:val="000000" w:themeColor="text1"/>
                <w:sz w:val="20"/>
                <w:szCs w:val="20"/>
              </w:rPr>
            </w:pPr>
            <w:r w:rsidRPr="00483451">
              <w:rPr>
                <w:rFonts w:ascii="Arial" w:hAnsi="Arial" w:cs="Arial"/>
                <w:bCs/>
                <w:color w:val="000000" w:themeColor="text1"/>
                <w:sz w:val="20"/>
                <w:szCs w:val="20"/>
              </w:rPr>
              <w:t>Estimate</w:t>
            </w:r>
          </w:p>
          <w:p w14:paraId="627DB801" w14:textId="77777777" w:rsidR="00E263E7" w:rsidRPr="00483451" w:rsidRDefault="00E263E7" w:rsidP="00255053">
            <w:pPr>
              <w:spacing w:before="60" w:after="60"/>
              <w:jc w:val="center"/>
              <w:rPr>
                <w:rFonts w:ascii="Arial" w:hAnsi="Arial" w:cs="Arial"/>
                <w:color w:val="000000" w:themeColor="text1"/>
                <w:sz w:val="20"/>
                <w:szCs w:val="20"/>
              </w:rPr>
            </w:pPr>
            <w:r>
              <w:rPr>
                <w:rFonts w:ascii="Arial" w:hAnsi="Arial" w:cs="Arial"/>
                <w:color w:val="000000" w:themeColor="text1"/>
                <w:sz w:val="20"/>
                <w:szCs w:val="20"/>
              </w:rPr>
              <w:t>8 months</w:t>
            </w:r>
          </w:p>
          <w:p w14:paraId="0C08EA90" w14:textId="77777777" w:rsidR="00E263E7" w:rsidRPr="00483451" w:rsidRDefault="00E263E7" w:rsidP="00255053">
            <w:pPr>
              <w:spacing w:before="60" w:after="60"/>
              <w:jc w:val="center"/>
              <w:rPr>
                <w:rFonts w:ascii="Arial" w:hAnsi="Arial" w:cs="Arial"/>
                <w:color w:val="000000" w:themeColor="text1"/>
                <w:sz w:val="20"/>
                <w:szCs w:val="20"/>
              </w:rPr>
            </w:pPr>
            <w:r w:rsidRPr="00483451">
              <w:rPr>
                <w:rFonts w:ascii="Arial" w:hAnsi="Arial" w:cs="Arial"/>
                <w:color w:val="000000" w:themeColor="text1"/>
                <w:sz w:val="20"/>
                <w:szCs w:val="20"/>
              </w:rPr>
              <w:t>2022</w:t>
            </w:r>
          </w:p>
        </w:tc>
        <w:tc>
          <w:tcPr>
            <w:tcW w:w="2871" w:type="dxa"/>
            <w:gridSpan w:val="3"/>
            <w:vMerge w:val="restart"/>
            <w:tcBorders>
              <w:top w:val="single" w:sz="8" w:space="0" w:color="auto"/>
              <w:left w:val="nil"/>
              <w:right w:val="nil"/>
            </w:tcBorders>
            <w:shd w:val="clear" w:color="auto" w:fill="auto"/>
            <w:vAlign w:val="center"/>
            <w:hideMark/>
          </w:tcPr>
          <w:p w14:paraId="4D1B54E1" w14:textId="77777777" w:rsidR="00E263E7" w:rsidRPr="00483451" w:rsidRDefault="00E263E7" w:rsidP="00255053">
            <w:pPr>
              <w:spacing w:before="60" w:after="60"/>
              <w:jc w:val="center"/>
              <w:rPr>
                <w:rFonts w:ascii="Arial" w:hAnsi="Arial" w:cs="Arial"/>
                <w:color w:val="000000" w:themeColor="text1"/>
                <w:sz w:val="20"/>
                <w:szCs w:val="20"/>
              </w:rPr>
            </w:pPr>
            <w:r w:rsidRPr="00483451">
              <w:rPr>
                <w:rFonts w:ascii="Arial" w:hAnsi="Arial" w:cs="Arial"/>
                <w:bCs/>
                <w:color w:val="000000" w:themeColor="text1"/>
                <w:sz w:val="20"/>
                <w:szCs w:val="20"/>
              </w:rPr>
              <w:t>The growth rate</w:t>
            </w:r>
            <w:r>
              <w:rPr>
                <w:rFonts w:ascii="Arial" w:hAnsi="Arial" w:cs="Arial"/>
                <w:bCs/>
                <w:color w:val="000000" w:themeColor="text1"/>
                <w:sz w:val="20"/>
                <w:szCs w:val="20"/>
              </w:rPr>
              <w:t xml:space="preserve"> </w:t>
            </w:r>
            <w:r w:rsidRPr="00483451">
              <w:rPr>
                <w:rFonts w:ascii="Arial" w:hAnsi="Arial" w:cs="Arial"/>
                <w:bCs/>
                <w:color w:val="000000" w:themeColor="text1"/>
                <w:sz w:val="20"/>
                <w:szCs w:val="20"/>
              </w:rPr>
              <w:t>compared to the same period last year (%)</w:t>
            </w:r>
          </w:p>
        </w:tc>
      </w:tr>
      <w:tr w:rsidR="00E263E7" w:rsidRPr="00483451" w14:paraId="556273FB" w14:textId="77777777" w:rsidTr="00E263E7">
        <w:trPr>
          <w:cantSplit/>
          <w:jc w:val="center"/>
        </w:trPr>
        <w:tc>
          <w:tcPr>
            <w:tcW w:w="2694" w:type="dxa"/>
            <w:tcBorders>
              <w:top w:val="nil"/>
              <w:left w:val="nil"/>
              <w:bottom w:val="nil"/>
              <w:right w:val="nil"/>
            </w:tcBorders>
            <w:shd w:val="clear" w:color="auto" w:fill="auto"/>
            <w:hideMark/>
          </w:tcPr>
          <w:p w14:paraId="4626D64B" w14:textId="77777777" w:rsidR="00E263E7" w:rsidRPr="00483451" w:rsidRDefault="00E263E7" w:rsidP="00255053">
            <w:pPr>
              <w:spacing w:before="60" w:after="60"/>
              <w:jc w:val="center"/>
              <w:rPr>
                <w:rFonts w:ascii="Arial" w:hAnsi="Arial" w:cs="Arial"/>
                <w:color w:val="000000" w:themeColor="text1"/>
                <w:sz w:val="20"/>
                <w:szCs w:val="20"/>
              </w:rPr>
            </w:pPr>
          </w:p>
        </w:tc>
        <w:tc>
          <w:tcPr>
            <w:tcW w:w="1734" w:type="dxa"/>
            <w:vMerge/>
            <w:tcBorders>
              <w:left w:val="nil"/>
              <w:right w:val="nil"/>
            </w:tcBorders>
            <w:shd w:val="clear" w:color="auto" w:fill="auto"/>
            <w:vAlign w:val="center"/>
            <w:hideMark/>
          </w:tcPr>
          <w:p w14:paraId="5AF7DA8E" w14:textId="77777777" w:rsidR="00E263E7" w:rsidRPr="00483451" w:rsidRDefault="00E263E7" w:rsidP="00255053">
            <w:pPr>
              <w:spacing w:before="60" w:after="60"/>
              <w:jc w:val="center"/>
              <w:rPr>
                <w:rFonts w:ascii="Arial" w:hAnsi="Arial" w:cs="Arial"/>
                <w:color w:val="000000" w:themeColor="text1"/>
                <w:sz w:val="20"/>
                <w:szCs w:val="20"/>
              </w:rPr>
            </w:pPr>
          </w:p>
        </w:tc>
        <w:tc>
          <w:tcPr>
            <w:tcW w:w="1719" w:type="dxa"/>
            <w:vMerge/>
            <w:tcBorders>
              <w:left w:val="nil"/>
              <w:right w:val="nil"/>
            </w:tcBorders>
            <w:shd w:val="clear" w:color="auto" w:fill="auto"/>
            <w:vAlign w:val="center"/>
            <w:hideMark/>
          </w:tcPr>
          <w:p w14:paraId="71885538" w14:textId="77777777" w:rsidR="00E263E7" w:rsidRPr="00483451" w:rsidRDefault="00E263E7" w:rsidP="00255053">
            <w:pPr>
              <w:spacing w:before="60" w:after="60"/>
              <w:jc w:val="center"/>
              <w:rPr>
                <w:rFonts w:ascii="Arial" w:hAnsi="Arial" w:cs="Arial"/>
                <w:color w:val="000000" w:themeColor="text1"/>
                <w:sz w:val="20"/>
                <w:szCs w:val="20"/>
              </w:rPr>
            </w:pPr>
          </w:p>
        </w:tc>
        <w:tc>
          <w:tcPr>
            <w:tcW w:w="2871" w:type="dxa"/>
            <w:gridSpan w:val="3"/>
            <w:vMerge/>
            <w:tcBorders>
              <w:left w:val="nil"/>
              <w:bottom w:val="single" w:sz="8" w:space="0" w:color="auto"/>
              <w:right w:val="nil"/>
            </w:tcBorders>
            <w:shd w:val="clear" w:color="auto" w:fill="auto"/>
            <w:vAlign w:val="center"/>
            <w:hideMark/>
          </w:tcPr>
          <w:p w14:paraId="163A4B2B" w14:textId="77777777" w:rsidR="00E263E7" w:rsidRPr="00483451" w:rsidRDefault="00E263E7" w:rsidP="00255053">
            <w:pPr>
              <w:spacing w:before="60" w:after="60"/>
              <w:jc w:val="center"/>
              <w:rPr>
                <w:rFonts w:ascii="Arial" w:hAnsi="Arial" w:cs="Arial"/>
                <w:color w:val="000000" w:themeColor="text1"/>
                <w:sz w:val="20"/>
                <w:szCs w:val="20"/>
              </w:rPr>
            </w:pPr>
          </w:p>
        </w:tc>
      </w:tr>
      <w:tr w:rsidR="00E263E7" w:rsidRPr="00483451" w14:paraId="1A845701" w14:textId="77777777" w:rsidTr="00E263E7">
        <w:trPr>
          <w:cantSplit/>
          <w:jc w:val="center"/>
        </w:trPr>
        <w:tc>
          <w:tcPr>
            <w:tcW w:w="2694" w:type="dxa"/>
            <w:tcBorders>
              <w:top w:val="nil"/>
              <w:left w:val="nil"/>
              <w:bottom w:val="nil"/>
              <w:right w:val="nil"/>
            </w:tcBorders>
            <w:shd w:val="clear" w:color="auto" w:fill="auto"/>
            <w:hideMark/>
          </w:tcPr>
          <w:p w14:paraId="3D084956" w14:textId="77777777" w:rsidR="00E263E7" w:rsidRPr="00483451" w:rsidRDefault="00E263E7" w:rsidP="00255053">
            <w:pPr>
              <w:spacing w:before="60" w:after="60"/>
              <w:jc w:val="center"/>
              <w:rPr>
                <w:rFonts w:ascii="Arial" w:hAnsi="Arial" w:cs="Arial"/>
                <w:color w:val="000000" w:themeColor="text1"/>
                <w:sz w:val="20"/>
                <w:szCs w:val="20"/>
              </w:rPr>
            </w:pPr>
          </w:p>
        </w:tc>
        <w:tc>
          <w:tcPr>
            <w:tcW w:w="1734" w:type="dxa"/>
            <w:vMerge/>
            <w:tcBorders>
              <w:left w:val="nil"/>
              <w:right w:val="nil"/>
            </w:tcBorders>
            <w:shd w:val="clear" w:color="auto" w:fill="auto"/>
            <w:vAlign w:val="center"/>
            <w:hideMark/>
          </w:tcPr>
          <w:p w14:paraId="01F24A54" w14:textId="77777777" w:rsidR="00E263E7" w:rsidRPr="00483451" w:rsidRDefault="00E263E7" w:rsidP="00255053">
            <w:pPr>
              <w:spacing w:before="60" w:after="60"/>
              <w:jc w:val="center"/>
              <w:rPr>
                <w:rFonts w:ascii="Arial" w:hAnsi="Arial" w:cs="Arial"/>
                <w:color w:val="000000" w:themeColor="text1"/>
                <w:sz w:val="20"/>
                <w:szCs w:val="20"/>
              </w:rPr>
            </w:pPr>
          </w:p>
        </w:tc>
        <w:tc>
          <w:tcPr>
            <w:tcW w:w="1719" w:type="dxa"/>
            <w:vMerge/>
            <w:tcBorders>
              <w:left w:val="nil"/>
              <w:right w:val="nil"/>
            </w:tcBorders>
            <w:shd w:val="clear" w:color="auto" w:fill="auto"/>
            <w:vAlign w:val="center"/>
            <w:hideMark/>
          </w:tcPr>
          <w:p w14:paraId="471A2313" w14:textId="77777777" w:rsidR="00E263E7" w:rsidRPr="00483451" w:rsidRDefault="00E263E7" w:rsidP="00255053">
            <w:pPr>
              <w:spacing w:before="60" w:after="60"/>
              <w:jc w:val="center"/>
              <w:rPr>
                <w:rFonts w:ascii="Arial" w:hAnsi="Arial" w:cs="Arial"/>
                <w:color w:val="000000" w:themeColor="text1"/>
                <w:sz w:val="20"/>
                <w:szCs w:val="20"/>
              </w:rPr>
            </w:pPr>
          </w:p>
        </w:tc>
        <w:tc>
          <w:tcPr>
            <w:tcW w:w="1741" w:type="dxa"/>
            <w:gridSpan w:val="2"/>
            <w:vMerge w:val="restart"/>
            <w:tcBorders>
              <w:top w:val="nil"/>
              <w:left w:val="nil"/>
              <w:right w:val="nil"/>
            </w:tcBorders>
            <w:shd w:val="clear" w:color="auto" w:fill="auto"/>
            <w:vAlign w:val="center"/>
            <w:hideMark/>
          </w:tcPr>
          <w:p w14:paraId="50C07056" w14:textId="77777777" w:rsidR="00E263E7" w:rsidRDefault="00E263E7" w:rsidP="00255053">
            <w:pPr>
              <w:spacing w:before="60" w:after="60"/>
              <w:jc w:val="center"/>
              <w:rPr>
                <w:rFonts w:ascii="Arial" w:hAnsi="Arial" w:cs="Arial"/>
                <w:color w:val="000000" w:themeColor="text1"/>
                <w:sz w:val="20"/>
                <w:szCs w:val="20"/>
              </w:rPr>
            </w:pPr>
            <w:r>
              <w:rPr>
                <w:rFonts w:ascii="Arial" w:hAnsi="Arial" w:cs="Arial"/>
                <w:color w:val="000000" w:themeColor="text1"/>
                <w:sz w:val="20"/>
                <w:szCs w:val="20"/>
              </w:rPr>
              <w:t xml:space="preserve">August </w:t>
            </w:r>
          </w:p>
          <w:p w14:paraId="01A27B52" w14:textId="77777777" w:rsidR="00E263E7" w:rsidRPr="00483451" w:rsidRDefault="00E263E7" w:rsidP="00255053">
            <w:pPr>
              <w:spacing w:before="60" w:after="60"/>
              <w:jc w:val="center"/>
              <w:rPr>
                <w:rFonts w:ascii="Arial" w:hAnsi="Arial" w:cs="Arial"/>
                <w:color w:val="000000" w:themeColor="text1"/>
                <w:sz w:val="20"/>
                <w:szCs w:val="20"/>
              </w:rPr>
            </w:pPr>
            <w:r w:rsidRPr="00483451">
              <w:rPr>
                <w:rFonts w:ascii="Arial" w:hAnsi="Arial" w:cs="Arial"/>
                <w:color w:val="000000" w:themeColor="text1"/>
                <w:sz w:val="20"/>
                <w:szCs w:val="20"/>
              </w:rPr>
              <w:t>2022</w:t>
            </w:r>
          </w:p>
        </w:tc>
        <w:tc>
          <w:tcPr>
            <w:tcW w:w="1130" w:type="dxa"/>
            <w:vMerge w:val="restart"/>
            <w:tcBorders>
              <w:top w:val="nil"/>
              <w:left w:val="nil"/>
              <w:right w:val="nil"/>
            </w:tcBorders>
            <w:shd w:val="clear" w:color="auto" w:fill="auto"/>
            <w:vAlign w:val="center"/>
            <w:hideMark/>
          </w:tcPr>
          <w:p w14:paraId="5161B7BA" w14:textId="77777777" w:rsidR="00E263E7" w:rsidRPr="00483451" w:rsidRDefault="00E263E7" w:rsidP="00255053">
            <w:pPr>
              <w:spacing w:before="60" w:after="60"/>
              <w:jc w:val="center"/>
              <w:rPr>
                <w:rFonts w:ascii="Arial" w:hAnsi="Arial" w:cs="Arial"/>
                <w:color w:val="000000" w:themeColor="text1"/>
                <w:sz w:val="20"/>
                <w:szCs w:val="20"/>
              </w:rPr>
            </w:pPr>
            <w:r>
              <w:rPr>
                <w:rFonts w:ascii="Arial" w:hAnsi="Arial" w:cs="Arial"/>
                <w:color w:val="000000" w:themeColor="text1"/>
                <w:sz w:val="20"/>
                <w:szCs w:val="20"/>
              </w:rPr>
              <w:t>8 months</w:t>
            </w:r>
          </w:p>
          <w:p w14:paraId="2CD24A97" w14:textId="77777777" w:rsidR="00E263E7" w:rsidRPr="00483451" w:rsidRDefault="00E263E7" w:rsidP="00255053">
            <w:pPr>
              <w:spacing w:before="60" w:after="60"/>
              <w:jc w:val="center"/>
              <w:rPr>
                <w:rFonts w:ascii="Arial" w:hAnsi="Arial" w:cs="Arial"/>
                <w:color w:val="000000" w:themeColor="text1"/>
                <w:sz w:val="20"/>
                <w:szCs w:val="20"/>
              </w:rPr>
            </w:pPr>
            <w:r w:rsidRPr="00483451">
              <w:rPr>
                <w:rFonts w:ascii="Arial" w:hAnsi="Arial" w:cs="Arial"/>
                <w:color w:val="000000" w:themeColor="text1"/>
                <w:sz w:val="20"/>
                <w:szCs w:val="20"/>
              </w:rPr>
              <w:t>2022</w:t>
            </w:r>
          </w:p>
        </w:tc>
      </w:tr>
      <w:tr w:rsidR="00E263E7" w:rsidRPr="00483451" w14:paraId="4461A9E4" w14:textId="77777777" w:rsidTr="00E263E7">
        <w:trPr>
          <w:cantSplit/>
          <w:jc w:val="center"/>
        </w:trPr>
        <w:tc>
          <w:tcPr>
            <w:tcW w:w="2694" w:type="dxa"/>
            <w:tcBorders>
              <w:top w:val="nil"/>
              <w:left w:val="nil"/>
              <w:bottom w:val="nil"/>
              <w:right w:val="nil"/>
            </w:tcBorders>
            <w:shd w:val="clear" w:color="auto" w:fill="auto"/>
            <w:hideMark/>
          </w:tcPr>
          <w:p w14:paraId="620A742A" w14:textId="77777777" w:rsidR="00E263E7" w:rsidRPr="00483451" w:rsidRDefault="00E263E7" w:rsidP="00255053">
            <w:pPr>
              <w:spacing w:before="60" w:after="60"/>
              <w:jc w:val="center"/>
              <w:rPr>
                <w:rFonts w:ascii="Arial" w:hAnsi="Arial" w:cs="Arial"/>
                <w:color w:val="000000" w:themeColor="text1"/>
                <w:sz w:val="20"/>
                <w:szCs w:val="20"/>
              </w:rPr>
            </w:pPr>
          </w:p>
        </w:tc>
        <w:tc>
          <w:tcPr>
            <w:tcW w:w="1734" w:type="dxa"/>
            <w:vMerge/>
            <w:tcBorders>
              <w:left w:val="nil"/>
              <w:bottom w:val="single" w:sz="8" w:space="0" w:color="auto"/>
              <w:right w:val="nil"/>
            </w:tcBorders>
            <w:shd w:val="clear" w:color="auto" w:fill="auto"/>
            <w:vAlign w:val="center"/>
          </w:tcPr>
          <w:p w14:paraId="46174EF1" w14:textId="77777777" w:rsidR="00E263E7" w:rsidRPr="00483451" w:rsidRDefault="00E263E7" w:rsidP="00255053">
            <w:pPr>
              <w:spacing w:before="60" w:after="60"/>
              <w:jc w:val="center"/>
              <w:rPr>
                <w:rFonts w:ascii="Arial" w:hAnsi="Arial" w:cs="Arial"/>
                <w:color w:val="000000" w:themeColor="text1"/>
                <w:sz w:val="20"/>
                <w:szCs w:val="20"/>
              </w:rPr>
            </w:pPr>
          </w:p>
        </w:tc>
        <w:tc>
          <w:tcPr>
            <w:tcW w:w="1719" w:type="dxa"/>
            <w:vMerge/>
            <w:tcBorders>
              <w:left w:val="nil"/>
              <w:bottom w:val="single" w:sz="8" w:space="0" w:color="auto"/>
              <w:right w:val="nil"/>
            </w:tcBorders>
            <w:shd w:val="clear" w:color="auto" w:fill="auto"/>
            <w:vAlign w:val="center"/>
          </w:tcPr>
          <w:p w14:paraId="073C4BAC" w14:textId="77777777" w:rsidR="00E263E7" w:rsidRPr="00483451" w:rsidRDefault="00E263E7" w:rsidP="00255053">
            <w:pPr>
              <w:spacing w:before="60" w:after="60"/>
              <w:jc w:val="center"/>
              <w:rPr>
                <w:rFonts w:ascii="Arial" w:hAnsi="Arial" w:cs="Arial"/>
                <w:color w:val="000000" w:themeColor="text1"/>
                <w:sz w:val="20"/>
                <w:szCs w:val="20"/>
              </w:rPr>
            </w:pPr>
          </w:p>
        </w:tc>
        <w:tc>
          <w:tcPr>
            <w:tcW w:w="1741" w:type="dxa"/>
            <w:gridSpan w:val="2"/>
            <w:vMerge/>
            <w:tcBorders>
              <w:left w:val="nil"/>
              <w:bottom w:val="single" w:sz="8" w:space="0" w:color="auto"/>
              <w:right w:val="nil"/>
            </w:tcBorders>
            <w:shd w:val="clear" w:color="auto" w:fill="auto"/>
            <w:vAlign w:val="center"/>
            <w:hideMark/>
          </w:tcPr>
          <w:p w14:paraId="2F2FA9FA" w14:textId="77777777" w:rsidR="00E263E7" w:rsidRPr="00483451" w:rsidRDefault="00E263E7" w:rsidP="00255053">
            <w:pPr>
              <w:spacing w:before="60" w:after="60"/>
              <w:jc w:val="center"/>
              <w:rPr>
                <w:rFonts w:ascii="Arial" w:hAnsi="Arial" w:cs="Arial"/>
                <w:color w:val="000000" w:themeColor="text1"/>
                <w:sz w:val="20"/>
                <w:szCs w:val="20"/>
              </w:rPr>
            </w:pPr>
          </w:p>
        </w:tc>
        <w:tc>
          <w:tcPr>
            <w:tcW w:w="1130" w:type="dxa"/>
            <w:vMerge/>
            <w:tcBorders>
              <w:left w:val="nil"/>
              <w:bottom w:val="single" w:sz="8" w:space="0" w:color="auto"/>
              <w:right w:val="nil"/>
            </w:tcBorders>
            <w:shd w:val="clear" w:color="auto" w:fill="auto"/>
            <w:vAlign w:val="center"/>
            <w:hideMark/>
          </w:tcPr>
          <w:p w14:paraId="5298A0E7" w14:textId="77777777" w:rsidR="00E263E7" w:rsidRPr="00483451" w:rsidRDefault="00E263E7" w:rsidP="00255053">
            <w:pPr>
              <w:spacing w:before="60" w:after="60"/>
              <w:jc w:val="center"/>
              <w:rPr>
                <w:rFonts w:ascii="Arial" w:hAnsi="Arial" w:cs="Arial"/>
                <w:color w:val="000000" w:themeColor="text1"/>
                <w:sz w:val="20"/>
                <w:szCs w:val="20"/>
              </w:rPr>
            </w:pPr>
          </w:p>
        </w:tc>
      </w:tr>
      <w:tr w:rsidR="00E263E7" w:rsidRPr="00483451" w14:paraId="715C6FC5" w14:textId="77777777" w:rsidTr="00E263E7">
        <w:trPr>
          <w:cantSplit/>
          <w:jc w:val="center"/>
        </w:trPr>
        <w:tc>
          <w:tcPr>
            <w:tcW w:w="2694" w:type="dxa"/>
            <w:tcBorders>
              <w:top w:val="nil"/>
              <w:left w:val="nil"/>
              <w:bottom w:val="nil"/>
              <w:right w:val="nil"/>
            </w:tcBorders>
            <w:shd w:val="clear" w:color="auto" w:fill="auto"/>
            <w:vAlign w:val="center"/>
            <w:hideMark/>
          </w:tcPr>
          <w:p w14:paraId="71BF5FD9" w14:textId="77777777" w:rsidR="00E263E7" w:rsidRPr="00483451" w:rsidRDefault="00E263E7" w:rsidP="00255053">
            <w:pPr>
              <w:spacing w:before="60" w:after="60" w:line="264" w:lineRule="auto"/>
              <w:jc w:val="both"/>
              <w:rPr>
                <w:rFonts w:ascii="Arial" w:hAnsi="Arial" w:cs="Arial"/>
                <w:b/>
                <w:bCs/>
                <w:color w:val="000000" w:themeColor="text1"/>
                <w:sz w:val="20"/>
                <w:szCs w:val="20"/>
              </w:rPr>
            </w:pPr>
            <w:r w:rsidRPr="00483451">
              <w:rPr>
                <w:rFonts w:ascii="Arial" w:hAnsi="Arial" w:cs="Arial"/>
                <w:b/>
                <w:bCs/>
                <w:color w:val="000000" w:themeColor="text1"/>
                <w:sz w:val="20"/>
                <w:szCs w:val="20"/>
              </w:rPr>
              <w:t>Total</w:t>
            </w:r>
          </w:p>
        </w:tc>
        <w:tc>
          <w:tcPr>
            <w:tcW w:w="1734" w:type="dxa"/>
            <w:tcBorders>
              <w:top w:val="nil"/>
              <w:left w:val="nil"/>
              <w:bottom w:val="nil"/>
              <w:right w:val="nil"/>
            </w:tcBorders>
            <w:shd w:val="clear" w:color="auto" w:fill="auto"/>
            <w:vAlign w:val="bottom"/>
            <w:hideMark/>
          </w:tcPr>
          <w:p w14:paraId="55CD07BC" w14:textId="77777777" w:rsidR="00E263E7" w:rsidRPr="00483451" w:rsidRDefault="00E263E7" w:rsidP="00255053">
            <w:pPr>
              <w:spacing w:before="60" w:after="60" w:line="264" w:lineRule="auto"/>
              <w:ind w:right="428"/>
              <w:jc w:val="right"/>
              <w:rPr>
                <w:rFonts w:ascii="Arial" w:hAnsi="Arial" w:cs="Arial"/>
                <w:b/>
                <w:color w:val="000000" w:themeColor="text1"/>
                <w:sz w:val="20"/>
                <w:szCs w:val="20"/>
                <w:lang w:val="en-US"/>
              </w:rPr>
            </w:pPr>
            <w:r w:rsidRPr="00541CDF">
              <w:rPr>
                <w:rFonts w:ascii="Arial" w:hAnsi="Arial" w:cs="Arial"/>
                <w:b/>
                <w:sz w:val="20"/>
                <w:szCs w:val="20"/>
              </w:rPr>
              <w:t>481</w:t>
            </w:r>
            <w:r>
              <w:rPr>
                <w:rFonts w:ascii="Arial" w:hAnsi="Arial" w:cs="Arial"/>
                <w:b/>
                <w:sz w:val="20"/>
                <w:szCs w:val="20"/>
              </w:rPr>
              <w:t>.</w:t>
            </w:r>
            <w:r w:rsidRPr="00541CDF">
              <w:rPr>
                <w:rFonts w:ascii="Arial" w:hAnsi="Arial" w:cs="Arial"/>
                <w:b/>
                <w:sz w:val="20"/>
                <w:szCs w:val="20"/>
              </w:rPr>
              <w:t>2</w:t>
            </w:r>
          </w:p>
        </w:tc>
        <w:tc>
          <w:tcPr>
            <w:tcW w:w="1719" w:type="dxa"/>
            <w:tcBorders>
              <w:top w:val="nil"/>
              <w:left w:val="nil"/>
              <w:bottom w:val="nil"/>
              <w:right w:val="nil"/>
            </w:tcBorders>
            <w:shd w:val="clear" w:color="auto" w:fill="auto"/>
            <w:vAlign w:val="bottom"/>
            <w:hideMark/>
          </w:tcPr>
          <w:p w14:paraId="35AE9389" w14:textId="77777777" w:rsidR="00E263E7" w:rsidRPr="00483451" w:rsidRDefault="00E263E7" w:rsidP="00255053">
            <w:pPr>
              <w:spacing w:before="60" w:after="60" w:line="264" w:lineRule="auto"/>
              <w:ind w:right="351" w:hanging="27"/>
              <w:jc w:val="right"/>
              <w:rPr>
                <w:rFonts w:ascii="Arial" w:hAnsi="Arial" w:cs="Arial"/>
                <w:b/>
                <w:color w:val="000000" w:themeColor="text1"/>
                <w:sz w:val="20"/>
                <w:szCs w:val="20"/>
              </w:rPr>
            </w:pPr>
            <w:r w:rsidRPr="00541CDF">
              <w:rPr>
                <w:rFonts w:ascii="Arial" w:hAnsi="Arial" w:cs="Arial"/>
                <w:b/>
                <w:sz w:val="20"/>
                <w:szCs w:val="20"/>
              </w:rPr>
              <w:t>3</w:t>
            </w:r>
            <w:r>
              <w:rPr>
                <w:rFonts w:ascii="Arial" w:hAnsi="Arial" w:cs="Arial"/>
                <w:b/>
                <w:sz w:val="20"/>
                <w:szCs w:val="20"/>
              </w:rPr>
              <w:t>,</w:t>
            </w:r>
            <w:r w:rsidRPr="00541CDF">
              <w:rPr>
                <w:rFonts w:ascii="Arial" w:hAnsi="Arial" w:cs="Arial"/>
                <w:b/>
                <w:sz w:val="20"/>
                <w:szCs w:val="20"/>
              </w:rPr>
              <w:t>679</w:t>
            </w:r>
            <w:r>
              <w:rPr>
                <w:rFonts w:ascii="Arial" w:hAnsi="Arial" w:cs="Arial"/>
                <w:b/>
                <w:sz w:val="20"/>
                <w:szCs w:val="20"/>
              </w:rPr>
              <w:t>.</w:t>
            </w:r>
            <w:r w:rsidRPr="00541CDF">
              <w:rPr>
                <w:rFonts w:ascii="Arial" w:hAnsi="Arial" w:cs="Arial"/>
                <w:b/>
                <w:sz w:val="20"/>
                <w:szCs w:val="20"/>
              </w:rPr>
              <w:t>2</w:t>
            </w:r>
          </w:p>
        </w:tc>
        <w:tc>
          <w:tcPr>
            <w:tcW w:w="1341" w:type="dxa"/>
            <w:tcBorders>
              <w:top w:val="nil"/>
              <w:left w:val="nil"/>
              <w:bottom w:val="nil"/>
              <w:right w:val="nil"/>
            </w:tcBorders>
            <w:shd w:val="clear" w:color="auto" w:fill="auto"/>
            <w:vAlign w:val="bottom"/>
            <w:hideMark/>
          </w:tcPr>
          <w:p w14:paraId="055EB941" w14:textId="77777777" w:rsidR="00E263E7" w:rsidRPr="00483451" w:rsidRDefault="00E263E7" w:rsidP="00255053">
            <w:pPr>
              <w:spacing w:before="60" w:after="60" w:line="264" w:lineRule="auto"/>
              <w:jc w:val="right"/>
              <w:rPr>
                <w:rFonts w:ascii="Arial" w:hAnsi="Arial" w:cs="Arial"/>
                <w:b/>
                <w:color w:val="000000" w:themeColor="text1"/>
                <w:sz w:val="20"/>
                <w:szCs w:val="20"/>
              </w:rPr>
            </w:pPr>
            <w:r w:rsidRPr="00541CDF">
              <w:rPr>
                <w:rFonts w:ascii="Arial" w:hAnsi="Arial" w:cs="Arial"/>
                <w:b/>
                <w:sz w:val="20"/>
                <w:szCs w:val="20"/>
              </w:rPr>
              <w:t>50</w:t>
            </w:r>
            <w:r>
              <w:rPr>
                <w:rFonts w:ascii="Arial" w:hAnsi="Arial" w:cs="Arial"/>
                <w:b/>
                <w:sz w:val="20"/>
                <w:szCs w:val="20"/>
              </w:rPr>
              <w:t>.</w:t>
            </w:r>
            <w:r w:rsidRPr="00541CDF">
              <w:rPr>
                <w:rFonts w:ascii="Arial" w:hAnsi="Arial" w:cs="Arial"/>
                <w:b/>
                <w:sz w:val="20"/>
                <w:szCs w:val="20"/>
              </w:rPr>
              <w:t>2</w:t>
            </w:r>
          </w:p>
        </w:tc>
        <w:tc>
          <w:tcPr>
            <w:tcW w:w="1530" w:type="dxa"/>
            <w:gridSpan w:val="2"/>
            <w:tcBorders>
              <w:top w:val="nil"/>
              <w:left w:val="nil"/>
              <w:bottom w:val="nil"/>
              <w:right w:val="nil"/>
            </w:tcBorders>
            <w:shd w:val="clear" w:color="auto" w:fill="auto"/>
            <w:vAlign w:val="bottom"/>
            <w:hideMark/>
          </w:tcPr>
          <w:p w14:paraId="1DF594DC" w14:textId="77777777" w:rsidR="00E263E7" w:rsidRPr="00483451" w:rsidRDefault="00E263E7" w:rsidP="00255053">
            <w:pPr>
              <w:spacing w:before="60" w:after="60" w:line="264" w:lineRule="auto"/>
              <w:ind w:right="252"/>
              <w:jc w:val="right"/>
              <w:rPr>
                <w:rFonts w:ascii="Arial" w:hAnsi="Arial" w:cs="Arial"/>
                <w:b/>
                <w:color w:val="000000" w:themeColor="text1"/>
                <w:sz w:val="20"/>
                <w:szCs w:val="20"/>
              </w:rPr>
            </w:pPr>
            <w:r w:rsidRPr="00541CDF">
              <w:rPr>
                <w:rFonts w:ascii="Arial" w:hAnsi="Arial" w:cs="Arial"/>
                <w:b/>
                <w:sz w:val="20"/>
                <w:szCs w:val="20"/>
              </w:rPr>
              <w:t>19</w:t>
            </w:r>
            <w:r>
              <w:rPr>
                <w:rFonts w:ascii="Arial" w:hAnsi="Arial" w:cs="Arial"/>
                <w:b/>
                <w:sz w:val="20"/>
                <w:szCs w:val="20"/>
              </w:rPr>
              <w:t>.</w:t>
            </w:r>
            <w:r w:rsidRPr="00541CDF">
              <w:rPr>
                <w:rFonts w:ascii="Arial" w:hAnsi="Arial" w:cs="Arial"/>
                <w:b/>
                <w:sz w:val="20"/>
                <w:szCs w:val="20"/>
              </w:rPr>
              <w:t>3</w:t>
            </w:r>
          </w:p>
        </w:tc>
      </w:tr>
      <w:tr w:rsidR="00E263E7" w:rsidRPr="00483451" w14:paraId="2CD45DC8" w14:textId="77777777" w:rsidTr="00E263E7">
        <w:trPr>
          <w:cantSplit/>
          <w:jc w:val="center"/>
        </w:trPr>
        <w:tc>
          <w:tcPr>
            <w:tcW w:w="2694" w:type="dxa"/>
            <w:tcBorders>
              <w:top w:val="nil"/>
              <w:left w:val="nil"/>
              <w:bottom w:val="nil"/>
              <w:right w:val="nil"/>
            </w:tcBorders>
            <w:shd w:val="clear" w:color="auto" w:fill="auto"/>
            <w:vAlign w:val="center"/>
            <w:hideMark/>
          </w:tcPr>
          <w:p w14:paraId="0238CD16" w14:textId="77777777" w:rsidR="00E263E7" w:rsidRPr="00483451" w:rsidRDefault="00E263E7" w:rsidP="00255053">
            <w:pPr>
              <w:spacing w:before="60" w:after="60" w:line="264" w:lineRule="auto"/>
              <w:ind w:firstLine="176"/>
              <w:jc w:val="both"/>
              <w:rPr>
                <w:rFonts w:ascii="Arial" w:hAnsi="Arial" w:cs="Arial"/>
                <w:color w:val="000000" w:themeColor="text1"/>
                <w:sz w:val="20"/>
                <w:szCs w:val="20"/>
              </w:rPr>
            </w:pPr>
            <w:r w:rsidRPr="00483451">
              <w:rPr>
                <w:rFonts w:ascii="Arial" w:hAnsi="Arial" w:cs="Arial"/>
                <w:bCs/>
                <w:color w:val="000000" w:themeColor="text1"/>
                <w:sz w:val="20"/>
                <w:szCs w:val="20"/>
              </w:rPr>
              <w:t>Retail sale</w:t>
            </w:r>
          </w:p>
        </w:tc>
        <w:tc>
          <w:tcPr>
            <w:tcW w:w="1734" w:type="dxa"/>
            <w:tcBorders>
              <w:top w:val="nil"/>
              <w:left w:val="nil"/>
              <w:bottom w:val="nil"/>
              <w:right w:val="nil"/>
            </w:tcBorders>
            <w:shd w:val="clear" w:color="auto" w:fill="auto"/>
            <w:vAlign w:val="bottom"/>
            <w:hideMark/>
          </w:tcPr>
          <w:p w14:paraId="5820637D" w14:textId="77777777" w:rsidR="00E263E7" w:rsidRPr="00483451" w:rsidRDefault="00E263E7" w:rsidP="00255053">
            <w:pPr>
              <w:spacing w:before="60" w:after="60" w:line="264" w:lineRule="auto"/>
              <w:ind w:right="428"/>
              <w:jc w:val="right"/>
              <w:rPr>
                <w:rFonts w:ascii="Arial" w:hAnsi="Arial" w:cs="Arial"/>
                <w:color w:val="000000" w:themeColor="text1"/>
                <w:sz w:val="20"/>
                <w:szCs w:val="20"/>
              </w:rPr>
            </w:pPr>
            <w:r w:rsidRPr="00541CDF">
              <w:rPr>
                <w:rFonts w:ascii="Arial" w:hAnsi="Arial" w:cs="Arial"/>
                <w:sz w:val="20"/>
                <w:szCs w:val="20"/>
              </w:rPr>
              <w:t>376</w:t>
            </w:r>
            <w:r>
              <w:rPr>
                <w:rFonts w:ascii="Arial" w:hAnsi="Arial" w:cs="Arial"/>
                <w:sz w:val="20"/>
                <w:szCs w:val="20"/>
              </w:rPr>
              <w:t>.</w:t>
            </w:r>
            <w:r w:rsidRPr="00541CDF">
              <w:rPr>
                <w:rFonts w:ascii="Arial" w:hAnsi="Arial" w:cs="Arial"/>
                <w:sz w:val="20"/>
                <w:szCs w:val="20"/>
              </w:rPr>
              <w:t>6</w:t>
            </w:r>
          </w:p>
        </w:tc>
        <w:tc>
          <w:tcPr>
            <w:tcW w:w="1719" w:type="dxa"/>
            <w:tcBorders>
              <w:top w:val="nil"/>
              <w:left w:val="nil"/>
              <w:bottom w:val="nil"/>
              <w:right w:val="nil"/>
            </w:tcBorders>
            <w:shd w:val="clear" w:color="auto" w:fill="auto"/>
            <w:vAlign w:val="bottom"/>
            <w:hideMark/>
          </w:tcPr>
          <w:p w14:paraId="6D95897A" w14:textId="77777777" w:rsidR="00E263E7" w:rsidRPr="00483451" w:rsidRDefault="00E263E7" w:rsidP="00255053">
            <w:pPr>
              <w:spacing w:before="60" w:after="60" w:line="264" w:lineRule="auto"/>
              <w:ind w:right="351" w:hanging="27"/>
              <w:jc w:val="right"/>
              <w:rPr>
                <w:rFonts w:ascii="Arial" w:hAnsi="Arial" w:cs="Arial"/>
                <w:color w:val="000000" w:themeColor="text1"/>
                <w:sz w:val="20"/>
                <w:szCs w:val="20"/>
              </w:rPr>
            </w:pPr>
            <w:r w:rsidRPr="00541CDF">
              <w:rPr>
                <w:rFonts w:ascii="Arial" w:hAnsi="Arial" w:cs="Arial"/>
                <w:sz w:val="20"/>
                <w:szCs w:val="20"/>
              </w:rPr>
              <w:t>2</w:t>
            </w:r>
            <w:r>
              <w:rPr>
                <w:rFonts w:ascii="Arial" w:hAnsi="Arial" w:cs="Arial"/>
                <w:sz w:val="20"/>
                <w:szCs w:val="20"/>
              </w:rPr>
              <w:t>,</w:t>
            </w:r>
            <w:r w:rsidRPr="00541CDF">
              <w:rPr>
                <w:rFonts w:ascii="Arial" w:hAnsi="Arial" w:cs="Arial"/>
                <w:sz w:val="20"/>
                <w:szCs w:val="20"/>
              </w:rPr>
              <w:t>925</w:t>
            </w:r>
            <w:r>
              <w:rPr>
                <w:rFonts w:ascii="Arial" w:hAnsi="Arial" w:cs="Arial"/>
                <w:sz w:val="20"/>
                <w:szCs w:val="20"/>
              </w:rPr>
              <w:t>.</w:t>
            </w:r>
            <w:r w:rsidRPr="00541CDF">
              <w:rPr>
                <w:rFonts w:ascii="Arial" w:hAnsi="Arial" w:cs="Arial"/>
                <w:sz w:val="20"/>
                <w:szCs w:val="20"/>
              </w:rPr>
              <w:t>0</w:t>
            </w:r>
          </w:p>
        </w:tc>
        <w:tc>
          <w:tcPr>
            <w:tcW w:w="1341" w:type="dxa"/>
            <w:tcBorders>
              <w:top w:val="nil"/>
              <w:left w:val="nil"/>
              <w:bottom w:val="nil"/>
              <w:right w:val="nil"/>
            </w:tcBorders>
            <w:shd w:val="clear" w:color="auto" w:fill="auto"/>
            <w:vAlign w:val="bottom"/>
            <w:hideMark/>
          </w:tcPr>
          <w:p w14:paraId="1CC800B6" w14:textId="77777777" w:rsidR="00E263E7" w:rsidRPr="00483451" w:rsidRDefault="00E263E7" w:rsidP="00255053">
            <w:pPr>
              <w:spacing w:before="60" w:after="60" w:line="264" w:lineRule="auto"/>
              <w:jc w:val="right"/>
              <w:rPr>
                <w:rFonts w:ascii="Arial" w:hAnsi="Arial" w:cs="Arial"/>
                <w:color w:val="000000" w:themeColor="text1"/>
                <w:sz w:val="20"/>
                <w:szCs w:val="20"/>
              </w:rPr>
            </w:pPr>
            <w:r w:rsidRPr="00541CDF">
              <w:rPr>
                <w:rFonts w:ascii="Arial" w:hAnsi="Arial" w:cs="Arial"/>
                <w:sz w:val="20"/>
                <w:szCs w:val="20"/>
              </w:rPr>
              <w:t>31</w:t>
            </w:r>
            <w:r>
              <w:rPr>
                <w:rFonts w:ascii="Arial" w:hAnsi="Arial" w:cs="Arial"/>
                <w:sz w:val="20"/>
                <w:szCs w:val="20"/>
              </w:rPr>
              <w:t>.</w:t>
            </w:r>
            <w:r w:rsidRPr="00541CDF">
              <w:rPr>
                <w:rFonts w:ascii="Arial" w:hAnsi="Arial" w:cs="Arial"/>
                <w:sz w:val="20"/>
                <w:szCs w:val="20"/>
              </w:rPr>
              <w:t>9</w:t>
            </w:r>
          </w:p>
        </w:tc>
        <w:tc>
          <w:tcPr>
            <w:tcW w:w="1530" w:type="dxa"/>
            <w:gridSpan w:val="2"/>
            <w:tcBorders>
              <w:top w:val="nil"/>
              <w:left w:val="nil"/>
              <w:bottom w:val="nil"/>
              <w:right w:val="nil"/>
            </w:tcBorders>
            <w:shd w:val="clear" w:color="auto" w:fill="auto"/>
            <w:vAlign w:val="bottom"/>
            <w:hideMark/>
          </w:tcPr>
          <w:p w14:paraId="3FD01577" w14:textId="77777777" w:rsidR="00E263E7" w:rsidRPr="00483451" w:rsidRDefault="00E263E7" w:rsidP="00255053">
            <w:pPr>
              <w:spacing w:before="60" w:after="60" w:line="264" w:lineRule="auto"/>
              <w:ind w:right="252"/>
              <w:jc w:val="right"/>
              <w:rPr>
                <w:rFonts w:ascii="Arial" w:hAnsi="Arial" w:cs="Arial"/>
                <w:color w:val="000000" w:themeColor="text1"/>
                <w:sz w:val="20"/>
                <w:szCs w:val="20"/>
              </w:rPr>
            </w:pPr>
            <w:r w:rsidRPr="00541CDF">
              <w:rPr>
                <w:rFonts w:ascii="Arial" w:hAnsi="Arial" w:cs="Arial"/>
                <w:sz w:val="20"/>
                <w:szCs w:val="20"/>
              </w:rPr>
              <w:t>15</w:t>
            </w:r>
            <w:r>
              <w:rPr>
                <w:rFonts w:ascii="Arial" w:hAnsi="Arial" w:cs="Arial"/>
                <w:sz w:val="20"/>
                <w:szCs w:val="20"/>
              </w:rPr>
              <w:t>.</w:t>
            </w:r>
            <w:r w:rsidRPr="00541CDF">
              <w:rPr>
                <w:rFonts w:ascii="Arial" w:hAnsi="Arial" w:cs="Arial"/>
                <w:sz w:val="20"/>
                <w:szCs w:val="20"/>
              </w:rPr>
              <w:t>4</w:t>
            </w:r>
          </w:p>
        </w:tc>
      </w:tr>
      <w:tr w:rsidR="00E263E7" w:rsidRPr="00483451" w14:paraId="7ACCD644" w14:textId="77777777" w:rsidTr="00E263E7">
        <w:trPr>
          <w:cantSplit/>
          <w:jc w:val="center"/>
        </w:trPr>
        <w:tc>
          <w:tcPr>
            <w:tcW w:w="2694" w:type="dxa"/>
            <w:tcBorders>
              <w:top w:val="nil"/>
              <w:left w:val="nil"/>
              <w:bottom w:val="nil"/>
              <w:right w:val="nil"/>
            </w:tcBorders>
            <w:shd w:val="clear" w:color="auto" w:fill="auto"/>
            <w:vAlign w:val="center"/>
            <w:hideMark/>
          </w:tcPr>
          <w:p w14:paraId="6A1E9C8B" w14:textId="77777777" w:rsidR="00E263E7" w:rsidRPr="00483451" w:rsidRDefault="00E263E7" w:rsidP="00255053">
            <w:pPr>
              <w:spacing w:before="60" w:after="60" w:line="264" w:lineRule="auto"/>
              <w:ind w:left="192" w:hanging="16"/>
              <w:rPr>
                <w:rFonts w:ascii="Arial" w:hAnsi="Arial" w:cs="Arial"/>
                <w:color w:val="000000" w:themeColor="text1"/>
                <w:sz w:val="20"/>
                <w:szCs w:val="20"/>
              </w:rPr>
            </w:pPr>
            <w:r w:rsidRPr="00483451">
              <w:rPr>
                <w:rFonts w:ascii="Arial" w:hAnsi="Arial" w:cs="Arial"/>
                <w:bCs/>
                <w:color w:val="000000" w:themeColor="text1"/>
                <w:sz w:val="20"/>
                <w:szCs w:val="20"/>
              </w:rPr>
              <w:t>Accommodation and catering service</w:t>
            </w:r>
          </w:p>
        </w:tc>
        <w:tc>
          <w:tcPr>
            <w:tcW w:w="1734" w:type="dxa"/>
            <w:tcBorders>
              <w:top w:val="nil"/>
              <w:left w:val="nil"/>
              <w:bottom w:val="nil"/>
              <w:right w:val="nil"/>
            </w:tcBorders>
            <w:shd w:val="clear" w:color="auto" w:fill="auto"/>
            <w:vAlign w:val="bottom"/>
            <w:hideMark/>
          </w:tcPr>
          <w:p w14:paraId="33686700" w14:textId="77777777" w:rsidR="00E263E7" w:rsidRPr="00483451" w:rsidRDefault="00E263E7" w:rsidP="00255053">
            <w:pPr>
              <w:spacing w:before="60" w:after="60" w:line="264" w:lineRule="auto"/>
              <w:ind w:right="428"/>
              <w:jc w:val="right"/>
              <w:rPr>
                <w:rFonts w:ascii="Arial" w:hAnsi="Arial" w:cs="Arial"/>
                <w:color w:val="000000" w:themeColor="text1"/>
                <w:sz w:val="20"/>
                <w:szCs w:val="20"/>
              </w:rPr>
            </w:pPr>
            <w:r w:rsidRPr="00541CDF">
              <w:rPr>
                <w:rFonts w:ascii="Arial" w:hAnsi="Arial" w:cs="Arial"/>
                <w:sz w:val="20"/>
                <w:szCs w:val="20"/>
              </w:rPr>
              <w:t>53</w:t>
            </w:r>
            <w:r>
              <w:rPr>
                <w:rFonts w:ascii="Arial" w:hAnsi="Arial" w:cs="Arial"/>
                <w:sz w:val="20"/>
                <w:szCs w:val="20"/>
              </w:rPr>
              <w:t>.</w:t>
            </w:r>
            <w:r w:rsidRPr="00541CDF">
              <w:rPr>
                <w:rFonts w:ascii="Arial" w:hAnsi="Arial" w:cs="Arial"/>
                <w:sz w:val="20"/>
                <w:szCs w:val="20"/>
              </w:rPr>
              <w:t>5</w:t>
            </w:r>
          </w:p>
        </w:tc>
        <w:tc>
          <w:tcPr>
            <w:tcW w:w="1719" w:type="dxa"/>
            <w:tcBorders>
              <w:top w:val="nil"/>
              <w:left w:val="nil"/>
              <w:bottom w:val="nil"/>
              <w:right w:val="nil"/>
            </w:tcBorders>
            <w:shd w:val="clear" w:color="auto" w:fill="auto"/>
            <w:vAlign w:val="bottom"/>
            <w:hideMark/>
          </w:tcPr>
          <w:p w14:paraId="4744310F" w14:textId="77777777" w:rsidR="00E263E7" w:rsidRPr="00483451" w:rsidRDefault="00E263E7" w:rsidP="00255053">
            <w:pPr>
              <w:spacing w:before="60" w:after="60" w:line="264" w:lineRule="auto"/>
              <w:ind w:right="351" w:hanging="27"/>
              <w:jc w:val="right"/>
              <w:rPr>
                <w:rFonts w:ascii="Arial" w:hAnsi="Arial" w:cs="Arial"/>
                <w:color w:val="000000" w:themeColor="text1"/>
                <w:sz w:val="20"/>
                <w:szCs w:val="20"/>
              </w:rPr>
            </w:pPr>
            <w:r w:rsidRPr="00541CDF">
              <w:rPr>
                <w:rFonts w:ascii="Arial" w:hAnsi="Arial" w:cs="Arial"/>
                <w:sz w:val="20"/>
                <w:szCs w:val="20"/>
              </w:rPr>
              <w:t>377</w:t>
            </w:r>
            <w:r>
              <w:rPr>
                <w:rFonts w:ascii="Arial" w:hAnsi="Arial" w:cs="Arial"/>
                <w:sz w:val="20"/>
                <w:szCs w:val="20"/>
              </w:rPr>
              <w:t>.</w:t>
            </w:r>
            <w:r w:rsidRPr="00541CDF">
              <w:rPr>
                <w:rFonts w:ascii="Arial" w:hAnsi="Arial" w:cs="Arial"/>
                <w:sz w:val="20"/>
                <w:szCs w:val="20"/>
              </w:rPr>
              <w:t>8</w:t>
            </w:r>
          </w:p>
        </w:tc>
        <w:tc>
          <w:tcPr>
            <w:tcW w:w="1341" w:type="dxa"/>
            <w:tcBorders>
              <w:top w:val="nil"/>
              <w:left w:val="nil"/>
              <w:bottom w:val="nil"/>
              <w:right w:val="nil"/>
            </w:tcBorders>
            <w:shd w:val="clear" w:color="auto" w:fill="auto"/>
            <w:vAlign w:val="bottom"/>
            <w:hideMark/>
          </w:tcPr>
          <w:p w14:paraId="1E1ADFEC" w14:textId="77777777" w:rsidR="00E263E7" w:rsidRPr="00483451" w:rsidRDefault="00E263E7" w:rsidP="00255053">
            <w:pPr>
              <w:spacing w:before="60" w:after="60" w:line="264" w:lineRule="auto"/>
              <w:jc w:val="right"/>
              <w:rPr>
                <w:rFonts w:ascii="Arial" w:hAnsi="Arial" w:cs="Arial"/>
                <w:color w:val="000000" w:themeColor="text1"/>
                <w:sz w:val="20"/>
                <w:szCs w:val="20"/>
              </w:rPr>
            </w:pPr>
            <w:r w:rsidRPr="00541CDF">
              <w:rPr>
                <w:rFonts w:ascii="Arial" w:hAnsi="Arial" w:cs="Arial"/>
                <w:sz w:val="20"/>
                <w:szCs w:val="20"/>
              </w:rPr>
              <w:t>185</w:t>
            </w:r>
            <w:r>
              <w:rPr>
                <w:rFonts w:ascii="Arial" w:hAnsi="Arial" w:cs="Arial"/>
                <w:sz w:val="20"/>
                <w:szCs w:val="20"/>
              </w:rPr>
              <w:t>.</w:t>
            </w:r>
            <w:r w:rsidRPr="00541CDF">
              <w:rPr>
                <w:rFonts w:ascii="Arial" w:hAnsi="Arial" w:cs="Arial"/>
                <w:sz w:val="20"/>
                <w:szCs w:val="20"/>
              </w:rPr>
              <w:t>3</w:t>
            </w:r>
          </w:p>
        </w:tc>
        <w:tc>
          <w:tcPr>
            <w:tcW w:w="1530" w:type="dxa"/>
            <w:gridSpan w:val="2"/>
            <w:tcBorders>
              <w:top w:val="nil"/>
              <w:left w:val="nil"/>
              <w:bottom w:val="nil"/>
              <w:right w:val="nil"/>
            </w:tcBorders>
            <w:shd w:val="clear" w:color="auto" w:fill="auto"/>
            <w:vAlign w:val="bottom"/>
            <w:hideMark/>
          </w:tcPr>
          <w:p w14:paraId="080D218D" w14:textId="77777777" w:rsidR="00E263E7" w:rsidRPr="00483451" w:rsidRDefault="00E263E7" w:rsidP="00255053">
            <w:pPr>
              <w:spacing w:before="60" w:after="60" w:line="264" w:lineRule="auto"/>
              <w:ind w:right="252"/>
              <w:jc w:val="right"/>
              <w:rPr>
                <w:rFonts w:ascii="Arial" w:hAnsi="Arial" w:cs="Arial"/>
                <w:color w:val="000000" w:themeColor="text1"/>
                <w:sz w:val="20"/>
                <w:szCs w:val="20"/>
              </w:rPr>
            </w:pPr>
            <w:r w:rsidRPr="00541CDF">
              <w:rPr>
                <w:rFonts w:ascii="Arial" w:hAnsi="Arial" w:cs="Arial"/>
                <w:sz w:val="20"/>
                <w:szCs w:val="20"/>
              </w:rPr>
              <w:t>48</w:t>
            </w:r>
            <w:r>
              <w:rPr>
                <w:rFonts w:ascii="Arial" w:hAnsi="Arial" w:cs="Arial"/>
                <w:sz w:val="20"/>
                <w:szCs w:val="20"/>
              </w:rPr>
              <w:t>.</w:t>
            </w:r>
            <w:r w:rsidRPr="00541CDF">
              <w:rPr>
                <w:rFonts w:ascii="Arial" w:hAnsi="Arial" w:cs="Arial"/>
                <w:sz w:val="20"/>
                <w:szCs w:val="20"/>
              </w:rPr>
              <w:t>1</w:t>
            </w:r>
          </w:p>
        </w:tc>
      </w:tr>
      <w:tr w:rsidR="00E263E7" w:rsidRPr="00483451" w14:paraId="04C69385" w14:textId="77777777" w:rsidTr="00E263E7">
        <w:trPr>
          <w:cantSplit/>
          <w:jc w:val="center"/>
        </w:trPr>
        <w:tc>
          <w:tcPr>
            <w:tcW w:w="2694" w:type="dxa"/>
            <w:tcBorders>
              <w:top w:val="nil"/>
              <w:left w:val="nil"/>
              <w:bottom w:val="nil"/>
              <w:right w:val="nil"/>
            </w:tcBorders>
            <w:shd w:val="clear" w:color="auto" w:fill="auto"/>
            <w:vAlign w:val="center"/>
            <w:hideMark/>
          </w:tcPr>
          <w:p w14:paraId="1F44E9D0" w14:textId="77777777" w:rsidR="00E263E7" w:rsidRPr="00483451" w:rsidRDefault="00E263E7" w:rsidP="00255053">
            <w:pPr>
              <w:spacing w:before="60" w:after="60" w:line="264" w:lineRule="auto"/>
              <w:ind w:firstLine="176"/>
              <w:jc w:val="both"/>
              <w:rPr>
                <w:rFonts w:ascii="Arial" w:hAnsi="Arial" w:cs="Arial"/>
                <w:color w:val="000000" w:themeColor="text1"/>
                <w:sz w:val="20"/>
                <w:szCs w:val="20"/>
              </w:rPr>
            </w:pPr>
            <w:r w:rsidRPr="00483451">
              <w:rPr>
                <w:rFonts w:ascii="Arial" w:hAnsi="Arial" w:cs="Arial"/>
                <w:bCs/>
                <w:color w:val="000000" w:themeColor="text1"/>
                <w:sz w:val="20"/>
                <w:szCs w:val="20"/>
              </w:rPr>
              <w:t>Traveling service</w:t>
            </w:r>
          </w:p>
        </w:tc>
        <w:tc>
          <w:tcPr>
            <w:tcW w:w="1734" w:type="dxa"/>
            <w:tcBorders>
              <w:top w:val="nil"/>
              <w:left w:val="nil"/>
              <w:bottom w:val="nil"/>
              <w:right w:val="nil"/>
            </w:tcBorders>
            <w:shd w:val="clear" w:color="auto" w:fill="auto"/>
            <w:vAlign w:val="bottom"/>
            <w:hideMark/>
          </w:tcPr>
          <w:p w14:paraId="31CA94D3" w14:textId="77777777" w:rsidR="00E263E7" w:rsidRPr="00483451" w:rsidRDefault="00E263E7" w:rsidP="00255053">
            <w:pPr>
              <w:spacing w:before="60" w:after="60" w:line="264" w:lineRule="auto"/>
              <w:ind w:right="428"/>
              <w:jc w:val="right"/>
              <w:rPr>
                <w:rFonts w:ascii="Arial" w:hAnsi="Arial" w:cs="Arial"/>
                <w:color w:val="000000" w:themeColor="text1"/>
                <w:sz w:val="20"/>
                <w:szCs w:val="20"/>
              </w:rPr>
            </w:pPr>
            <w:r w:rsidRPr="00541CDF">
              <w:rPr>
                <w:rFonts w:ascii="Arial" w:hAnsi="Arial" w:cs="Arial"/>
                <w:sz w:val="20"/>
                <w:szCs w:val="20"/>
              </w:rPr>
              <w:t>3</w:t>
            </w:r>
            <w:r>
              <w:rPr>
                <w:rFonts w:ascii="Arial" w:hAnsi="Arial" w:cs="Arial"/>
                <w:sz w:val="20"/>
                <w:szCs w:val="20"/>
              </w:rPr>
              <w:t>.</w:t>
            </w:r>
            <w:r w:rsidRPr="00541CDF">
              <w:rPr>
                <w:rFonts w:ascii="Arial" w:hAnsi="Arial" w:cs="Arial"/>
                <w:sz w:val="20"/>
                <w:szCs w:val="20"/>
              </w:rPr>
              <w:t>3</w:t>
            </w:r>
          </w:p>
        </w:tc>
        <w:tc>
          <w:tcPr>
            <w:tcW w:w="1719" w:type="dxa"/>
            <w:tcBorders>
              <w:top w:val="nil"/>
              <w:left w:val="nil"/>
              <w:bottom w:val="nil"/>
              <w:right w:val="nil"/>
            </w:tcBorders>
            <w:shd w:val="clear" w:color="auto" w:fill="auto"/>
            <w:vAlign w:val="bottom"/>
            <w:hideMark/>
          </w:tcPr>
          <w:p w14:paraId="43BC2856" w14:textId="77777777" w:rsidR="00E263E7" w:rsidRPr="00483451" w:rsidRDefault="00E263E7" w:rsidP="00255053">
            <w:pPr>
              <w:spacing w:before="60" w:after="60" w:line="264" w:lineRule="auto"/>
              <w:ind w:right="351" w:hanging="27"/>
              <w:jc w:val="right"/>
              <w:rPr>
                <w:rFonts w:ascii="Arial" w:hAnsi="Arial" w:cs="Arial"/>
                <w:color w:val="000000" w:themeColor="text1"/>
                <w:sz w:val="20"/>
                <w:szCs w:val="20"/>
              </w:rPr>
            </w:pPr>
            <w:r w:rsidRPr="00541CDF">
              <w:rPr>
                <w:rFonts w:ascii="Arial" w:hAnsi="Arial" w:cs="Arial"/>
                <w:sz w:val="20"/>
                <w:szCs w:val="20"/>
              </w:rPr>
              <w:t>15</w:t>
            </w:r>
            <w:r>
              <w:rPr>
                <w:rFonts w:ascii="Arial" w:hAnsi="Arial" w:cs="Arial"/>
                <w:sz w:val="20"/>
                <w:szCs w:val="20"/>
              </w:rPr>
              <w:t>.</w:t>
            </w:r>
            <w:r w:rsidRPr="00541CDF">
              <w:rPr>
                <w:rFonts w:ascii="Arial" w:hAnsi="Arial" w:cs="Arial"/>
                <w:sz w:val="20"/>
                <w:szCs w:val="20"/>
              </w:rPr>
              <w:t>4</w:t>
            </w:r>
          </w:p>
        </w:tc>
        <w:tc>
          <w:tcPr>
            <w:tcW w:w="1341" w:type="dxa"/>
            <w:tcBorders>
              <w:top w:val="nil"/>
              <w:left w:val="nil"/>
              <w:bottom w:val="nil"/>
              <w:right w:val="nil"/>
            </w:tcBorders>
            <w:shd w:val="clear" w:color="auto" w:fill="auto"/>
            <w:vAlign w:val="bottom"/>
            <w:hideMark/>
          </w:tcPr>
          <w:p w14:paraId="2464423C" w14:textId="77777777" w:rsidR="00E263E7" w:rsidRPr="00483451" w:rsidRDefault="00E263E7" w:rsidP="00255053">
            <w:pPr>
              <w:spacing w:before="60" w:after="60" w:line="264" w:lineRule="auto"/>
              <w:jc w:val="right"/>
              <w:rPr>
                <w:rFonts w:ascii="Arial" w:hAnsi="Arial" w:cs="Arial"/>
                <w:color w:val="000000" w:themeColor="text1"/>
                <w:sz w:val="20"/>
                <w:szCs w:val="20"/>
              </w:rPr>
            </w:pPr>
            <w:r w:rsidRPr="00541CDF">
              <w:rPr>
                <w:rFonts w:ascii="Arial" w:hAnsi="Arial" w:cs="Arial"/>
                <w:sz w:val="20"/>
                <w:szCs w:val="20"/>
              </w:rPr>
              <w:t>6</w:t>
            </w:r>
            <w:r>
              <w:rPr>
                <w:rFonts w:ascii="Arial" w:hAnsi="Arial" w:cs="Arial"/>
                <w:sz w:val="20"/>
                <w:szCs w:val="20"/>
                <w:lang w:val="en-US"/>
              </w:rPr>
              <w:t>.</w:t>
            </w:r>
            <w:r w:rsidRPr="00541CDF">
              <w:rPr>
                <w:rFonts w:ascii="Arial" w:hAnsi="Arial" w:cs="Arial"/>
                <w:sz w:val="20"/>
                <w:szCs w:val="20"/>
              </w:rPr>
              <w:t>436</w:t>
            </w:r>
            <w:r>
              <w:rPr>
                <w:rFonts w:ascii="Arial" w:hAnsi="Arial" w:cs="Arial"/>
                <w:sz w:val="20"/>
                <w:szCs w:val="20"/>
              </w:rPr>
              <w:t>.</w:t>
            </w:r>
            <w:r w:rsidRPr="00541CDF">
              <w:rPr>
                <w:rFonts w:ascii="Arial" w:hAnsi="Arial" w:cs="Arial"/>
                <w:sz w:val="20"/>
                <w:szCs w:val="20"/>
              </w:rPr>
              <w:t>9</w:t>
            </w:r>
          </w:p>
        </w:tc>
        <w:tc>
          <w:tcPr>
            <w:tcW w:w="1530" w:type="dxa"/>
            <w:gridSpan w:val="2"/>
            <w:tcBorders>
              <w:top w:val="nil"/>
              <w:left w:val="nil"/>
              <w:bottom w:val="nil"/>
              <w:right w:val="nil"/>
            </w:tcBorders>
            <w:shd w:val="clear" w:color="auto" w:fill="auto"/>
            <w:vAlign w:val="bottom"/>
            <w:hideMark/>
          </w:tcPr>
          <w:p w14:paraId="354DCD37" w14:textId="77777777" w:rsidR="00E263E7" w:rsidRPr="00483451" w:rsidRDefault="00E263E7" w:rsidP="00255053">
            <w:pPr>
              <w:spacing w:before="60" w:after="60" w:line="264" w:lineRule="auto"/>
              <w:ind w:right="252"/>
              <w:jc w:val="right"/>
              <w:rPr>
                <w:rFonts w:ascii="Arial" w:hAnsi="Arial" w:cs="Arial"/>
                <w:color w:val="000000" w:themeColor="text1"/>
                <w:sz w:val="20"/>
                <w:szCs w:val="20"/>
              </w:rPr>
            </w:pPr>
            <w:r w:rsidRPr="00541CDF">
              <w:rPr>
                <w:rFonts w:ascii="Arial" w:hAnsi="Arial" w:cs="Arial"/>
                <w:sz w:val="20"/>
                <w:szCs w:val="20"/>
              </w:rPr>
              <w:t>240</w:t>
            </w:r>
            <w:r>
              <w:rPr>
                <w:rFonts w:ascii="Arial" w:hAnsi="Arial" w:cs="Arial"/>
                <w:sz w:val="20"/>
                <w:szCs w:val="20"/>
              </w:rPr>
              <w:t>.</w:t>
            </w:r>
            <w:r w:rsidRPr="00541CDF">
              <w:rPr>
                <w:rFonts w:ascii="Arial" w:hAnsi="Arial" w:cs="Arial"/>
                <w:sz w:val="20"/>
                <w:szCs w:val="20"/>
              </w:rPr>
              <w:t>1</w:t>
            </w:r>
          </w:p>
        </w:tc>
      </w:tr>
      <w:tr w:rsidR="00E263E7" w:rsidRPr="00483451" w14:paraId="5CE6D250" w14:textId="77777777" w:rsidTr="00E263E7">
        <w:trPr>
          <w:cantSplit/>
          <w:jc w:val="center"/>
        </w:trPr>
        <w:tc>
          <w:tcPr>
            <w:tcW w:w="2694" w:type="dxa"/>
            <w:tcBorders>
              <w:top w:val="nil"/>
              <w:left w:val="nil"/>
              <w:bottom w:val="single" w:sz="8" w:space="0" w:color="auto"/>
              <w:right w:val="nil"/>
            </w:tcBorders>
            <w:shd w:val="clear" w:color="auto" w:fill="auto"/>
            <w:vAlign w:val="center"/>
            <w:hideMark/>
          </w:tcPr>
          <w:p w14:paraId="5116154E" w14:textId="77777777" w:rsidR="00E263E7" w:rsidRPr="00483451" w:rsidRDefault="00E263E7" w:rsidP="00255053">
            <w:pPr>
              <w:spacing w:before="60" w:after="60" w:line="264" w:lineRule="auto"/>
              <w:ind w:firstLine="176"/>
              <w:jc w:val="both"/>
              <w:rPr>
                <w:rFonts w:ascii="Arial" w:hAnsi="Arial" w:cs="Arial"/>
                <w:color w:val="000000" w:themeColor="text1"/>
                <w:sz w:val="20"/>
                <w:szCs w:val="20"/>
              </w:rPr>
            </w:pPr>
            <w:r w:rsidRPr="00483451">
              <w:rPr>
                <w:rFonts w:ascii="Arial" w:hAnsi="Arial" w:cs="Arial"/>
                <w:bCs/>
                <w:color w:val="000000" w:themeColor="text1"/>
                <w:sz w:val="20"/>
                <w:szCs w:val="20"/>
              </w:rPr>
              <w:t>Other services</w:t>
            </w:r>
          </w:p>
        </w:tc>
        <w:tc>
          <w:tcPr>
            <w:tcW w:w="1734" w:type="dxa"/>
            <w:tcBorders>
              <w:top w:val="nil"/>
              <w:left w:val="nil"/>
              <w:bottom w:val="single" w:sz="8" w:space="0" w:color="auto"/>
              <w:right w:val="nil"/>
            </w:tcBorders>
            <w:shd w:val="clear" w:color="auto" w:fill="auto"/>
            <w:vAlign w:val="bottom"/>
            <w:hideMark/>
          </w:tcPr>
          <w:p w14:paraId="573C2FD2" w14:textId="77777777" w:rsidR="00E263E7" w:rsidRPr="00483451" w:rsidRDefault="00E263E7" w:rsidP="00255053">
            <w:pPr>
              <w:spacing w:before="60" w:after="60" w:line="264" w:lineRule="auto"/>
              <w:ind w:right="428"/>
              <w:jc w:val="right"/>
              <w:rPr>
                <w:rFonts w:ascii="Arial" w:hAnsi="Arial" w:cs="Arial"/>
                <w:color w:val="000000" w:themeColor="text1"/>
                <w:sz w:val="20"/>
                <w:szCs w:val="20"/>
              </w:rPr>
            </w:pPr>
            <w:r w:rsidRPr="00541CDF">
              <w:rPr>
                <w:rFonts w:ascii="Arial" w:hAnsi="Arial" w:cs="Arial"/>
                <w:sz w:val="20"/>
                <w:szCs w:val="20"/>
              </w:rPr>
              <w:t>47</w:t>
            </w:r>
            <w:r>
              <w:rPr>
                <w:rFonts w:ascii="Arial" w:hAnsi="Arial" w:cs="Arial"/>
                <w:sz w:val="20"/>
                <w:szCs w:val="20"/>
              </w:rPr>
              <w:t>.8</w:t>
            </w:r>
          </w:p>
        </w:tc>
        <w:tc>
          <w:tcPr>
            <w:tcW w:w="1719" w:type="dxa"/>
            <w:tcBorders>
              <w:top w:val="nil"/>
              <w:left w:val="nil"/>
              <w:bottom w:val="single" w:sz="8" w:space="0" w:color="auto"/>
              <w:right w:val="nil"/>
            </w:tcBorders>
            <w:shd w:val="clear" w:color="auto" w:fill="auto"/>
            <w:vAlign w:val="bottom"/>
            <w:hideMark/>
          </w:tcPr>
          <w:p w14:paraId="3B036700" w14:textId="77777777" w:rsidR="00E263E7" w:rsidRPr="00483451" w:rsidRDefault="00E263E7" w:rsidP="00255053">
            <w:pPr>
              <w:spacing w:before="60" w:after="60" w:line="264" w:lineRule="auto"/>
              <w:ind w:right="351" w:hanging="27"/>
              <w:jc w:val="right"/>
              <w:rPr>
                <w:rFonts w:ascii="Arial" w:hAnsi="Arial" w:cs="Arial"/>
                <w:color w:val="000000" w:themeColor="text1"/>
                <w:sz w:val="20"/>
                <w:szCs w:val="20"/>
              </w:rPr>
            </w:pPr>
            <w:r w:rsidRPr="00541CDF">
              <w:rPr>
                <w:rFonts w:ascii="Arial" w:hAnsi="Arial" w:cs="Arial"/>
                <w:sz w:val="20"/>
                <w:szCs w:val="20"/>
              </w:rPr>
              <w:t>361</w:t>
            </w:r>
            <w:r>
              <w:rPr>
                <w:rFonts w:ascii="Arial" w:hAnsi="Arial" w:cs="Arial"/>
                <w:sz w:val="20"/>
                <w:szCs w:val="20"/>
              </w:rPr>
              <w:t>.</w:t>
            </w:r>
            <w:r w:rsidRPr="00541CDF">
              <w:rPr>
                <w:rFonts w:ascii="Arial" w:hAnsi="Arial" w:cs="Arial"/>
                <w:sz w:val="20"/>
                <w:szCs w:val="20"/>
              </w:rPr>
              <w:t>0</w:t>
            </w:r>
          </w:p>
        </w:tc>
        <w:tc>
          <w:tcPr>
            <w:tcW w:w="1341" w:type="dxa"/>
            <w:tcBorders>
              <w:top w:val="nil"/>
              <w:left w:val="nil"/>
              <w:bottom w:val="single" w:sz="8" w:space="0" w:color="auto"/>
              <w:right w:val="nil"/>
            </w:tcBorders>
            <w:shd w:val="clear" w:color="auto" w:fill="auto"/>
            <w:vAlign w:val="bottom"/>
            <w:hideMark/>
          </w:tcPr>
          <w:p w14:paraId="0C93516E" w14:textId="77777777" w:rsidR="00E263E7" w:rsidRPr="00483451" w:rsidRDefault="00E263E7" w:rsidP="00255053">
            <w:pPr>
              <w:spacing w:before="60" w:after="60" w:line="264" w:lineRule="auto"/>
              <w:jc w:val="right"/>
              <w:rPr>
                <w:rFonts w:ascii="Arial" w:hAnsi="Arial" w:cs="Arial"/>
                <w:color w:val="000000" w:themeColor="text1"/>
                <w:sz w:val="20"/>
                <w:szCs w:val="20"/>
              </w:rPr>
            </w:pPr>
            <w:r w:rsidRPr="00541CDF">
              <w:rPr>
                <w:rFonts w:ascii="Arial" w:hAnsi="Arial" w:cs="Arial"/>
                <w:sz w:val="20"/>
                <w:szCs w:val="20"/>
              </w:rPr>
              <w:t>197</w:t>
            </w:r>
            <w:r>
              <w:rPr>
                <w:rFonts w:ascii="Arial" w:hAnsi="Arial" w:cs="Arial"/>
                <w:sz w:val="20"/>
                <w:szCs w:val="20"/>
              </w:rPr>
              <w:t>.</w:t>
            </w:r>
            <w:r w:rsidRPr="00541CDF">
              <w:rPr>
                <w:rFonts w:ascii="Arial" w:hAnsi="Arial" w:cs="Arial"/>
                <w:sz w:val="20"/>
                <w:szCs w:val="20"/>
              </w:rPr>
              <w:t>2</w:t>
            </w:r>
          </w:p>
        </w:tc>
        <w:tc>
          <w:tcPr>
            <w:tcW w:w="1530" w:type="dxa"/>
            <w:gridSpan w:val="2"/>
            <w:tcBorders>
              <w:top w:val="nil"/>
              <w:left w:val="nil"/>
              <w:bottom w:val="single" w:sz="8" w:space="0" w:color="auto"/>
              <w:right w:val="nil"/>
            </w:tcBorders>
            <w:shd w:val="clear" w:color="auto" w:fill="auto"/>
            <w:vAlign w:val="bottom"/>
            <w:hideMark/>
          </w:tcPr>
          <w:p w14:paraId="0AA7A80E" w14:textId="77777777" w:rsidR="00E263E7" w:rsidRPr="00483451" w:rsidRDefault="00E263E7" w:rsidP="00255053">
            <w:pPr>
              <w:spacing w:before="60" w:after="60" w:line="264" w:lineRule="auto"/>
              <w:ind w:right="252"/>
              <w:jc w:val="right"/>
              <w:rPr>
                <w:rFonts w:ascii="Arial" w:hAnsi="Arial" w:cs="Arial"/>
                <w:color w:val="000000" w:themeColor="text1"/>
                <w:sz w:val="20"/>
                <w:szCs w:val="20"/>
              </w:rPr>
            </w:pPr>
            <w:r w:rsidRPr="00541CDF">
              <w:rPr>
                <w:rFonts w:ascii="Arial" w:hAnsi="Arial" w:cs="Arial"/>
                <w:sz w:val="20"/>
                <w:szCs w:val="20"/>
              </w:rPr>
              <w:t>24</w:t>
            </w:r>
            <w:r>
              <w:rPr>
                <w:rFonts w:ascii="Arial" w:hAnsi="Arial" w:cs="Arial"/>
                <w:sz w:val="20"/>
                <w:szCs w:val="20"/>
              </w:rPr>
              <w:t>.</w:t>
            </w:r>
            <w:r w:rsidRPr="00541CDF">
              <w:rPr>
                <w:rFonts w:ascii="Arial" w:hAnsi="Arial" w:cs="Arial"/>
                <w:sz w:val="20"/>
                <w:szCs w:val="20"/>
              </w:rPr>
              <w:t>2</w:t>
            </w:r>
          </w:p>
        </w:tc>
      </w:tr>
      <w:bookmarkEnd w:id="7"/>
    </w:tbl>
    <w:p w14:paraId="2A7F99AC" w14:textId="77777777" w:rsidR="00E263E7" w:rsidRDefault="00E263E7" w:rsidP="00395EF1">
      <w:pPr>
        <w:pStyle w:val="ListParagraph"/>
        <w:spacing w:before="40" w:after="40" w:line="264" w:lineRule="auto"/>
        <w:ind w:left="0" w:firstLine="567"/>
        <w:jc w:val="both"/>
        <w:rPr>
          <w:spacing w:val="-6"/>
        </w:rPr>
      </w:pPr>
    </w:p>
    <w:p w14:paraId="2990935A" w14:textId="2932825D" w:rsidR="00BE564C" w:rsidRPr="00483451" w:rsidRDefault="00C0159C" w:rsidP="00BE564C">
      <w:pPr>
        <w:pStyle w:val="HTMLPreformatted"/>
        <w:spacing w:line="288" w:lineRule="auto"/>
        <w:jc w:val="both"/>
        <w:rPr>
          <w:rFonts w:ascii="Times New Roman" w:hAnsi="Times New Roman" w:cs="Times New Roman"/>
          <w:color w:val="000000" w:themeColor="text1"/>
          <w:sz w:val="28"/>
          <w:szCs w:val="28"/>
          <w:lang w:val="vi-VN"/>
        </w:rPr>
      </w:pPr>
      <w:bookmarkStart w:id="8" w:name="_Hlk110956318"/>
      <w:r>
        <w:rPr>
          <w:rFonts w:ascii="Times New Roman" w:hAnsi="Times New Roman" w:cs="Times New Roman"/>
          <w:color w:val="000000" w:themeColor="text1"/>
          <w:sz w:val="28"/>
          <w:szCs w:val="28"/>
          <w:lang w:val="vi-VN"/>
        </w:rPr>
        <w:tab/>
      </w:r>
      <w:r w:rsidR="00BE564C" w:rsidRPr="009F16B3">
        <w:rPr>
          <w:rFonts w:ascii="Times New Roman" w:hAnsi="Times New Roman" w:cs="Times New Roman"/>
          <w:color w:val="000000" w:themeColor="text1"/>
          <w:sz w:val="28"/>
          <w:szCs w:val="28"/>
          <w:lang w:val="vi-VN"/>
        </w:rPr>
        <w:t>Total retail sales of consumer goods and services in 8 months</w:t>
      </w:r>
      <w:r w:rsidR="00BE564C" w:rsidRPr="009F16B3">
        <w:rPr>
          <w:rFonts w:ascii="Times New Roman" w:hAnsi="Times New Roman" w:cs="Times New Roman"/>
          <w:color w:val="000000" w:themeColor="text1"/>
          <w:sz w:val="28"/>
          <w:szCs w:val="28"/>
        </w:rPr>
        <w:t xml:space="preserve"> </w:t>
      </w:r>
      <w:r w:rsidR="00BE564C" w:rsidRPr="009F16B3">
        <w:rPr>
          <w:rFonts w:ascii="Times New Roman" w:hAnsi="Times New Roman" w:cs="Times New Roman"/>
          <w:color w:val="000000" w:themeColor="text1"/>
          <w:sz w:val="28"/>
          <w:szCs w:val="28"/>
          <w:lang w:val="vi-VN"/>
        </w:rPr>
        <w:t xml:space="preserve">of 2022 </w:t>
      </w:r>
      <w:r w:rsidR="00BE564C" w:rsidRPr="009F16B3">
        <w:rPr>
          <w:rFonts w:ascii="Times New Roman" w:hAnsi="Times New Roman" w:cs="Times New Roman"/>
          <w:color w:val="000000" w:themeColor="text1"/>
          <w:sz w:val="28"/>
          <w:szCs w:val="28"/>
        </w:rPr>
        <w:t>were</w:t>
      </w:r>
      <w:r w:rsidR="00BE564C" w:rsidRPr="009F16B3">
        <w:rPr>
          <w:rFonts w:ascii="Times New Roman" w:hAnsi="Times New Roman" w:cs="Times New Roman"/>
          <w:color w:val="000000" w:themeColor="text1"/>
          <w:sz w:val="28"/>
          <w:szCs w:val="28"/>
          <w:lang w:val="vi-VN"/>
        </w:rPr>
        <w:t xml:space="preserve"> higher in scale and are gradually catching up with the growth rate of the same period in </w:t>
      </w:r>
      <w:r w:rsidR="00BE564C" w:rsidRPr="009F16B3">
        <w:rPr>
          <w:rStyle w:val="y2iqfc"/>
          <w:rFonts w:ascii="inherit" w:hAnsi="inherit"/>
          <w:color w:val="202124"/>
          <w:sz w:val="28"/>
          <w:szCs w:val="28"/>
          <w:lang w:val="en"/>
        </w:rPr>
        <w:t>in recent years</w:t>
      </w:r>
      <w:r w:rsidR="00BE564C" w:rsidRPr="00483451">
        <w:rPr>
          <w:rStyle w:val="FootnoteReference"/>
          <w:color w:val="000000" w:themeColor="text1"/>
        </w:rPr>
        <w:t xml:space="preserve"> </w:t>
      </w:r>
      <w:r w:rsidR="00BE564C" w:rsidRPr="00483451">
        <w:rPr>
          <w:rStyle w:val="FootnoteReference"/>
          <w:color w:val="000000" w:themeColor="text1"/>
        </w:rPr>
        <w:footnoteReference w:id="13"/>
      </w:r>
      <w:r w:rsidR="00BE564C" w:rsidRPr="00483451">
        <w:rPr>
          <w:rFonts w:ascii="Times New Roman" w:hAnsi="Times New Roman" w:cs="Times New Roman"/>
          <w:color w:val="000000" w:themeColor="text1"/>
          <w:sz w:val="28"/>
          <w:szCs w:val="28"/>
          <w:lang w:val="vi-VN"/>
        </w:rPr>
        <w:t>.</w:t>
      </w:r>
    </w:p>
    <w:bookmarkEnd w:id="8"/>
    <w:p w14:paraId="28DFF010" w14:textId="77777777" w:rsidR="00395EF1" w:rsidRPr="00F07E0B" w:rsidRDefault="00395EF1" w:rsidP="00395EF1">
      <w:pPr>
        <w:spacing w:before="40" w:after="40" w:line="252" w:lineRule="auto"/>
        <w:jc w:val="center"/>
        <w:rPr>
          <w:rFonts w:ascii="Arial" w:hAnsi="Arial" w:cs="Arial"/>
          <w:b/>
          <w:bCs/>
          <w:sz w:val="4"/>
          <w:szCs w:val="24"/>
          <w:lang w:val="it-IT"/>
        </w:rPr>
      </w:pPr>
    </w:p>
    <w:p w14:paraId="056B12CE" w14:textId="39D68556" w:rsidR="00B724C9" w:rsidRDefault="00B724C9" w:rsidP="00B724C9">
      <w:pPr>
        <w:spacing w:before="60" w:after="60"/>
        <w:jc w:val="center"/>
        <w:rPr>
          <w:b/>
          <w:bCs/>
          <w:color w:val="000000" w:themeColor="text1"/>
          <w:lang w:val="it-IT"/>
        </w:rPr>
      </w:pPr>
      <w:r w:rsidRPr="00483451">
        <w:rPr>
          <w:b/>
          <w:color w:val="000000" w:themeColor="text1"/>
        </w:rPr>
        <w:t>Figure</w:t>
      </w:r>
      <w:r w:rsidRPr="00483451">
        <w:rPr>
          <w:b/>
          <w:bCs/>
          <w:color w:val="000000" w:themeColor="text1"/>
          <w:lang w:val="it-IT"/>
        </w:rPr>
        <w:t xml:space="preserve">11. </w:t>
      </w:r>
      <w:r w:rsidRPr="00483451">
        <w:rPr>
          <w:rStyle w:val="y2iqfc"/>
          <w:rFonts w:eastAsia="Calibri"/>
          <w:b/>
          <w:color w:val="000000" w:themeColor="text1"/>
        </w:rPr>
        <w:t xml:space="preserve">Total retail sales of consumer goods and services </w:t>
      </w:r>
      <w:r w:rsidRPr="00483451">
        <w:rPr>
          <w:rStyle w:val="y2iqfc"/>
          <w:rFonts w:eastAsia="Calibri"/>
          <w:b/>
          <w:color w:val="000000" w:themeColor="text1"/>
        </w:rPr>
        <w:br/>
        <w:t xml:space="preserve">in </w:t>
      </w:r>
      <w:r>
        <w:rPr>
          <w:rStyle w:val="y2iqfc"/>
          <w:rFonts w:eastAsia="Calibri"/>
          <w:b/>
          <w:color w:val="000000" w:themeColor="text1"/>
          <w:lang w:val="en-US"/>
        </w:rPr>
        <w:t>8</w:t>
      </w:r>
      <w:r w:rsidRPr="00483451">
        <w:rPr>
          <w:rStyle w:val="y2iqfc"/>
          <w:rFonts w:eastAsia="Calibri"/>
          <w:b/>
          <w:color w:val="000000" w:themeColor="text1"/>
        </w:rPr>
        <w:t xml:space="preserve"> months from </w:t>
      </w:r>
      <w:r w:rsidRPr="00483451">
        <w:rPr>
          <w:b/>
          <w:bCs/>
          <w:color w:val="000000" w:themeColor="text1"/>
          <w:lang w:val="it-IT"/>
        </w:rPr>
        <w:t>2018-2022</w:t>
      </w:r>
    </w:p>
    <w:p w14:paraId="2F356988" w14:textId="57A01412" w:rsidR="00395EF1" w:rsidRPr="00211930" w:rsidRDefault="00493EE4" w:rsidP="00395EF1">
      <w:pPr>
        <w:spacing w:before="40" w:after="40" w:line="252" w:lineRule="auto"/>
        <w:jc w:val="center"/>
        <w:rPr>
          <w:b/>
          <w:bCs/>
          <w:lang w:val="it-IT"/>
        </w:rPr>
      </w:pPr>
      <w:r>
        <w:rPr>
          <w:noProof/>
          <w:lang w:val="en-US"/>
        </w:rPr>
        <w:drawing>
          <wp:inline distT="0" distB="0" distL="0" distR="0" wp14:anchorId="2407E831" wp14:editId="22D4C541">
            <wp:extent cx="5443855" cy="3253740"/>
            <wp:effectExtent l="0" t="0" r="4445" b="3810"/>
            <wp:docPr id="22" name="Picture 22"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waterfall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3855" cy="3253740"/>
                    </a:xfrm>
                    <a:prstGeom prst="rect">
                      <a:avLst/>
                    </a:prstGeom>
                    <a:noFill/>
                    <a:ln>
                      <a:noFill/>
                    </a:ln>
                  </pic:spPr>
                </pic:pic>
              </a:graphicData>
            </a:graphic>
          </wp:inline>
        </w:drawing>
      </w:r>
    </w:p>
    <w:p w14:paraId="67C3C917" w14:textId="77777777" w:rsidR="00057AE6" w:rsidRDefault="00E11B4A" w:rsidP="007058D9">
      <w:pPr>
        <w:pStyle w:val="ListParagraph"/>
        <w:spacing w:before="40" w:after="40" w:line="288" w:lineRule="auto"/>
        <w:ind w:left="0" w:firstLine="567"/>
        <w:jc w:val="both"/>
        <w:rPr>
          <w:bCs/>
          <w:spacing w:val="-2"/>
        </w:rPr>
      </w:pPr>
      <w:r>
        <w:rPr>
          <w:rStyle w:val="Emphasis"/>
          <w:color w:val="0E101A"/>
        </w:rPr>
        <w:lastRenderedPageBreak/>
        <w:t>Retail sales of goods</w:t>
      </w:r>
      <w:r>
        <w:t> in 8 months in 2022 were estimated at 2,925 trillion VND, an increase of 15.4% over the same period last year (if excluding the price factor, it was an increase of 11.3%), mainly due to low revenue in the same period last year due to the impact of the Covid-19 epidemic</w:t>
      </w:r>
      <w:r w:rsidR="00395EF1" w:rsidRPr="00705C44">
        <w:rPr>
          <w:rStyle w:val="FootnoteReference"/>
          <w:bCs/>
          <w:spacing w:val="-2"/>
        </w:rPr>
        <w:footnoteReference w:id="14"/>
      </w:r>
      <w:r w:rsidR="00395EF1" w:rsidRPr="00705C44">
        <w:rPr>
          <w:bCs/>
          <w:spacing w:val="-2"/>
        </w:rPr>
        <w:t xml:space="preserve">. </w:t>
      </w:r>
      <w:r w:rsidR="00057AE6" w:rsidRPr="00057AE6">
        <w:rPr>
          <w:bCs/>
          <w:spacing w:val="-2"/>
        </w:rPr>
        <w:t>Of which, cultural and educational products increased by 26.7%; garments up 14.4%; vehicles (except for cars) increased by 14.1%; food and foodstuffs increased by 12%; household appliances, tools, and equipment up 7.6%. Retail sales of goods in 8 months of the year compared with the same period last year in some localities: Khanh Hoa increased by 27.8%; Ho Chi Minh city increased by 18.2%, Binh Duong increased by 16.6%; Hai Phong increased 12.8%; Quang Ninh increased by 12.2%; Hanoi increased by 10.7%; Can Tho increased by 8.8%; Da Nang increased by 6.7%.</w:t>
      </w:r>
    </w:p>
    <w:p w14:paraId="3D111623" w14:textId="55EA0230" w:rsidR="00AB12D4" w:rsidRDefault="00BC6B28" w:rsidP="007058D9">
      <w:pPr>
        <w:pStyle w:val="ListParagraph"/>
        <w:spacing w:before="40" w:after="40" w:line="288" w:lineRule="auto"/>
        <w:ind w:left="0" w:firstLine="567"/>
        <w:jc w:val="both"/>
        <w:rPr>
          <w:bCs/>
          <w:shd w:val="clear" w:color="auto" w:fill="FFFFFF"/>
          <w:lang w:val="nl-NL"/>
        </w:rPr>
      </w:pPr>
      <w:r w:rsidRPr="00BC6B28">
        <w:rPr>
          <w:bCs/>
          <w:i/>
          <w:lang w:val="nl-NL"/>
        </w:rPr>
        <w:t xml:space="preserve">Revenue from accommodation and food services </w:t>
      </w:r>
      <w:r w:rsidRPr="00BC6B28">
        <w:rPr>
          <w:bCs/>
          <w:iCs/>
          <w:lang w:val="nl-NL"/>
        </w:rPr>
        <w:t>in the 8 months of 2022 was estimated at 377.8 trillion VND, up 48.1% over the same period last due to the high demand for entertainment and tourism of the people in the summer after more than 2 years of restricting travel and eating outside the family</w:t>
      </w:r>
      <w:r w:rsidR="00395EF1">
        <w:rPr>
          <w:rStyle w:val="FootnoteReference"/>
          <w:bCs/>
          <w:shd w:val="clear" w:color="auto" w:fill="FFFFFF"/>
          <w:lang w:val="nl-NL"/>
        </w:rPr>
        <w:footnoteReference w:id="15"/>
      </w:r>
      <w:r w:rsidR="00395EF1" w:rsidRPr="004C4A1E">
        <w:rPr>
          <w:bCs/>
          <w:shd w:val="clear" w:color="auto" w:fill="FFFFFF"/>
          <w:lang w:val="nl-NL"/>
        </w:rPr>
        <w:t xml:space="preserve">. </w:t>
      </w:r>
      <w:r w:rsidR="00AB12D4">
        <w:rPr>
          <w:bCs/>
          <w:shd w:val="clear" w:color="auto" w:fill="FFFFFF"/>
          <w:lang w:val="nl-NL"/>
        </w:rPr>
        <w:t>Of which</w:t>
      </w:r>
      <w:r w:rsidR="00AB12D4" w:rsidRPr="00AB12D4">
        <w:rPr>
          <w:bCs/>
          <w:shd w:val="clear" w:color="auto" w:fill="FFFFFF"/>
          <w:lang w:val="nl-NL"/>
        </w:rPr>
        <w:t>, the revenue of some localities was as follows: Can Tho increased by 95.5%; Da Nang increased by 84%; Ho Chi Minh City increased by 76.3%; Quang Ninh increased by 72%; Hanoi increased by 65.2%; Dong Nai increased by 37.2%; Binh Duong increased 36.4%.</w:t>
      </w:r>
    </w:p>
    <w:p w14:paraId="13206E35" w14:textId="61C6AD87" w:rsidR="00395EF1" w:rsidRPr="007058D9" w:rsidRDefault="004E4BE1" w:rsidP="007058D9">
      <w:pPr>
        <w:pStyle w:val="ListParagraph"/>
        <w:spacing w:before="40" w:after="40" w:line="288" w:lineRule="auto"/>
        <w:ind w:left="0" w:firstLine="567"/>
        <w:jc w:val="both"/>
        <w:rPr>
          <w:spacing w:val="-2"/>
          <w:lang w:val="nl-NL"/>
        </w:rPr>
      </w:pPr>
      <w:r>
        <w:rPr>
          <w:rStyle w:val="Emphasis"/>
        </w:rPr>
        <w:t>Traveling and tourism revenue</w:t>
      </w:r>
      <w:r>
        <w:t xml:space="preserve"> in the 8 months of 2022 was estimated at 15.4 trillion VND, 3.4 times higher than the same period last year due to the strong recovery of tourism activity</w:t>
      </w:r>
      <w:r w:rsidR="00395EF1" w:rsidRPr="007058D9">
        <w:rPr>
          <w:rStyle w:val="FootnoteReference"/>
          <w:bCs/>
          <w:spacing w:val="-2"/>
          <w:lang w:val="nl-NL"/>
        </w:rPr>
        <w:footnoteReference w:id="16"/>
      </w:r>
      <w:r w:rsidR="00140352">
        <w:rPr>
          <w:lang w:val="en-US"/>
        </w:rPr>
        <w:t xml:space="preserve">. </w:t>
      </w:r>
      <w:r w:rsidR="00140352" w:rsidRPr="00140352">
        <w:t>The revenue in 8 months of some localities was as follows: Can Tho increased by 621.5%; Da Nang increased by 471.3%; Hanoi increased by 335.8%; Hai Phong increased by 177.9%; Ho Chi Minh City increased by 127.6 percent. However, traveling and tourism revenue in the 8 months of this year was only 47.7% compared to the same period in 2019.</w:t>
      </w:r>
    </w:p>
    <w:p w14:paraId="5E309F4C" w14:textId="51226861" w:rsidR="00395EF1" w:rsidRDefault="008560F3" w:rsidP="00623BE5">
      <w:pPr>
        <w:pStyle w:val="ListParagraph"/>
        <w:spacing w:before="40" w:after="40"/>
        <w:ind w:left="0" w:firstLine="567"/>
        <w:jc w:val="both"/>
        <w:rPr>
          <w:rStyle w:val="Strong"/>
          <w:i/>
          <w:color w:val="000000" w:themeColor="text1"/>
          <w:lang w:val="de-DE"/>
        </w:rPr>
      </w:pPr>
      <w:r>
        <w:rPr>
          <w:rStyle w:val="Emphasis"/>
          <w:color w:val="0E101A"/>
        </w:rPr>
        <w:t>Revenue from other services</w:t>
      </w:r>
      <w:r>
        <w:t> in the 8 months of 2022 was estimated at 361 trillion VND, up 24.2% compared to the same period last year</w:t>
      </w:r>
      <w:r w:rsidR="00395EF1">
        <w:rPr>
          <w:rStyle w:val="FootnoteReference"/>
          <w:bCs/>
          <w:lang w:val="nl-NL"/>
        </w:rPr>
        <w:footnoteReference w:id="17"/>
      </w:r>
      <w:r w:rsidR="00395EF1">
        <w:rPr>
          <w:bCs/>
          <w:lang w:val="nl-NL"/>
        </w:rPr>
        <w:t xml:space="preserve">. </w:t>
      </w:r>
      <w:r w:rsidRPr="008560F3">
        <w:rPr>
          <w:bCs/>
          <w:lang w:val="nl-NL"/>
        </w:rPr>
        <w:t xml:space="preserve">Specifically, the increase in the 8 months compared to the same period last year of some localities was as follows: Da Nang increased by 69%; Vung Tau increased by 53.1%; Can Tho increased by 44.5%; Binh Dinh increased by 38.4%; Hanoi increased by </w:t>
      </w:r>
      <w:r w:rsidRPr="008560F3">
        <w:rPr>
          <w:bCs/>
          <w:lang w:val="nl-NL"/>
        </w:rPr>
        <w:lastRenderedPageBreak/>
        <w:t>22.7%; Quang Ninh increased by 21.5%; Hai Phong increased by 16.4%; Ho Chi Minh City increased by 14.6%.</w:t>
      </w:r>
    </w:p>
    <w:bookmarkEnd w:id="4"/>
    <w:bookmarkEnd w:id="5"/>
    <w:p w14:paraId="6F1E7142" w14:textId="71E0DA64" w:rsidR="00540EF1" w:rsidRPr="00712A2A" w:rsidRDefault="00540EF1" w:rsidP="00540EF1">
      <w:pPr>
        <w:tabs>
          <w:tab w:val="left" w:pos="900"/>
          <w:tab w:val="left" w:pos="9475"/>
        </w:tabs>
        <w:spacing w:before="40" w:after="40" w:line="288" w:lineRule="auto"/>
        <w:ind w:right="119" w:firstLine="567"/>
        <w:jc w:val="both"/>
        <w:rPr>
          <w:rStyle w:val="Strong"/>
          <w:i/>
          <w:color w:val="000000" w:themeColor="text1"/>
          <w:lang w:val="de-DE"/>
        </w:rPr>
      </w:pPr>
      <w:r w:rsidRPr="00712A2A">
        <w:rPr>
          <w:rStyle w:val="Strong"/>
          <w:i/>
          <w:color w:val="000000" w:themeColor="text1"/>
          <w:lang w:val="de-DE"/>
        </w:rPr>
        <w:t>b</w:t>
      </w:r>
      <w:r>
        <w:rPr>
          <w:rStyle w:val="Strong"/>
          <w:i/>
          <w:color w:val="000000" w:themeColor="text1"/>
          <w:lang w:val="en-GB"/>
        </w:rPr>
        <w:t>)</w:t>
      </w:r>
      <w:r w:rsidRPr="00712A2A">
        <w:rPr>
          <w:rStyle w:val="Strong"/>
          <w:i/>
          <w:color w:val="000000" w:themeColor="text1"/>
          <w:lang w:val="de-DE"/>
        </w:rPr>
        <w:t xml:space="preserve"> </w:t>
      </w:r>
      <w:r w:rsidR="00B36EBE" w:rsidRPr="00BF0DCD">
        <w:rPr>
          <w:rStyle w:val="Strong"/>
          <w:i/>
          <w:iCs/>
          <w:lang w:val="en-US"/>
        </w:rPr>
        <w:t>Export and import of goods</w:t>
      </w:r>
      <w:r w:rsidR="00B36EBE" w:rsidRPr="00712A2A">
        <w:rPr>
          <w:rStyle w:val="FootnoteReference"/>
          <w:i/>
          <w:lang w:val="de-DE"/>
        </w:rPr>
        <w:t xml:space="preserve"> </w:t>
      </w:r>
      <w:r w:rsidRPr="00712A2A">
        <w:rPr>
          <w:rStyle w:val="FootnoteReference"/>
          <w:i/>
          <w:lang w:val="de-DE"/>
        </w:rPr>
        <w:footnoteReference w:id="18"/>
      </w:r>
    </w:p>
    <w:p w14:paraId="550FA963" w14:textId="50E32D00" w:rsidR="00545943" w:rsidRDefault="00545943" w:rsidP="00545943">
      <w:pPr>
        <w:tabs>
          <w:tab w:val="left" w:pos="900"/>
          <w:tab w:val="left" w:pos="9475"/>
        </w:tabs>
        <w:spacing w:before="20" w:after="20" w:line="264" w:lineRule="auto"/>
        <w:ind w:right="119" w:firstLine="567"/>
        <w:jc w:val="both"/>
        <w:rPr>
          <w:rFonts w:ascii="Times New Roman Italic" w:hAnsi="Times New Roman Italic"/>
          <w:i/>
          <w:lang w:val="es-NI"/>
        </w:rPr>
      </w:pPr>
      <w:r w:rsidRPr="00CB66F1">
        <w:rPr>
          <w:rFonts w:ascii="Times New Roman Italic" w:hAnsi="Times New Roman Italic"/>
          <w:i/>
          <w:lang w:val="de-DE"/>
        </w:rPr>
        <w:t xml:space="preserve">In </w:t>
      </w:r>
      <w:r>
        <w:rPr>
          <w:rFonts w:ascii="Times New Roman Italic" w:hAnsi="Times New Roman Italic"/>
          <w:i/>
          <w:lang w:val="de-DE"/>
        </w:rPr>
        <w:t>August</w:t>
      </w:r>
      <w:r w:rsidRPr="00CB66F1">
        <w:rPr>
          <w:rFonts w:ascii="Times New Roman Italic" w:hAnsi="Times New Roman Italic"/>
          <w:i/>
          <w:lang w:val="de-DE"/>
        </w:rPr>
        <w:t xml:space="preserve"> 2022, the total </w:t>
      </w:r>
      <w:r>
        <w:rPr>
          <w:rFonts w:ascii="Times New Roman Italic" w:hAnsi="Times New Roman Italic"/>
          <w:i/>
          <w:lang w:val="de-DE"/>
        </w:rPr>
        <w:t>ex</w:t>
      </w:r>
      <w:r w:rsidRPr="00CB66F1">
        <w:rPr>
          <w:rFonts w:ascii="Times New Roman Italic" w:hAnsi="Times New Roman Italic"/>
          <w:i/>
          <w:lang w:val="de-DE"/>
        </w:rPr>
        <w:t xml:space="preserve">port and </w:t>
      </w:r>
      <w:r>
        <w:rPr>
          <w:rFonts w:ascii="Times New Roman Italic" w:hAnsi="Times New Roman Italic"/>
          <w:i/>
          <w:lang w:val="de-DE"/>
        </w:rPr>
        <w:t>im</w:t>
      </w:r>
      <w:r w:rsidRPr="00CB66F1">
        <w:rPr>
          <w:rFonts w:ascii="Times New Roman Italic" w:hAnsi="Times New Roman Italic"/>
          <w:i/>
          <w:lang w:val="de-DE"/>
        </w:rPr>
        <w:t xml:space="preserve">port turnover estimated at </w:t>
      </w:r>
      <w:r>
        <w:rPr>
          <w:rFonts w:ascii="Times New Roman Italic" w:hAnsi="Times New Roman Italic"/>
          <w:i/>
          <w:lang w:val="de-DE"/>
        </w:rPr>
        <w:t>64.34</w:t>
      </w:r>
      <w:r w:rsidRPr="00CB66F1">
        <w:rPr>
          <w:rFonts w:ascii="Times New Roman Italic" w:hAnsi="Times New Roman Italic"/>
          <w:i/>
          <w:lang w:val="de-DE"/>
        </w:rPr>
        <w:t xml:space="preserve"> billion USD, </w:t>
      </w:r>
      <w:r>
        <w:rPr>
          <w:rFonts w:ascii="Times New Roman Italic" w:hAnsi="Times New Roman Italic"/>
          <w:i/>
          <w:lang w:val="de-DE"/>
        </w:rPr>
        <w:t>up</w:t>
      </w:r>
      <w:r w:rsidRPr="00CB66F1">
        <w:rPr>
          <w:rFonts w:ascii="Times New Roman Italic" w:hAnsi="Times New Roman Italic"/>
          <w:i/>
          <w:lang w:val="de-DE"/>
        </w:rPr>
        <w:t xml:space="preserve"> </w:t>
      </w:r>
      <w:r>
        <w:rPr>
          <w:rFonts w:ascii="Times New Roman Italic" w:hAnsi="Times New Roman Italic"/>
          <w:i/>
          <w:lang w:val="de-DE"/>
        </w:rPr>
        <w:t>5.2</w:t>
      </w:r>
      <w:r w:rsidRPr="00CB66F1">
        <w:rPr>
          <w:rFonts w:ascii="Times New Roman Italic" w:hAnsi="Times New Roman Italic"/>
          <w:i/>
          <w:lang w:val="de-DE"/>
        </w:rPr>
        <w:t xml:space="preserve">% over the previous month and up </w:t>
      </w:r>
      <w:r>
        <w:rPr>
          <w:rFonts w:ascii="Times New Roman Italic" w:hAnsi="Times New Roman Italic"/>
          <w:i/>
          <w:lang w:val="de-DE"/>
        </w:rPr>
        <w:t>17.3</w:t>
      </w:r>
      <w:r w:rsidRPr="00CB66F1">
        <w:rPr>
          <w:rFonts w:ascii="Times New Roman Italic" w:hAnsi="Times New Roman Italic"/>
          <w:i/>
          <w:lang w:val="de-DE"/>
        </w:rPr>
        <w:t>% compared to the same period last year. Generally</w:t>
      </w:r>
      <w:r>
        <w:rPr>
          <w:rFonts w:ascii="Times New Roman Italic" w:hAnsi="Times New Roman Italic"/>
          <w:i/>
          <w:lang w:val="de-DE"/>
        </w:rPr>
        <w:t>,</w:t>
      </w:r>
      <w:r w:rsidRPr="00CB66F1">
        <w:rPr>
          <w:rFonts w:ascii="Times New Roman Italic" w:hAnsi="Times New Roman Italic"/>
          <w:i/>
          <w:lang w:val="de-DE"/>
        </w:rPr>
        <w:t xml:space="preserve"> in </w:t>
      </w:r>
      <w:r>
        <w:rPr>
          <w:rFonts w:ascii="Times New Roman Italic" w:hAnsi="Times New Roman Italic"/>
          <w:i/>
          <w:lang w:val="de-DE"/>
        </w:rPr>
        <w:t>8 months</w:t>
      </w:r>
      <w:r w:rsidRPr="00CB66F1">
        <w:rPr>
          <w:rFonts w:ascii="Times New Roman Italic" w:hAnsi="Times New Roman Italic"/>
          <w:i/>
          <w:lang w:val="de-DE"/>
        </w:rPr>
        <w:t xml:space="preserve"> of 2022, the total </w:t>
      </w:r>
      <w:r>
        <w:rPr>
          <w:rFonts w:ascii="Times New Roman Italic" w:hAnsi="Times New Roman Italic"/>
          <w:i/>
          <w:lang w:val="de-DE"/>
        </w:rPr>
        <w:t>ex</w:t>
      </w:r>
      <w:r w:rsidRPr="00CB66F1">
        <w:rPr>
          <w:rFonts w:ascii="Times New Roman Italic" w:hAnsi="Times New Roman Italic"/>
          <w:i/>
          <w:lang w:val="de-DE"/>
        </w:rPr>
        <w:t xml:space="preserve">port and </w:t>
      </w:r>
      <w:r>
        <w:rPr>
          <w:rFonts w:ascii="Times New Roman Italic" w:hAnsi="Times New Roman Italic"/>
          <w:i/>
          <w:lang w:val="de-DE"/>
        </w:rPr>
        <w:t>im</w:t>
      </w:r>
      <w:r w:rsidRPr="00CB66F1">
        <w:rPr>
          <w:rFonts w:ascii="Times New Roman Italic" w:hAnsi="Times New Roman Italic"/>
          <w:i/>
          <w:lang w:val="de-DE"/>
        </w:rPr>
        <w:t xml:space="preserve">port turnover of goods reached </w:t>
      </w:r>
      <w:r>
        <w:rPr>
          <w:rFonts w:ascii="Times New Roman Italic" w:hAnsi="Times New Roman Italic"/>
          <w:i/>
          <w:lang w:val="de-DE"/>
        </w:rPr>
        <w:t>497.64</w:t>
      </w:r>
      <w:r w:rsidRPr="00CB66F1">
        <w:rPr>
          <w:rFonts w:ascii="Times New Roman Italic" w:hAnsi="Times New Roman Italic"/>
          <w:i/>
          <w:lang w:val="de-DE"/>
        </w:rPr>
        <w:t xml:space="preserve"> billion USD, up 1</w:t>
      </w:r>
      <w:r>
        <w:rPr>
          <w:rFonts w:ascii="Times New Roman Italic" w:hAnsi="Times New Roman Italic"/>
          <w:i/>
          <w:lang w:val="de-DE"/>
        </w:rPr>
        <w:t>5.5</w:t>
      </w:r>
      <w:r w:rsidRPr="00CB66F1">
        <w:rPr>
          <w:rFonts w:ascii="Times New Roman Italic" w:hAnsi="Times New Roman Italic"/>
          <w:i/>
          <w:lang w:val="de-DE"/>
        </w:rPr>
        <w:t>% over the same period last year, of which exports increased by 1</w:t>
      </w:r>
      <w:r>
        <w:rPr>
          <w:rFonts w:ascii="Times New Roman Italic" w:hAnsi="Times New Roman Italic"/>
          <w:i/>
          <w:lang w:val="de-DE"/>
        </w:rPr>
        <w:t>7.3</w:t>
      </w:r>
      <w:r w:rsidRPr="00CB66F1">
        <w:rPr>
          <w:rFonts w:ascii="Times New Roman Italic" w:hAnsi="Times New Roman Italic"/>
          <w:i/>
          <w:lang w:val="de-DE"/>
        </w:rPr>
        <w:t>%; imports increased by 1</w:t>
      </w:r>
      <w:r>
        <w:rPr>
          <w:rFonts w:ascii="Times New Roman Italic" w:hAnsi="Times New Roman Italic"/>
          <w:i/>
          <w:lang w:val="de-DE"/>
        </w:rPr>
        <w:t>3.6</w:t>
      </w:r>
      <w:r w:rsidRPr="00CB66F1">
        <w:rPr>
          <w:rFonts w:ascii="Times New Roman Italic" w:hAnsi="Times New Roman Italic"/>
          <w:i/>
          <w:lang w:val="de-DE"/>
        </w:rPr>
        <w:t>%</w:t>
      </w:r>
      <w:r w:rsidRPr="00405AE1">
        <w:rPr>
          <w:rStyle w:val="FootnoteReference"/>
          <w:rFonts w:ascii="Times New Roman Italic" w:hAnsi="Times New Roman Italic"/>
          <w:i/>
          <w:lang w:val="es-NI"/>
        </w:rPr>
        <w:footnoteReference w:id="19"/>
      </w:r>
      <w:r w:rsidRPr="00405AE1">
        <w:rPr>
          <w:rFonts w:ascii="Times New Roman Italic" w:hAnsi="Times New Roman Italic"/>
          <w:i/>
          <w:lang w:val="es-NI"/>
        </w:rPr>
        <w:t>.</w:t>
      </w:r>
      <w:r>
        <w:rPr>
          <w:rFonts w:ascii="Times New Roman Italic" w:hAnsi="Times New Roman Italic"/>
          <w:i/>
          <w:lang w:val="es-NI"/>
        </w:rPr>
        <w:t xml:space="preserve"> </w:t>
      </w:r>
      <w:r w:rsidRPr="00303C4E">
        <w:rPr>
          <w:rFonts w:ascii="Times New Roman Italic" w:hAnsi="Times New Roman Italic"/>
          <w:i/>
          <w:lang w:val="es-NI"/>
        </w:rPr>
        <w:t xml:space="preserve">The trade balance of goods in </w:t>
      </w:r>
      <w:r>
        <w:rPr>
          <w:rFonts w:ascii="Times New Roman Italic" w:hAnsi="Times New Roman Italic"/>
          <w:i/>
          <w:lang w:val="es-NI"/>
        </w:rPr>
        <w:t>seven</w:t>
      </w:r>
      <w:r w:rsidRPr="00303C4E">
        <w:rPr>
          <w:rFonts w:ascii="Times New Roman Italic" w:hAnsi="Times New Roman Italic"/>
          <w:i/>
          <w:lang w:val="es-NI"/>
        </w:rPr>
        <w:t xml:space="preserve"> months of the year was estimated to have a trade surplus of </w:t>
      </w:r>
      <w:r>
        <w:rPr>
          <w:rFonts w:ascii="Times New Roman Italic" w:hAnsi="Times New Roman Italic"/>
          <w:i/>
          <w:lang w:val="es-NI"/>
        </w:rPr>
        <w:t>3.96</w:t>
      </w:r>
      <w:r w:rsidRPr="00303C4E">
        <w:rPr>
          <w:rFonts w:ascii="Times New Roman Italic" w:hAnsi="Times New Roman Italic"/>
          <w:i/>
          <w:lang w:val="es-NI"/>
        </w:rPr>
        <w:t xml:space="preserve"> </w:t>
      </w:r>
      <w:r>
        <w:rPr>
          <w:rFonts w:ascii="Times New Roman Italic" w:hAnsi="Times New Roman Italic"/>
          <w:i/>
          <w:lang w:val="es-NI"/>
        </w:rPr>
        <w:t>b</w:t>
      </w:r>
      <w:r w:rsidRPr="00303C4E">
        <w:rPr>
          <w:rFonts w:ascii="Times New Roman Italic" w:hAnsi="Times New Roman Italic"/>
          <w:i/>
          <w:lang w:val="es-NI"/>
        </w:rPr>
        <w:t>illion USD.</w:t>
      </w:r>
    </w:p>
    <w:p w14:paraId="36424366" w14:textId="77777777" w:rsidR="00D44201" w:rsidRDefault="00D44201" w:rsidP="00545943">
      <w:pPr>
        <w:tabs>
          <w:tab w:val="left" w:pos="900"/>
          <w:tab w:val="left" w:pos="9475"/>
        </w:tabs>
        <w:spacing w:before="20" w:after="20" w:line="264" w:lineRule="auto"/>
        <w:ind w:right="119" w:firstLine="567"/>
        <w:jc w:val="both"/>
        <w:rPr>
          <w:rFonts w:ascii="Times New Roman Italic" w:hAnsi="Times New Roman Italic"/>
          <w:i/>
          <w:lang w:val="es-NI"/>
        </w:rPr>
      </w:pPr>
    </w:p>
    <w:p w14:paraId="606AB9A1" w14:textId="77777777" w:rsidR="00540EF1" w:rsidRPr="007D2C55" w:rsidRDefault="00540EF1" w:rsidP="00540EF1">
      <w:pPr>
        <w:tabs>
          <w:tab w:val="left" w:pos="900"/>
          <w:tab w:val="left" w:pos="9475"/>
        </w:tabs>
        <w:spacing w:before="40" w:after="40" w:line="264" w:lineRule="auto"/>
        <w:ind w:right="119"/>
        <w:jc w:val="center"/>
        <w:rPr>
          <w:rFonts w:ascii="Arial" w:hAnsi="Arial" w:cs="Arial"/>
          <w:b/>
          <w:bCs/>
          <w:sz w:val="2"/>
          <w:szCs w:val="24"/>
          <w:lang w:val="es-NI"/>
        </w:rPr>
      </w:pPr>
    </w:p>
    <w:p w14:paraId="0A87CAE0" w14:textId="77777777" w:rsidR="000D48FC" w:rsidRDefault="000D48FC" w:rsidP="000D48FC">
      <w:pPr>
        <w:tabs>
          <w:tab w:val="left" w:pos="900"/>
          <w:tab w:val="left" w:pos="9475"/>
        </w:tabs>
        <w:spacing w:before="40" w:after="40" w:line="288" w:lineRule="auto"/>
        <w:jc w:val="center"/>
        <w:rPr>
          <w:rFonts w:ascii="Arial" w:hAnsi="Arial" w:cs="Arial"/>
          <w:b/>
          <w:bCs/>
          <w:sz w:val="24"/>
          <w:szCs w:val="24"/>
          <w:lang w:val="es-NI"/>
        </w:rPr>
      </w:pPr>
      <w:r w:rsidRPr="00CB66F1">
        <w:rPr>
          <w:rFonts w:ascii="Arial" w:hAnsi="Arial" w:cs="Arial"/>
          <w:b/>
          <w:bCs/>
          <w:sz w:val="24"/>
          <w:szCs w:val="24"/>
          <w:lang w:val="es-NI"/>
        </w:rPr>
        <w:t>Figure 1</w:t>
      </w:r>
      <w:r>
        <w:rPr>
          <w:rFonts w:ascii="Arial" w:hAnsi="Arial" w:cs="Arial"/>
          <w:b/>
          <w:bCs/>
          <w:sz w:val="24"/>
          <w:szCs w:val="24"/>
          <w:lang w:val="es-NI"/>
        </w:rPr>
        <w:t>2</w:t>
      </w:r>
      <w:r w:rsidRPr="00CB66F1">
        <w:rPr>
          <w:rFonts w:ascii="Arial" w:hAnsi="Arial" w:cs="Arial"/>
          <w:b/>
          <w:bCs/>
          <w:sz w:val="24"/>
          <w:szCs w:val="24"/>
          <w:lang w:val="es-NI"/>
        </w:rPr>
        <w:t xml:space="preserve">. Import and export of goods in </w:t>
      </w:r>
      <w:r>
        <w:rPr>
          <w:rFonts w:ascii="Arial" w:hAnsi="Arial" w:cs="Arial"/>
          <w:b/>
          <w:bCs/>
          <w:sz w:val="24"/>
          <w:szCs w:val="24"/>
          <w:lang w:val="es-NI"/>
        </w:rPr>
        <w:t xml:space="preserve">8 months </w:t>
      </w:r>
      <w:r w:rsidRPr="00CB66F1">
        <w:rPr>
          <w:rFonts w:ascii="Arial" w:hAnsi="Arial" w:cs="Arial"/>
          <w:b/>
          <w:bCs/>
          <w:sz w:val="24"/>
          <w:szCs w:val="24"/>
          <w:lang w:val="es-NI"/>
        </w:rPr>
        <w:t>of 2022</w:t>
      </w:r>
    </w:p>
    <w:p w14:paraId="7A0FFAAB" w14:textId="77777777" w:rsidR="00540EF1" w:rsidRPr="007D2C55" w:rsidRDefault="00540EF1" w:rsidP="00540EF1">
      <w:pPr>
        <w:tabs>
          <w:tab w:val="left" w:pos="900"/>
          <w:tab w:val="left" w:pos="9475"/>
        </w:tabs>
        <w:spacing w:before="40" w:after="40" w:line="264" w:lineRule="auto"/>
        <w:ind w:right="119"/>
        <w:jc w:val="center"/>
        <w:rPr>
          <w:i/>
          <w:spacing w:val="2"/>
          <w:sz w:val="12"/>
          <w:szCs w:val="10"/>
          <w:lang w:val="es-NI"/>
        </w:rPr>
      </w:pPr>
    </w:p>
    <w:p w14:paraId="5210618A" w14:textId="3FADA1BD" w:rsidR="00540EF1" w:rsidRPr="00525F32" w:rsidRDefault="003B6B96" w:rsidP="00540EF1">
      <w:pPr>
        <w:tabs>
          <w:tab w:val="left" w:pos="900"/>
          <w:tab w:val="left" w:pos="9475"/>
        </w:tabs>
        <w:spacing w:before="40" w:after="40" w:line="264" w:lineRule="auto"/>
        <w:ind w:right="119"/>
        <w:jc w:val="center"/>
        <w:rPr>
          <w:i/>
          <w:spacing w:val="2"/>
          <w:lang w:val="es-NI"/>
        </w:rPr>
      </w:pPr>
      <w:r>
        <w:rPr>
          <w:noProof/>
        </w:rPr>
        <w:drawing>
          <wp:inline distT="0" distB="0" distL="0" distR="0" wp14:anchorId="0322B2F2" wp14:editId="653794E0">
            <wp:extent cx="5476472" cy="1785282"/>
            <wp:effectExtent l="0" t="0" r="0" b="571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486971" cy="1788705"/>
                    </a:xfrm>
                    <a:prstGeom prst="rect">
                      <a:avLst/>
                    </a:prstGeom>
                  </pic:spPr>
                </pic:pic>
              </a:graphicData>
            </a:graphic>
          </wp:inline>
        </w:drawing>
      </w:r>
    </w:p>
    <w:p w14:paraId="597AC8DE" w14:textId="77777777" w:rsidR="00540EF1" w:rsidRPr="008816F9" w:rsidRDefault="00540EF1" w:rsidP="00540EF1">
      <w:pPr>
        <w:tabs>
          <w:tab w:val="left" w:pos="900"/>
          <w:tab w:val="left" w:pos="9475"/>
        </w:tabs>
        <w:spacing w:before="40" w:after="40" w:line="264" w:lineRule="auto"/>
        <w:ind w:right="119" w:firstLine="567"/>
        <w:jc w:val="both"/>
        <w:rPr>
          <w:rStyle w:val="Strong"/>
          <w:i/>
          <w:iCs/>
          <w:color w:val="000000" w:themeColor="text1"/>
          <w:sz w:val="2"/>
          <w:szCs w:val="4"/>
          <w:lang w:val="de-DE"/>
        </w:rPr>
      </w:pPr>
    </w:p>
    <w:p w14:paraId="5678CF67" w14:textId="77777777" w:rsidR="00540EF1" w:rsidRPr="0063100F" w:rsidRDefault="00540EF1" w:rsidP="00540EF1">
      <w:pPr>
        <w:spacing w:before="40" w:after="40" w:line="288" w:lineRule="auto"/>
        <w:ind w:firstLine="567"/>
        <w:rPr>
          <w:rStyle w:val="Strong"/>
          <w:i/>
          <w:iCs/>
          <w:color w:val="000000" w:themeColor="text1"/>
          <w:sz w:val="2"/>
          <w:lang w:val="de-DE"/>
        </w:rPr>
      </w:pPr>
    </w:p>
    <w:p w14:paraId="09B95576" w14:textId="77777777" w:rsidR="00CC401F" w:rsidRPr="00133A85" w:rsidRDefault="00CC401F" w:rsidP="00CC401F">
      <w:pPr>
        <w:tabs>
          <w:tab w:val="left" w:pos="900"/>
        </w:tabs>
        <w:spacing w:after="40" w:line="360" w:lineRule="auto"/>
        <w:ind w:firstLine="561"/>
        <w:jc w:val="both"/>
        <w:rPr>
          <w:b/>
          <w:bCs/>
          <w:i/>
          <w:iCs/>
          <w:lang w:val="de-DE"/>
        </w:rPr>
      </w:pPr>
      <w:r w:rsidRPr="00133A85">
        <w:rPr>
          <w:b/>
          <w:bCs/>
          <w:i/>
          <w:iCs/>
          <w:lang w:val="de-DE"/>
        </w:rPr>
        <w:t>Export of goods</w:t>
      </w:r>
    </w:p>
    <w:p w14:paraId="6F0639A2" w14:textId="77777777" w:rsidR="008B69BE" w:rsidRDefault="008B69BE" w:rsidP="008B69BE">
      <w:pPr>
        <w:tabs>
          <w:tab w:val="num" w:pos="0"/>
          <w:tab w:val="left" w:pos="9475"/>
        </w:tabs>
        <w:spacing w:before="40" w:after="40" w:line="288" w:lineRule="auto"/>
        <w:ind w:right="6" w:firstLine="567"/>
        <w:jc w:val="both"/>
        <w:rPr>
          <w:bCs/>
          <w:lang w:val="de-DE"/>
        </w:rPr>
      </w:pPr>
      <w:r w:rsidRPr="002E3A04">
        <w:rPr>
          <w:bCs/>
          <w:lang w:val="de-DE"/>
        </w:rPr>
        <w:t xml:space="preserve">The </w:t>
      </w:r>
      <w:r>
        <w:rPr>
          <w:bCs/>
          <w:lang w:val="de-DE"/>
        </w:rPr>
        <w:t xml:space="preserve">preliminary </w:t>
      </w:r>
      <w:r w:rsidRPr="002E3A04">
        <w:rPr>
          <w:bCs/>
          <w:lang w:val="de-DE"/>
        </w:rPr>
        <w:t xml:space="preserve">export turnover of goods in </w:t>
      </w:r>
      <w:r>
        <w:rPr>
          <w:bCs/>
          <w:lang w:val="de-DE"/>
        </w:rPr>
        <w:t>July</w:t>
      </w:r>
      <w:r w:rsidRPr="002E3A04">
        <w:rPr>
          <w:bCs/>
          <w:lang w:val="de-DE"/>
        </w:rPr>
        <w:t xml:space="preserve"> 2022 reached </w:t>
      </w:r>
      <w:r>
        <w:rPr>
          <w:bCs/>
          <w:lang w:val="de-DE"/>
        </w:rPr>
        <w:t>30.61</w:t>
      </w:r>
      <w:r w:rsidRPr="002E3A04">
        <w:rPr>
          <w:bCs/>
          <w:lang w:val="de-DE"/>
        </w:rPr>
        <w:t xml:space="preserve"> billion</w:t>
      </w:r>
      <w:r>
        <w:rPr>
          <w:bCs/>
          <w:lang w:val="de-DE"/>
        </w:rPr>
        <w:t xml:space="preserve"> </w:t>
      </w:r>
      <w:r w:rsidRPr="00303C4E">
        <w:rPr>
          <w:bCs/>
          <w:lang w:val="de-DE"/>
        </w:rPr>
        <w:t>USD</w:t>
      </w:r>
      <w:r w:rsidRPr="002E3A04">
        <w:rPr>
          <w:bCs/>
          <w:lang w:val="de-DE"/>
        </w:rPr>
        <w:t xml:space="preserve">, </w:t>
      </w:r>
      <w:r>
        <w:rPr>
          <w:bCs/>
          <w:lang w:val="de-DE"/>
        </w:rPr>
        <w:t>284</w:t>
      </w:r>
      <w:r w:rsidRPr="002E3A04">
        <w:rPr>
          <w:bCs/>
          <w:lang w:val="de-DE"/>
        </w:rPr>
        <w:t xml:space="preserve"> million </w:t>
      </w:r>
      <w:r w:rsidRPr="00303C4E">
        <w:rPr>
          <w:bCs/>
          <w:lang w:val="de-DE"/>
        </w:rPr>
        <w:t xml:space="preserve">USD </w:t>
      </w:r>
      <w:r w:rsidRPr="002E3A04">
        <w:rPr>
          <w:bCs/>
          <w:lang w:val="de-DE"/>
        </w:rPr>
        <w:t xml:space="preserve">higher than the estimated </w:t>
      </w:r>
      <w:r w:rsidRPr="002E3A04">
        <w:rPr>
          <w:bCs/>
          <w:lang w:val="en-US"/>
        </w:rPr>
        <w:t>figure</w:t>
      </w:r>
      <w:r w:rsidRPr="002E3A04">
        <w:rPr>
          <w:bCs/>
          <w:lang w:val="de-DE"/>
        </w:rPr>
        <w:t>.</w:t>
      </w:r>
    </w:p>
    <w:p w14:paraId="5CDDEFEA" w14:textId="77777777" w:rsidR="008B69BE" w:rsidRPr="00D64BE4" w:rsidRDefault="008B69BE" w:rsidP="008B69BE">
      <w:pPr>
        <w:tabs>
          <w:tab w:val="num" w:pos="0"/>
        </w:tabs>
        <w:spacing w:before="40" w:after="40"/>
        <w:ind w:firstLine="562"/>
        <w:jc w:val="both"/>
        <w:rPr>
          <w:bCs/>
          <w:lang w:val="en-US"/>
        </w:rPr>
      </w:pPr>
      <w:r w:rsidRPr="002E3A04">
        <w:rPr>
          <w:bCs/>
          <w:i/>
          <w:iCs/>
          <w:lang w:val="en-US"/>
        </w:rPr>
        <w:t>Export turnover</w:t>
      </w:r>
      <w:r>
        <w:rPr>
          <w:bCs/>
          <w:i/>
          <w:iCs/>
          <w:lang w:val="en-US"/>
        </w:rPr>
        <w:t xml:space="preserve"> of goods</w:t>
      </w:r>
      <w:r w:rsidRPr="002E3A04">
        <w:rPr>
          <w:bCs/>
          <w:i/>
          <w:iCs/>
          <w:lang w:val="en-US"/>
        </w:rPr>
        <w:t xml:space="preserve"> in </w:t>
      </w:r>
      <w:r>
        <w:rPr>
          <w:bCs/>
          <w:i/>
          <w:iCs/>
          <w:lang w:val="en-US"/>
        </w:rPr>
        <w:t>August</w:t>
      </w:r>
      <w:r w:rsidRPr="002E3A04">
        <w:rPr>
          <w:bCs/>
          <w:i/>
          <w:iCs/>
          <w:lang w:val="de-DE"/>
        </w:rPr>
        <w:t xml:space="preserve"> 2022</w:t>
      </w:r>
      <w:r w:rsidRPr="002E3A04">
        <w:rPr>
          <w:bCs/>
          <w:lang w:val="de-DE"/>
        </w:rPr>
        <w:t xml:space="preserve"> was estimated at 3</w:t>
      </w:r>
      <w:r>
        <w:rPr>
          <w:bCs/>
          <w:lang w:val="de-DE"/>
        </w:rPr>
        <w:t>3.38</w:t>
      </w:r>
      <w:r w:rsidRPr="002E3A04">
        <w:rPr>
          <w:bCs/>
          <w:lang w:val="de-DE"/>
        </w:rPr>
        <w:t xml:space="preserve"> billion USD, </w:t>
      </w:r>
      <w:r>
        <w:rPr>
          <w:bCs/>
          <w:lang w:val="de-DE"/>
        </w:rPr>
        <w:t>up</w:t>
      </w:r>
      <w:r w:rsidRPr="002E3A04">
        <w:rPr>
          <w:bCs/>
          <w:lang w:val="de-DE"/>
        </w:rPr>
        <w:t xml:space="preserve"> </w:t>
      </w:r>
      <w:r>
        <w:rPr>
          <w:bCs/>
          <w:lang w:val="de-DE"/>
        </w:rPr>
        <w:t>9.1</w:t>
      </w:r>
      <w:r w:rsidRPr="002E3A04">
        <w:rPr>
          <w:bCs/>
          <w:lang w:val="de-DE"/>
        </w:rPr>
        <w:t xml:space="preserve">% over the previous month. </w:t>
      </w:r>
      <w:r>
        <w:rPr>
          <w:bCs/>
          <w:lang w:val="de-DE"/>
        </w:rPr>
        <w:t>O</w:t>
      </w:r>
      <w:r w:rsidRPr="00D64BE4">
        <w:rPr>
          <w:bCs/>
          <w:lang w:val="en-US"/>
        </w:rPr>
        <w:t xml:space="preserve">f which the domestic economic sector gained </w:t>
      </w:r>
      <w:r>
        <w:rPr>
          <w:bCs/>
          <w:lang w:val="en-US"/>
        </w:rPr>
        <w:t>9.04</w:t>
      </w:r>
      <w:r w:rsidRPr="00D64BE4">
        <w:rPr>
          <w:bCs/>
          <w:lang w:val="en-US"/>
        </w:rPr>
        <w:t xml:space="preserve"> billion USD, </w:t>
      </w:r>
      <w:r>
        <w:rPr>
          <w:bCs/>
          <w:lang w:val="en-US"/>
        </w:rPr>
        <w:t>in</w:t>
      </w:r>
      <w:r w:rsidRPr="00D64BE4">
        <w:rPr>
          <w:bCs/>
          <w:lang w:val="en-US"/>
        </w:rPr>
        <w:t xml:space="preserve">creased by </w:t>
      </w:r>
      <w:r>
        <w:rPr>
          <w:bCs/>
          <w:lang w:val="en-US"/>
        </w:rPr>
        <w:t>13.2</w:t>
      </w:r>
      <w:r w:rsidRPr="00D64BE4">
        <w:rPr>
          <w:bCs/>
          <w:lang w:val="en-US"/>
        </w:rPr>
        <w:t xml:space="preserve">%; the FDI sector (including crude oil) reached </w:t>
      </w:r>
      <w:r>
        <w:rPr>
          <w:bCs/>
          <w:lang w:val="en-US"/>
        </w:rPr>
        <w:t>24.34</w:t>
      </w:r>
      <w:r w:rsidRPr="00D64BE4">
        <w:rPr>
          <w:bCs/>
          <w:lang w:val="en-US"/>
        </w:rPr>
        <w:t xml:space="preserve"> billion USD, </w:t>
      </w:r>
      <w:r>
        <w:rPr>
          <w:bCs/>
          <w:lang w:val="en-US"/>
        </w:rPr>
        <w:t>in</w:t>
      </w:r>
      <w:r w:rsidRPr="00D64BE4">
        <w:rPr>
          <w:bCs/>
          <w:lang w:val="en-US"/>
        </w:rPr>
        <w:t xml:space="preserve">creased by </w:t>
      </w:r>
      <w:r>
        <w:rPr>
          <w:bCs/>
          <w:lang w:val="en-US"/>
        </w:rPr>
        <w:t>7.6</w:t>
      </w:r>
      <w:r w:rsidRPr="00D64BE4">
        <w:rPr>
          <w:bCs/>
          <w:lang w:val="en-US"/>
        </w:rPr>
        <w:t xml:space="preserve">%. Compared to the same period last year, export turnover of goods in </w:t>
      </w:r>
      <w:r>
        <w:rPr>
          <w:bCs/>
          <w:lang w:val="en-US"/>
        </w:rPr>
        <w:t>August</w:t>
      </w:r>
      <w:r w:rsidRPr="00D64BE4">
        <w:rPr>
          <w:bCs/>
          <w:lang w:val="en-US"/>
        </w:rPr>
        <w:t xml:space="preserve"> rose </w:t>
      </w:r>
      <w:r>
        <w:rPr>
          <w:bCs/>
          <w:lang w:val="en-US"/>
        </w:rPr>
        <w:t>by 22.1</w:t>
      </w:r>
      <w:r w:rsidRPr="00D64BE4">
        <w:rPr>
          <w:bCs/>
          <w:lang w:val="en-US"/>
        </w:rPr>
        <w:t xml:space="preserve">%, of which the domestic economic sector increased by </w:t>
      </w:r>
      <w:r>
        <w:rPr>
          <w:bCs/>
          <w:lang w:val="en-US"/>
        </w:rPr>
        <w:t>26.5</w:t>
      </w:r>
      <w:r w:rsidRPr="00D64BE4">
        <w:rPr>
          <w:bCs/>
          <w:lang w:val="en-US"/>
        </w:rPr>
        <w:t xml:space="preserve">%, the FDI sector (including crude oil) increased by </w:t>
      </w:r>
      <w:r>
        <w:rPr>
          <w:bCs/>
          <w:lang w:val="en-US"/>
        </w:rPr>
        <w:t>20.6</w:t>
      </w:r>
      <w:r w:rsidRPr="00D64BE4">
        <w:rPr>
          <w:bCs/>
          <w:lang w:val="en-US"/>
        </w:rPr>
        <w:t>%.</w:t>
      </w:r>
    </w:p>
    <w:p w14:paraId="5127F647" w14:textId="77777777" w:rsidR="00681C6E" w:rsidRPr="00D64BE4" w:rsidRDefault="00681C6E" w:rsidP="00681C6E">
      <w:pPr>
        <w:tabs>
          <w:tab w:val="num" w:pos="0"/>
        </w:tabs>
        <w:spacing w:before="40" w:after="40"/>
        <w:ind w:firstLine="562"/>
        <w:jc w:val="both"/>
        <w:rPr>
          <w:lang w:val="en-US"/>
        </w:rPr>
      </w:pPr>
      <w:r w:rsidRPr="00D64BE4">
        <w:rPr>
          <w:lang w:val="en-US"/>
        </w:rPr>
        <w:t xml:space="preserve">Generally, in </w:t>
      </w:r>
      <w:r>
        <w:rPr>
          <w:lang w:val="en-US"/>
        </w:rPr>
        <w:t>8 months</w:t>
      </w:r>
      <w:r w:rsidRPr="00D64BE4">
        <w:rPr>
          <w:lang w:val="en-US"/>
        </w:rPr>
        <w:t xml:space="preserve"> of </w:t>
      </w:r>
      <w:r>
        <w:rPr>
          <w:lang w:val="en-US"/>
        </w:rPr>
        <w:t>2022</w:t>
      </w:r>
      <w:r w:rsidRPr="00D64BE4">
        <w:rPr>
          <w:lang w:val="en-US"/>
        </w:rPr>
        <w:t xml:space="preserve">, the export turnover was estimated at </w:t>
      </w:r>
      <w:r>
        <w:rPr>
          <w:lang w:val="en-US"/>
        </w:rPr>
        <w:t>250.8</w:t>
      </w:r>
      <w:r w:rsidRPr="00D64BE4">
        <w:rPr>
          <w:lang w:val="en-US"/>
        </w:rPr>
        <w:t xml:space="preserve"> billion</w:t>
      </w:r>
      <w:r w:rsidRPr="00D64BE4">
        <w:rPr>
          <w:bCs/>
          <w:lang w:val="en-US"/>
        </w:rPr>
        <w:t xml:space="preserve"> USD</w:t>
      </w:r>
      <w:r w:rsidRPr="00D64BE4">
        <w:rPr>
          <w:lang w:val="en-US"/>
        </w:rPr>
        <w:t xml:space="preserve">, rose by </w:t>
      </w:r>
      <w:r>
        <w:rPr>
          <w:lang w:val="en-US"/>
        </w:rPr>
        <w:t>17.3</w:t>
      </w:r>
      <w:r w:rsidRPr="00D64BE4">
        <w:rPr>
          <w:lang w:val="en-US"/>
        </w:rPr>
        <w:t xml:space="preserve">% over the same period in </w:t>
      </w:r>
      <w:r>
        <w:rPr>
          <w:lang w:val="en-US"/>
        </w:rPr>
        <w:t>2021</w:t>
      </w:r>
      <w:r w:rsidRPr="00D64BE4">
        <w:rPr>
          <w:lang w:val="en-US"/>
        </w:rPr>
        <w:t xml:space="preserve">, of which, the domestic economic sector </w:t>
      </w:r>
      <w:r w:rsidRPr="00D64BE4">
        <w:rPr>
          <w:bCs/>
          <w:lang w:val="en-US"/>
        </w:rPr>
        <w:t>was</w:t>
      </w:r>
      <w:r w:rsidRPr="00D64BE4">
        <w:rPr>
          <w:lang w:val="en-US"/>
        </w:rPr>
        <w:t xml:space="preserve"> </w:t>
      </w:r>
      <w:r>
        <w:rPr>
          <w:lang w:val="en-US"/>
        </w:rPr>
        <w:t xml:space="preserve">66.14 </w:t>
      </w:r>
      <w:r w:rsidRPr="00D64BE4">
        <w:rPr>
          <w:lang w:val="en-US"/>
        </w:rPr>
        <w:t xml:space="preserve">billion USD, went up </w:t>
      </w:r>
      <w:r>
        <w:rPr>
          <w:lang w:val="en-US"/>
        </w:rPr>
        <w:t>18.4</w:t>
      </w:r>
      <w:r w:rsidRPr="00D64BE4">
        <w:rPr>
          <w:lang w:val="en-US"/>
        </w:rPr>
        <w:t>%, accounting for 2</w:t>
      </w:r>
      <w:r>
        <w:rPr>
          <w:lang w:val="en-US"/>
        </w:rPr>
        <w:t>6.4</w:t>
      </w:r>
      <w:r w:rsidRPr="00D64BE4">
        <w:rPr>
          <w:lang w:val="en-US"/>
        </w:rPr>
        <w:t xml:space="preserve">% </w:t>
      </w:r>
      <w:r w:rsidRPr="00D64BE4">
        <w:rPr>
          <w:lang w:val="en-US"/>
        </w:rPr>
        <w:lastRenderedPageBreak/>
        <w:t xml:space="preserve">of total export turnover; the FDI sector (including crude oil) attained </w:t>
      </w:r>
      <w:r>
        <w:rPr>
          <w:lang w:val="en-US"/>
        </w:rPr>
        <w:t xml:space="preserve">184.66 </w:t>
      </w:r>
      <w:r w:rsidRPr="00D64BE4">
        <w:rPr>
          <w:lang w:val="en-US"/>
        </w:rPr>
        <w:t xml:space="preserve">billion USD, increased by </w:t>
      </w:r>
      <w:r>
        <w:rPr>
          <w:lang w:val="en-US"/>
        </w:rPr>
        <w:t>17</w:t>
      </w:r>
      <w:r w:rsidRPr="00D64BE4">
        <w:rPr>
          <w:lang w:val="en-US"/>
        </w:rPr>
        <w:t>%, sharing 7</w:t>
      </w:r>
      <w:r>
        <w:rPr>
          <w:lang w:val="en-US"/>
        </w:rPr>
        <w:t>3.6</w:t>
      </w:r>
      <w:r w:rsidRPr="00D64BE4">
        <w:rPr>
          <w:lang w:val="en-US"/>
        </w:rPr>
        <w:t>%.</w:t>
      </w:r>
    </w:p>
    <w:p w14:paraId="27FB7B87" w14:textId="77777777" w:rsidR="001C5DB9" w:rsidRDefault="001C5DB9" w:rsidP="001C5DB9">
      <w:pPr>
        <w:tabs>
          <w:tab w:val="num" w:pos="0"/>
        </w:tabs>
        <w:spacing w:before="40" w:after="40"/>
        <w:ind w:firstLine="562"/>
        <w:jc w:val="both"/>
        <w:rPr>
          <w:spacing w:val="-1"/>
          <w:lang w:val="en-US"/>
        </w:rPr>
      </w:pPr>
      <w:r w:rsidRPr="00D64BE4">
        <w:rPr>
          <w:spacing w:val="-1"/>
          <w:lang w:val="en-US"/>
        </w:rPr>
        <w:t xml:space="preserve">In </w:t>
      </w:r>
      <w:r>
        <w:rPr>
          <w:spacing w:val="-1"/>
          <w:lang w:val="en-US"/>
        </w:rPr>
        <w:t>8 months</w:t>
      </w:r>
      <w:r w:rsidRPr="00D64BE4">
        <w:rPr>
          <w:spacing w:val="-1"/>
          <w:lang w:val="en-US"/>
        </w:rPr>
        <w:t xml:space="preserve"> of </w:t>
      </w:r>
      <w:r>
        <w:rPr>
          <w:spacing w:val="-1"/>
          <w:lang w:val="en-US"/>
        </w:rPr>
        <w:t>2022</w:t>
      </w:r>
      <w:r w:rsidRPr="00D64BE4">
        <w:rPr>
          <w:spacing w:val="-1"/>
          <w:lang w:val="en-US"/>
        </w:rPr>
        <w:t xml:space="preserve">, there were </w:t>
      </w:r>
      <w:r>
        <w:rPr>
          <w:spacing w:val="-1"/>
          <w:lang w:val="en-US"/>
        </w:rPr>
        <w:t>30</w:t>
      </w:r>
      <w:r w:rsidRPr="00D64BE4">
        <w:rPr>
          <w:spacing w:val="-1"/>
          <w:lang w:val="en-US"/>
        </w:rPr>
        <w:t xml:space="preserve"> products with </w:t>
      </w:r>
      <w:r>
        <w:rPr>
          <w:spacing w:val="-1"/>
          <w:lang w:val="en-US"/>
        </w:rPr>
        <w:t xml:space="preserve">an </w:t>
      </w:r>
      <w:r w:rsidRPr="00D64BE4">
        <w:rPr>
          <w:spacing w:val="-1"/>
          <w:lang w:val="en-US"/>
        </w:rPr>
        <w:t xml:space="preserve">export turnover of over 1 billion USD, contributing </w:t>
      </w:r>
      <w:r>
        <w:rPr>
          <w:spacing w:val="-1"/>
          <w:lang w:val="en-US"/>
        </w:rPr>
        <w:t>91.8</w:t>
      </w:r>
      <w:r w:rsidRPr="00D64BE4">
        <w:rPr>
          <w:spacing w:val="-1"/>
          <w:lang w:val="en-US"/>
        </w:rPr>
        <w:t>% to the total export turnover (</w:t>
      </w:r>
      <w:r>
        <w:rPr>
          <w:spacing w:val="-1"/>
          <w:lang w:val="en-US"/>
        </w:rPr>
        <w:t>6</w:t>
      </w:r>
      <w:r w:rsidRPr="00D64BE4">
        <w:rPr>
          <w:spacing w:val="-1"/>
          <w:lang w:val="en-US"/>
        </w:rPr>
        <w:t xml:space="preserve"> products with export turnover of over </w:t>
      </w:r>
      <w:r>
        <w:rPr>
          <w:spacing w:val="-1"/>
          <w:lang w:val="en-US"/>
        </w:rPr>
        <w:t>10</w:t>
      </w:r>
      <w:r w:rsidRPr="00D64BE4">
        <w:rPr>
          <w:spacing w:val="-1"/>
          <w:lang w:val="en-US"/>
        </w:rPr>
        <w:t xml:space="preserve"> billion USD, accounting for </w:t>
      </w:r>
      <w:r>
        <w:rPr>
          <w:spacing w:val="-1"/>
          <w:lang w:val="en-US"/>
        </w:rPr>
        <w:t>63.4</w:t>
      </w:r>
      <w:r w:rsidRPr="00D64BE4">
        <w:rPr>
          <w:spacing w:val="-1"/>
          <w:lang w:val="en-US"/>
        </w:rPr>
        <w:t>%).</w:t>
      </w:r>
    </w:p>
    <w:p w14:paraId="59638B37" w14:textId="5BEEAC26" w:rsidR="00A87CB7" w:rsidRDefault="00A87CB7" w:rsidP="00A87CB7">
      <w:pPr>
        <w:tabs>
          <w:tab w:val="num" w:pos="0"/>
          <w:tab w:val="left" w:pos="9475"/>
        </w:tabs>
        <w:spacing w:before="120" w:after="120" w:line="360" w:lineRule="auto"/>
        <w:ind w:right="119"/>
        <w:jc w:val="center"/>
        <w:rPr>
          <w:rFonts w:ascii="Arial" w:hAnsi="Arial" w:cs="Arial"/>
          <w:b/>
          <w:bCs/>
          <w:sz w:val="24"/>
          <w:szCs w:val="24"/>
          <w:lang w:val="es-NI"/>
        </w:rPr>
      </w:pPr>
      <w:r w:rsidRPr="00C57F67">
        <w:rPr>
          <w:rFonts w:ascii="Arial" w:hAnsi="Arial" w:cs="Arial"/>
          <w:b/>
          <w:spacing w:val="-2"/>
          <w:sz w:val="24"/>
          <w:szCs w:val="20"/>
          <w:lang w:val="pl-PL"/>
        </w:rPr>
        <w:t xml:space="preserve">Table </w:t>
      </w:r>
      <w:r>
        <w:rPr>
          <w:rFonts w:ascii="Arial" w:hAnsi="Arial" w:cs="Arial"/>
          <w:b/>
          <w:spacing w:val="-2"/>
          <w:sz w:val="24"/>
          <w:szCs w:val="20"/>
          <w:lang w:val="pl-PL"/>
        </w:rPr>
        <w:t>4</w:t>
      </w:r>
      <w:r w:rsidRPr="00C57F67">
        <w:rPr>
          <w:rFonts w:ascii="Arial" w:hAnsi="Arial" w:cs="Arial"/>
          <w:b/>
          <w:spacing w:val="-2"/>
          <w:sz w:val="24"/>
          <w:szCs w:val="20"/>
          <w:lang w:val="pl-PL"/>
        </w:rPr>
        <w:t xml:space="preserve">. Value of some export products in </w:t>
      </w:r>
      <w:r>
        <w:rPr>
          <w:rFonts w:ascii="Arial" w:hAnsi="Arial" w:cs="Arial"/>
          <w:b/>
          <w:spacing w:val="-2"/>
          <w:sz w:val="24"/>
          <w:szCs w:val="20"/>
          <w:lang w:val="pl-PL"/>
        </w:rPr>
        <w:t>8 months</w:t>
      </w:r>
      <w:r w:rsidRPr="00C57F67">
        <w:rPr>
          <w:rFonts w:ascii="Arial" w:hAnsi="Arial" w:cs="Arial"/>
          <w:b/>
          <w:spacing w:val="-2"/>
          <w:sz w:val="24"/>
          <w:szCs w:val="20"/>
          <w:lang w:val="pl-PL"/>
        </w:rPr>
        <w:t xml:space="preserve"> of 2022</w:t>
      </w:r>
    </w:p>
    <w:tbl>
      <w:tblPr>
        <w:tblStyle w:val="TableGrid"/>
        <w:tblW w:w="921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984"/>
        <w:gridCol w:w="2977"/>
      </w:tblGrid>
      <w:tr w:rsidR="002B5A2A" w:rsidRPr="00402091" w14:paraId="4DB3E358" w14:textId="77777777" w:rsidTr="00B73D5B">
        <w:trPr>
          <w:jc w:val="center"/>
        </w:trPr>
        <w:tc>
          <w:tcPr>
            <w:tcW w:w="4253" w:type="dxa"/>
          </w:tcPr>
          <w:p w14:paraId="2D4D2575" w14:textId="77777777" w:rsidR="002B5A2A" w:rsidRPr="00402091" w:rsidRDefault="002B5A2A" w:rsidP="00B73D5B">
            <w:pPr>
              <w:tabs>
                <w:tab w:val="num" w:pos="0"/>
                <w:tab w:val="left" w:pos="9475"/>
              </w:tabs>
              <w:spacing w:before="40" w:after="40" w:line="278" w:lineRule="auto"/>
              <w:ind w:right="119"/>
              <w:jc w:val="right"/>
              <w:rPr>
                <w:rFonts w:ascii="Arial" w:hAnsi="Arial" w:cs="Arial"/>
                <w:b/>
                <w:bCs/>
                <w:i/>
                <w:iCs/>
                <w:sz w:val="20"/>
              </w:rPr>
            </w:pPr>
          </w:p>
        </w:tc>
        <w:tc>
          <w:tcPr>
            <w:tcW w:w="1984" w:type="dxa"/>
            <w:tcBorders>
              <w:top w:val="single" w:sz="4" w:space="0" w:color="auto"/>
              <w:bottom w:val="single" w:sz="4" w:space="0" w:color="auto"/>
            </w:tcBorders>
          </w:tcPr>
          <w:p w14:paraId="03A2CF3A" w14:textId="77777777" w:rsidR="002B5A2A" w:rsidRDefault="002B5A2A" w:rsidP="00B73D5B">
            <w:pPr>
              <w:spacing w:before="40" w:after="40"/>
              <w:jc w:val="center"/>
              <w:rPr>
                <w:rFonts w:ascii="Arial" w:hAnsi="Arial" w:cs="Arial"/>
                <w:color w:val="000000"/>
                <w:sz w:val="20"/>
              </w:rPr>
            </w:pPr>
            <w:r w:rsidRPr="00C57F67">
              <w:rPr>
                <w:rFonts w:ascii="Arial" w:hAnsi="Arial" w:cs="Arial"/>
                <w:color w:val="000000"/>
                <w:sz w:val="20"/>
                <w:lang w:val="en-US"/>
              </w:rPr>
              <w:t>Estimate</w:t>
            </w:r>
          </w:p>
          <w:p w14:paraId="17F48FC2" w14:textId="77777777" w:rsidR="002B5A2A" w:rsidRDefault="002B5A2A" w:rsidP="00B73D5B">
            <w:pPr>
              <w:spacing w:before="40" w:after="40"/>
              <w:jc w:val="center"/>
              <w:rPr>
                <w:rFonts w:ascii="Arial" w:hAnsi="Arial" w:cs="Arial"/>
                <w:color w:val="000000"/>
                <w:sz w:val="20"/>
              </w:rPr>
            </w:pPr>
            <w:r>
              <w:rPr>
                <w:rFonts w:ascii="Arial" w:hAnsi="Arial" w:cs="Arial"/>
                <w:color w:val="000000"/>
                <w:sz w:val="20"/>
              </w:rPr>
              <w:t>8 months of</w:t>
            </w:r>
            <w:r w:rsidRPr="00402091">
              <w:rPr>
                <w:rFonts w:ascii="Arial" w:hAnsi="Arial" w:cs="Arial"/>
                <w:color w:val="000000"/>
                <w:sz w:val="20"/>
              </w:rPr>
              <w:t xml:space="preserve"> 2022</w:t>
            </w:r>
          </w:p>
          <w:p w14:paraId="1C3BB4FC" w14:textId="77777777" w:rsidR="002B5A2A" w:rsidRPr="00D93FAF" w:rsidRDefault="002B5A2A" w:rsidP="00B73D5B">
            <w:pPr>
              <w:spacing w:before="40" w:after="40"/>
              <w:jc w:val="center"/>
              <w:rPr>
                <w:rFonts w:ascii="Arial" w:hAnsi="Arial" w:cs="Arial"/>
                <w:b/>
                <w:bCs/>
                <w:i/>
                <w:iCs/>
                <w:sz w:val="20"/>
              </w:rPr>
            </w:pPr>
            <w:r w:rsidRPr="002041F0">
              <w:rPr>
                <w:rFonts w:ascii="Arial" w:hAnsi="Arial" w:cs="Arial"/>
                <w:i/>
                <w:iCs/>
                <w:color w:val="000000"/>
                <w:sz w:val="20"/>
                <w:lang w:val="en-US"/>
              </w:rPr>
              <w:t>(Mill. USD)</w:t>
            </w:r>
          </w:p>
        </w:tc>
        <w:tc>
          <w:tcPr>
            <w:tcW w:w="2977" w:type="dxa"/>
            <w:tcBorders>
              <w:top w:val="single" w:sz="4" w:space="0" w:color="auto"/>
              <w:bottom w:val="single" w:sz="4" w:space="0" w:color="auto"/>
            </w:tcBorders>
            <w:vAlign w:val="center"/>
          </w:tcPr>
          <w:p w14:paraId="399AE12B" w14:textId="77777777" w:rsidR="002B5A2A" w:rsidRDefault="002B5A2A" w:rsidP="00B73D5B">
            <w:pPr>
              <w:spacing w:before="40" w:after="40"/>
              <w:jc w:val="center"/>
              <w:rPr>
                <w:rFonts w:ascii="Arial" w:hAnsi="Arial" w:cs="Arial"/>
                <w:sz w:val="20"/>
              </w:rPr>
            </w:pPr>
            <w:r w:rsidRPr="007F6A49">
              <w:rPr>
                <w:rFonts w:ascii="Arial" w:hAnsi="Arial" w:cs="Arial"/>
                <w:sz w:val="20"/>
              </w:rPr>
              <w:t>Growth rate of</w:t>
            </w:r>
          </w:p>
          <w:p w14:paraId="05BCFC40" w14:textId="77777777" w:rsidR="002B5A2A" w:rsidRDefault="002B5A2A" w:rsidP="00B73D5B">
            <w:pPr>
              <w:spacing w:before="40" w:after="40"/>
              <w:jc w:val="center"/>
              <w:rPr>
                <w:rFonts w:ascii="Arial" w:hAnsi="Arial" w:cs="Arial"/>
                <w:sz w:val="20"/>
                <w:lang w:val="en-US"/>
              </w:rPr>
            </w:pPr>
            <w:r>
              <w:rPr>
                <w:rFonts w:ascii="Arial" w:hAnsi="Arial" w:cs="Arial"/>
                <w:sz w:val="20"/>
              </w:rPr>
              <w:t>8 months of</w:t>
            </w:r>
            <w:r w:rsidRPr="002041F0">
              <w:rPr>
                <w:rFonts w:ascii="Arial" w:hAnsi="Arial" w:cs="Arial"/>
                <w:sz w:val="20"/>
              </w:rPr>
              <w:t xml:space="preserve"> 2022 </w:t>
            </w:r>
            <w:r w:rsidRPr="002041F0">
              <w:rPr>
                <w:rFonts w:ascii="Arial" w:hAnsi="Arial" w:cs="Arial"/>
                <w:sz w:val="20"/>
                <w:lang w:val="en-US"/>
              </w:rPr>
              <w:t>compare</w:t>
            </w:r>
            <w:r>
              <w:rPr>
                <w:rFonts w:ascii="Arial" w:hAnsi="Arial" w:cs="Arial"/>
                <w:sz w:val="20"/>
                <w:lang w:val="en-US"/>
              </w:rPr>
              <w:t>d</w:t>
            </w:r>
            <w:r w:rsidRPr="002041F0">
              <w:rPr>
                <w:rFonts w:ascii="Arial" w:hAnsi="Arial" w:cs="Arial"/>
                <w:sz w:val="20"/>
                <w:lang w:val="en-US"/>
              </w:rPr>
              <w:t xml:space="preserve"> to</w:t>
            </w:r>
          </w:p>
          <w:p w14:paraId="3E25DD9F" w14:textId="77777777" w:rsidR="002B5A2A" w:rsidRPr="002041F0" w:rsidRDefault="002B5A2A" w:rsidP="00B73D5B">
            <w:pPr>
              <w:spacing w:before="40" w:after="40"/>
              <w:jc w:val="center"/>
              <w:rPr>
                <w:rFonts w:ascii="Arial" w:hAnsi="Arial" w:cs="Arial"/>
                <w:sz w:val="20"/>
              </w:rPr>
            </w:pPr>
            <w:r w:rsidRPr="002041F0">
              <w:rPr>
                <w:rFonts w:ascii="Arial" w:hAnsi="Arial" w:cs="Arial"/>
                <w:sz w:val="20"/>
                <w:lang w:val="en-US"/>
              </w:rPr>
              <w:t>the same period last year (%)</w:t>
            </w:r>
          </w:p>
        </w:tc>
      </w:tr>
      <w:tr w:rsidR="002B5A2A" w:rsidRPr="00402091" w14:paraId="614062AA" w14:textId="77777777" w:rsidTr="00B73D5B">
        <w:trPr>
          <w:jc w:val="center"/>
        </w:trPr>
        <w:tc>
          <w:tcPr>
            <w:tcW w:w="4253" w:type="dxa"/>
            <w:vAlign w:val="bottom"/>
          </w:tcPr>
          <w:p w14:paraId="092584DC" w14:textId="77777777" w:rsidR="002B5A2A" w:rsidRPr="00402091" w:rsidRDefault="002B5A2A" w:rsidP="00B73D5B">
            <w:pPr>
              <w:spacing w:before="40" w:after="40"/>
              <w:rPr>
                <w:rFonts w:ascii="Arial" w:hAnsi="Arial" w:cs="Arial"/>
                <w:b/>
                <w:bCs/>
                <w:color w:val="000000"/>
                <w:sz w:val="20"/>
              </w:rPr>
            </w:pPr>
            <w:r w:rsidRPr="007F6A49">
              <w:rPr>
                <w:rFonts w:ascii="Arial" w:hAnsi="Arial" w:cs="Arial"/>
                <w:b/>
                <w:bCs/>
                <w:sz w:val="20"/>
              </w:rPr>
              <w:t xml:space="preserve">Items with a value of over </w:t>
            </w:r>
            <w:r>
              <w:rPr>
                <w:rFonts w:ascii="Arial" w:hAnsi="Arial" w:cs="Arial"/>
                <w:b/>
                <w:bCs/>
                <w:sz w:val="20"/>
              </w:rPr>
              <w:t>10</w:t>
            </w:r>
            <w:r w:rsidRPr="007F6A49">
              <w:rPr>
                <w:rFonts w:ascii="Arial" w:hAnsi="Arial" w:cs="Arial"/>
                <w:b/>
                <w:bCs/>
                <w:sz w:val="20"/>
              </w:rPr>
              <w:t xml:space="preserve"> billion USD</w:t>
            </w:r>
          </w:p>
        </w:tc>
        <w:tc>
          <w:tcPr>
            <w:tcW w:w="1984" w:type="dxa"/>
            <w:tcBorders>
              <w:top w:val="single" w:sz="4" w:space="0" w:color="auto"/>
            </w:tcBorders>
          </w:tcPr>
          <w:p w14:paraId="7F668FE2" w14:textId="77777777" w:rsidR="002B5A2A" w:rsidRPr="00402091" w:rsidRDefault="002B5A2A" w:rsidP="00B73D5B">
            <w:pPr>
              <w:tabs>
                <w:tab w:val="num" w:pos="0"/>
                <w:tab w:val="left" w:pos="9475"/>
              </w:tabs>
              <w:spacing w:before="40" w:after="40" w:line="278" w:lineRule="auto"/>
              <w:ind w:right="119"/>
              <w:jc w:val="right"/>
              <w:rPr>
                <w:rFonts w:ascii="Arial" w:hAnsi="Arial" w:cs="Arial"/>
                <w:b/>
                <w:bCs/>
                <w:i/>
                <w:iCs/>
                <w:sz w:val="20"/>
              </w:rPr>
            </w:pPr>
          </w:p>
        </w:tc>
        <w:tc>
          <w:tcPr>
            <w:tcW w:w="2977" w:type="dxa"/>
            <w:tcBorders>
              <w:top w:val="single" w:sz="4" w:space="0" w:color="auto"/>
            </w:tcBorders>
          </w:tcPr>
          <w:p w14:paraId="1CAAD880" w14:textId="77777777" w:rsidR="002B5A2A" w:rsidRPr="00402091" w:rsidRDefault="002B5A2A" w:rsidP="00B73D5B">
            <w:pPr>
              <w:tabs>
                <w:tab w:val="num" w:pos="0"/>
                <w:tab w:val="left" w:pos="9475"/>
              </w:tabs>
              <w:spacing w:before="40" w:after="40" w:line="278" w:lineRule="auto"/>
              <w:ind w:right="119"/>
              <w:jc w:val="right"/>
              <w:rPr>
                <w:rFonts w:ascii="Arial" w:hAnsi="Arial" w:cs="Arial"/>
                <w:b/>
                <w:bCs/>
                <w:i/>
                <w:iCs/>
                <w:sz w:val="20"/>
              </w:rPr>
            </w:pPr>
          </w:p>
        </w:tc>
      </w:tr>
      <w:tr w:rsidR="002B5A2A" w:rsidRPr="00402091" w14:paraId="1735D07A" w14:textId="77777777" w:rsidTr="00B73D5B">
        <w:trPr>
          <w:jc w:val="center"/>
        </w:trPr>
        <w:tc>
          <w:tcPr>
            <w:tcW w:w="4253" w:type="dxa"/>
            <w:vAlign w:val="bottom"/>
          </w:tcPr>
          <w:p w14:paraId="7E160E7D" w14:textId="77777777" w:rsidR="002B5A2A" w:rsidRPr="00402091" w:rsidRDefault="002B5A2A" w:rsidP="00B73D5B">
            <w:pPr>
              <w:spacing w:before="40" w:after="60"/>
              <w:ind w:firstLine="171"/>
              <w:rPr>
                <w:rFonts w:ascii="Arial" w:hAnsi="Arial" w:cs="Arial"/>
                <w:sz w:val="20"/>
              </w:rPr>
            </w:pPr>
            <w:r w:rsidRPr="007F6A49">
              <w:rPr>
                <w:rFonts w:ascii="Arial" w:hAnsi="Arial" w:cs="Arial"/>
                <w:sz w:val="20"/>
              </w:rPr>
              <w:t>Phones all of kinds and their parts</w:t>
            </w:r>
          </w:p>
        </w:tc>
        <w:tc>
          <w:tcPr>
            <w:tcW w:w="1984" w:type="dxa"/>
          </w:tcPr>
          <w:p w14:paraId="2F36BF7B" w14:textId="77777777" w:rsidR="002B5A2A" w:rsidRPr="00402091" w:rsidRDefault="002B5A2A" w:rsidP="00B73D5B">
            <w:pPr>
              <w:spacing w:before="40" w:after="60"/>
              <w:ind w:right="317"/>
              <w:jc w:val="right"/>
              <w:rPr>
                <w:rFonts w:ascii="Arial" w:hAnsi="Arial" w:cs="Arial"/>
                <w:sz w:val="20"/>
              </w:rPr>
            </w:pPr>
            <w:r>
              <w:rPr>
                <w:rFonts w:ascii="Arial" w:hAnsi="Arial" w:cs="Arial"/>
                <w:sz w:val="20"/>
                <w:szCs w:val="20"/>
              </w:rPr>
              <w:t>39,604</w:t>
            </w:r>
          </w:p>
        </w:tc>
        <w:tc>
          <w:tcPr>
            <w:tcW w:w="2977" w:type="dxa"/>
          </w:tcPr>
          <w:p w14:paraId="625CA514" w14:textId="77777777" w:rsidR="002B5A2A" w:rsidRPr="00402091" w:rsidRDefault="002B5A2A" w:rsidP="00B73D5B">
            <w:pPr>
              <w:spacing w:before="40" w:after="60"/>
              <w:ind w:right="885"/>
              <w:jc w:val="right"/>
              <w:rPr>
                <w:rFonts w:ascii="Arial" w:hAnsi="Arial" w:cs="Arial"/>
                <w:sz w:val="20"/>
              </w:rPr>
            </w:pPr>
            <w:r w:rsidRPr="00A00815">
              <w:rPr>
                <w:rFonts w:ascii="Arial" w:hAnsi="Arial" w:cs="Arial"/>
                <w:sz w:val="20"/>
                <w:szCs w:val="20"/>
              </w:rPr>
              <w:t>1</w:t>
            </w:r>
            <w:r>
              <w:rPr>
                <w:rFonts w:ascii="Arial" w:hAnsi="Arial" w:cs="Arial"/>
                <w:sz w:val="20"/>
                <w:szCs w:val="20"/>
              </w:rPr>
              <w:t>2</w:t>
            </w:r>
            <w:r>
              <w:rPr>
                <w:rFonts w:ascii="Arial" w:hAnsi="Arial" w:cs="Arial"/>
                <w:sz w:val="20"/>
                <w:szCs w:val="20"/>
                <w:lang w:val="en-US"/>
              </w:rPr>
              <w:t>.</w:t>
            </w:r>
            <w:r w:rsidRPr="00A00815">
              <w:rPr>
                <w:rFonts w:ascii="Arial" w:hAnsi="Arial" w:cs="Arial"/>
                <w:sz w:val="20"/>
                <w:szCs w:val="20"/>
              </w:rPr>
              <w:t>1</w:t>
            </w:r>
          </w:p>
        </w:tc>
      </w:tr>
      <w:tr w:rsidR="002B5A2A" w:rsidRPr="00402091" w14:paraId="43D6AE1B" w14:textId="77777777" w:rsidTr="00B73D5B">
        <w:trPr>
          <w:jc w:val="center"/>
        </w:trPr>
        <w:tc>
          <w:tcPr>
            <w:tcW w:w="4253" w:type="dxa"/>
            <w:vAlign w:val="bottom"/>
          </w:tcPr>
          <w:p w14:paraId="068B947E" w14:textId="77777777" w:rsidR="002B5A2A" w:rsidRPr="00402091" w:rsidRDefault="002B5A2A" w:rsidP="00B73D5B">
            <w:pPr>
              <w:spacing w:before="40" w:after="60"/>
              <w:ind w:firstLine="171"/>
              <w:rPr>
                <w:rFonts w:ascii="Arial" w:hAnsi="Arial" w:cs="Arial"/>
                <w:sz w:val="20"/>
              </w:rPr>
            </w:pPr>
            <w:r w:rsidRPr="007F6A49">
              <w:rPr>
                <w:rFonts w:ascii="Arial" w:hAnsi="Arial" w:cs="Arial"/>
                <w:sz w:val="20"/>
              </w:rPr>
              <w:t>Electronic goods, computers and their parts</w:t>
            </w:r>
          </w:p>
        </w:tc>
        <w:tc>
          <w:tcPr>
            <w:tcW w:w="1984" w:type="dxa"/>
          </w:tcPr>
          <w:p w14:paraId="33CC53C8" w14:textId="77777777" w:rsidR="002B5A2A" w:rsidRPr="00402091" w:rsidRDefault="002B5A2A" w:rsidP="00B73D5B">
            <w:pPr>
              <w:spacing w:before="40" w:after="60"/>
              <w:ind w:right="317"/>
              <w:jc w:val="right"/>
              <w:rPr>
                <w:rFonts w:ascii="Arial" w:hAnsi="Arial" w:cs="Arial"/>
                <w:sz w:val="20"/>
              </w:rPr>
            </w:pPr>
            <w:r>
              <w:rPr>
                <w:rFonts w:ascii="Arial" w:hAnsi="Arial" w:cs="Arial"/>
                <w:sz w:val="20"/>
                <w:szCs w:val="20"/>
              </w:rPr>
              <w:t>36,122</w:t>
            </w:r>
          </w:p>
        </w:tc>
        <w:tc>
          <w:tcPr>
            <w:tcW w:w="2977" w:type="dxa"/>
          </w:tcPr>
          <w:p w14:paraId="40B6E75D" w14:textId="77777777" w:rsidR="002B5A2A" w:rsidRPr="00402091" w:rsidRDefault="002B5A2A" w:rsidP="00B73D5B">
            <w:pPr>
              <w:spacing w:before="40" w:after="60"/>
              <w:ind w:right="885"/>
              <w:jc w:val="right"/>
              <w:rPr>
                <w:rFonts w:ascii="Arial" w:hAnsi="Arial" w:cs="Arial"/>
                <w:sz w:val="20"/>
              </w:rPr>
            </w:pPr>
            <w:r w:rsidRPr="00A00815">
              <w:rPr>
                <w:rFonts w:ascii="Arial" w:hAnsi="Arial" w:cs="Arial"/>
                <w:sz w:val="20"/>
                <w:szCs w:val="20"/>
              </w:rPr>
              <w:t>1</w:t>
            </w:r>
            <w:r>
              <w:rPr>
                <w:rFonts w:ascii="Arial" w:hAnsi="Arial" w:cs="Arial"/>
                <w:sz w:val="20"/>
                <w:szCs w:val="20"/>
              </w:rPr>
              <w:t>3.3</w:t>
            </w:r>
          </w:p>
        </w:tc>
      </w:tr>
      <w:tr w:rsidR="002B5A2A" w:rsidRPr="00402091" w14:paraId="08A0F439" w14:textId="77777777" w:rsidTr="00B73D5B">
        <w:trPr>
          <w:jc w:val="center"/>
        </w:trPr>
        <w:tc>
          <w:tcPr>
            <w:tcW w:w="4253" w:type="dxa"/>
            <w:vAlign w:val="bottom"/>
          </w:tcPr>
          <w:p w14:paraId="1DE21B0D" w14:textId="77777777" w:rsidR="002B5A2A" w:rsidRPr="00402091" w:rsidRDefault="002B5A2A" w:rsidP="00B73D5B">
            <w:pPr>
              <w:spacing w:before="40" w:after="60"/>
              <w:ind w:firstLine="171"/>
              <w:rPr>
                <w:rFonts w:ascii="Arial" w:hAnsi="Arial" w:cs="Arial"/>
                <w:sz w:val="20"/>
              </w:rPr>
            </w:pPr>
            <w:r w:rsidRPr="00E80A96">
              <w:rPr>
                <w:rFonts w:ascii="Arial" w:hAnsi="Arial" w:cs="Arial"/>
                <w:sz w:val="20"/>
              </w:rPr>
              <w:t>Machinery, instrument, accessory</w:t>
            </w:r>
          </w:p>
        </w:tc>
        <w:tc>
          <w:tcPr>
            <w:tcW w:w="1984" w:type="dxa"/>
          </w:tcPr>
          <w:p w14:paraId="06348204" w14:textId="77777777" w:rsidR="002B5A2A" w:rsidRPr="00402091" w:rsidRDefault="002B5A2A" w:rsidP="00B73D5B">
            <w:pPr>
              <w:spacing w:before="40" w:after="60"/>
              <w:ind w:right="320" w:firstLine="171"/>
              <w:jc w:val="right"/>
              <w:rPr>
                <w:rFonts w:ascii="Arial" w:hAnsi="Arial" w:cs="Arial"/>
                <w:sz w:val="20"/>
              </w:rPr>
            </w:pPr>
            <w:r>
              <w:rPr>
                <w:rFonts w:ascii="Arial" w:hAnsi="Arial" w:cs="Arial"/>
                <w:sz w:val="20"/>
                <w:szCs w:val="20"/>
              </w:rPr>
              <w:t>29,778</w:t>
            </w:r>
          </w:p>
        </w:tc>
        <w:tc>
          <w:tcPr>
            <w:tcW w:w="2977" w:type="dxa"/>
          </w:tcPr>
          <w:p w14:paraId="276C8116" w14:textId="77777777" w:rsidR="002B5A2A" w:rsidRPr="00402091" w:rsidRDefault="002B5A2A" w:rsidP="00B73D5B">
            <w:pPr>
              <w:spacing w:before="40" w:after="60"/>
              <w:ind w:right="885"/>
              <w:jc w:val="right"/>
              <w:rPr>
                <w:rFonts w:ascii="Arial" w:hAnsi="Arial" w:cs="Arial"/>
                <w:sz w:val="20"/>
              </w:rPr>
            </w:pPr>
            <w:r w:rsidRPr="00A00815">
              <w:rPr>
                <w:rFonts w:ascii="Arial" w:hAnsi="Arial" w:cs="Arial"/>
                <w:sz w:val="20"/>
                <w:szCs w:val="20"/>
              </w:rPr>
              <w:t>2</w:t>
            </w:r>
            <w:r>
              <w:rPr>
                <w:rFonts w:ascii="Arial" w:hAnsi="Arial" w:cs="Arial"/>
                <w:sz w:val="20"/>
                <w:szCs w:val="20"/>
              </w:rPr>
              <w:t>8.0</w:t>
            </w:r>
          </w:p>
        </w:tc>
      </w:tr>
      <w:tr w:rsidR="002B5A2A" w:rsidRPr="00402091" w14:paraId="248744A4" w14:textId="77777777" w:rsidTr="00B73D5B">
        <w:trPr>
          <w:jc w:val="center"/>
        </w:trPr>
        <w:tc>
          <w:tcPr>
            <w:tcW w:w="4253" w:type="dxa"/>
            <w:vAlign w:val="bottom"/>
          </w:tcPr>
          <w:p w14:paraId="21C5F045" w14:textId="77777777" w:rsidR="002B5A2A" w:rsidRPr="00402091" w:rsidRDefault="002B5A2A" w:rsidP="00B73D5B">
            <w:pPr>
              <w:spacing w:before="40" w:after="60"/>
              <w:ind w:firstLine="171"/>
              <w:rPr>
                <w:rFonts w:ascii="Arial" w:hAnsi="Arial" w:cs="Arial"/>
                <w:sz w:val="20"/>
              </w:rPr>
            </w:pPr>
            <w:r w:rsidRPr="007F6A49">
              <w:rPr>
                <w:rFonts w:ascii="Arial" w:hAnsi="Arial" w:cs="Arial"/>
                <w:sz w:val="20"/>
              </w:rPr>
              <w:t>Textiles and garments</w:t>
            </w:r>
          </w:p>
        </w:tc>
        <w:tc>
          <w:tcPr>
            <w:tcW w:w="1984" w:type="dxa"/>
          </w:tcPr>
          <w:p w14:paraId="419F5E6F" w14:textId="77777777" w:rsidR="002B5A2A" w:rsidRPr="00402091" w:rsidRDefault="002B5A2A" w:rsidP="00B73D5B">
            <w:pPr>
              <w:spacing w:before="40" w:after="60"/>
              <w:ind w:right="317"/>
              <w:jc w:val="right"/>
              <w:rPr>
                <w:rFonts w:ascii="Arial" w:hAnsi="Arial" w:cs="Arial"/>
                <w:sz w:val="20"/>
              </w:rPr>
            </w:pPr>
            <w:r>
              <w:rPr>
                <w:rFonts w:ascii="Arial" w:hAnsi="Arial" w:cs="Arial"/>
                <w:sz w:val="20"/>
                <w:szCs w:val="20"/>
              </w:rPr>
              <w:t>26,040</w:t>
            </w:r>
          </w:p>
        </w:tc>
        <w:tc>
          <w:tcPr>
            <w:tcW w:w="2977" w:type="dxa"/>
          </w:tcPr>
          <w:p w14:paraId="19F69A39" w14:textId="77777777" w:rsidR="002B5A2A" w:rsidRPr="00402091" w:rsidRDefault="002B5A2A" w:rsidP="00B73D5B">
            <w:pPr>
              <w:spacing w:before="40" w:after="60"/>
              <w:ind w:right="885"/>
              <w:jc w:val="right"/>
              <w:rPr>
                <w:rFonts w:ascii="Arial" w:hAnsi="Arial" w:cs="Arial"/>
                <w:sz w:val="20"/>
              </w:rPr>
            </w:pPr>
            <w:r>
              <w:rPr>
                <w:rFonts w:ascii="Arial" w:hAnsi="Arial" w:cs="Arial"/>
                <w:sz w:val="20"/>
                <w:szCs w:val="20"/>
              </w:rPr>
              <w:t>23.1</w:t>
            </w:r>
          </w:p>
        </w:tc>
      </w:tr>
      <w:tr w:rsidR="002B5A2A" w:rsidRPr="00402091" w14:paraId="6E00F98B" w14:textId="77777777" w:rsidTr="00B73D5B">
        <w:trPr>
          <w:jc w:val="center"/>
        </w:trPr>
        <w:tc>
          <w:tcPr>
            <w:tcW w:w="4253" w:type="dxa"/>
            <w:vAlign w:val="bottom"/>
          </w:tcPr>
          <w:p w14:paraId="74610970" w14:textId="77777777" w:rsidR="002B5A2A" w:rsidRPr="00402091" w:rsidRDefault="002B5A2A" w:rsidP="00B73D5B">
            <w:pPr>
              <w:spacing w:before="40" w:after="60"/>
              <w:ind w:firstLine="171"/>
              <w:rPr>
                <w:rFonts w:ascii="Arial" w:hAnsi="Arial" w:cs="Arial"/>
                <w:sz w:val="20"/>
              </w:rPr>
            </w:pPr>
            <w:r w:rsidRPr="002041F0">
              <w:rPr>
                <w:rFonts w:ascii="Arial" w:hAnsi="Arial" w:cs="Arial"/>
                <w:sz w:val="20"/>
              </w:rPr>
              <w:t>Footwear</w:t>
            </w:r>
          </w:p>
        </w:tc>
        <w:tc>
          <w:tcPr>
            <w:tcW w:w="1984" w:type="dxa"/>
          </w:tcPr>
          <w:p w14:paraId="49B400ED" w14:textId="77777777" w:rsidR="002B5A2A" w:rsidRPr="00402091" w:rsidRDefault="002B5A2A" w:rsidP="00B73D5B">
            <w:pPr>
              <w:spacing w:before="40" w:after="60"/>
              <w:ind w:right="317"/>
              <w:jc w:val="right"/>
              <w:rPr>
                <w:rFonts w:ascii="Arial" w:hAnsi="Arial" w:cs="Arial"/>
                <w:sz w:val="20"/>
              </w:rPr>
            </w:pPr>
            <w:r>
              <w:rPr>
                <w:rFonts w:ascii="Arial" w:hAnsi="Arial" w:cs="Arial"/>
                <w:sz w:val="20"/>
                <w:szCs w:val="20"/>
              </w:rPr>
              <w:t>16,467</w:t>
            </w:r>
          </w:p>
        </w:tc>
        <w:tc>
          <w:tcPr>
            <w:tcW w:w="2977" w:type="dxa"/>
          </w:tcPr>
          <w:p w14:paraId="19946C07" w14:textId="77777777" w:rsidR="002B5A2A" w:rsidRPr="00402091" w:rsidRDefault="002B5A2A" w:rsidP="00B73D5B">
            <w:pPr>
              <w:spacing w:before="40" w:after="60"/>
              <w:ind w:right="885"/>
              <w:jc w:val="right"/>
              <w:rPr>
                <w:rFonts w:ascii="Arial" w:hAnsi="Arial" w:cs="Arial"/>
                <w:sz w:val="20"/>
              </w:rPr>
            </w:pPr>
            <w:r>
              <w:rPr>
                <w:rFonts w:ascii="Arial" w:hAnsi="Arial" w:cs="Arial"/>
                <w:sz w:val="20"/>
                <w:szCs w:val="20"/>
              </w:rPr>
              <w:t>30.5</w:t>
            </w:r>
          </w:p>
        </w:tc>
      </w:tr>
      <w:tr w:rsidR="002B5A2A" w:rsidRPr="00402091" w14:paraId="6332B87E" w14:textId="77777777" w:rsidTr="00B73D5B">
        <w:trPr>
          <w:jc w:val="center"/>
        </w:trPr>
        <w:tc>
          <w:tcPr>
            <w:tcW w:w="4253" w:type="dxa"/>
            <w:vAlign w:val="bottom"/>
          </w:tcPr>
          <w:p w14:paraId="367241C2" w14:textId="77777777" w:rsidR="002B5A2A" w:rsidRPr="002041F0" w:rsidRDefault="002B5A2A" w:rsidP="00B73D5B">
            <w:pPr>
              <w:spacing w:before="40" w:after="60"/>
              <w:ind w:firstLine="171"/>
              <w:rPr>
                <w:rFonts w:ascii="Arial" w:hAnsi="Arial" w:cs="Arial"/>
                <w:sz w:val="20"/>
              </w:rPr>
            </w:pPr>
            <w:r w:rsidRPr="00870E6B">
              <w:rPr>
                <w:rFonts w:ascii="Arial" w:hAnsi="Arial" w:cs="Arial"/>
                <w:sz w:val="20"/>
              </w:rPr>
              <w:t>Wood and products</w:t>
            </w:r>
          </w:p>
        </w:tc>
        <w:tc>
          <w:tcPr>
            <w:tcW w:w="1984" w:type="dxa"/>
          </w:tcPr>
          <w:p w14:paraId="5851777B" w14:textId="77777777" w:rsidR="002B5A2A" w:rsidRPr="00A00815" w:rsidRDefault="002B5A2A" w:rsidP="00B73D5B">
            <w:pPr>
              <w:spacing w:before="40" w:after="60"/>
              <w:ind w:right="317"/>
              <w:jc w:val="right"/>
              <w:rPr>
                <w:rFonts w:ascii="Arial" w:hAnsi="Arial" w:cs="Arial"/>
                <w:sz w:val="20"/>
                <w:szCs w:val="20"/>
              </w:rPr>
            </w:pPr>
            <w:r>
              <w:rPr>
                <w:rFonts w:ascii="Arial" w:hAnsi="Arial" w:cs="Arial"/>
                <w:sz w:val="20"/>
                <w:szCs w:val="20"/>
              </w:rPr>
              <w:t>11,067</w:t>
            </w:r>
          </w:p>
        </w:tc>
        <w:tc>
          <w:tcPr>
            <w:tcW w:w="2977" w:type="dxa"/>
          </w:tcPr>
          <w:p w14:paraId="486198E1" w14:textId="77777777" w:rsidR="002B5A2A" w:rsidRPr="00A00815" w:rsidRDefault="002B5A2A" w:rsidP="00B73D5B">
            <w:pPr>
              <w:spacing w:before="40" w:after="60"/>
              <w:ind w:right="885"/>
              <w:jc w:val="right"/>
              <w:rPr>
                <w:rFonts w:ascii="Arial" w:hAnsi="Arial" w:cs="Arial"/>
                <w:sz w:val="20"/>
                <w:szCs w:val="20"/>
              </w:rPr>
            </w:pPr>
            <w:r>
              <w:rPr>
                <w:rFonts w:ascii="Arial" w:hAnsi="Arial" w:cs="Arial"/>
                <w:sz w:val="20"/>
                <w:szCs w:val="20"/>
              </w:rPr>
              <w:t>6.2</w:t>
            </w:r>
          </w:p>
        </w:tc>
      </w:tr>
    </w:tbl>
    <w:p w14:paraId="5EE26A82" w14:textId="77777777" w:rsidR="00540EF1" w:rsidRDefault="00540EF1" w:rsidP="00540EF1">
      <w:pPr>
        <w:tabs>
          <w:tab w:val="num" w:pos="0"/>
          <w:tab w:val="left" w:pos="9475"/>
        </w:tabs>
        <w:spacing w:before="40" w:after="40" w:line="264" w:lineRule="auto"/>
        <w:ind w:right="119"/>
        <w:jc w:val="center"/>
        <w:rPr>
          <w:rFonts w:ascii="Arial" w:hAnsi="Arial" w:cs="Arial"/>
          <w:b/>
          <w:bCs/>
          <w:sz w:val="24"/>
          <w:szCs w:val="24"/>
          <w:lang w:val="es-NI"/>
        </w:rPr>
      </w:pPr>
    </w:p>
    <w:p w14:paraId="518E2118" w14:textId="77777777" w:rsidR="00540EF1" w:rsidRPr="001A2C17" w:rsidRDefault="00540EF1" w:rsidP="00540EF1">
      <w:pPr>
        <w:tabs>
          <w:tab w:val="num" w:pos="0"/>
          <w:tab w:val="left" w:pos="9475"/>
        </w:tabs>
        <w:spacing w:before="40" w:after="40" w:line="264" w:lineRule="auto"/>
        <w:ind w:right="119" w:firstLine="567"/>
        <w:jc w:val="right"/>
        <w:rPr>
          <w:rFonts w:ascii="Arial" w:hAnsi="Arial" w:cs="Arial"/>
          <w:b/>
          <w:bCs/>
          <w:i/>
          <w:iCs/>
          <w:sz w:val="2"/>
          <w:szCs w:val="20"/>
          <w:lang w:val="es-NI"/>
        </w:rPr>
      </w:pPr>
    </w:p>
    <w:p w14:paraId="54987BEC" w14:textId="77777777" w:rsidR="00540EF1" w:rsidRPr="00FF3382" w:rsidRDefault="00540EF1" w:rsidP="00540EF1">
      <w:pPr>
        <w:spacing w:before="40" w:after="40" w:line="264" w:lineRule="auto"/>
        <w:rPr>
          <w:rFonts w:eastAsia="Batang"/>
          <w:bCs/>
          <w:i/>
          <w:spacing w:val="-6"/>
          <w:sz w:val="2"/>
        </w:rPr>
      </w:pPr>
    </w:p>
    <w:p w14:paraId="1200C99B" w14:textId="77777777" w:rsidR="00421372" w:rsidRDefault="00540EF1" w:rsidP="00421372">
      <w:pPr>
        <w:spacing w:before="40" w:after="40" w:line="247" w:lineRule="auto"/>
        <w:ind w:firstLine="567"/>
        <w:jc w:val="both"/>
      </w:pPr>
      <w:r w:rsidRPr="009134C7">
        <w:rPr>
          <w:noProof/>
          <w:spacing w:val="-2"/>
          <w:lang w:val="en-US"/>
        </w:rPr>
        <mc:AlternateContent>
          <mc:Choice Requires="wps">
            <w:drawing>
              <wp:anchor distT="0" distB="0" distL="114300" distR="114300" simplePos="0" relativeHeight="251670016" behindDoc="0" locked="0" layoutInCell="1" allowOverlap="1" wp14:anchorId="36C206E7" wp14:editId="4C8FA4C8">
                <wp:simplePos x="0" y="0"/>
                <wp:positionH relativeFrom="column">
                  <wp:posOffset>24765</wp:posOffset>
                </wp:positionH>
                <wp:positionV relativeFrom="paragraph">
                  <wp:posOffset>88265</wp:posOffset>
                </wp:positionV>
                <wp:extent cx="3375660" cy="244030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2440305"/>
                        </a:xfrm>
                        <a:prstGeom prst="rect">
                          <a:avLst/>
                        </a:prstGeom>
                        <a:solidFill>
                          <a:srgbClr val="FFFFFF"/>
                        </a:solidFill>
                        <a:ln w="9525">
                          <a:noFill/>
                          <a:miter lim="800000"/>
                          <a:headEnd/>
                          <a:tailEnd/>
                        </a:ln>
                      </wps:spPr>
                      <wps:txbx>
                        <w:txbxContent>
                          <w:p w14:paraId="1FE01888" w14:textId="77777777" w:rsidR="00255053" w:rsidRPr="00BB791D" w:rsidRDefault="00255053" w:rsidP="003D7FE0">
                            <w:pPr>
                              <w:jc w:val="center"/>
                              <w:rPr>
                                <w:rFonts w:ascii="Arial" w:hAnsi="Arial" w:cs="Arial"/>
                                <w:b/>
                                <w:bCs/>
                                <w:sz w:val="24"/>
                                <w:szCs w:val="24"/>
                              </w:rPr>
                            </w:pPr>
                            <w:r w:rsidRPr="00BB791D">
                              <w:rPr>
                                <w:rFonts w:ascii="Arial" w:hAnsi="Arial" w:cs="Arial"/>
                                <w:b/>
                                <w:bCs/>
                                <w:sz w:val="24"/>
                                <w:szCs w:val="24"/>
                              </w:rPr>
                              <w:t>Figure 13. Structure of export groups</w:t>
                            </w:r>
                          </w:p>
                          <w:p w14:paraId="7319DAD1" w14:textId="77777777" w:rsidR="00255053" w:rsidRPr="00BB791D" w:rsidRDefault="00255053" w:rsidP="003D7FE0">
                            <w:pPr>
                              <w:jc w:val="center"/>
                              <w:rPr>
                                <w:rFonts w:ascii="Arial" w:hAnsi="Arial" w:cs="Arial"/>
                                <w:b/>
                                <w:bCs/>
                                <w:sz w:val="24"/>
                                <w:szCs w:val="24"/>
                              </w:rPr>
                            </w:pPr>
                            <w:r w:rsidRPr="00BB791D">
                              <w:rPr>
                                <w:rFonts w:ascii="Arial" w:hAnsi="Arial" w:cs="Arial"/>
                                <w:b/>
                                <w:bCs/>
                                <w:sz w:val="24"/>
                                <w:szCs w:val="24"/>
                              </w:rPr>
                              <w:t xml:space="preserve">in </w:t>
                            </w:r>
                            <w:r>
                              <w:rPr>
                                <w:rFonts w:ascii="Arial" w:hAnsi="Arial" w:cs="Arial"/>
                                <w:b/>
                                <w:bCs/>
                                <w:sz w:val="24"/>
                                <w:szCs w:val="24"/>
                                <w:lang w:val="en-US"/>
                              </w:rPr>
                              <w:t>8</w:t>
                            </w:r>
                            <w:r w:rsidRPr="00BB791D">
                              <w:rPr>
                                <w:rFonts w:ascii="Arial" w:hAnsi="Arial" w:cs="Arial"/>
                                <w:b/>
                                <w:bCs/>
                                <w:sz w:val="24"/>
                                <w:szCs w:val="24"/>
                              </w:rPr>
                              <w:t xml:space="preserve"> months of 2022 by commodity group</w:t>
                            </w:r>
                          </w:p>
                          <w:p w14:paraId="7CB737CA" w14:textId="77777777" w:rsidR="00255053" w:rsidRPr="00BA44B2" w:rsidRDefault="00255053" w:rsidP="00540EF1">
                            <w:pPr>
                              <w:jc w:val="center"/>
                              <w:rPr>
                                <w:rFonts w:ascii="Arial" w:hAnsi="Arial" w:cs="Arial"/>
                                <w:b/>
                                <w:bCs/>
                                <w:sz w:val="16"/>
                                <w:szCs w:val="16"/>
                              </w:rPr>
                            </w:pPr>
                          </w:p>
                          <w:p w14:paraId="1BE44130" w14:textId="3E271C75" w:rsidR="00255053" w:rsidRPr="00271B83" w:rsidRDefault="00037D93" w:rsidP="00540EF1">
                            <w:pPr>
                              <w:ind w:left="-142"/>
                              <w:jc w:val="center"/>
                              <w:rPr>
                                <w:rFonts w:ascii="Arial" w:hAnsi="Arial" w:cs="Arial"/>
                                <w:sz w:val="24"/>
                                <w:szCs w:val="24"/>
                              </w:rPr>
                            </w:pPr>
                            <w:r w:rsidRPr="009E6B88">
                              <w:rPr>
                                <w:noProof/>
                              </w:rPr>
                              <w:drawing>
                                <wp:inline distT="0" distB="0" distL="0" distR="0" wp14:anchorId="7D7B9A54" wp14:editId="75F31B8D">
                                  <wp:extent cx="3294380" cy="1666598"/>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94380" cy="1666598"/>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36C206E7" id="_x0000_t202" coordsize="21600,21600" o:spt="202" path="m,l,21600r21600,l21600,xe">
                <v:stroke joinstyle="miter"/>
                <v:path gradientshapeok="t" o:connecttype="rect"/>
              </v:shapetype>
              <v:shape id="Text Box 2" o:spid="_x0000_s1026" type="#_x0000_t202" style="position:absolute;left:0;text-align:left;margin-left:1.95pt;margin-top:6.95pt;width:265.8pt;height:192.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6AtCAIAAPcDAAAOAAAAZHJzL2Uyb0RvYy54bWysU9uO0zAQfUfiHyy/02TbbVmipqulSxHS&#10;cpEWPsBxnMbC8Zix26R8PWMn2y3whvCD5fGMz8ycOV7fDp1hR4Vegy351SznTFkJtbb7kn/7unt1&#10;w5kPwtbCgFUlPynPbzcvX6x7V6g5tGBqhYxArC96V/I2BFdkmZet6oSfgVOWnA1gJwKZuM9qFD2h&#10;dyab5/kq6wFrhyCV93R7Pzr5JuE3jZLhc9N4FZgpOdUW0o5pr+Kebdai2KNwrZZTGeIfquiEtpT0&#10;DHUvgmAH1H9BdVoieGjCTEKXQdNoqVIP1M1V/kc3j61wKvVC5Hh3psn/P1j56fjoviALw1sYaICp&#10;Ce8eQH73zMK2FXav7hChb5WoKfFVpCzrnS+mp5FqX/gIUvUfoaYhi0OABDQ02EVWqE9G6DSA05l0&#10;NQQm6XKxeL1crcglyTe/vs4X+TLlEMXTc4c+vFfQsXgoOdJUE7w4PvgQyxHFU0jM5sHoeqeNSQbu&#10;q61BdhSkgF1aE/pvYcayvuRvlvNlQrYQ3ydxdDqQQo3uSn6TxzVqJtLxztYpJAhtxjNVYuzET6Rk&#10;JCcM1UCBkacK6hMxhTAqkX4OHVrAn5z1pMKS+x8HgYoz88ES24tVTMjCpYGXRnVpCCsJquSBs/G4&#10;DUnqkQcLdzSVRie+niuZaiV1JRqnnxDle2mnqOf/uvkFAAD//wMAUEsDBBQABgAIAAAAIQAUXkIE&#10;3gAAAAgBAAAPAAAAZHJzL2Rvd25yZXYueG1sTI/NTsMwEITvSLyDtUhcKurQElpCnAoheqIH+iO4&#10;bmMTR43XUew24e3ZnOC02pnR7Lf5anCNuJgu1J4U3E8TEIZKr2uqFBz267sliBCRNDaejIIfE2BV&#10;XF/lmGnf09ZcdrESXEIhQwU2xjaTMpTWOAxT3xpi79t3DiOvXSV1hz2Xu0bOkuRROqyJL1hszas1&#10;5Wl3dgom9vQ52Qf8Wr9ttn3/HhcPH65T6vZmeHkGEc0Q/8Iw4jM6FMx09GfSQTQK5k8cZHmcbKfz&#10;NAVxHPXlDGSRy/8PFL8AAAD//wMAUEsBAi0AFAAGAAgAAAAhALaDOJL+AAAA4QEAABMAAAAAAAAA&#10;AAAAAAAAAAAAAFtDb250ZW50X1R5cGVzXS54bWxQSwECLQAUAAYACAAAACEAOP0h/9YAAACUAQAA&#10;CwAAAAAAAAAAAAAAAAAvAQAAX3JlbHMvLnJlbHNQSwECLQAUAAYACAAAACEAXVOgLQgCAAD3AwAA&#10;DgAAAAAAAAAAAAAAAAAuAgAAZHJzL2Uyb0RvYy54bWxQSwECLQAUAAYACAAAACEAFF5CBN4AAAAI&#10;AQAADwAAAAAAAAAAAAAAAABiBAAAZHJzL2Rvd25yZXYueG1sUEsFBgAAAAAEAAQA8wAAAG0FAAAA&#10;AA==&#10;" stroked="f">
                <v:textbox inset="1mm,1mm,1mm,1mm">
                  <w:txbxContent>
                    <w:p w14:paraId="1FE01888" w14:textId="77777777" w:rsidR="00255053" w:rsidRPr="00BB791D" w:rsidRDefault="00255053" w:rsidP="003D7FE0">
                      <w:pPr>
                        <w:jc w:val="center"/>
                        <w:rPr>
                          <w:rFonts w:ascii="Arial" w:hAnsi="Arial" w:cs="Arial"/>
                          <w:b/>
                          <w:bCs/>
                          <w:sz w:val="24"/>
                          <w:szCs w:val="24"/>
                        </w:rPr>
                      </w:pPr>
                      <w:r w:rsidRPr="00BB791D">
                        <w:rPr>
                          <w:rFonts w:ascii="Arial" w:hAnsi="Arial" w:cs="Arial"/>
                          <w:b/>
                          <w:bCs/>
                          <w:sz w:val="24"/>
                          <w:szCs w:val="24"/>
                        </w:rPr>
                        <w:t>Figure 13. Structure of export groups</w:t>
                      </w:r>
                    </w:p>
                    <w:p w14:paraId="7319DAD1" w14:textId="77777777" w:rsidR="00255053" w:rsidRPr="00BB791D" w:rsidRDefault="00255053" w:rsidP="003D7FE0">
                      <w:pPr>
                        <w:jc w:val="center"/>
                        <w:rPr>
                          <w:rFonts w:ascii="Arial" w:hAnsi="Arial" w:cs="Arial"/>
                          <w:b/>
                          <w:bCs/>
                          <w:sz w:val="24"/>
                          <w:szCs w:val="24"/>
                        </w:rPr>
                      </w:pPr>
                      <w:r w:rsidRPr="00BB791D">
                        <w:rPr>
                          <w:rFonts w:ascii="Arial" w:hAnsi="Arial" w:cs="Arial"/>
                          <w:b/>
                          <w:bCs/>
                          <w:sz w:val="24"/>
                          <w:szCs w:val="24"/>
                        </w:rPr>
                        <w:t xml:space="preserve">in </w:t>
                      </w:r>
                      <w:r>
                        <w:rPr>
                          <w:rFonts w:ascii="Arial" w:hAnsi="Arial" w:cs="Arial"/>
                          <w:b/>
                          <w:bCs/>
                          <w:sz w:val="24"/>
                          <w:szCs w:val="24"/>
                          <w:lang w:val="en-US"/>
                        </w:rPr>
                        <w:t>8</w:t>
                      </w:r>
                      <w:r w:rsidRPr="00BB791D">
                        <w:rPr>
                          <w:rFonts w:ascii="Arial" w:hAnsi="Arial" w:cs="Arial"/>
                          <w:b/>
                          <w:bCs/>
                          <w:sz w:val="24"/>
                          <w:szCs w:val="24"/>
                        </w:rPr>
                        <w:t xml:space="preserve"> months of 2022 by commodity group</w:t>
                      </w:r>
                    </w:p>
                    <w:p w14:paraId="7CB737CA" w14:textId="77777777" w:rsidR="00255053" w:rsidRPr="00BA44B2" w:rsidRDefault="00255053" w:rsidP="00540EF1">
                      <w:pPr>
                        <w:jc w:val="center"/>
                        <w:rPr>
                          <w:rFonts w:ascii="Arial" w:hAnsi="Arial" w:cs="Arial"/>
                          <w:b/>
                          <w:bCs/>
                          <w:sz w:val="16"/>
                          <w:szCs w:val="16"/>
                        </w:rPr>
                      </w:pPr>
                    </w:p>
                    <w:p w14:paraId="1BE44130" w14:textId="3E271C75" w:rsidR="00255053" w:rsidRPr="00271B83" w:rsidRDefault="00037D93" w:rsidP="00540EF1">
                      <w:pPr>
                        <w:ind w:left="-142"/>
                        <w:jc w:val="center"/>
                        <w:rPr>
                          <w:rFonts w:ascii="Arial" w:hAnsi="Arial" w:cs="Arial"/>
                          <w:sz w:val="24"/>
                          <w:szCs w:val="24"/>
                        </w:rPr>
                      </w:pPr>
                      <w:r w:rsidRPr="009E6B88">
                        <w:rPr>
                          <w:noProof/>
                        </w:rPr>
                        <w:drawing>
                          <wp:inline distT="0" distB="0" distL="0" distR="0" wp14:anchorId="7D7B9A54" wp14:editId="75F31B8D">
                            <wp:extent cx="3294380" cy="1666598"/>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94380" cy="1666598"/>
                                    </a:xfrm>
                                    <a:prstGeom prst="rect">
                                      <a:avLst/>
                                    </a:prstGeom>
                                    <a:noFill/>
                                    <a:ln>
                                      <a:noFill/>
                                    </a:ln>
                                  </pic:spPr>
                                </pic:pic>
                              </a:graphicData>
                            </a:graphic>
                          </wp:inline>
                        </w:drawing>
                      </w:r>
                    </w:p>
                  </w:txbxContent>
                </v:textbox>
                <w10:wrap type="square"/>
              </v:shape>
            </w:pict>
          </mc:Fallback>
        </mc:AlternateContent>
      </w:r>
      <w:r w:rsidR="00421372" w:rsidRPr="00135954">
        <w:rPr>
          <w:i/>
          <w:iCs/>
        </w:rPr>
        <w:t xml:space="preserve">Regarding the structure of export products in </w:t>
      </w:r>
      <w:r w:rsidR="00421372">
        <w:rPr>
          <w:i/>
          <w:iCs/>
        </w:rPr>
        <w:t>8 months</w:t>
      </w:r>
      <w:r w:rsidR="00421372" w:rsidRPr="00135954">
        <w:rPr>
          <w:i/>
          <w:iCs/>
        </w:rPr>
        <w:t xml:space="preserve"> of 2022</w:t>
      </w:r>
      <w:r w:rsidR="00421372" w:rsidRPr="00135954">
        <w:t>, fuel and mineral products accounted for 1.</w:t>
      </w:r>
      <w:r w:rsidR="00421372">
        <w:t>4</w:t>
      </w:r>
      <w:r w:rsidR="00421372" w:rsidRPr="00135954">
        <w:t>%, up 0.</w:t>
      </w:r>
      <w:r w:rsidR="00421372">
        <w:t>3</w:t>
      </w:r>
      <w:r w:rsidR="00421372" w:rsidRPr="00135954">
        <w:t xml:space="preserve"> percentage points over the same period last year; processed industrial products accounted for 8</w:t>
      </w:r>
      <w:r w:rsidR="00421372">
        <w:t>9</w:t>
      </w:r>
      <w:r w:rsidR="00421372" w:rsidRPr="00135954">
        <w:t>%,</w:t>
      </w:r>
      <w:r w:rsidR="00421372">
        <w:t xml:space="preserve"> the same last year</w:t>
      </w:r>
      <w:r w:rsidR="00421372" w:rsidRPr="00135954">
        <w:t>; agricultural and forestry products accounted for 6.</w:t>
      </w:r>
      <w:r w:rsidR="00421372">
        <w:t>6</w:t>
      </w:r>
      <w:r w:rsidR="00421372" w:rsidRPr="00135954">
        <w:t>%, down 0.</w:t>
      </w:r>
      <w:r w:rsidR="00421372">
        <w:t>7</w:t>
      </w:r>
      <w:r w:rsidR="00421372" w:rsidRPr="00135954">
        <w:t xml:space="preserve"> percentage point; aquatic products accounted for </w:t>
      </w:r>
      <w:r w:rsidR="00421372">
        <w:t>3</w:t>
      </w:r>
      <w:r w:rsidR="00421372" w:rsidRPr="00135954">
        <w:t>%, up 0.</w:t>
      </w:r>
      <w:r w:rsidR="00421372">
        <w:t>4</w:t>
      </w:r>
      <w:r w:rsidR="00421372" w:rsidRPr="00135954">
        <w:t xml:space="preserve"> percentage points</w:t>
      </w:r>
    </w:p>
    <w:p w14:paraId="73A086CB" w14:textId="5289F820" w:rsidR="00295EE1" w:rsidRPr="00A3308D" w:rsidRDefault="00295EE1" w:rsidP="00421372">
      <w:pPr>
        <w:spacing w:before="40" w:after="40" w:line="247" w:lineRule="auto"/>
        <w:ind w:firstLine="567"/>
        <w:jc w:val="both"/>
        <w:rPr>
          <w:rStyle w:val="Strong"/>
          <w:i/>
          <w:iCs/>
          <w:lang w:val="de-DE"/>
        </w:rPr>
      </w:pPr>
      <w:r w:rsidRPr="00133A85">
        <w:rPr>
          <w:b/>
          <w:bCs/>
          <w:i/>
          <w:iCs/>
        </w:rPr>
        <w:t>Import of goods</w:t>
      </w:r>
    </w:p>
    <w:p w14:paraId="300C10C1" w14:textId="77777777" w:rsidR="00394718" w:rsidRPr="00D64BE4" w:rsidRDefault="00394718" w:rsidP="00394718">
      <w:pPr>
        <w:tabs>
          <w:tab w:val="num" w:pos="0"/>
        </w:tabs>
        <w:spacing w:before="40" w:after="40"/>
        <w:ind w:firstLine="562"/>
        <w:jc w:val="both"/>
        <w:rPr>
          <w:bCs/>
          <w:lang w:val="en-US"/>
        </w:rPr>
      </w:pPr>
      <w:bookmarkStart w:id="9" w:name="_Hlk60146748"/>
      <w:r w:rsidRPr="00D64BE4">
        <w:rPr>
          <w:bCs/>
          <w:lang w:val="en-US"/>
        </w:rPr>
        <w:t xml:space="preserve">Import turnover of goods in </w:t>
      </w:r>
      <w:r>
        <w:rPr>
          <w:bCs/>
          <w:lang w:val="en-US"/>
        </w:rPr>
        <w:t>July</w:t>
      </w:r>
      <w:r w:rsidRPr="00D64BE4">
        <w:rPr>
          <w:bCs/>
          <w:lang w:val="en-US"/>
        </w:rPr>
        <w:t xml:space="preserve"> </w:t>
      </w:r>
      <w:r>
        <w:rPr>
          <w:bCs/>
          <w:lang w:val="en-US"/>
        </w:rPr>
        <w:t>2022</w:t>
      </w:r>
      <w:r w:rsidRPr="00D64BE4">
        <w:rPr>
          <w:bCs/>
          <w:lang w:val="en-US"/>
        </w:rPr>
        <w:t xml:space="preserve"> reached </w:t>
      </w:r>
      <w:r>
        <w:rPr>
          <w:bCs/>
          <w:lang w:val="en-US"/>
        </w:rPr>
        <w:t>30.53</w:t>
      </w:r>
      <w:r w:rsidRPr="00D64BE4">
        <w:rPr>
          <w:bCs/>
          <w:lang w:val="en-US"/>
        </w:rPr>
        <w:t xml:space="preserve"> </w:t>
      </w:r>
      <w:r>
        <w:rPr>
          <w:bCs/>
          <w:lang w:val="en-US"/>
        </w:rPr>
        <w:t>b</w:t>
      </w:r>
      <w:r w:rsidRPr="00D64BE4">
        <w:rPr>
          <w:bCs/>
          <w:lang w:val="en-US"/>
        </w:rPr>
        <w:t xml:space="preserve">illion USD, </w:t>
      </w:r>
      <w:r>
        <w:rPr>
          <w:bCs/>
          <w:lang w:val="en-US"/>
        </w:rPr>
        <w:t>231</w:t>
      </w:r>
      <w:r w:rsidRPr="00D64BE4">
        <w:rPr>
          <w:bCs/>
          <w:lang w:val="en-US"/>
        </w:rPr>
        <w:t xml:space="preserve"> million USD </w:t>
      </w:r>
      <w:r>
        <w:rPr>
          <w:bCs/>
          <w:lang w:val="en-US"/>
        </w:rPr>
        <w:t>high</w:t>
      </w:r>
      <w:r w:rsidRPr="00D64BE4">
        <w:rPr>
          <w:bCs/>
          <w:lang w:val="en-US"/>
        </w:rPr>
        <w:t>er than the estimated figure</w:t>
      </w:r>
      <w:bookmarkEnd w:id="9"/>
      <w:r w:rsidRPr="00D64BE4">
        <w:rPr>
          <w:bCs/>
          <w:lang w:val="en-US"/>
        </w:rPr>
        <w:t>.</w:t>
      </w:r>
    </w:p>
    <w:p w14:paraId="7B79183A" w14:textId="77777777" w:rsidR="004F1349" w:rsidRPr="00D64BE4" w:rsidRDefault="004F1349" w:rsidP="004F1349">
      <w:pPr>
        <w:tabs>
          <w:tab w:val="num" w:pos="0"/>
        </w:tabs>
        <w:spacing w:before="40" w:after="40"/>
        <w:ind w:firstLine="562"/>
        <w:jc w:val="both"/>
        <w:rPr>
          <w:bCs/>
          <w:spacing w:val="-2"/>
          <w:lang w:val="en-US"/>
        </w:rPr>
      </w:pPr>
      <w:r w:rsidRPr="00D64BE4">
        <w:rPr>
          <w:bCs/>
          <w:spacing w:val="-2"/>
          <w:lang w:val="en-US"/>
        </w:rPr>
        <w:t xml:space="preserve">Import turnover in </w:t>
      </w:r>
      <w:r>
        <w:rPr>
          <w:bCs/>
          <w:spacing w:val="-2"/>
          <w:lang w:val="en-US"/>
        </w:rPr>
        <w:t>August</w:t>
      </w:r>
      <w:r w:rsidRPr="00D64BE4">
        <w:rPr>
          <w:bCs/>
          <w:spacing w:val="-2"/>
          <w:lang w:val="en-US"/>
        </w:rPr>
        <w:t xml:space="preserve"> </w:t>
      </w:r>
      <w:r>
        <w:rPr>
          <w:bCs/>
          <w:spacing w:val="-2"/>
          <w:lang w:val="en-US"/>
        </w:rPr>
        <w:t>2022</w:t>
      </w:r>
      <w:r w:rsidRPr="00D64BE4">
        <w:rPr>
          <w:bCs/>
          <w:spacing w:val="-2"/>
          <w:lang w:val="en-US"/>
        </w:rPr>
        <w:t xml:space="preserve"> was estimated at </w:t>
      </w:r>
      <w:r>
        <w:rPr>
          <w:bCs/>
          <w:spacing w:val="-2"/>
          <w:lang w:val="en-US"/>
        </w:rPr>
        <w:t xml:space="preserve">30.96 </w:t>
      </w:r>
      <w:r w:rsidRPr="00D64BE4">
        <w:rPr>
          <w:bCs/>
          <w:spacing w:val="-2"/>
          <w:lang w:val="en-US"/>
        </w:rPr>
        <w:t>billion</w:t>
      </w:r>
      <w:r w:rsidRPr="00D64BE4">
        <w:rPr>
          <w:bCs/>
          <w:lang w:val="en-US"/>
        </w:rPr>
        <w:t xml:space="preserve"> USD</w:t>
      </w:r>
      <w:r w:rsidRPr="00D64BE4">
        <w:rPr>
          <w:bCs/>
          <w:spacing w:val="-2"/>
          <w:lang w:val="en-US"/>
        </w:rPr>
        <w:t xml:space="preserve">, </w:t>
      </w:r>
      <w:r>
        <w:rPr>
          <w:bCs/>
          <w:spacing w:val="-2"/>
          <w:lang w:val="en-US"/>
        </w:rPr>
        <w:t>increased</w:t>
      </w:r>
      <w:r w:rsidRPr="00D64BE4">
        <w:rPr>
          <w:bCs/>
          <w:spacing w:val="-2"/>
          <w:lang w:val="en-US"/>
        </w:rPr>
        <w:t xml:space="preserve"> by </w:t>
      </w:r>
      <w:r>
        <w:rPr>
          <w:bCs/>
          <w:spacing w:val="-2"/>
          <w:lang w:val="en-US"/>
        </w:rPr>
        <w:t>1.4</w:t>
      </w:r>
      <w:r w:rsidRPr="00D64BE4">
        <w:rPr>
          <w:bCs/>
          <w:spacing w:val="-2"/>
          <w:lang w:val="en-US"/>
        </w:rPr>
        <w:t xml:space="preserve">% over the previous month, of which the domestic economic sector gained </w:t>
      </w:r>
      <w:r>
        <w:rPr>
          <w:bCs/>
          <w:spacing w:val="-2"/>
          <w:lang w:val="en-US"/>
        </w:rPr>
        <w:t xml:space="preserve">9.96 </w:t>
      </w:r>
      <w:r w:rsidRPr="00D64BE4">
        <w:rPr>
          <w:bCs/>
          <w:spacing w:val="-2"/>
          <w:lang w:val="en-US"/>
        </w:rPr>
        <w:t>billion</w:t>
      </w:r>
      <w:r w:rsidRPr="00D64BE4">
        <w:rPr>
          <w:bCs/>
          <w:lang w:val="en-US"/>
        </w:rPr>
        <w:t xml:space="preserve"> USD</w:t>
      </w:r>
      <w:r w:rsidRPr="00D64BE4">
        <w:rPr>
          <w:bCs/>
          <w:spacing w:val="-2"/>
          <w:lang w:val="en-US"/>
        </w:rPr>
        <w:t xml:space="preserve">, </w:t>
      </w:r>
      <w:r>
        <w:rPr>
          <w:bCs/>
          <w:spacing w:val="-2"/>
          <w:lang w:val="en-US"/>
        </w:rPr>
        <w:t>decreased</w:t>
      </w:r>
      <w:r w:rsidRPr="00D64BE4">
        <w:rPr>
          <w:bCs/>
          <w:spacing w:val="-2"/>
          <w:lang w:val="en-US"/>
        </w:rPr>
        <w:t xml:space="preserve"> by </w:t>
      </w:r>
      <w:r>
        <w:rPr>
          <w:bCs/>
          <w:spacing w:val="-2"/>
          <w:lang w:val="en-US"/>
        </w:rPr>
        <w:t>6.4</w:t>
      </w:r>
      <w:r w:rsidRPr="00D64BE4">
        <w:rPr>
          <w:bCs/>
          <w:spacing w:val="-2"/>
          <w:lang w:val="en-US"/>
        </w:rPr>
        <w:t xml:space="preserve">%; the </w:t>
      </w:r>
      <w:r w:rsidRPr="00D64BE4">
        <w:rPr>
          <w:bCs/>
          <w:lang w:val="en-US"/>
        </w:rPr>
        <w:t>FDI</w:t>
      </w:r>
      <w:r w:rsidRPr="00D64BE4">
        <w:rPr>
          <w:bCs/>
          <w:spacing w:val="-2"/>
          <w:lang w:val="en-US"/>
        </w:rPr>
        <w:t xml:space="preserve"> sector reached </w:t>
      </w:r>
      <w:r>
        <w:rPr>
          <w:bCs/>
          <w:spacing w:val="-2"/>
          <w:lang w:val="en-US"/>
        </w:rPr>
        <w:t>21</w:t>
      </w:r>
      <w:r w:rsidRPr="00D64BE4">
        <w:rPr>
          <w:bCs/>
          <w:spacing w:val="-2"/>
          <w:lang w:val="en-US"/>
        </w:rPr>
        <w:t xml:space="preserve"> billion USD, </w:t>
      </w:r>
      <w:r>
        <w:rPr>
          <w:bCs/>
          <w:spacing w:val="-2"/>
          <w:lang w:val="en-US"/>
        </w:rPr>
        <w:t>increased</w:t>
      </w:r>
      <w:r w:rsidRPr="00D64BE4">
        <w:rPr>
          <w:bCs/>
          <w:spacing w:val="-2"/>
          <w:lang w:val="en-US"/>
        </w:rPr>
        <w:t xml:space="preserve"> by </w:t>
      </w:r>
      <w:r>
        <w:rPr>
          <w:bCs/>
          <w:spacing w:val="-2"/>
          <w:lang w:val="en-US"/>
        </w:rPr>
        <w:t>5.6</w:t>
      </w:r>
      <w:r w:rsidRPr="00D64BE4">
        <w:rPr>
          <w:bCs/>
          <w:spacing w:val="-2"/>
          <w:lang w:val="en-US"/>
        </w:rPr>
        <w:t xml:space="preserve">%. Compared to the same period in </w:t>
      </w:r>
      <w:r>
        <w:rPr>
          <w:bCs/>
          <w:spacing w:val="-2"/>
          <w:lang w:val="en-US"/>
        </w:rPr>
        <w:t>2021</w:t>
      </w:r>
      <w:r w:rsidRPr="00D64BE4">
        <w:rPr>
          <w:bCs/>
          <w:spacing w:val="-2"/>
          <w:lang w:val="en-US"/>
        </w:rPr>
        <w:t xml:space="preserve">, the import turnover of goods in </w:t>
      </w:r>
      <w:r>
        <w:rPr>
          <w:bCs/>
          <w:spacing w:val="-2"/>
          <w:lang w:val="en-US"/>
        </w:rPr>
        <w:t>August</w:t>
      </w:r>
      <w:r w:rsidRPr="00D64BE4">
        <w:rPr>
          <w:bCs/>
          <w:spacing w:val="-2"/>
          <w:lang w:val="en-US"/>
        </w:rPr>
        <w:t xml:space="preserve"> increased by </w:t>
      </w:r>
      <w:r>
        <w:rPr>
          <w:bCs/>
          <w:spacing w:val="-2"/>
          <w:lang w:val="en-US"/>
        </w:rPr>
        <w:t>12.4</w:t>
      </w:r>
      <w:r w:rsidRPr="00D64BE4">
        <w:rPr>
          <w:bCs/>
          <w:spacing w:val="-2"/>
          <w:lang w:val="en-US"/>
        </w:rPr>
        <w:t xml:space="preserve">%, of which the domestic economic sector increased by </w:t>
      </w:r>
      <w:r>
        <w:rPr>
          <w:bCs/>
          <w:spacing w:val="-2"/>
          <w:lang w:val="en-US"/>
        </w:rPr>
        <w:t>10.4</w:t>
      </w:r>
      <w:r w:rsidRPr="00D64BE4">
        <w:rPr>
          <w:bCs/>
          <w:spacing w:val="-2"/>
          <w:lang w:val="en-US"/>
        </w:rPr>
        <w:t xml:space="preserve">%; the FDI sector rose by </w:t>
      </w:r>
      <w:r>
        <w:rPr>
          <w:bCs/>
          <w:spacing w:val="-2"/>
          <w:lang w:val="en-US"/>
        </w:rPr>
        <w:t>13.4</w:t>
      </w:r>
      <w:r w:rsidRPr="00D64BE4">
        <w:rPr>
          <w:bCs/>
          <w:spacing w:val="-2"/>
          <w:lang w:val="en-US"/>
        </w:rPr>
        <w:t xml:space="preserve">%. </w:t>
      </w:r>
    </w:p>
    <w:p w14:paraId="45126BA4" w14:textId="77777777" w:rsidR="00A116C9" w:rsidRPr="00D64BE4" w:rsidRDefault="00A116C9" w:rsidP="00A116C9">
      <w:pPr>
        <w:tabs>
          <w:tab w:val="num" w:pos="0"/>
        </w:tabs>
        <w:spacing w:before="40" w:after="40"/>
        <w:ind w:firstLine="562"/>
        <w:jc w:val="both"/>
        <w:rPr>
          <w:bCs/>
          <w:lang w:val="en-US"/>
        </w:rPr>
      </w:pPr>
      <w:r w:rsidRPr="00D64BE4">
        <w:rPr>
          <w:lang w:val="en-US"/>
        </w:rPr>
        <w:t>Generally</w:t>
      </w:r>
      <w:r>
        <w:rPr>
          <w:lang w:val="en-US"/>
        </w:rPr>
        <w:t>,</w:t>
      </w:r>
      <w:r w:rsidRPr="00D64BE4">
        <w:rPr>
          <w:lang w:val="en-US"/>
        </w:rPr>
        <w:t xml:space="preserve"> in </w:t>
      </w:r>
      <w:r>
        <w:rPr>
          <w:lang w:val="en-US"/>
        </w:rPr>
        <w:t>8</w:t>
      </w:r>
      <w:r>
        <w:rPr>
          <w:rFonts w:eastAsia="Batang"/>
        </w:rPr>
        <w:t xml:space="preserve"> months</w:t>
      </w:r>
      <w:r w:rsidRPr="00D64BE4">
        <w:rPr>
          <w:rFonts w:eastAsia="Batang"/>
        </w:rPr>
        <w:t xml:space="preserve"> of </w:t>
      </w:r>
      <w:r>
        <w:rPr>
          <w:rFonts w:eastAsia="Batang"/>
        </w:rPr>
        <w:t>2022</w:t>
      </w:r>
      <w:r w:rsidRPr="00D64BE4">
        <w:rPr>
          <w:lang w:val="en-US"/>
        </w:rPr>
        <w:t>, the import turnover was estimated at</w:t>
      </w:r>
      <w:r>
        <w:rPr>
          <w:lang w:val="en-US"/>
        </w:rPr>
        <w:t xml:space="preserve"> 246.84</w:t>
      </w:r>
      <w:r w:rsidRPr="00D64BE4">
        <w:rPr>
          <w:lang w:val="en-US"/>
        </w:rPr>
        <w:t xml:space="preserve"> billion</w:t>
      </w:r>
      <w:r w:rsidRPr="00D64BE4">
        <w:rPr>
          <w:bCs/>
          <w:lang w:val="en-US"/>
        </w:rPr>
        <w:t xml:space="preserve"> USD</w:t>
      </w:r>
      <w:r w:rsidRPr="00D64BE4">
        <w:rPr>
          <w:lang w:val="en-US"/>
        </w:rPr>
        <w:t xml:space="preserve">, increased by </w:t>
      </w:r>
      <w:r>
        <w:rPr>
          <w:lang w:val="en-US"/>
        </w:rPr>
        <w:t>13.6</w:t>
      </w:r>
      <w:r w:rsidRPr="00D64BE4">
        <w:rPr>
          <w:lang w:val="en-US"/>
        </w:rPr>
        <w:t xml:space="preserve">% over the same period in </w:t>
      </w:r>
      <w:r>
        <w:rPr>
          <w:lang w:val="en-US"/>
        </w:rPr>
        <w:t>2021</w:t>
      </w:r>
      <w:r w:rsidRPr="00D64BE4">
        <w:rPr>
          <w:lang w:val="en-US"/>
        </w:rPr>
        <w:t xml:space="preserve">, of which the </w:t>
      </w:r>
      <w:r w:rsidRPr="00D64BE4">
        <w:rPr>
          <w:lang w:val="en-US"/>
        </w:rPr>
        <w:lastRenderedPageBreak/>
        <w:t xml:space="preserve">domestic economic sector reached </w:t>
      </w:r>
      <w:r>
        <w:rPr>
          <w:lang w:val="en-US"/>
        </w:rPr>
        <w:t xml:space="preserve">85.58 </w:t>
      </w:r>
      <w:r w:rsidRPr="00D64BE4">
        <w:rPr>
          <w:lang w:val="en-US"/>
        </w:rPr>
        <w:t>billion</w:t>
      </w:r>
      <w:r w:rsidRPr="00D64BE4">
        <w:rPr>
          <w:bCs/>
          <w:lang w:val="en-US"/>
        </w:rPr>
        <w:t xml:space="preserve"> USD</w:t>
      </w:r>
      <w:r w:rsidRPr="00D64BE4">
        <w:rPr>
          <w:lang w:val="en-US"/>
        </w:rPr>
        <w:t xml:space="preserve">, went up by </w:t>
      </w:r>
      <w:r>
        <w:rPr>
          <w:lang w:val="en-US"/>
        </w:rPr>
        <w:t>12.5</w:t>
      </w:r>
      <w:r w:rsidRPr="00D64BE4">
        <w:rPr>
          <w:lang w:val="en-US"/>
        </w:rPr>
        <w:t xml:space="preserve">%; the FDI sector gained </w:t>
      </w:r>
      <w:r>
        <w:rPr>
          <w:lang w:val="en-US"/>
        </w:rPr>
        <w:t>161.26</w:t>
      </w:r>
      <w:r w:rsidRPr="00D64BE4">
        <w:rPr>
          <w:lang w:val="en-US"/>
        </w:rPr>
        <w:t xml:space="preserve"> billion USD, edged up by </w:t>
      </w:r>
      <w:r>
        <w:rPr>
          <w:lang w:val="en-US"/>
        </w:rPr>
        <w:t>14.2</w:t>
      </w:r>
      <w:r w:rsidRPr="00D64BE4">
        <w:rPr>
          <w:lang w:val="en-US"/>
        </w:rPr>
        <w:t>%.</w:t>
      </w:r>
      <w:r w:rsidRPr="00D64BE4">
        <w:rPr>
          <w:bCs/>
          <w:lang w:val="en-US"/>
        </w:rPr>
        <w:t xml:space="preserve"> </w:t>
      </w:r>
    </w:p>
    <w:p w14:paraId="2151D1C1" w14:textId="77777777" w:rsidR="00BB5E39" w:rsidRPr="00D64BE4" w:rsidRDefault="00BB5E39" w:rsidP="00BB5E39">
      <w:pPr>
        <w:spacing w:before="40" w:after="40"/>
        <w:ind w:firstLine="562"/>
        <w:jc w:val="both"/>
        <w:rPr>
          <w:lang w:val="en-US"/>
        </w:rPr>
      </w:pPr>
      <w:r w:rsidRPr="00D64BE4">
        <w:rPr>
          <w:lang w:val="en-US"/>
        </w:rPr>
        <w:t xml:space="preserve">In </w:t>
      </w:r>
      <w:r>
        <w:rPr>
          <w:lang w:val="en-US"/>
        </w:rPr>
        <w:t>8</w:t>
      </w:r>
      <w:r>
        <w:rPr>
          <w:rFonts w:eastAsia="Batang"/>
        </w:rPr>
        <w:t xml:space="preserve"> months</w:t>
      </w:r>
      <w:r w:rsidRPr="00D64BE4">
        <w:rPr>
          <w:rFonts w:eastAsia="Batang"/>
        </w:rPr>
        <w:t xml:space="preserve"> of </w:t>
      </w:r>
      <w:r>
        <w:rPr>
          <w:rFonts w:eastAsia="Batang"/>
        </w:rPr>
        <w:t>2022</w:t>
      </w:r>
      <w:r w:rsidRPr="00D64BE4">
        <w:rPr>
          <w:lang w:val="en-US"/>
        </w:rPr>
        <w:t xml:space="preserve">, there were </w:t>
      </w:r>
      <w:bookmarkStart w:id="10" w:name="_Hlk60145952"/>
      <w:r>
        <w:rPr>
          <w:lang w:val="en-US"/>
        </w:rPr>
        <w:t>38</w:t>
      </w:r>
      <w:r w:rsidRPr="00D64BE4">
        <w:rPr>
          <w:lang w:val="en-US"/>
        </w:rPr>
        <w:t xml:space="preserve"> imported products with </w:t>
      </w:r>
      <w:r>
        <w:rPr>
          <w:lang w:val="en-US"/>
        </w:rPr>
        <w:t xml:space="preserve">a </w:t>
      </w:r>
      <w:r w:rsidRPr="00D64BE4">
        <w:rPr>
          <w:lang w:val="en-US"/>
        </w:rPr>
        <w:t xml:space="preserve">turnover of over 1 billion USD, accounting for </w:t>
      </w:r>
      <w:r>
        <w:rPr>
          <w:lang w:val="en-US"/>
        </w:rPr>
        <w:t>90.8</w:t>
      </w:r>
      <w:r w:rsidRPr="00D64BE4">
        <w:rPr>
          <w:lang w:val="en-US"/>
        </w:rPr>
        <w:t xml:space="preserve">% of </w:t>
      </w:r>
      <w:r>
        <w:rPr>
          <w:lang w:val="en-US"/>
        </w:rPr>
        <w:t xml:space="preserve">the </w:t>
      </w:r>
      <w:r w:rsidRPr="00D64BE4">
        <w:rPr>
          <w:lang w:val="en-US"/>
        </w:rPr>
        <w:t>total import turnover</w:t>
      </w:r>
      <w:bookmarkEnd w:id="10"/>
      <w:r>
        <w:rPr>
          <w:lang w:val="en-US"/>
        </w:rPr>
        <w:t xml:space="preserve"> </w:t>
      </w:r>
      <w:r w:rsidRPr="00507D5B">
        <w:rPr>
          <w:lang w:val="en-US"/>
        </w:rPr>
        <w:t>(</w:t>
      </w:r>
      <w:r>
        <w:rPr>
          <w:lang w:val="en-US"/>
        </w:rPr>
        <w:t>4</w:t>
      </w:r>
      <w:r w:rsidRPr="00507D5B">
        <w:rPr>
          <w:lang w:val="en-US"/>
        </w:rPr>
        <w:t xml:space="preserve"> products with </w:t>
      </w:r>
      <w:r>
        <w:rPr>
          <w:lang w:val="en-US"/>
        </w:rPr>
        <w:t>im</w:t>
      </w:r>
      <w:r w:rsidRPr="00507D5B">
        <w:rPr>
          <w:lang w:val="en-US"/>
        </w:rPr>
        <w:t xml:space="preserve">port turnover of over 10 billion USD, accounting for </w:t>
      </w:r>
      <w:r>
        <w:rPr>
          <w:lang w:val="en-US"/>
        </w:rPr>
        <w:t>45.2</w:t>
      </w:r>
      <w:r w:rsidRPr="00507D5B">
        <w:rPr>
          <w:lang w:val="en-US"/>
        </w:rPr>
        <w:t>%)</w:t>
      </w:r>
      <w:r>
        <w:rPr>
          <w:lang w:val="en-US"/>
        </w:rPr>
        <w:t>.</w:t>
      </w:r>
    </w:p>
    <w:p w14:paraId="71BD780E" w14:textId="77777777" w:rsidR="00540EF1" w:rsidRPr="003D5B1E" w:rsidRDefault="00540EF1" w:rsidP="00540EF1">
      <w:pPr>
        <w:tabs>
          <w:tab w:val="left" w:pos="9475"/>
        </w:tabs>
        <w:spacing w:before="40" w:after="40" w:line="264" w:lineRule="auto"/>
        <w:ind w:right="6"/>
        <w:jc w:val="center"/>
        <w:rPr>
          <w:rFonts w:ascii="Arial" w:hAnsi="Arial" w:cs="Arial"/>
          <w:b/>
          <w:spacing w:val="-2"/>
          <w:sz w:val="4"/>
          <w:szCs w:val="20"/>
          <w:lang w:val="pl-PL"/>
        </w:rPr>
      </w:pPr>
    </w:p>
    <w:p w14:paraId="0CB3A1B5" w14:textId="77777777" w:rsidR="00540EF1" w:rsidRPr="009C723A" w:rsidRDefault="00540EF1" w:rsidP="00540EF1">
      <w:pPr>
        <w:tabs>
          <w:tab w:val="left" w:pos="9475"/>
        </w:tabs>
        <w:spacing w:before="40" w:after="40" w:line="264" w:lineRule="auto"/>
        <w:ind w:right="6"/>
        <w:jc w:val="center"/>
        <w:rPr>
          <w:rFonts w:ascii="Arial" w:hAnsi="Arial" w:cs="Arial"/>
          <w:b/>
          <w:spacing w:val="-2"/>
          <w:sz w:val="4"/>
          <w:szCs w:val="20"/>
          <w:lang w:val="pl-PL"/>
        </w:rPr>
      </w:pPr>
    </w:p>
    <w:p w14:paraId="26947EFD" w14:textId="422BF581" w:rsidR="00812241" w:rsidRDefault="00812241" w:rsidP="00812241">
      <w:pPr>
        <w:tabs>
          <w:tab w:val="left" w:pos="9475"/>
        </w:tabs>
        <w:spacing w:before="120" w:after="120"/>
        <w:ind w:right="6"/>
        <w:jc w:val="center"/>
        <w:rPr>
          <w:rFonts w:ascii="Arial" w:hAnsi="Arial" w:cs="Arial"/>
          <w:b/>
          <w:spacing w:val="-2"/>
          <w:sz w:val="24"/>
          <w:szCs w:val="20"/>
          <w:lang w:val="pl-PL"/>
        </w:rPr>
      </w:pPr>
      <w:r w:rsidRPr="00BF2FFF">
        <w:rPr>
          <w:rFonts w:ascii="Arial" w:hAnsi="Arial" w:cs="Arial"/>
          <w:b/>
          <w:spacing w:val="-2"/>
          <w:sz w:val="24"/>
          <w:szCs w:val="20"/>
          <w:lang w:val="pl-PL"/>
        </w:rPr>
        <w:t xml:space="preserve">Table </w:t>
      </w:r>
      <w:r>
        <w:rPr>
          <w:rFonts w:ascii="Arial" w:hAnsi="Arial" w:cs="Arial"/>
          <w:b/>
          <w:spacing w:val="-2"/>
          <w:sz w:val="24"/>
          <w:szCs w:val="20"/>
          <w:lang w:val="pl-PL"/>
        </w:rPr>
        <w:t>5</w:t>
      </w:r>
      <w:r w:rsidRPr="00BF2FFF">
        <w:rPr>
          <w:rFonts w:ascii="Arial" w:hAnsi="Arial" w:cs="Arial"/>
          <w:b/>
          <w:spacing w:val="-2"/>
          <w:sz w:val="24"/>
          <w:szCs w:val="20"/>
          <w:lang w:val="pl-PL"/>
        </w:rPr>
        <w:t xml:space="preserve">. Value of some imported goods in </w:t>
      </w:r>
      <w:r>
        <w:rPr>
          <w:rFonts w:ascii="Arial" w:hAnsi="Arial" w:cs="Arial"/>
          <w:b/>
          <w:spacing w:val="-2"/>
          <w:sz w:val="24"/>
          <w:szCs w:val="20"/>
          <w:lang w:val="pl-PL"/>
        </w:rPr>
        <w:t>8 months</w:t>
      </w:r>
      <w:r w:rsidRPr="00BF2FFF">
        <w:rPr>
          <w:rFonts w:ascii="Arial" w:hAnsi="Arial" w:cs="Arial"/>
          <w:b/>
          <w:spacing w:val="-2"/>
          <w:sz w:val="24"/>
          <w:szCs w:val="20"/>
          <w:lang w:val="pl-PL"/>
        </w:rPr>
        <w:t xml:space="preserve"> of 2022</w:t>
      </w:r>
    </w:p>
    <w:tbl>
      <w:tblPr>
        <w:tblW w:w="9499" w:type="dxa"/>
        <w:tblLook w:val="04A0" w:firstRow="1" w:lastRow="0" w:firstColumn="1" w:lastColumn="0" w:noHBand="0" w:noVBand="1"/>
      </w:tblPr>
      <w:tblGrid>
        <w:gridCol w:w="280"/>
        <w:gridCol w:w="4256"/>
        <w:gridCol w:w="1985"/>
        <w:gridCol w:w="2978"/>
      </w:tblGrid>
      <w:tr w:rsidR="002B023C" w:rsidRPr="007F6A49" w14:paraId="5C73B914" w14:textId="77777777" w:rsidTr="00B73D5B">
        <w:trPr>
          <w:trHeight w:val="360"/>
        </w:trPr>
        <w:tc>
          <w:tcPr>
            <w:tcW w:w="280" w:type="dxa"/>
            <w:tcBorders>
              <w:top w:val="single" w:sz="4" w:space="0" w:color="auto"/>
              <w:left w:val="nil"/>
              <w:bottom w:val="nil"/>
              <w:right w:val="nil"/>
            </w:tcBorders>
            <w:shd w:val="clear" w:color="auto" w:fill="auto"/>
            <w:noWrap/>
            <w:vAlign w:val="bottom"/>
            <w:hideMark/>
          </w:tcPr>
          <w:p w14:paraId="57144C51" w14:textId="77777777" w:rsidR="002B023C" w:rsidRPr="007F6A49" w:rsidRDefault="002B023C" w:rsidP="00B73D5B">
            <w:pPr>
              <w:spacing w:before="40" w:after="40"/>
              <w:rPr>
                <w:rFonts w:ascii="Arial" w:hAnsi="Arial" w:cs="Arial"/>
                <w:sz w:val="20"/>
                <w:szCs w:val="20"/>
              </w:rPr>
            </w:pPr>
            <w:r w:rsidRPr="007F6A49">
              <w:rPr>
                <w:rFonts w:ascii="Arial" w:hAnsi="Arial" w:cs="Arial"/>
                <w:sz w:val="20"/>
                <w:szCs w:val="20"/>
              </w:rPr>
              <w:t> </w:t>
            </w:r>
          </w:p>
        </w:tc>
        <w:tc>
          <w:tcPr>
            <w:tcW w:w="4256" w:type="dxa"/>
            <w:tcBorders>
              <w:top w:val="single" w:sz="4" w:space="0" w:color="auto"/>
              <w:left w:val="nil"/>
              <w:bottom w:val="nil"/>
              <w:right w:val="nil"/>
            </w:tcBorders>
            <w:shd w:val="clear" w:color="auto" w:fill="auto"/>
            <w:noWrap/>
            <w:vAlign w:val="bottom"/>
            <w:hideMark/>
          </w:tcPr>
          <w:p w14:paraId="40C09B70" w14:textId="77777777" w:rsidR="002B023C" w:rsidRPr="007F6A49" w:rsidRDefault="002B023C" w:rsidP="00B73D5B">
            <w:pPr>
              <w:spacing w:before="40" w:after="40"/>
              <w:jc w:val="center"/>
              <w:rPr>
                <w:rFonts w:ascii="Arial" w:hAnsi="Arial" w:cs="Arial"/>
                <w:sz w:val="20"/>
                <w:szCs w:val="20"/>
              </w:rPr>
            </w:pPr>
            <w:r w:rsidRPr="007F6A49">
              <w:rPr>
                <w:rFonts w:ascii="Arial" w:hAnsi="Arial" w:cs="Arial"/>
                <w:sz w:val="20"/>
                <w:szCs w:val="20"/>
              </w:rPr>
              <w:t> </w:t>
            </w:r>
          </w:p>
        </w:tc>
        <w:tc>
          <w:tcPr>
            <w:tcW w:w="1985" w:type="dxa"/>
            <w:tcBorders>
              <w:top w:val="single" w:sz="4" w:space="0" w:color="auto"/>
              <w:left w:val="nil"/>
            </w:tcBorders>
            <w:shd w:val="clear" w:color="auto" w:fill="auto"/>
            <w:vAlign w:val="center"/>
            <w:hideMark/>
          </w:tcPr>
          <w:p w14:paraId="3817FF17" w14:textId="77777777" w:rsidR="002B023C" w:rsidRPr="007F6A49" w:rsidRDefault="002B023C" w:rsidP="00B73D5B">
            <w:pPr>
              <w:spacing w:before="40" w:after="40"/>
              <w:jc w:val="center"/>
              <w:rPr>
                <w:rFonts w:ascii="Arial" w:hAnsi="Arial" w:cs="Arial"/>
                <w:sz w:val="20"/>
                <w:szCs w:val="20"/>
              </w:rPr>
            </w:pPr>
            <w:r w:rsidRPr="007F6A49">
              <w:rPr>
                <w:rFonts w:ascii="Arial" w:hAnsi="Arial" w:cs="Arial"/>
                <w:sz w:val="20"/>
                <w:szCs w:val="20"/>
              </w:rPr>
              <w:t>Estimate</w:t>
            </w:r>
          </w:p>
        </w:tc>
        <w:tc>
          <w:tcPr>
            <w:tcW w:w="2978" w:type="dxa"/>
            <w:tcBorders>
              <w:top w:val="single" w:sz="4" w:space="0" w:color="auto"/>
            </w:tcBorders>
            <w:shd w:val="clear" w:color="auto" w:fill="auto"/>
            <w:vAlign w:val="center"/>
            <w:hideMark/>
          </w:tcPr>
          <w:p w14:paraId="0BA1E24F" w14:textId="77777777" w:rsidR="002B023C" w:rsidRPr="007F6A49" w:rsidRDefault="002B023C" w:rsidP="00B73D5B">
            <w:pPr>
              <w:spacing w:before="40" w:after="40"/>
              <w:jc w:val="center"/>
              <w:rPr>
                <w:rFonts w:ascii="Arial" w:hAnsi="Arial" w:cs="Arial"/>
                <w:sz w:val="20"/>
                <w:szCs w:val="20"/>
              </w:rPr>
            </w:pPr>
            <w:r w:rsidRPr="007F6A49">
              <w:rPr>
                <w:rFonts w:ascii="Arial" w:hAnsi="Arial" w:cs="Arial"/>
                <w:sz w:val="20"/>
                <w:szCs w:val="20"/>
              </w:rPr>
              <w:t xml:space="preserve">Growth rate of </w:t>
            </w:r>
          </w:p>
        </w:tc>
      </w:tr>
      <w:tr w:rsidR="002B023C" w:rsidRPr="007F6A49" w14:paraId="738122BC" w14:textId="77777777" w:rsidTr="00B73D5B">
        <w:trPr>
          <w:trHeight w:val="360"/>
        </w:trPr>
        <w:tc>
          <w:tcPr>
            <w:tcW w:w="280" w:type="dxa"/>
            <w:tcBorders>
              <w:top w:val="nil"/>
              <w:left w:val="nil"/>
              <w:bottom w:val="nil"/>
              <w:right w:val="nil"/>
            </w:tcBorders>
            <w:shd w:val="clear" w:color="auto" w:fill="auto"/>
            <w:noWrap/>
            <w:vAlign w:val="bottom"/>
            <w:hideMark/>
          </w:tcPr>
          <w:p w14:paraId="5E901FF0" w14:textId="77777777" w:rsidR="002B023C" w:rsidRPr="007F6A49" w:rsidRDefault="002B023C" w:rsidP="00B73D5B">
            <w:pPr>
              <w:spacing w:before="40" w:after="40"/>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bottom"/>
            <w:hideMark/>
          </w:tcPr>
          <w:p w14:paraId="5A2614B3" w14:textId="77777777" w:rsidR="002B023C" w:rsidRPr="007F6A49" w:rsidRDefault="002B023C" w:rsidP="00B73D5B">
            <w:pPr>
              <w:spacing w:before="40" w:after="40"/>
              <w:rPr>
                <w:rFonts w:ascii="Arial" w:hAnsi="Arial" w:cs="Arial"/>
                <w:sz w:val="20"/>
                <w:szCs w:val="20"/>
              </w:rPr>
            </w:pPr>
          </w:p>
        </w:tc>
        <w:tc>
          <w:tcPr>
            <w:tcW w:w="1985" w:type="dxa"/>
            <w:tcBorders>
              <w:top w:val="nil"/>
              <w:left w:val="nil"/>
            </w:tcBorders>
            <w:shd w:val="clear" w:color="auto" w:fill="auto"/>
            <w:vAlign w:val="center"/>
            <w:hideMark/>
          </w:tcPr>
          <w:p w14:paraId="01F5010E" w14:textId="77777777" w:rsidR="002B023C" w:rsidRPr="007F6A49" w:rsidRDefault="002B023C" w:rsidP="00B73D5B">
            <w:pPr>
              <w:spacing w:before="40" w:after="40"/>
              <w:jc w:val="center"/>
              <w:rPr>
                <w:rFonts w:ascii="Arial" w:hAnsi="Arial" w:cs="Arial"/>
                <w:sz w:val="20"/>
                <w:szCs w:val="20"/>
              </w:rPr>
            </w:pPr>
            <w:r>
              <w:rPr>
                <w:rFonts w:ascii="Arial" w:hAnsi="Arial" w:cs="Arial"/>
                <w:sz w:val="20"/>
                <w:szCs w:val="20"/>
                <w:lang w:val="en"/>
              </w:rPr>
              <w:t>8 months</w:t>
            </w:r>
            <w:r w:rsidRPr="008332C0">
              <w:rPr>
                <w:rFonts w:ascii="Arial" w:hAnsi="Arial" w:cs="Arial"/>
                <w:sz w:val="20"/>
                <w:szCs w:val="20"/>
              </w:rPr>
              <w:t xml:space="preserve"> </w:t>
            </w:r>
            <w:r>
              <w:rPr>
                <w:rFonts w:ascii="Arial" w:hAnsi="Arial" w:cs="Arial"/>
                <w:sz w:val="20"/>
                <w:szCs w:val="20"/>
              </w:rPr>
              <w:t>of 2022</w:t>
            </w:r>
          </w:p>
        </w:tc>
        <w:tc>
          <w:tcPr>
            <w:tcW w:w="2978" w:type="dxa"/>
            <w:tcBorders>
              <w:top w:val="nil"/>
            </w:tcBorders>
            <w:shd w:val="clear" w:color="auto" w:fill="auto"/>
            <w:vAlign w:val="center"/>
            <w:hideMark/>
          </w:tcPr>
          <w:p w14:paraId="2F362A63" w14:textId="77777777" w:rsidR="002B023C" w:rsidRPr="007F6A49" w:rsidRDefault="002B023C" w:rsidP="00B73D5B">
            <w:pPr>
              <w:spacing w:before="40" w:after="40"/>
              <w:jc w:val="center"/>
              <w:rPr>
                <w:rFonts w:ascii="Arial" w:hAnsi="Arial" w:cs="Arial"/>
                <w:sz w:val="20"/>
                <w:szCs w:val="20"/>
              </w:rPr>
            </w:pPr>
            <w:r>
              <w:rPr>
                <w:rFonts w:ascii="Arial" w:hAnsi="Arial" w:cs="Arial"/>
                <w:sz w:val="20"/>
                <w:szCs w:val="20"/>
                <w:lang w:val="en"/>
              </w:rPr>
              <w:t>8 months of</w:t>
            </w:r>
            <w:r w:rsidRPr="007F6A49">
              <w:rPr>
                <w:rFonts w:ascii="Arial" w:hAnsi="Arial" w:cs="Arial"/>
                <w:sz w:val="20"/>
                <w:szCs w:val="20"/>
              </w:rPr>
              <w:t xml:space="preserve"> 2022 compare to</w:t>
            </w:r>
          </w:p>
          <w:p w14:paraId="4C04E990" w14:textId="77777777" w:rsidR="002B023C" w:rsidRPr="007F6A49" w:rsidRDefault="002B023C" w:rsidP="00B73D5B">
            <w:pPr>
              <w:spacing w:before="40" w:after="40"/>
              <w:jc w:val="center"/>
              <w:rPr>
                <w:rFonts w:ascii="Arial" w:hAnsi="Arial" w:cs="Arial"/>
                <w:sz w:val="20"/>
                <w:szCs w:val="20"/>
              </w:rPr>
            </w:pPr>
          </w:p>
        </w:tc>
      </w:tr>
      <w:tr w:rsidR="002B023C" w:rsidRPr="007F6A49" w14:paraId="5B2210CC" w14:textId="77777777" w:rsidTr="00B73D5B">
        <w:trPr>
          <w:trHeight w:val="360"/>
        </w:trPr>
        <w:tc>
          <w:tcPr>
            <w:tcW w:w="280" w:type="dxa"/>
            <w:tcBorders>
              <w:top w:val="nil"/>
              <w:left w:val="nil"/>
              <w:bottom w:val="nil"/>
              <w:right w:val="nil"/>
            </w:tcBorders>
            <w:shd w:val="clear" w:color="auto" w:fill="auto"/>
            <w:noWrap/>
            <w:vAlign w:val="bottom"/>
            <w:hideMark/>
          </w:tcPr>
          <w:p w14:paraId="3C1E75F1" w14:textId="77777777" w:rsidR="002B023C" w:rsidRPr="007F6A49" w:rsidRDefault="002B023C" w:rsidP="00B73D5B">
            <w:pPr>
              <w:spacing w:before="40" w:after="40"/>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bottom"/>
            <w:hideMark/>
          </w:tcPr>
          <w:p w14:paraId="779F6AE6" w14:textId="77777777" w:rsidR="002B023C" w:rsidRPr="007F6A49" w:rsidRDefault="002B023C" w:rsidP="00B73D5B">
            <w:pPr>
              <w:spacing w:before="40" w:after="40"/>
              <w:rPr>
                <w:rFonts w:ascii="Arial" w:hAnsi="Arial" w:cs="Arial"/>
                <w:sz w:val="20"/>
                <w:szCs w:val="20"/>
              </w:rPr>
            </w:pPr>
          </w:p>
        </w:tc>
        <w:tc>
          <w:tcPr>
            <w:tcW w:w="1985" w:type="dxa"/>
            <w:tcBorders>
              <w:top w:val="nil"/>
              <w:left w:val="nil"/>
              <w:bottom w:val="single" w:sz="4" w:space="0" w:color="auto"/>
            </w:tcBorders>
            <w:shd w:val="clear" w:color="auto" w:fill="auto"/>
            <w:vAlign w:val="center"/>
            <w:hideMark/>
          </w:tcPr>
          <w:p w14:paraId="39D4FD48" w14:textId="77777777" w:rsidR="002B023C" w:rsidRPr="007F6A49" w:rsidRDefault="002B023C" w:rsidP="00B73D5B">
            <w:pPr>
              <w:spacing w:before="40" w:after="40"/>
              <w:jc w:val="center"/>
              <w:rPr>
                <w:rFonts w:ascii="Arial" w:hAnsi="Arial" w:cs="Arial"/>
                <w:sz w:val="20"/>
                <w:szCs w:val="20"/>
              </w:rPr>
            </w:pPr>
            <w:r w:rsidRPr="007F6A49">
              <w:rPr>
                <w:rFonts w:ascii="Arial" w:hAnsi="Arial" w:cs="Arial"/>
                <w:i/>
                <w:iCs/>
                <w:sz w:val="20"/>
                <w:szCs w:val="20"/>
              </w:rPr>
              <w:t>(Mill. USD)</w:t>
            </w:r>
          </w:p>
        </w:tc>
        <w:tc>
          <w:tcPr>
            <w:tcW w:w="2978" w:type="dxa"/>
            <w:tcBorders>
              <w:top w:val="nil"/>
              <w:bottom w:val="single" w:sz="4" w:space="0" w:color="auto"/>
            </w:tcBorders>
            <w:shd w:val="clear" w:color="auto" w:fill="auto"/>
            <w:vAlign w:val="center"/>
            <w:hideMark/>
          </w:tcPr>
          <w:p w14:paraId="3B057338" w14:textId="77777777" w:rsidR="002B023C" w:rsidRPr="007F6A49" w:rsidRDefault="002B023C" w:rsidP="00B73D5B">
            <w:pPr>
              <w:spacing w:before="40" w:after="40"/>
              <w:jc w:val="center"/>
              <w:rPr>
                <w:rFonts w:ascii="Arial" w:hAnsi="Arial" w:cs="Arial"/>
                <w:sz w:val="20"/>
                <w:szCs w:val="20"/>
              </w:rPr>
            </w:pPr>
            <w:r w:rsidRPr="007F6A49">
              <w:rPr>
                <w:rFonts w:ascii="Arial" w:hAnsi="Arial" w:cs="Arial"/>
                <w:sz w:val="20"/>
                <w:szCs w:val="20"/>
              </w:rPr>
              <w:t>the same period last year (%)</w:t>
            </w:r>
          </w:p>
        </w:tc>
      </w:tr>
      <w:tr w:rsidR="002B023C" w:rsidRPr="007F6A49" w14:paraId="0285C805" w14:textId="77777777" w:rsidTr="00B73D5B">
        <w:trPr>
          <w:trHeight w:val="360"/>
        </w:trPr>
        <w:tc>
          <w:tcPr>
            <w:tcW w:w="280" w:type="dxa"/>
            <w:tcBorders>
              <w:top w:val="nil"/>
              <w:left w:val="nil"/>
              <w:bottom w:val="nil"/>
              <w:right w:val="nil"/>
            </w:tcBorders>
            <w:shd w:val="clear" w:color="auto" w:fill="auto"/>
            <w:noWrap/>
            <w:vAlign w:val="bottom"/>
            <w:hideMark/>
          </w:tcPr>
          <w:p w14:paraId="44EB39B3" w14:textId="77777777" w:rsidR="002B023C" w:rsidRPr="007F6A49" w:rsidRDefault="002B023C" w:rsidP="00B73D5B">
            <w:pPr>
              <w:spacing w:before="40" w:after="40"/>
              <w:jc w:val="center"/>
              <w:rPr>
                <w:rFonts w:ascii="Arial" w:hAnsi="Arial" w:cs="Arial"/>
                <w:sz w:val="20"/>
                <w:szCs w:val="20"/>
              </w:rPr>
            </w:pPr>
          </w:p>
        </w:tc>
        <w:tc>
          <w:tcPr>
            <w:tcW w:w="4256" w:type="dxa"/>
            <w:tcBorders>
              <w:top w:val="nil"/>
              <w:left w:val="nil"/>
              <w:bottom w:val="nil"/>
              <w:right w:val="nil"/>
            </w:tcBorders>
            <w:shd w:val="clear" w:color="auto" w:fill="auto"/>
            <w:vAlign w:val="bottom"/>
            <w:hideMark/>
          </w:tcPr>
          <w:p w14:paraId="0F116ED5" w14:textId="77777777" w:rsidR="002B023C" w:rsidRPr="007F6A49" w:rsidRDefault="002B023C" w:rsidP="00B73D5B">
            <w:pPr>
              <w:spacing w:before="40" w:after="40"/>
              <w:rPr>
                <w:rFonts w:ascii="Arial" w:hAnsi="Arial" w:cs="Arial"/>
                <w:sz w:val="20"/>
                <w:szCs w:val="20"/>
              </w:rPr>
            </w:pPr>
          </w:p>
        </w:tc>
        <w:tc>
          <w:tcPr>
            <w:tcW w:w="1985" w:type="dxa"/>
            <w:tcBorders>
              <w:top w:val="single" w:sz="4" w:space="0" w:color="auto"/>
              <w:left w:val="nil"/>
              <w:bottom w:val="nil"/>
              <w:right w:val="nil"/>
            </w:tcBorders>
            <w:shd w:val="clear" w:color="auto" w:fill="auto"/>
            <w:noWrap/>
            <w:vAlign w:val="bottom"/>
            <w:hideMark/>
          </w:tcPr>
          <w:p w14:paraId="2AD59CF3" w14:textId="77777777" w:rsidR="002B023C" w:rsidRPr="007F6A49" w:rsidRDefault="002B023C" w:rsidP="00B73D5B">
            <w:pPr>
              <w:spacing w:before="40" w:after="40"/>
              <w:rPr>
                <w:rFonts w:ascii="Arial" w:hAnsi="Arial" w:cs="Arial"/>
                <w:sz w:val="20"/>
                <w:szCs w:val="20"/>
              </w:rPr>
            </w:pPr>
          </w:p>
        </w:tc>
        <w:tc>
          <w:tcPr>
            <w:tcW w:w="2978" w:type="dxa"/>
            <w:tcBorders>
              <w:top w:val="single" w:sz="4" w:space="0" w:color="auto"/>
              <w:left w:val="nil"/>
              <w:bottom w:val="nil"/>
              <w:right w:val="nil"/>
            </w:tcBorders>
            <w:shd w:val="clear" w:color="auto" w:fill="auto"/>
            <w:noWrap/>
            <w:vAlign w:val="bottom"/>
            <w:hideMark/>
          </w:tcPr>
          <w:p w14:paraId="5FF2D943" w14:textId="77777777" w:rsidR="002B023C" w:rsidRPr="007F6A49" w:rsidRDefault="002B023C" w:rsidP="00B73D5B">
            <w:pPr>
              <w:spacing w:before="40" w:after="40"/>
              <w:rPr>
                <w:rFonts w:ascii="Arial" w:hAnsi="Arial" w:cs="Arial"/>
                <w:sz w:val="20"/>
                <w:szCs w:val="20"/>
              </w:rPr>
            </w:pPr>
          </w:p>
        </w:tc>
      </w:tr>
      <w:tr w:rsidR="002B023C" w:rsidRPr="007F6A49" w14:paraId="2D9B0A9D" w14:textId="77777777" w:rsidTr="00B73D5B">
        <w:trPr>
          <w:trHeight w:val="360"/>
        </w:trPr>
        <w:tc>
          <w:tcPr>
            <w:tcW w:w="4536" w:type="dxa"/>
            <w:gridSpan w:val="2"/>
            <w:tcBorders>
              <w:top w:val="nil"/>
              <w:left w:val="nil"/>
              <w:bottom w:val="nil"/>
              <w:right w:val="nil"/>
            </w:tcBorders>
            <w:shd w:val="clear" w:color="auto" w:fill="auto"/>
            <w:noWrap/>
            <w:vAlign w:val="bottom"/>
            <w:hideMark/>
          </w:tcPr>
          <w:p w14:paraId="615711C6" w14:textId="77777777" w:rsidR="002B023C" w:rsidRPr="007F6A49" w:rsidRDefault="002B023C" w:rsidP="00B73D5B">
            <w:pPr>
              <w:spacing w:before="40" w:after="40"/>
              <w:rPr>
                <w:rFonts w:ascii="Arial" w:hAnsi="Arial" w:cs="Arial"/>
                <w:b/>
                <w:bCs/>
                <w:color w:val="000000"/>
                <w:sz w:val="20"/>
                <w:szCs w:val="20"/>
              </w:rPr>
            </w:pPr>
            <w:r w:rsidRPr="007F6A49">
              <w:rPr>
                <w:rFonts w:ascii="Arial" w:hAnsi="Arial" w:cs="Arial"/>
                <w:b/>
                <w:bCs/>
                <w:sz w:val="20"/>
                <w:szCs w:val="20"/>
              </w:rPr>
              <w:t xml:space="preserve">Items with a value of over </w:t>
            </w:r>
            <w:r>
              <w:rPr>
                <w:rFonts w:ascii="Arial" w:hAnsi="Arial" w:cs="Arial"/>
                <w:b/>
                <w:bCs/>
                <w:sz w:val="20"/>
                <w:szCs w:val="20"/>
              </w:rPr>
              <w:t>10</w:t>
            </w:r>
            <w:r w:rsidRPr="007F6A49">
              <w:rPr>
                <w:rFonts w:ascii="Arial" w:hAnsi="Arial" w:cs="Arial"/>
                <w:b/>
                <w:bCs/>
                <w:sz w:val="20"/>
                <w:szCs w:val="20"/>
              </w:rPr>
              <w:t xml:space="preserve"> billion USD</w:t>
            </w:r>
          </w:p>
        </w:tc>
        <w:tc>
          <w:tcPr>
            <w:tcW w:w="1985" w:type="dxa"/>
            <w:tcBorders>
              <w:top w:val="nil"/>
              <w:left w:val="nil"/>
              <w:bottom w:val="nil"/>
              <w:right w:val="nil"/>
            </w:tcBorders>
            <w:shd w:val="clear" w:color="auto" w:fill="auto"/>
            <w:noWrap/>
            <w:vAlign w:val="bottom"/>
            <w:hideMark/>
          </w:tcPr>
          <w:p w14:paraId="6451CE58" w14:textId="77777777" w:rsidR="002B023C" w:rsidRPr="007F6A49" w:rsidRDefault="002B023C" w:rsidP="00B73D5B">
            <w:pPr>
              <w:spacing w:before="40" w:after="40"/>
              <w:rPr>
                <w:rFonts w:ascii="Arial" w:hAnsi="Arial" w:cs="Arial"/>
                <w:sz w:val="20"/>
                <w:szCs w:val="20"/>
              </w:rPr>
            </w:pPr>
          </w:p>
        </w:tc>
        <w:tc>
          <w:tcPr>
            <w:tcW w:w="2978" w:type="dxa"/>
            <w:tcBorders>
              <w:top w:val="nil"/>
              <w:left w:val="nil"/>
              <w:bottom w:val="nil"/>
              <w:right w:val="nil"/>
            </w:tcBorders>
            <w:shd w:val="clear" w:color="auto" w:fill="auto"/>
            <w:noWrap/>
            <w:vAlign w:val="bottom"/>
            <w:hideMark/>
          </w:tcPr>
          <w:p w14:paraId="3165E8A7" w14:textId="77777777" w:rsidR="002B023C" w:rsidRPr="007F6A49" w:rsidRDefault="002B023C" w:rsidP="00B73D5B">
            <w:pPr>
              <w:spacing w:before="40" w:after="40"/>
              <w:rPr>
                <w:rFonts w:ascii="Arial" w:hAnsi="Arial" w:cs="Arial"/>
                <w:sz w:val="20"/>
                <w:szCs w:val="20"/>
              </w:rPr>
            </w:pPr>
          </w:p>
        </w:tc>
      </w:tr>
      <w:tr w:rsidR="002B023C" w:rsidRPr="007F6A49" w14:paraId="3AB9A5B0" w14:textId="77777777" w:rsidTr="00B73D5B">
        <w:trPr>
          <w:trHeight w:val="360"/>
        </w:trPr>
        <w:tc>
          <w:tcPr>
            <w:tcW w:w="280" w:type="dxa"/>
            <w:tcBorders>
              <w:top w:val="nil"/>
              <w:left w:val="nil"/>
              <w:bottom w:val="nil"/>
              <w:right w:val="nil"/>
            </w:tcBorders>
            <w:shd w:val="clear" w:color="auto" w:fill="auto"/>
            <w:noWrap/>
            <w:vAlign w:val="bottom"/>
            <w:hideMark/>
          </w:tcPr>
          <w:p w14:paraId="2FF2E880" w14:textId="77777777" w:rsidR="002B023C" w:rsidRPr="007F6A49" w:rsidRDefault="002B023C" w:rsidP="00B73D5B">
            <w:pPr>
              <w:spacing w:before="40" w:after="40"/>
              <w:jc w:val="right"/>
              <w:rPr>
                <w:rFonts w:ascii="Arial" w:hAnsi="Arial" w:cs="Arial"/>
                <w:sz w:val="20"/>
                <w:szCs w:val="20"/>
              </w:rPr>
            </w:pPr>
          </w:p>
        </w:tc>
        <w:tc>
          <w:tcPr>
            <w:tcW w:w="4256" w:type="dxa"/>
            <w:tcBorders>
              <w:top w:val="nil"/>
              <w:left w:val="nil"/>
              <w:right w:val="nil"/>
            </w:tcBorders>
            <w:shd w:val="clear" w:color="auto" w:fill="auto"/>
            <w:noWrap/>
            <w:vAlign w:val="bottom"/>
            <w:hideMark/>
          </w:tcPr>
          <w:p w14:paraId="14CE4A93" w14:textId="77777777" w:rsidR="002B023C" w:rsidRPr="007F6A49" w:rsidRDefault="002B023C" w:rsidP="00B73D5B">
            <w:pPr>
              <w:spacing w:before="40" w:after="40"/>
              <w:rPr>
                <w:rFonts w:ascii="Arial" w:hAnsi="Arial" w:cs="Arial"/>
                <w:sz w:val="20"/>
                <w:szCs w:val="20"/>
              </w:rPr>
            </w:pPr>
            <w:r w:rsidRPr="007F6A49">
              <w:rPr>
                <w:rFonts w:ascii="Arial" w:hAnsi="Arial" w:cs="Arial"/>
                <w:sz w:val="20"/>
                <w:szCs w:val="20"/>
              </w:rPr>
              <w:t>Electronic goods, computers and their parts</w:t>
            </w:r>
          </w:p>
        </w:tc>
        <w:tc>
          <w:tcPr>
            <w:tcW w:w="1985" w:type="dxa"/>
            <w:tcBorders>
              <w:top w:val="nil"/>
              <w:left w:val="nil"/>
              <w:right w:val="nil"/>
            </w:tcBorders>
            <w:shd w:val="clear" w:color="auto" w:fill="auto"/>
            <w:noWrap/>
            <w:hideMark/>
          </w:tcPr>
          <w:p w14:paraId="490F953C" w14:textId="77777777" w:rsidR="002B023C" w:rsidRPr="007F6A49" w:rsidRDefault="002B023C" w:rsidP="00B73D5B">
            <w:pPr>
              <w:spacing w:before="40" w:after="40"/>
              <w:ind w:right="458"/>
              <w:jc w:val="right"/>
              <w:rPr>
                <w:rFonts w:ascii="Arial" w:hAnsi="Arial" w:cs="Arial"/>
                <w:sz w:val="20"/>
                <w:szCs w:val="20"/>
              </w:rPr>
            </w:pPr>
            <w:r>
              <w:rPr>
                <w:rFonts w:ascii="Arial" w:hAnsi="Arial" w:cs="Arial"/>
                <w:sz w:val="20"/>
                <w:szCs w:val="20"/>
              </w:rPr>
              <w:t>56,</w:t>
            </w:r>
            <w:r w:rsidRPr="00A00815">
              <w:rPr>
                <w:rFonts w:ascii="Arial" w:hAnsi="Arial" w:cs="Arial"/>
                <w:sz w:val="20"/>
                <w:szCs w:val="20"/>
              </w:rPr>
              <w:t>90</w:t>
            </w:r>
            <w:r>
              <w:rPr>
                <w:rFonts w:ascii="Arial" w:hAnsi="Arial" w:cs="Arial"/>
                <w:sz w:val="20"/>
                <w:szCs w:val="20"/>
              </w:rPr>
              <w:t>2</w:t>
            </w:r>
          </w:p>
        </w:tc>
        <w:tc>
          <w:tcPr>
            <w:tcW w:w="2978" w:type="dxa"/>
            <w:tcBorders>
              <w:top w:val="nil"/>
              <w:left w:val="nil"/>
              <w:right w:val="nil"/>
            </w:tcBorders>
            <w:shd w:val="clear" w:color="auto" w:fill="auto"/>
            <w:noWrap/>
            <w:hideMark/>
          </w:tcPr>
          <w:p w14:paraId="75DD0299" w14:textId="77777777" w:rsidR="002B023C" w:rsidRPr="007F6A49" w:rsidRDefault="002B023C" w:rsidP="00B73D5B">
            <w:pPr>
              <w:spacing w:before="40" w:after="40"/>
              <w:ind w:right="887"/>
              <w:jc w:val="right"/>
              <w:rPr>
                <w:rFonts w:ascii="Arial" w:hAnsi="Arial" w:cs="Arial"/>
                <w:sz w:val="20"/>
                <w:szCs w:val="20"/>
              </w:rPr>
            </w:pPr>
            <w:r w:rsidRPr="00A00815">
              <w:rPr>
                <w:rFonts w:ascii="Arial" w:hAnsi="Arial" w:cs="Arial"/>
                <w:sz w:val="20"/>
                <w:szCs w:val="20"/>
              </w:rPr>
              <w:t>2</w:t>
            </w:r>
            <w:r>
              <w:rPr>
                <w:rFonts w:ascii="Arial" w:hAnsi="Arial" w:cs="Arial"/>
                <w:sz w:val="20"/>
                <w:szCs w:val="20"/>
              </w:rPr>
              <w:t>1.0</w:t>
            </w:r>
          </w:p>
        </w:tc>
      </w:tr>
      <w:tr w:rsidR="002B023C" w:rsidRPr="00E80A96" w14:paraId="1E103FDC" w14:textId="77777777" w:rsidTr="00B73D5B">
        <w:trPr>
          <w:trHeight w:val="360"/>
        </w:trPr>
        <w:tc>
          <w:tcPr>
            <w:tcW w:w="280" w:type="dxa"/>
            <w:tcBorders>
              <w:top w:val="nil"/>
              <w:left w:val="nil"/>
              <w:bottom w:val="nil"/>
              <w:right w:val="nil"/>
            </w:tcBorders>
            <w:shd w:val="clear" w:color="auto" w:fill="auto"/>
            <w:noWrap/>
            <w:vAlign w:val="bottom"/>
            <w:hideMark/>
          </w:tcPr>
          <w:p w14:paraId="7F161F62" w14:textId="77777777" w:rsidR="002B023C" w:rsidRPr="00E80A96" w:rsidRDefault="002B023C" w:rsidP="00B73D5B">
            <w:pPr>
              <w:spacing w:before="40" w:after="40"/>
              <w:rPr>
                <w:rFonts w:ascii="Arial" w:hAnsi="Arial" w:cs="Arial"/>
                <w:sz w:val="20"/>
                <w:szCs w:val="20"/>
              </w:rPr>
            </w:pPr>
          </w:p>
        </w:tc>
        <w:tc>
          <w:tcPr>
            <w:tcW w:w="4256" w:type="dxa"/>
            <w:tcBorders>
              <w:top w:val="nil"/>
              <w:left w:val="nil"/>
              <w:right w:val="nil"/>
            </w:tcBorders>
            <w:shd w:val="clear" w:color="auto" w:fill="auto"/>
            <w:noWrap/>
            <w:vAlign w:val="bottom"/>
            <w:hideMark/>
          </w:tcPr>
          <w:p w14:paraId="0EBEF9A0" w14:textId="77777777" w:rsidR="002B023C" w:rsidRPr="00E80A96" w:rsidRDefault="002B023C" w:rsidP="00B73D5B">
            <w:pPr>
              <w:spacing w:before="40" w:after="40"/>
              <w:rPr>
                <w:rFonts w:ascii="Arial" w:hAnsi="Arial" w:cs="Arial"/>
                <w:sz w:val="20"/>
                <w:szCs w:val="20"/>
              </w:rPr>
            </w:pPr>
            <w:r w:rsidRPr="00E80A96">
              <w:rPr>
                <w:rFonts w:ascii="Arial" w:hAnsi="Arial" w:cs="Arial"/>
                <w:sz w:val="20"/>
                <w:szCs w:val="20"/>
              </w:rPr>
              <w:t>Machinery, instrument, accessory</w:t>
            </w:r>
          </w:p>
        </w:tc>
        <w:tc>
          <w:tcPr>
            <w:tcW w:w="1985" w:type="dxa"/>
            <w:tcBorders>
              <w:top w:val="nil"/>
              <w:left w:val="nil"/>
              <w:right w:val="nil"/>
            </w:tcBorders>
            <w:shd w:val="clear" w:color="auto" w:fill="auto"/>
            <w:noWrap/>
            <w:hideMark/>
          </w:tcPr>
          <w:p w14:paraId="4F7B2EE3" w14:textId="77777777" w:rsidR="002B023C" w:rsidRPr="00E80A96" w:rsidRDefault="002B023C" w:rsidP="00B73D5B">
            <w:pPr>
              <w:spacing w:before="40" w:after="40"/>
              <w:ind w:right="458" w:firstLine="28"/>
              <w:jc w:val="right"/>
              <w:rPr>
                <w:rFonts w:ascii="Arial" w:hAnsi="Arial" w:cs="Arial"/>
                <w:sz w:val="20"/>
                <w:szCs w:val="20"/>
              </w:rPr>
            </w:pPr>
            <w:r>
              <w:rPr>
                <w:rFonts w:ascii="Arial" w:hAnsi="Arial" w:cs="Arial"/>
                <w:sz w:val="20"/>
                <w:szCs w:val="20"/>
              </w:rPr>
              <w:t>30,538</w:t>
            </w:r>
          </w:p>
        </w:tc>
        <w:tc>
          <w:tcPr>
            <w:tcW w:w="2978" w:type="dxa"/>
            <w:tcBorders>
              <w:top w:val="nil"/>
              <w:left w:val="nil"/>
              <w:right w:val="nil"/>
            </w:tcBorders>
            <w:shd w:val="clear" w:color="auto" w:fill="auto"/>
            <w:noWrap/>
            <w:hideMark/>
          </w:tcPr>
          <w:p w14:paraId="43C2AA68" w14:textId="77777777" w:rsidR="002B023C" w:rsidRPr="00E80A96" w:rsidRDefault="002B023C" w:rsidP="00B73D5B">
            <w:pPr>
              <w:spacing w:before="40" w:after="40"/>
              <w:ind w:right="891"/>
              <w:jc w:val="right"/>
              <w:rPr>
                <w:rFonts w:ascii="Arial" w:hAnsi="Arial" w:cs="Arial"/>
                <w:sz w:val="20"/>
                <w:szCs w:val="20"/>
              </w:rPr>
            </w:pPr>
            <w:r w:rsidRPr="00A00815">
              <w:rPr>
                <w:rFonts w:ascii="Arial" w:hAnsi="Arial" w:cs="Arial"/>
                <w:sz w:val="20"/>
                <w:szCs w:val="20"/>
              </w:rPr>
              <w:t>-</w:t>
            </w:r>
            <w:r>
              <w:rPr>
                <w:rFonts w:ascii="Arial" w:hAnsi="Arial" w:cs="Arial"/>
                <w:sz w:val="20"/>
                <w:szCs w:val="20"/>
              </w:rPr>
              <w:t>1.9</w:t>
            </w:r>
          </w:p>
        </w:tc>
      </w:tr>
      <w:tr w:rsidR="002B023C" w:rsidRPr="00E80A96" w14:paraId="5A08BB51" w14:textId="77777777" w:rsidTr="00B73D5B">
        <w:trPr>
          <w:trHeight w:val="360"/>
        </w:trPr>
        <w:tc>
          <w:tcPr>
            <w:tcW w:w="280" w:type="dxa"/>
            <w:tcBorders>
              <w:top w:val="nil"/>
              <w:left w:val="nil"/>
              <w:bottom w:val="nil"/>
              <w:right w:val="nil"/>
            </w:tcBorders>
            <w:shd w:val="clear" w:color="auto" w:fill="auto"/>
            <w:noWrap/>
            <w:vAlign w:val="bottom"/>
          </w:tcPr>
          <w:p w14:paraId="706E99DC" w14:textId="77777777" w:rsidR="002B023C" w:rsidRPr="00E80A96" w:rsidRDefault="002B023C" w:rsidP="00B73D5B">
            <w:pPr>
              <w:spacing w:before="40" w:after="40"/>
              <w:rPr>
                <w:rFonts w:ascii="Arial" w:hAnsi="Arial" w:cs="Arial"/>
                <w:sz w:val="20"/>
                <w:szCs w:val="20"/>
              </w:rPr>
            </w:pPr>
          </w:p>
        </w:tc>
        <w:tc>
          <w:tcPr>
            <w:tcW w:w="4256" w:type="dxa"/>
            <w:tcBorders>
              <w:top w:val="nil"/>
              <w:left w:val="nil"/>
              <w:bottom w:val="nil"/>
              <w:right w:val="nil"/>
            </w:tcBorders>
            <w:shd w:val="clear" w:color="auto" w:fill="auto"/>
            <w:noWrap/>
            <w:vAlign w:val="bottom"/>
          </w:tcPr>
          <w:p w14:paraId="5E117CF0" w14:textId="77777777" w:rsidR="002B023C" w:rsidRPr="00E80A96" w:rsidRDefault="002B023C" w:rsidP="00B73D5B">
            <w:pPr>
              <w:spacing w:before="40" w:after="40"/>
              <w:rPr>
                <w:rFonts w:ascii="Arial" w:hAnsi="Arial" w:cs="Arial"/>
                <w:sz w:val="20"/>
                <w:szCs w:val="20"/>
              </w:rPr>
            </w:pPr>
            <w:r w:rsidRPr="008332C0">
              <w:rPr>
                <w:rFonts w:ascii="Arial" w:hAnsi="Arial" w:cs="Arial"/>
                <w:sz w:val="20"/>
                <w:szCs w:val="20"/>
              </w:rPr>
              <w:t>Phones all of kinds and their parts</w:t>
            </w:r>
          </w:p>
        </w:tc>
        <w:tc>
          <w:tcPr>
            <w:tcW w:w="1985" w:type="dxa"/>
            <w:tcBorders>
              <w:top w:val="nil"/>
              <w:left w:val="nil"/>
              <w:bottom w:val="nil"/>
              <w:right w:val="nil"/>
            </w:tcBorders>
            <w:shd w:val="clear" w:color="auto" w:fill="auto"/>
            <w:noWrap/>
          </w:tcPr>
          <w:p w14:paraId="5FF2F24E" w14:textId="77777777" w:rsidR="002B023C" w:rsidRDefault="002B023C" w:rsidP="00B73D5B">
            <w:pPr>
              <w:spacing w:before="40" w:after="40"/>
              <w:ind w:right="458" w:firstLine="28"/>
              <w:jc w:val="right"/>
              <w:rPr>
                <w:rFonts w:ascii="Arial" w:hAnsi="Arial" w:cs="Arial"/>
                <w:sz w:val="20"/>
                <w:szCs w:val="20"/>
              </w:rPr>
            </w:pPr>
            <w:r>
              <w:rPr>
                <w:rFonts w:ascii="Arial" w:hAnsi="Arial" w:cs="Arial"/>
                <w:sz w:val="20"/>
                <w:szCs w:val="20"/>
              </w:rPr>
              <w:t>13,879</w:t>
            </w:r>
          </w:p>
        </w:tc>
        <w:tc>
          <w:tcPr>
            <w:tcW w:w="2978" w:type="dxa"/>
            <w:tcBorders>
              <w:top w:val="nil"/>
              <w:left w:val="nil"/>
              <w:bottom w:val="nil"/>
              <w:right w:val="nil"/>
            </w:tcBorders>
            <w:shd w:val="clear" w:color="auto" w:fill="auto"/>
            <w:noWrap/>
          </w:tcPr>
          <w:p w14:paraId="0646827D" w14:textId="77777777" w:rsidR="002B023C" w:rsidRDefault="002B023C" w:rsidP="00B73D5B">
            <w:pPr>
              <w:spacing w:before="40" w:after="40"/>
              <w:ind w:right="891"/>
              <w:jc w:val="right"/>
              <w:rPr>
                <w:rFonts w:ascii="Arial" w:hAnsi="Arial" w:cs="Arial"/>
                <w:sz w:val="20"/>
                <w:szCs w:val="20"/>
              </w:rPr>
            </w:pPr>
            <w:r>
              <w:rPr>
                <w:rFonts w:ascii="Arial" w:hAnsi="Arial" w:cs="Arial"/>
                <w:sz w:val="20"/>
                <w:szCs w:val="20"/>
              </w:rPr>
              <w:t>9.9</w:t>
            </w:r>
          </w:p>
        </w:tc>
      </w:tr>
      <w:tr w:rsidR="002B023C" w:rsidRPr="00E80A96" w14:paraId="12F54E25" w14:textId="77777777" w:rsidTr="00B73D5B">
        <w:trPr>
          <w:trHeight w:val="360"/>
        </w:trPr>
        <w:tc>
          <w:tcPr>
            <w:tcW w:w="280" w:type="dxa"/>
            <w:tcBorders>
              <w:top w:val="nil"/>
              <w:left w:val="nil"/>
              <w:bottom w:val="nil"/>
              <w:right w:val="nil"/>
            </w:tcBorders>
            <w:shd w:val="clear" w:color="auto" w:fill="auto"/>
            <w:noWrap/>
            <w:vAlign w:val="bottom"/>
          </w:tcPr>
          <w:p w14:paraId="1C06FE53" w14:textId="77777777" w:rsidR="002B023C" w:rsidRPr="00E80A96" w:rsidRDefault="002B023C" w:rsidP="00B73D5B">
            <w:pPr>
              <w:spacing w:before="40" w:after="40"/>
              <w:rPr>
                <w:rFonts w:ascii="Arial" w:hAnsi="Arial" w:cs="Arial"/>
                <w:sz w:val="20"/>
                <w:szCs w:val="20"/>
              </w:rPr>
            </w:pPr>
          </w:p>
        </w:tc>
        <w:tc>
          <w:tcPr>
            <w:tcW w:w="4256" w:type="dxa"/>
            <w:tcBorders>
              <w:top w:val="nil"/>
              <w:left w:val="nil"/>
              <w:bottom w:val="single" w:sz="4" w:space="0" w:color="auto"/>
              <w:right w:val="nil"/>
            </w:tcBorders>
            <w:shd w:val="clear" w:color="auto" w:fill="auto"/>
            <w:noWrap/>
            <w:vAlign w:val="bottom"/>
          </w:tcPr>
          <w:p w14:paraId="53577F35" w14:textId="77777777" w:rsidR="002B023C" w:rsidRPr="008332C0" w:rsidRDefault="002B023C" w:rsidP="00B73D5B">
            <w:pPr>
              <w:spacing w:before="40" w:after="40"/>
              <w:rPr>
                <w:rFonts w:ascii="Arial" w:hAnsi="Arial" w:cs="Arial"/>
                <w:sz w:val="20"/>
                <w:szCs w:val="20"/>
              </w:rPr>
            </w:pPr>
            <w:r w:rsidRPr="002A3484">
              <w:rPr>
                <w:rFonts w:ascii="Arial" w:hAnsi="Arial" w:cs="Arial"/>
                <w:sz w:val="20"/>
                <w:szCs w:val="20"/>
              </w:rPr>
              <w:t>Fabrics</w:t>
            </w:r>
          </w:p>
        </w:tc>
        <w:tc>
          <w:tcPr>
            <w:tcW w:w="1985" w:type="dxa"/>
            <w:tcBorders>
              <w:top w:val="nil"/>
              <w:left w:val="nil"/>
              <w:bottom w:val="single" w:sz="4" w:space="0" w:color="auto"/>
              <w:right w:val="nil"/>
            </w:tcBorders>
            <w:shd w:val="clear" w:color="auto" w:fill="auto"/>
            <w:noWrap/>
          </w:tcPr>
          <w:p w14:paraId="5EB7F1EA" w14:textId="77777777" w:rsidR="002B023C" w:rsidRPr="00A00815" w:rsidRDefault="002B023C" w:rsidP="00B73D5B">
            <w:pPr>
              <w:spacing w:before="40" w:after="40"/>
              <w:ind w:right="458" w:firstLine="28"/>
              <w:jc w:val="right"/>
              <w:rPr>
                <w:rFonts w:ascii="Arial" w:hAnsi="Arial" w:cs="Arial"/>
                <w:sz w:val="20"/>
                <w:szCs w:val="20"/>
              </w:rPr>
            </w:pPr>
            <w:r>
              <w:rPr>
                <w:rFonts w:ascii="Arial" w:hAnsi="Arial" w:cs="Arial"/>
                <w:sz w:val="20"/>
                <w:szCs w:val="20"/>
              </w:rPr>
              <w:t>10,259</w:t>
            </w:r>
          </w:p>
        </w:tc>
        <w:tc>
          <w:tcPr>
            <w:tcW w:w="2978" w:type="dxa"/>
            <w:tcBorders>
              <w:top w:val="nil"/>
              <w:left w:val="nil"/>
              <w:bottom w:val="single" w:sz="4" w:space="0" w:color="auto"/>
              <w:right w:val="nil"/>
            </w:tcBorders>
            <w:shd w:val="clear" w:color="auto" w:fill="auto"/>
            <w:noWrap/>
          </w:tcPr>
          <w:p w14:paraId="51C879CB" w14:textId="77777777" w:rsidR="002B023C" w:rsidRPr="00A00815" w:rsidRDefault="002B023C" w:rsidP="00B73D5B">
            <w:pPr>
              <w:spacing w:before="40" w:after="40"/>
              <w:ind w:right="891"/>
              <w:jc w:val="right"/>
              <w:rPr>
                <w:rFonts w:ascii="Arial" w:hAnsi="Arial" w:cs="Arial"/>
                <w:sz w:val="20"/>
                <w:szCs w:val="20"/>
              </w:rPr>
            </w:pPr>
            <w:r>
              <w:rPr>
                <w:rFonts w:ascii="Arial" w:hAnsi="Arial" w:cs="Arial"/>
                <w:sz w:val="20"/>
                <w:szCs w:val="20"/>
              </w:rPr>
              <w:t>7.7</w:t>
            </w:r>
          </w:p>
        </w:tc>
      </w:tr>
    </w:tbl>
    <w:p w14:paraId="00C9C196" w14:textId="77777777" w:rsidR="002B023C" w:rsidRDefault="002B023C" w:rsidP="00812241">
      <w:pPr>
        <w:tabs>
          <w:tab w:val="left" w:pos="9475"/>
        </w:tabs>
        <w:spacing w:before="120" w:after="120"/>
        <w:ind w:right="6"/>
        <w:jc w:val="center"/>
        <w:rPr>
          <w:rFonts w:ascii="Arial" w:hAnsi="Arial" w:cs="Arial"/>
          <w:b/>
          <w:spacing w:val="-2"/>
          <w:sz w:val="24"/>
          <w:szCs w:val="20"/>
          <w:lang w:val="pl-PL"/>
        </w:rPr>
      </w:pPr>
    </w:p>
    <w:p w14:paraId="17D13897" w14:textId="77777777" w:rsidR="00540EF1" w:rsidRPr="00F07E0B" w:rsidRDefault="00540EF1" w:rsidP="00540EF1">
      <w:pPr>
        <w:tabs>
          <w:tab w:val="left" w:pos="9475"/>
        </w:tabs>
        <w:spacing w:before="40" w:after="40" w:line="264" w:lineRule="auto"/>
        <w:ind w:right="6"/>
        <w:jc w:val="center"/>
        <w:rPr>
          <w:rFonts w:ascii="Arial" w:hAnsi="Arial" w:cs="Arial"/>
          <w:b/>
          <w:bCs/>
          <w:sz w:val="22"/>
          <w:szCs w:val="24"/>
          <w:lang w:val="de-DE"/>
        </w:rPr>
      </w:pPr>
    </w:p>
    <w:p w14:paraId="5450C5F7" w14:textId="77777777" w:rsidR="00540EF1" w:rsidRDefault="00540EF1" w:rsidP="00540EF1">
      <w:pPr>
        <w:tabs>
          <w:tab w:val="num" w:pos="0"/>
          <w:tab w:val="left" w:pos="9475"/>
        </w:tabs>
        <w:spacing w:before="40" w:after="40" w:line="264" w:lineRule="auto"/>
        <w:ind w:right="187" w:firstLine="567"/>
        <w:jc w:val="right"/>
        <w:rPr>
          <w:rFonts w:ascii="Arial" w:hAnsi="Arial" w:cs="Arial"/>
          <w:b/>
          <w:bCs/>
          <w:i/>
          <w:iCs/>
          <w:sz w:val="2"/>
          <w:szCs w:val="20"/>
          <w:lang w:val="en-US"/>
        </w:rPr>
      </w:pPr>
      <w:r w:rsidRPr="00AE581E">
        <w:rPr>
          <w:noProof/>
          <w:spacing w:val="2"/>
          <w:lang w:val="en-US"/>
        </w:rPr>
        <mc:AlternateContent>
          <mc:Choice Requires="wps">
            <w:drawing>
              <wp:anchor distT="0" distB="0" distL="114300" distR="114300" simplePos="0" relativeHeight="251671040" behindDoc="0" locked="0" layoutInCell="1" allowOverlap="1" wp14:anchorId="3DB176D5" wp14:editId="5C288B9D">
                <wp:simplePos x="0" y="0"/>
                <wp:positionH relativeFrom="column">
                  <wp:posOffset>85725</wp:posOffset>
                </wp:positionH>
                <wp:positionV relativeFrom="paragraph">
                  <wp:posOffset>0</wp:posOffset>
                </wp:positionV>
                <wp:extent cx="3338194" cy="2873374"/>
                <wp:effectExtent l="0" t="0" r="0" b="381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4" cy="2873374"/>
                        </a:xfrm>
                        <a:prstGeom prst="rect">
                          <a:avLst/>
                        </a:prstGeom>
                        <a:solidFill>
                          <a:srgbClr val="FFFFFF"/>
                        </a:solidFill>
                        <a:ln w="9525">
                          <a:noFill/>
                          <a:miter lim="800000"/>
                          <a:headEnd/>
                          <a:tailEnd/>
                        </a:ln>
                      </wps:spPr>
                      <wps:txbx>
                        <w:txbxContent>
                          <w:p w14:paraId="61BC6E50" w14:textId="77777777" w:rsidR="00255053" w:rsidRPr="003E5139" w:rsidRDefault="00255053" w:rsidP="00540EF1">
                            <w:pPr>
                              <w:ind w:left="-284"/>
                              <w:jc w:val="center"/>
                              <w:rPr>
                                <w:rFonts w:ascii="Arial" w:hAnsi="Arial" w:cs="Arial"/>
                                <w:b/>
                                <w:bCs/>
                                <w:sz w:val="8"/>
                                <w:szCs w:val="24"/>
                              </w:rPr>
                            </w:pPr>
                          </w:p>
                          <w:p w14:paraId="1DDFCDC7" w14:textId="77777777" w:rsidR="00255053" w:rsidRPr="003223C8" w:rsidRDefault="00255053" w:rsidP="006F1C41">
                            <w:pPr>
                              <w:spacing w:before="40" w:after="40" w:line="288" w:lineRule="auto"/>
                              <w:ind w:left="-284"/>
                              <w:jc w:val="center"/>
                              <w:rPr>
                                <w:rFonts w:ascii="Arial" w:hAnsi="Arial" w:cs="Arial"/>
                                <w:b/>
                                <w:bCs/>
                                <w:sz w:val="24"/>
                                <w:szCs w:val="24"/>
                              </w:rPr>
                            </w:pPr>
                            <w:r w:rsidRPr="003223C8">
                              <w:rPr>
                                <w:rFonts w:ascii="Arial" w:hAnsi="Arial" w:cs="Arial"/>
                                <w:b/>
                                <w:bCs/>
                                <w:sz w:val="24"/>
                                <w:szCs w:val="24"/>
                              </w:rPr>
                              <w:t>Figure 14. Structure of import groups</w:t>
                            </w:r>
                          </w:p>
                          <w:p w14:paraId="2DE602D1" w14:textId="17044FF0" w:rsidR="00255053" w:rsidRPr="003223C8" w:rsidRDefault="00255053" w:rsidP="006F1C41">
                            <w:pPr>
                              <w:spacing w:before="40" w:after="240" w:line="288" w:lineRule="auto"/>
                              <w:ind w:left="-284"/>
                              <w:jc w:val="center"/>
                              <w:rPr>
                                <w:rFonts w:ascii="Arial" w:hAnsi="Arial" w:cs="Arial"/>
                                <w:b/>
                                <w:bCs/>
                                <w:sz w:val="24"/>
                                <w:szCs w:val="24"/>
                              </w:rPr>
                            </w:pPr>
                            <w:r w:rsidRPr="003223C8">
                              <w:rPr>
                                <w:rFonts w:ascii="Arial" w:hAnsi="Arial" w:cs="Arial"/>
                                <w:b/>
                                <w:bCs/>
                                <w:sz w:val="24"/>
                                <w:szCs w:val="24"/>
                              </w:rPr>
                              <w:t xml:space="preserve">in </w:t>
                            </w:r>
                            <w:r>
                              <w:rPr>
                                <w:rFonts w:ascii="Arial" w:hAnsi="Arial" w:cs="Arial"/>
                                <w:b/>
                                <w:bCs/>
                                <w:sz w:val="24"/>
                                <w:szCs w:val="24"/>
                                <w:lang w:val="en-US"/>
                              </w:rPr>
                              <w:t>8</w:t>
                            </w:r>
                            <w:r w:rsidRPr="003223C8">
                              <w:rPr>
                                <w:rFonts w:ascii="Arial" w:hAnsi="Arial" w:cs="Arial"/>
                                <w:b/>
                                <w:bCs/>
                                <w:sz w:val="24"/>
                                <w:szCs w:val="24"/>
                              </w:rPr>
                              <w:t xml:space="preserve"> months of 2022 by commodity group</w:t>
                            </w:r>
                          </w:p>
                          <w:p w14:paraId="3A51D26B" w14:textId="4C0DDFF1" w:rsidR="00255053" w:rsidRPr="00471739" w:rsidRDefault="003505F2" w:rsidP="00540EF1">
                            <w:pPr>
                              <w:ind w:left="-142"/>
                              <w:jc w:val="center"/>
                              <w:rPr>
                                <w:rFonts w:ascii="Arial" w:hAnsi="Arial" w:cs="Arial"/>
                                <w:b/>
                                <w:bCs/>
                                <w:sz w:val="10"/>
                                <w:szCs w:val="10"/>
                              </w:rPr>
                            </w:pPr>
                            <w:r w:rsidRPr="002A3484">
                              <w:rPr>
                                <w:noProof/>
                              </w:rPr>
                              <w:drawing>
                                <wp:inline distT="0" distB="0" distL="0" distR="0" wp14:anchorId="4B550C72" wp14:editId="18CB60D6">
                                  <wp:extent cx="3124200" cy="20535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4200" cy="2053590"/>
                                          </a:xfrm>
                                          <a:prstGeom prst="rect">
                                            <a:avLst/>
                                          </a:prstGeom>
                                          <a:noFill/>
                                          <a:ln>
                                            <a:noFill/>
                                          </a:ln>
                                        </pic:spPr>
                                      </pic:pic>
                                    </a:graphicData>
                                  </a:graphic>
                                </wp:inline>
                              </w:drawing>
                            </w:r>
                          </w:p>
                          <w:p w14:paraId="70023912" w14:textId="71E13C7C" w:rsidR="00255053" w:rsidRPr="00DA33C3" w:rsidRDefault="00255053" w:rsidP="00540EF1">
                            <w:pPr>
                              <w:ind w:left="-284"/>
                              <w:jc w:val="center"/>
                              <w:rPr>
                                <w:rFonts w:ascii="Arial" w:hAnsi="Arial" w:cs="Arial"/>
                                <w:b/>
                                <w:bCs/>
                                <w:sz w:val="6"/>
                                <w:szCs w:val="24"/>
                              </w:rPr>
                            </w:pPr>
                          </w:p>
                          <w:p w14:paraId="20545E74" w14:textId="7346B8AE" w:rsidR="00255053" w:rsidRPr="00F66505" w:rsidRDefault="00255053" w:rsidP="00540EF1">
                            <w:pPr>
                              <w:ind w:left="-284"/>
                              <w:jc w:val="center"/>
                              <w:rPr>
                                <w:rFonts w:ascii="Arial" w:hAnsi="Arial" w:cs="Arial"/>
                                <w:b/>
                                <w:bCs/>
                                <w:sz w:val="1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176D5" id="_x0000_s1027" type="#_x0000_t202" style="position:absolute;left:0;text-align:left;margin-left:6.75pt;margin-top:0;width:262.85pt;height:226.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OqREQIAAP4DAAAOAAAAZHJzL2Uyb0RvYy54bWysU9tu2zAMfR+wfxD0vjjXNTHiFF26DAO6&#10;C9DtAxRZjoXJokYpsbOvLyW7aba9DdODIIrUIXl4tL7tGsNOCr0GW/DJaMyZshJKbQ8F//5t92bJ&#10;mQ/ClsKAVQU/K89vN69frVuXqynUYEqFjECsz1tX8DoEl2eZl7VqhB+BU5acFWAjApl4yEoULaE3&#10;JpuOx2+zFrB0CFJ5T7f3vZNvEn5VKRm+VJVXgZmCU20h7Zj2fdyzzVrkBxSu1nIoQ/xDFY3QlpJe&#10;oO5FEOyI+i+oRksED1UYSWgyqCotVeqBupmM/+jmsRZOpV6IHO8uNPn/Bys/nx7dV2ShewcdDTA1&#10;4d0DyB+eWdjWwh7UHSK0tRIlJZ5EyrLW+Xx4Gqn2uY8g+/YTlDRkcQyQgLoKm8gK9ckInQZwvpCu&#10;usAkXc5ms+VkNedMkm+6vJnNbuYph8ifnzv04YOChsVDwZGmmuDF6cGHWI7In0NiNg9GlzttTDLw&#10;sN8aZCdBCtilNaD/FmYsawu+WkwXCdlCfJ/E0ehACjW6KfhyHFevmUjHe1umkCC06c9UibEDP5GS&#10;npzQ7Tumy4G8SNceyjMRhtALkj4QHWrAX5y1JMaC+59HgYoz89ES6avJfB7Vm4z54mZKBl579tce&#10;YSVBFTxw1h+3ISk+0mHhjoZT6UTbSyVDySSyxObwIaKKr+0U9fJtN08AAAD//wMAUEsDBBQABgAI&#10;AAAAIQBLm41z3AAAAAcBAAAPAAAAZHJzL2Rvd25yZXYueG1sTI/BTsMwEETvSPyDtUhcEHVI65am&#10;cSpAAnFt6Qc48TaJGq+j2G3Sv2c50eNoRjNv8u3kOnHBIbSeNLzMEhBIlbct1RoOP5/PryBCNGRN&#10;5wk1XDHAtri/y01m/Ug7vOxjLbiEQmY0NDH2mZShatCZMPM9EntHPzgTWQ61tIMZudx1Mk2SpXSm&#10;JV5oTI8fDVan/dlpOH6PT2o9ll/xsNotlu+mXZX+qvXjw/S2ARFxiv9h+MNndCiYqfRnskF0rOeK&#10;kxr4ELtqvk5BlBoWKlUgi1ze8he/AAAA//8DAFBLAQItABQABgAIAAAAIQC2gziS/gAAAOEBAAAT&#10;AAAAAAAAAAAAAAAAAAAAAABbQ29udGVudF9UeXBlc10ueG1sUEsBAi0AFAAGAAgAAAAhADj9If/W&#10;AAAAlAEAAAsAAAAAAAAAAAAAAAAALwEAAF9yZWxzLy5yZWxzUEsBAi0AFAAGAAgAAAAhALog6pER&#10;AgAA/gMAAA4AAAAAAAAAAAAAAAAALgIAAGRycy9lMm9Eb2MueG1sUEsBAi0AFAAGAAgAAAAhAEub&#10;jXPcAAAABwEAAA8AAAAAAAAAAAAAAAAAawQAAGRycy9kb3ducmV2LnhtbFBLBQYAAAAABAAEAPMA&#10;AAB0BQAAAAA=&#10;" stroked="f">
                <v:textbox>
                  <w:txbxContent>
                    <w:p w14:paraId="61BC6E50" w14:textId="77777777" w:rsidR="00255053" w:rsidRPr="003E5139" w:rsidRDefault="00255053" w:rsidP="00540EF1">
                      <w:pPr>
                        <w:ind w:left="-284"/>
                        <w:jc w:val="center"/>
                        <w:rPr>
                          <w:rFonts w:ascii="Arial" w:hAnsi="Arial" w:cs="Arial"/>
                          <w:b/>
                          <w:bCs/>
                          <w:sz w:val="8"/>
                          <w:szCs w:val="24"/>
                        </w:rPr>
                      </w:pPr>
                    </w:p>
                    <w:p w14:paraId="1DDFCDC7" w14:textId="77777777" w:rsidR="00255053" w:rsidRPr="003223C8" w:rsidRDefault="00255053" w:rsidP="006F1C41">
                      <w:pPr>
                        <w:spacing w:before="40" w:after="40" w:line="288" w:lineRule="auto"/>
                        <w:ind w:left="-284"/>
                        <w:jc w:val="center"/>
                        <w:rPr>
                          <w:rFonts w:ascii="Arial" w:hAnsi="Arial" w:cs="Arial"/>
                          <w:b/>
                          <w:bCs/>
                          <w:sz w:val="24"/>
                          <w:szCs w:val="24"/>
                        </w:rPr>
                      </w:pPr>
                      <w:r w:rsidRPr="003223C8">
                        <w:rPr>
                          <w:rFonts w:ascii="Arial" w:hAnsi="Arial" w:cs="Arial"/>
                          <w:b/>
                          <w:bCs/>
                          <w:sz w:val="24"/>
                          <w:szCs w:val="24"/>
                        </w:rPr>
                        <w:t>Figure 14. Structure of import groups</w:t>
                      </w:r>
                    </w:p>
                    <w:p w14:paraId="2DE602D1" w14:textId="17044FF0" w:rsidR="00255053" w:rsidRPr="003223C8" w:rsidRDefault="00255053" w:rsidP="006F1C41">
                      <w:pPr>
                        <w:spacing w:before="40" w:after="240" w:line="288" w:lineRule="auto"/>
                        <w:ind w:left="-284"/>
                        <w:jc w:val="center"/>
                        <w:rPr>
                          <w:rFonts w:ascii="Arial" w:hAnsi="Arial" w:cs="Arial"/>
                          <w:b/>
                          <w:bCs/>
                          <w:sz w:val="24"/>
                          <w:szCs w:val="24"/>
                        </w:rPr>
                      </w:pPr>
                      <w:r w:rsidRPr="003223C8">
                        <w:rPr>
                          <w:rFonts w:ascii="Arial" w:hAnsi="Arial" w:cs="Arial"/>
                          <w:b/>
                          <w:bCs/>
                          <w:sz w:val="24"/>
                          <w:szCs w:val="24"/>
                        </w:rPr>
                        <w:t xml:space="preserve">in </w:t>
                      </w:r>
                      <w:r>
                        <w:rPr>
                          <w:rFonts w:ascii="Arial" w:hAnsi="Arial" w:cs="Arial"/>
                          <w:b/>
                          <w:bCs/>
                          <w:sz w:val="24"/>
                          <w:szCs w:val="24"/>
                          <w:lang w:val="en-US"/>
                        </w:rPr>
                        <w:t>8</w:t>
                      </w:r>
                      <w:r w:rsidRPr="003223C8">
                        <w:rPr>
                          <w:rFonts w:ascii="Arial" w:hAnsi="Arial" w:cs="Arial"/>
                          <w:b/>
                          <w:bCs/>
                          <w:sz w:val="24"/>
                          <w:szCs w:val="24"/>
                        </w:rPr>
                        <w:t xml:space="preserve"> months of 2022 by commodity group</w:t>
                      </w:r>
                    </w:p>
                    <w:p w14:paraId="3A51D26B" w14:textId="4C0DDFF1" w:rsidR="00255053" w:rsidRPr="00471739" w:rsidRDefault="003505F2" w:rsidP="00540EF1">
                      <w:pPr>
                        <w:ind w:left="-142"/>
                        <w:jc w:val="center"/>
                        <w:rPr>
                          <w:rFonts w:ascii="Arial" w:hAnsi="Arial" w:cs="Arial"/>
                          <w:b/>
                          <w:bCs/>
                          <w:sz w:val="10"/>
                          <w:szCs w:val="10"/>
                        </w:rPr>
                      </w:pPr>
                      <w:r w:rsidRPr="002A3484">
                        <w:rPr>
                          <w:noProof/>
                        </w:rPr>
                        <w:drawing>
                          <wp:inline distT="0" distB="0" distL="0" distR="0" wp14:anchorId="4B550C72" wp14:editId="18CB60D6">
                            <wp:extent cx="3124200" cy="20535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4200" cy="2053590"/>
                                    </a:xfrm>
                                    <a:prstGeom prst="rect">
                                      <a:avLst/>
                                    </a:prstGeom>
                                    <a:noFill/>
                                    <a:ln>
                                      <a:noFill/>
                                    </a:ln>
                                  </pic:spPr>
                                </pic:pic>
                              </a:graphicData>
                            </a:graphic>
                          </wp:inline>
                        </w:drawing>
                      </w:r>
                    </w:p>
                    <w:p w14:paraId="70023912" w14:textId="71E13C7C" w:rsidR="00255053" w:rsidRPr="00DA33C3" w:rsidRDefault="00255053" w:rsidP="00540EF1">
                      <w:pPr>
                        <w:ind w:left="-284"/>
                        <w:jc w:val="center"/>
                        <w:rPr>
                          <w:rFonts w:ascii="Arial" w:hAnsi="Arial" w:cs="Arial"/>
                          <w:b/>
                          <w:bCs/>
                          <w:sz w:val="6"/>
                          <w:szCs w:val="24"/>
                        </w:rPr>
                      </w:pPr>
                    </w:p>
                    <w:p w14:paraId="20545E74" w14:textId="7346B8AE" w:rsidR="00255053" w:rsidRPr="00F66505" w:rsidRDefault="00255053" w:rsidP="00540EF1">
                      <w:pPr>
                        <w:ind w:left="-284"/>
                        <w:jc w:val="center"/>
                        <w:rPr>
                          <w:rFonts w:ascii="Arial" w:hAnsi="Arial" w:cs="Arial"/>
                          <w:b/>
                          <w:bCs/>
                          <w:sz w:val="14"/>
                          <w:szCs w:val="24"/>
                        </w:rPr>
                      </w:pPr>
                    </w:p>
                  </w:txbxContent>
                </v:textbox>
                <w10:wrap type="square"/>
              </v:shape>
            </w:pict>
          </mc:Fallback>
        </mc:AlternateContent>
      </w:r>
    </w:p>
    <w:p w14:paraId="1EDAEE5C" w14:textId="77777777" w:rsidR="00820836" w:rsidRPr="00916480" w:rsidRDefault="00820836" w:rsidP="00820836">
      <w:pPr>
        <w:tabs>
          <w:tab w:val="left" w:pos="9475"/>
        </w:tabs>
        <w:spacing w:before="40" w:after="40" w:line="300" w:lineRule="auto"/>
        <w:ind w:right="6" w:firstLine="630"/>
        <w:jc w:val="both"/>
        <w:rPr>
          <w:rStyle w:val="Strong"/>
          <w:rFonts w:eastAsia="Batang"/>
        </w:rPr>
      </w:pPr>
      <w:r w:rsidRPr="008332C0">
        <w:rPr>
          <w:rFonts w:eastAsia="Batang"/>
          <w:bCs/>
          <w:i/>
          <w:iCs/>
          <w:lang w:val="en-US"/>
        </w:rPr>
        <w:t xml:space="preserve">Regarding the structure of imported goods in </w:t>
      </w:r>
      <w:r>
        <w:rPr>
          <w:rFonts w:eastAsia="Batang"/>
          <w:bCs/>
          <w:i/>
          <w:iCs/>
          <w:lang w:val="en-US"/>
        </w:rPr>
        <w:t>8 months</w:t>
      </w:r>
      <w:r w:rsidRPr="008332C0">
        <w:rPr>
          <w:rFonts w:eastAsia="Batang"/>
          <w:bCs/>
          <w:i/>
          <w:iCs/>
          <w:lang w:val="en-US"/>
        </w:rPr>
        <w:t xml:space="preserve"> of 2022, </w:t>
      </w:r>
      <w:r w:rsidRPr="008332C0">
        <w:rPr>
          <w:rFonts w:eastAsia="Batang"/>
          <w:bCs/>
          <w:lang w:val="en-US"/>
        </w:rPr>
        <w:t>the group of production materials accounted for 9</w:t>
      </w:r>
      <w:r>
        <w:rPr>
          <w:rFonts w:eastAsia="Batang"/>
          <w:bCs/>
          <w:lang w:val="en-US"/>
        </w:rPr>
        <w:t>4</w:t>
      </w:r>
      <w:r w:rsidRPr="008332C0">
        <w:rPr>
          <w:rFonts w:eastAsia="Batang"/>
          <w:bCs/>
          <w:lang w:val="en-US"/>
        </w:rPr>
        <w:t>%, up 0.</w:t>
      </w:r>
      <w:r>
        <w:rPr>
          <w:rFonts w:eastAsia="Batang"/>
          <w:bCs/>
          <w:lang w:val="en-US"/>
        </w:rPr>
        <w:t>1</w:t>
      </w:r>
      <w:r w:rsidRPr="008332C0">
        <w:rPr>
          <w:rFonts w:eastAsia="Batang"/>
          <w:bCs/>
          <w:lang w:val="en-US"/>
        </w:rPr>
        <w:t xml:space="preserve"> percentage point over the same period last year, in which the group of machinery, equipment, tools spare parts accounted for 4</w:t>
      </w:r>
      <w:r>
        <w:rPr>
          <w:rFonts w:eastAsia="Batang"/>
          <w:bCs/>
          <w:lang w:val="en-US"/>
        </w:rPr>
        <w:t>4.3</w:t>
      </w:r>
      <w:r w:rsidRPr="008332C0">
        <w:rPr>
          <w:rFonts w:eastAsia="Batang"/>
          <w:bCs/>
          <w:lang w:val="en-US"/>
        </w:rPr>
        <w:t xml:space="preserve">%, down </w:t>
      </w:r>
      <w:r>
        <w:rPr>
          <w:rFonts w:eastAsia="Batang"/>
          <w:bCs/>
          <w:lang w:val="en-US"/>
        </w:rPr>
        <w:t>1.2</w:t>
      </w:r>
      <w:r w:rsidRPr="008332C0">
        <w:rPr>
          <w:rFonts w:eastAsia="Batang"/>
          <w:bCs/>
          <w:lang w:val="en-US"/>
        </w:rPr>
        <w:t xml:space="preserve"> percentage points; raw materials, fuel and materials accounted for </w:t>
      </w:r>
      <w:r>
        <w:rPr>
          <w:rFonts w:eastAsia="Batang"/>
          <w:bCs/>
          <w:lang w:val="en-US"/>
        </w:rPr>
        <w:t>49.7</w:t>
      </w:r>
      <w:r w:rsidRPr="008332C0">
        <w:rPr>
          <w:rFonts w:eastAsia="Batang"/>
          <w:bCs/>
          <w:lang w:val="en-US"/>
        </w:rPr>
        <w:t xml:space="preserve">%, up </w:t>
      </w:r>
      <w:r>
        <w:rPr>
          <w:rFonts w:eastAsia="Batang"/>
          <w:bCs/>
          <w:lang w:val="en-US"/>
        </w:rPr>
        <w:t>1.3</w:t>
      </w:r>
      <w:r w:rsidRPr="008332C0">
        <w:rPr>
          <w:rFonts w:eastAsia="Batang"/>
          <w:bCs/>
          <w:lang w:val="en-US"/>
        </w:rPr>
        <w:t xml:space="preserve"> percentage points. The group of consumer products accounted for 6%, down 0.</w:t>
      </w:r>
      <w:r>
        <w:rPr>
          <w:rFonts w:eastAsia="Batang"/>
          <w:bCs/>
          <w:lang w:val="en-US"/>
        </w:rPr>
        <w:t>1</w:t>
      </w:r>
      <w:r w:rsidRPr="008332C0">
        <w:rPr>
          <w:rFonts w:eastAsia="Batang"/>
          <w:bCs/>
          <w:lang w:val="en-US"/>
        </w:rPr>
        <w:t xml:space="preserve"> percentage point.</w:t>
      </w:r>
    </w:p>
    <w:p w14:paraId="113B8CFC" w14:textId="77777777" w:rsidR="00D202DA" w:rsidRPr="009D1A0A" w:rsidRDefault="00D202DA" w:rsidP="00D202DA">
      <w:pPr>
        <w:tabs>
          <w:tab w:val="num" w:pos="0"/>
          <w:tab w:val="left" w:pos="9475"/>
        </w:tabs>
        <w:spacing w:before="40" w:after="40" w:line="288" w:lineRule="auto"/>
        <w:ind w:right="6" w:firstLine="567"/>
        <w:jc w:val="both"/>
        <w:rPr>
          <w:bCs/>
          <w:i/>
          <w:lang w:val="en-US"/>
        </w:rPr>
      </w:pPr>
      <w:r w:rsidRPr="009D1A0A">
        <w:rPr>
          <w:bCs/>
          <w:i/>
        </w:rPr>
        <w:t xml:space="preserve">Regarding the export and import market of goods in </w:t>
      </w:r>
      <w:r>
        <w:rPr>
          <w:bCs/>
          <w:i/>
        </w:rPr>
        <w:t>8 months</w:t>
      </w:r>
      <w:r w:rsidRPr="009D1A0A">
        <w:rPr>
          <w:bCs/>
          <w:i/>
        </w:rPr>
        <w:t xml:space="preserve"> of 2022, </w:t>
      </w:r>
      <w:r w:rsidRPr="009D1A0A">
        <w:rPr>
          <w:bCs/>
          <w:iCs/>
        </w:rPr>
        <w:t xml:space="preserve">the United States </w:t>
      </w:r>
      <w:r>
        <w:rPr>
          <w:bCs/>
          <w:iCs/>
        </w:rPr>
        <w:t>wa</w:t>
      </w:r>
      <w:r w:rsidRPr="009D1A0A">
        <w:rPr>
          <w:bCs/>
          <w:iCs/>
        </w:rPr>
        <w:t xml:space="preserve">s the largest export market of Viet Nam with an estimated turnover of </w:t>
      </w:r>
      <w:r>
        <w:rPr>
          <w:bCs/>
          <w:iCs/>
        </w:rPr>
        <w:t>77.7</w:t>
      </w:r>
      <w:r w:rsidRPr="009D1A0A">
        <w:rPr>
          <w:bCs/>
          <w:iCs/>
        </w:rPr>
        <w:t xml:space="preserve"> billion USD. China is Viet Nam's largest import market with an estimated turnover of </w:t>
      </w:r>
      <w:r>
        <w:rPr>
          <w:bCs/>
          <w:iCs/>
        </w:rPr>
        <w:t>82.1</w:t>
      </w:r>
      <w:r w:rsidRPr="009D1A0A">
        <w:rPr>
          <w:bCs/>
          <w:iCs/>
        </w:rPr>
        <w:t xml:space="preserve"> billion USD. In </w:t>
      </w:r>
      <w:r>
        <w:rPr>
          <w:bCs/>
          <w:iCs/>
        </w:rPr>
        <w:t>8 months</w:t>
      </w:r>
      <w:r w:rsidRPr="009D1A0A">
        <w:rPr>
          <w:bCs/>
          <w:iCs/>
        </w:rPr>
        <w:t xml:space="preserve"> of 2022, the trade surplus to the EU was estimated at </w:t>
      </w:r>
      <w:r>
        <w:rPr>
          <w:bCs/>
          <w:iCs/>
        </w:rPr>
        <w:t>21.6</w:t>
      </w:r>
      <w:r w:rsidRPr="009D1A0A">
        <w:rPr>
          <w:bCs/>
          <w:iCs/>
        </w:rPr>
        <w:t xml:space="preserve"> billion USD, up </w:t>
      </w:r>
      <w:r>
        <w:rPr>
          <w:bCs/>
          <w:iCs/>
        </w:rPr>
        <w:t>46.4</w:t>
      </w:r>
      <w:r w:rsidRPr="009D1A0A">
        <w:rPr>
          <w:bCs/>
          <w:iCs/>
        </w:rPr>
        <w:t xml:space="preserve">% over the same period last year; trade deficit from China </w:t>
      </w:r>
      <w:r>
        <w:rPr>
          <w:bCs/>
          <w:iCs/>
        </w:rPr>
        <w:t>wa</w:t>
      </w:r>
      <w:r w:rsidRPr="009D1A0A">
        <w:rPr>
          <w:bCs/>
          <w:iCs/>
        </w:rPr>
        <w:t xml:space="preserve">s </w:t>
      </w:r>
      <w:r>
        <w:rPr>
          <w:bCs/>
          <w:iCs/>
        </w:rPr>
        <w:t>47.8</w:t>
      </w:r>
      <w:r w:rsidRPr="009D1A0A">
        <w:rPr>
          <w:bCs/>
          <w:iCs/>
        </w:rPr>
        <w:t xml:space="preserve"> billion USD, up 21</w:t>
      </w:r>
      <w:r>
        <w:rPr>
          <w:bCs/>
          <w:iCs/>
        </w:rPr>
        <w:t>.9</w:t>
      </w:r>
      <w:r w:rsidRPr="009D1A0A">
        <w:rPr>
          <w:bCs/>
          <w:iCs/>
        </w:rPr>
        <w:t xml:space="preserve">%; trade deficit from </w:t>
      </w:r>
      <w:r w:rsidRPr="009D1A0A">
        <w:rPr>
          <w:bCs/>
          <w:iCs/>
        </w:rPr>
        <w:lastRenderedPageBreak/>
        <w:t xml:space="preserve">Korea was </w:t>
      </w:r>
      <w:r>
        <w:rPr>
          <w:bCs/>
          <w:iCs/>
        </w:rPr>
        <w:t>27.4</w:t>
      </w:r>
      <w:r w:rsidRPr="009D1A0A">
        <w:rPr>
          <w:bCs/>
          <w:iCs/>
        </w:rPr>
        <w:t xml:space="preserve"> billion USD, up 3</w:t>
      </w:r>
      <w:r>
        <w:rPr>
          <w:bCs/>
          <w:iCs/>
        </w:rPr>
        <w:t>0.3</w:t>
      </w:r>
      <w:r w:rsidRPr="009D1A0A">
        <w:rPr>
          <w:bCs/>
          <w:iCs/>
        </w:rPr>
        <w:t xml:space="preserve">%; trade deficit from ASEAN </w:t>
      </w:r>
      <w:r>
        <w:rPr>
          <w:bCs/>
          <w:iCs/>
        </w:rPr>
        <w:t>wa</w:t>
      </w:r>
      <w:r w:rsidRPr="009D1A0A">
        <w:rPr>
          <w:bCs/>
          <w:iCs/>
        </w:rPr>
        <w:t xml:space="preserve">s </w:t>
      </w:r>
      <w:r>
        <w:rPr>
          <w:bCs/>
          <w:iCs/>
        </w:rPr>
        <w:t>9</w:t>
      </w:r>
      <w:r w:rsidRPr="009D1A0A">
        <w:rPr>
          <w:bCs/>
          <w:iCs/>
        </w:rPr>
        <w:t xml:space="preserve"> billion USD, down </w:t>
      </w:r>
      <w:r>
        <w:rPr>
          <w:bCs/>
          <w:iCs/>
        </w:rPr>
        <w:t>3.3</w:t>
      </w:r>
      <w:r w:rsidRPr="009D1A0A">
        <w:rPr>
          <w:bCs/>
          <w:iCs/>
        </w:rPr>
        <w:t xml:space="preserve">%; trade deficit from Japan was </w:t>
      </w:r>
      <w:r>
        <w:rPr>
          <w:bCs/>
          <w:iCs/>
        </w:rPr>
        <w:t>320</w:t>
      </w:r>
      <w:r w:rsidRPr="009D1A0A">
        <w:rPr>
          <w:bCs/>
          <w:iCs/>
        </w:rPr>
        <w:t xml:space="preserve"> million USD, </w:t>
      </w:r>
      <w:r>
        <w:rPr>
          <w:bCs/>
          <w:iCs/>
        </w:rPr>
        <w:t>down 74.7</w:t>
      </w:r>
      <w:r w:rsidRPr="009D1A0A">
        <w:rPr>
          <w:bCs/>
          <w:iCs/>
        </w:rPr>
        <w:t>%.</w:t>
      </w:r>
    </w:p>
    <w:p w14:paraId="056522C6" w14:textId="77777777" w:rsidR="00540EF1" w:rsidRPr="000D5D60" w:rsidRDefault="00540EF1" w:rsidP="00540EF1">
      <w:pPr>
        <w:tabs>
          <w:tab w:val="num" w:pos="0"/>
          <w:tab w:val="left" w:pos="9475"/>
        </w:tabs>
        <w:spacing w:before="40" w:after="40" w:line="264" w:lineRule="auto"/>
        <w:ind w:right="6"/>
        <w:jc w:val="center"/>
        <w:rPr>
          <w:rFonts w:ascii="Arial" w:hAnsi="Arial" w:cs="Arial"/>
          <w:b/>
          <w:iCs/>
          <w:sz w:val="6"/>
        </w:rPr>
      </w:pPr>
    </w:p>
    <w:p w14:paraId="464CB0A9" w14:textId="4654DC74" w:rsidR="0058664D" w:rsidRPr="00432BB7" w:rsidRDefault="0058664D" w:rsidP="0058664D">
      <w:pPr>
        <w:tabs>
          <w:tab w:val="num" w:pos="0"/>
          <w:tab w:val="left" w:pos="9475"/>
        </w:tabs>
        <w:spacing w:before="240" w:after="120" w:line="288" w:lineRule="auto"/>
        <w:ind w:right="6"/>
        <w:jc w:val="center"/>
        <w:rPr>
          <w:rFonts w:ascii="Arial" w:hAnsi="Arial" w:cs="Arial"/>
          <w:b/>
          <w:bCs/>
          <w:iCs/>
          <w:spacing w:val="-4"/>
          <w:sz w:val="24"/>
          <w:szCs w:val="24"/>
        </w:rPr>
      </w:pPr>
      <w:r w:rsidRPr="00432BB7">
        <w:rPr>
          <w:rFonts w:ascii="Arial" w:hAnsi="Arial" w:cs="Arial"/>
          <w:b/>
          <w:bCs/>
          <w:iCs/>
          <w:spacing w:val="-4"/>
          <w:sz w:val="24"/>
          <w:szCs w:val="24"/>
        </w:rPr>
        <w:t>Figure 15. Major commodity import and export markets</w:t>
      </w:r>
      <w:r w:rsidR="00432BB7" w:rsidRPr="00432BB7">
        <w:rPr>
          <w:rFonts w:ascii="Arial" w:hAnsi="Arial" w:cs="Arial"/>
          <w:b/>
          <w:bCs/>
          <w:iCs/>
          <w:spacing w:val="-4"/>
          <w:sz w:val="24"/>
          <w:szCs w:val="24"/>
          <w:lang w:val="en-US"/>
        </w:rPr>
        <w:t xml:space="preserve"> </w:t>
      </w:r>
      <w:r w:rsidRPr="00432BB7">
        <w:rPr>
          <w:rFonts w:ascii="Arial" w:hAnsi="Arial" w:cs="Arial"/>
          <w:b/>
          <w:bCs/>
          <w:iCs/>
          <w:spacing w:val="-4"/>
          <w:sz w:val="24"/>
          <w:szCs w:val="24"/>
        </w:rPr>
        <w:t>in 8 months of 2022</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540EF1" w14:paraId="2F39A867" w14:textId="77777777" w:rsidTr="00255053">
        <w:trPr>
          <w:trHeight w:val="3974"/>
          <w:jc w:val="center"/>
        </w:trPr>
        <w:tc>
          <w:tcPr>
            <w:tcW w:w="4675" w:type="dxa"/>
            <w:gridSpan w:val="3"/>
          </w:tcPr>
          <w:p w14:paraId="07FCFDE1" w14:textId="66D7191A" w:rsidR="00540EF1" w:rsidRDefault="005E03A0" w:rsidP="00255053">
            <w:pPr>
              <w:tabs>
                <w:tab w:val="num" w:pos="0"/>
                <w:tab w:val="left" w:pos="9475"/>
              </w:tabs>
              <w:spacing w:before="40" w:after="40" w:line="264" w:lineRule="auto"/>
              <w:ind w:right="-118"/>
              <w:jc w:val="both"/>
              <w:rPr>
                <w:iCs/>
              </w:rPr>
            </w:pPr>
            <w:r>
              <w:rPr>
                <w:noProof/>
              </w:rPr>
              <w:drawing>
                <wp:inline distT="0" distB="0" distL="0" distR="0" wp14:anchorId="64EAF8EC" wp14:editId="255C66F4">
                  <wp:extent cx="2901950" cy="2495550"/>
                  <wp:effectExtent l="0" t="0" r="12700" b="0"/>
                  <wp:docPr id="8" name="Chart 8">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818" w:type="dxa"/>
            <w:gridSpan w:val="3"/>
            <w:shd w:val="clear" w:color="auto" w:fill="auto"/>
          </w:tcPr>
          <w:p w14:paraId="0FA45ABC" w14:textId="12493DDD" w:rsidR="00540EF1" w:rsidRDefault="00622C8D" w:rsidP="00255053">
            <w:pPr>
              <w:tabs>
                <w:tab w:val="num" w:pos="-104"/>
                <w:tab w:val="left" w:pos="9475"/>
              </w:tabs>
              <w:spacing w:before="40" w:after="40" w:line="264" w:lineRule="auto"/>
              <w:ind w:right="6" w:hanging="107"/>
              <w:jc w:val="both"/>
              <w:rPr>
                <w:iCs/>
              </w:rPr>
            </w:pPr>
            <w:r>
              <w:rPr>
                <w:noProof/>
              </w:rPr>
              <w:drawing>
                <wp:inline distT="0" distB="0" distL="0" distR="0" wp14:anchorId="1ED70088" wp14:editId="393C328E">
                  <wp:extent cx="2922270" cy="2495550"/>
                  <wp:effectExtent l="0" t="0" r="11430" b="0"/>
                  <wp:docPr id="16" name="Chart 16">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40EF1" w14:paraId="453BD33A" w14:textId="77777777" w:rsidTr="00255053">
        <w:trPr>
          <w:gridAfter w:val="1"/>
          <w:wAfter w:w="532" w:type="dxa"/>
          <w:trHeight w:val="250"/>
          <w:jc w:val="center"/>
        </w:trPr>
        <w:tc>
          <w:tcPr>
            <w:tcW w:w="1791" w:type="dxa"/>
          </w:tcPr>
          <w:p w14:paraId="51FE438B" w14:textId="77777777" w:rsidR="00540EF1" w:rsidRDefault="00540EF1" w:rsidP="00255053">
            <w:pPr>
              <w:jc w:val="both"/>
              <w:rPr>
                <w:b/>
                <w:bCs/>
                <w:i/>
                <w:iCs/>
              </w:rPr>
            </w:pPr>
          </w:p>
        </w:tc>
        <w:tc>
          <w:tcPr>
            <w:tcW w:w="619" w:type="dxa"/>
            <w:shd w:val="clear" w:color="auto" w:fill="auto"/>
          </w:tcPr>
          <w:p w14:paraId="22721A51" w14:textId="77777777" w:rsidR="00540EF1" w:rsidRPr="00495002" w:rsidRDefault="00540EF1" w:rsidP="00255053">
            <w:pPr>
              <w:jc w:val="both"/>
              <w:rPr>
                <w:b/>
                <w:bCs/>
                <w:i/>
                <w:iCs/>
                <w:color w:val="FF0000"/>
              </w:rPr>
            </w:pPr>
          </w:p>
        </w:tc>
        <w:tc>
          <w:tcPr>
            <w:tcW w:w="2265" w:type="dxa"/>
          </w:tcPr>
          <w:p w14:paraId="0E6861B5" w14:textId="601725A3" w:rsidR="00540EF1" w:rsidRDefault="00540EF1" w:rsidP="00255053">
            <w:pPr>
              <w:jc w:val="both"/>
              <w:rPr>
                <w:b/>
                <w:bCs/>
                <w:i/>
                <w:iCs/>
              </w:rPr>
            </w:pPr>
            <w:r>
              <w:rPr>
                <w:noProof/>
                <w:lang w:val="en-US"/>
              </w:rPr>
              <mc:AlternateContent>
                <mc:Choice Requires="wps">
                  <w:drawing>
                    <wp:anchor distT="0" distB="0" distL="114300" distR="114300" simplePos="0" relativeHeight="251667968" behindDoc="0" locked="0" layoutInCell="1" allowOverlap="1" wp14:anchorId="1913DC52" wp14:editId="29F80810">
                      <wp:simplePos x="0" y="0"/>
                      <wp:positionH relativeFrom="column">
                        <wp:posOffset>98425</wp:posOffset>
                      </wp:positionH>
                      <wp:positionV relativeFrom="paragraph">
                        <wp:posOffset>36195</wp:posOffset>
                      </wp:positionV>
                      <wp:extent cx="125730" cy="90170"/>
                      <wp:effectExtent l="0" t="0" r="7620" b="5080"/>
                      <wp:wrapNone/>
                      <wp:docPr id="1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BAEC1" id="Rectangle 28" o:spid="_x0000_s1026" style="position:absolute;margin-left:7.75pt;margin-top:2.85pt;width:9.9pt;height:7.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TXngIAAJ4FAAAOAAAAZHJzL2Uyb0RvYy54bWysVN9P2zAQfp+0/8Hy+0jSwYCIFFVFTJMq&#10;hoCJZ9exm2iOz7Pdpt1fv7OdhI6hPUzLgxX7vvvu911d7ztFdsK6FnRFi5OcEqE51K3eVPTb0+2H&#10;C0qcZ7pmCrSo6EE4ej1//+6qN6WYQQOqFpYgiXZlbyraeG/KLHO8ER1zJ2CERqEE2zGPV7vJast6&#10;ZO9UNsvzT1kPtjYWuHAOX2+SkM4jv5SC+69SOuGJqij65uNp47kOZza/YuXGMtO0fHCD/YMXHWs1&#10;Gp2obphnZGvbP6i6lltwIP0Jhy4DKVsuYgwYTZG/iuaxYUbEWDA5zkxpcv+Plt/t7i1pa6wdVkqz&#10;Dmv0gFljeqMEmV2EBPXGlYh7NPc2hOjMCvh3h4LsN0m4uAGzl7YLWAyQ7GO2D1O2xd4Tjo/F7Oz8&#10;I9aEo+gyL85jMTJWjrrGOv9ZQEfCT0UtehVTzHYr54N1Vo6Q6Baotr5tlYoXu1kvlSU7hnVf5uEL&#10;kaCKO4YpHcAagloSh5cYVookxuQPSgSc0g9CYq7Q91n0JHapmOwwzoX2RRI1rBbJ/Nmx9dDXQSP6&#10;EgkDs0T7E/dAMCITycidvBzwQVXEJp+U8785lpQnjWgZtJ+Uu1aDfYtAYVSD5YQfk5RSE7K0hvqA&#10;nWQhjZgz/LbFuq2Y8/fM4kxhpXFP+K94SAV9RWH4o6QB+/Ot94DHVkcpJT3OaEXdjy2zghL1ReMQ&#10;XBanp2Go4+X07HyGF3ssWR9L9LZbArZDgRvJ8Pgb8F6Nv9JC94zrZBGsoohpjrYryr0dL0ufdgcu&#10;JC4WiwjDQTbMr/Sj4YE8ZDX05dP+mVkzNK/Hpr+DcZ5Z+aqHEzZoalhsPcg2NvhLXod84xKIjTMs&#10;rLBlju8R9bJW578AAAD//wMAUEsDBBQABgAIAAAAIQB3rgMF2QAAAAYBAAAPAAAAZHJzL2Rvd25y&#10;ZXYueG1sTI69TsMwFIV3JN7Bukhs1KFRoEnjVKiIha0pDGxufBtHxNdW7LaBp+cywXh+dM5Xb2Y3&#10;ijNOcfCk4H6RgUDqvBmoV/C2f7lbgYhJk9GjJ1TwhRE2zfVVrSvjL7TDc5t6wSMUK63AphQqKWNn&#10;0em48AGJs6OfnE4sp16aSV943I1ymWUP0umB+MHqgFuL3Wd7cgpa+/zxunzPhlW+DWYXvssoMSl1&#10;ezM/rUEknNNfGX7xGR0aZjr4E5koRtZFwU0FxSMIjvMiB3FguyxBNrX8j9/8AAAA//8DAFBLAQIt&#10;ABQABgAIAAAAIQC2gziS/gAAAOEBAAATAAAAAAAAAAAAAAAAAAAAAABbQ29udGVudF9UeXBlc10u&#10;eG1sUEsBAi0AFAAGAAgAAAAhADj9If/WAAAAlAEAAAsAAAAAAAAAAAAAAAAALwEAAF9yZWxzLy5y&#10;ZWxzUEsBAi0AFAAGAAgAAAAhAA6wpNeeAgAAngUAAA4AAAAAAAAAAAAAAAAALgIAAGRycy9lMm9E&#10;b2MueG1sUEsBAi0AFAAGAAgAAAAhAHeuAwXZAAAABgEAAA8AAAAAAAAAAAAAAAAA+AQAAGRycy9k&#10;b3ducmV2LnhtbFBLBQYAAAAABAAEAPMAAAD+BQAAAAA=&#10;" fillcolor="#c00000" stroked="f" strokeweight="1pt">
                      <v:path arrowok="t"/>
                    </v:rect>
                  </w:pict>
                </mc:Fallback>
              </mc:AlternateContent>
            </w:r>
            <w:r>
              <w:rPr>
                <w:rFonts w:ascii="Arial" w:hAnsi="Arial" w:cs="Arial"/>
                <w:iCs/>
                <w:sz w:val="16"/>
                <w:szCs w:val="16"/>
              </w:rPr>
              <w:t xml:space="preserve">           </w:t>
            </w:r>
            <w:r w:rsidR="0078668C">
              <w:rPr>
                <w:rFonts w:ascii="Arial" w:hAnsi="Arial" w:cs="Arial"/>
                <w:iCs/>
                <w:sz w:val="16"/>
                <w:szCs w:val="16"/>
              </w:rPr>
              <w:t>Exports of goods</w:t>
            </w:r>
          </w:p>
        </w:tc>
        <w:tc>
          <w:tcPr>
            <w:tcW w:w="2838" w:type="dxa"/>
          </w:tcPr>
          <w:p w14:paraId="55790CC8" w14:textId="09439121" w:rsidR="00540EF1" w:rsidRDefault="00540EF1" w:rsidP="00255053">
            <w:pPr>
              <w:jc w:val="both"/>
              <w:rPr>
                <w:b/>
                <w:bCs/>
                <w:i/>
                <w:iCs/>
              </w:rPr>
            </w:pPr>
            <w:r>
              <w:rPr>
                <w:noProof/>
                <w:lang w:val="en-US"/>
              </w:rPr>
              <mc:AlternateContent>
                <mc:Choice Requires="wps">
                  <w:drawing>
                    <wp:anchor distT="0" distB="0" distL="114300" distR="114300" simplePos="0" relativeHeight="251668992" behindDoc="0" locked="0" layoutInCell="1" allowOverlap="1" wp14:anchorId="2B5A1239" wp14:editId="3979E854">
                      <wp:simplePos x="0" y="0"/>
                      <wp:positionH relativeFrom="column">
                        <wp:posOffset>24130</wp:posOffset>
                      </wp:positionH>
                      <wp:positionV relativeFrom="paragraph">
                        <wp:posOffset>36195</wp:posOffset>
                      </wp:positionV>
                      <wp:extent cx="125730" cy="90170"/>
                      <wp:effectExtent l="0" t="0" r="26670" b="24130"/>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08014" id="Rectangle 29" o:spid="_x0000_s1026" style="position:absolute;margin-left:1.9pt;margin-top:2.85pt;width:9.9pt;height:7.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6qvAIAAPMFAAAOAAAAZHJzL2Uyb0RvYy54bWysVE1v2zAMvQ/YfxB0X+24TbsYdYqgRYYB&#10;2Vq0HXpWZCk2JouapMTJfv0o+aNJN+wwzAdBMp8eySeS1zf7RpGdsK4GXdDJWUqJ0BzKWm8K+u15&#10;+eEjJc4zXTIFWhT0IBy9mb9/d92aXGRQgSqFJUiiXd6aglbemzxJHK9Ew9wZGKHRKME2zOPRbpLS&#10;shbZG5VkaXqZtGBLY4EL5/DvXWek88gvpeD+XkonPFEFxdh8XG1c12FN5tcs31hmqpr3YbB/iKJh&#10;tUanI9Ud84xsbf0bVVNzCw6kP+PQJCBlzUXMAbOZpG+yeaqYETEXFMeZUSb3/2j5192DJXWJbzej&#10;RLMG3+gRVWN6owTJZkGg1rgccU/mwYYUnVkB/+7QkJxYwsH1mL20TcBigmQf1T6Maou9Jxx/TrLp&#10;1Tm+CUfTLJ1cxcdIWD7cNdb5TwIaEjYFtRhVlJjtVs4H7ywfIDEsUHW5rJWKB7tZ3ypLdgzffYlf&#10;OrC7Y5jSpC3o5fk0jcwntliCYiRZb7KIUdvmC5QdcTZNX3lDxQZ4DOyICcNUuteqkycK5Q9KhEiV&#10;fhQSHwAF6Ry88cs4F9pPuvgqVorOdfA8pnTiOhIGZolajNw9wYDsSAbuTsweH66K2Dnj5V6dv10e&#10;b0TPoP14uak12C78UwKFWfWeO/wgUidNUGkN5QHL00LXt87wZY3FsGLOPzCLjYrlg8PH3+MiFeBb&#10;Qr+jpAL780//Ax77B62UtNj4BXU/tswKStRnjZ01m1xchEkRDxfTqwwP9tiyPrbobXMLWGMTHHOG&#10;x23AezVspYXmBWfUInhFE9McfReUezscbn03kHDKcbFYRBhOB8P8Sj8ZHsiDqqHYn/cvzJq+Izx2&#10;0lcYhgTL3zRGhw03NSy2HmQdu+ZV115vnCyxZvspGEbX8TmiXmf1/BcAAAD//wMAUEsDBBQABgAI&#10;AAAAIQDLspKO3AAAAAUBAAAPAAAAZHJzL2Rvd25yZXYueG1sTM5PS8QwEAXwu+B3CCN4c1O7uH9q&#10;00VcRDy4YLfgNW3GtthMapLd1m/veNLj8B5vfvlutoM4ow+9IwW3iwQEUuNMT62C6vh0swERoiaj&#10;B0eo4BsD7IrLi1xnxk30hucytoJHKGRaQRfjmEkZmg6tDgs3InH24bzVkU/fSuP1xON2kGmSrKTV&#10;PfGHTo/42GHzWZ6sguf11z7dv79OdKjK+aWqS3/c9EpdX80P9yAizvGvDL98pkPBptqdyAQxKFgy&#10;PCq4W4PgNF2uQNTc2m5BFrn8ry9+AAAA//8DAFBLAQItABQABgAIAAAAIQC2gziS/gAAAOEBAAAT&#10;AAAAAAAAAAAAAAAAAAAAAABbQ29udGVudF9UeXBlc10ueG1sUEsBAi0AFAAGAAgAAAAhADj9If/W&#10;AAAAlAEAAAsAAAAAAAAAAAAAAAAALwEAAF9yZWxzLy5yZWxzUEsBAi0AFAAGAAgAAAAhAMJgrqq8&#10;AgAA8wUAAA4AAAAAAAAAAAAAAAAALgIAAGRycy9lMm9Eb2MueG1sUEsBAi0AFAAGAAgAAAAhAMuy&#10;ko7cAAAABQEAAA8AAAAAAAAAAAAAAAAAFgUAAGRycy9kb3ducmV2LnhtbFBLBQYAAAAABAAEAPMA&#10;AAAfBgAAAAA=&#10;" fillcolor="yellow" strokecolor="#393737 [814]" strokeweight=".5pt">
                      <v:path arrowok="t"/>
                    </v:rect>
                  </w:pict>
                </mc:Fallback>
              </mc:AlternateContent>
            </w:r>
            <w:r>
              <w:rPr>
                <w:rFonts w:ascii="Arial" w:hAnsi="Arial" w:cs="Arial"/>
                <w:iCs/>
                <w:sz w:val="16"/>
                <w:szCs w:val="16"/>
              </w:rPr>
              <w:t xml:space="preserve">          </w:t>
            </w:r>
            <w:r w:rsidR="00E70FB8">
              <w:rPr>
                <w:rFonts w:ascii="Arial" w:hAnsi="Arial" w:cs="Arial"/>
                <w:iCs/>
                <w:sz w:val="16"/>
                <w:szCs w:val="16"/>
              </w:rPr>
              <w:t>Imports of goods</w:t>
            </w:r>
          </w:p>
        </w:tc>
        <w:tc>
          <w:tcPr>
            <w:tcW w:w="1448" w:type="dxa"/>
          </w:tcPr>
          <w:p w14:paraId="1FEC3F0F" w14:textId="77777777" w:rsidR="00540EF1" w:rsidRDefault="00540EF1" w:rsidP="00255053">
            <w:pPr>
              <w:jc w:val="both"/>
              <w:rPr>
                <w:b/>
                <w:bCs/>
                <w:i/>
                <w:iCs/>
              </w:rPr>
            </w:pPr>
          </w:p>
        </w:tc>
      </w:tr>
    </w:tbl>
    <w:p w14:paraId="6E6AAFFE" w14:textId="77777777" w:rsidR="00BE1094" w:rsidRDefault="00BE1094" w:rsidP="00BE1094">
      <w:pPr>
        <w:tabs>
          <w:tab w:val="left" w:pos="9475"/>
        </w:tabs>
        <w:spacing w:before="40" w:after="40"/>
        <w:ind w:right="119" w:firstLine="567"/>
        <w:jc w:val="both"/>
        <w:rPr>
          <w:iCs/>
        </w:rPr>
      </w:pPr>
      <w:r w:rsidRPr="009D1A0A">
        <w:rPr>
          <w:i/>
          <w:lang w:val="en-US"/>
        </w:rPr>
        <w:t>The trade balance of goods</w:t>
      </w:r>
      <w:r w:rsidRPr="009D1A0A">
        <w:rPr>
          <w:iCs/>
          <w:lang w:val="en-US"/>
        </w:rPr>
        <w:t xml:space="preserve"> in </w:t>
      </w:r>
      <w:r>
        <w:rPr>
          <w:iCs/>
          <w:lang w:val="en-US"/>
        </w:rPr>
        <w:t>July</w:t>
      </w:r>
      <w:r w:rsidRPr="009D1A0A">
        <w:rPr>
          <w:iCs/>
        </w:rPr>
        <w:t xml:space="preserve"> had a trade </w:t>
      </w:r>
      <w:r>
        <w:rPr>
          <w:iCs/>
        </w:rPr>
        <w:t>surplus</w:t>
      </w:r>
      <w:r w:rsidRPr="009D1A0A">
        <w:rPr>
          <w:iCs/>
        </w:rPr>
        <w:t xml:space="preserve"> of </w:t>
      </w:r>
      <w:r>
        <w:rPr>
          <w:iCs/>
        </w:rPr>
        <w:t>74</w:t>
      </w:r>
      <w:r w:rsidRPr="009D1A0A">
        <w:rPr>
          <w:iCs/>
        </w:rPr>
        <w:t xml:space="preserve"> </w:t>
      </w:r>
      <w:r>
        <w:rPr>
          <w:iCs/>
        </w:rPr>
        <w:t>m</w:t>
      </w:r>
      <w:r w:rsidRPr="009D1A0A">
        <w:rPr>
          <w:iCs/>
        </w:rPr>
        <w:t>illion USD</w:t>
      </w:r>
      <w:r>
        <w:rPr>
          <w:rStyle w:val="FootnoteReference"/>
          <w:iCs/>
        </w:rPr>
        <w:footnoteReference w:id="20"/>
      </w:r>
      <w:r w:rsidRPr="009D1A0A">
        <w:rPr>
          <w:iCs/>
        </w:rPr>
        <w:t xml:space="preserve">; </w:t>
      </w:r>
      <w:r>
        <w:rPr>
          <w:iCs/>
        </w:rPr>
        <w:t>7</w:t>
      </w:r>
      <w:r w:rsidRPr="009D1A0A">
        <w:rPr>
          <w:iCs/>
        </w:rPr>
        <w:t xml:space="preserve"> months had a trade </w:t>
      </w:r>
      <w:r>
        <w:rPr>
          <w:iCs/>
        </w:rPr>
        <w:t>surplus</w:t>
      </w:r>
      <w:r w:rsidRPr="009D1A0A">
        <w:rPr>
          <w:iCs/>
        </w:rPr>
        <w:t xml:space="preserve"> of </w:t>
      </w:r>
      <w:r>
        <w:rPr>
          <w:iCs/>
        </w:rPr>
        <w:t>1.54 b</w:t>
      </w:r>
      <w:r w:rsidRPr="009D1A0A">
        <w:rPr>
          <w:iCs/>
        </w:rPr>
        <w:t xml:space="preserve">illion USD; </w:t>
      </w:r>
      <w:r>
        <w:rPr>
          <w:iCs/>
        </w:rPr>
        <w:t xml:space="preserve">August </w:t>
      </w:r>
      <w:r w:rsidRPr="009D1A0A">
        <w:rPr>
          <w:iCs/>
        </w:rPr>
        <w:t xml:space="preserve">was estimated to have a trade surplus of </w:t>
      </w:r>
      <w:r>
        <w:rPr>
          <w:iCs/>
        </w:rPr>
        <w:t>2.42</w:t>
      </w:r>
      <w:r w:rsidRPr="009D1A0A">
        <w:rPr>
          <w:iCs/>
        </w:rPr>
        <w:t xml:space="preserve"> </w:t>
      </w:r>
      <w:r>
        <w:rPr>
          <w:iCs/>
        </w:rPr>
        <w:t>b</w:t>
      </w:r>
      <w:r w:rsidRPr="009D1A0A">
        <w:rPr>
          <w:iCs/>
        </w:rPr>
        <w:t xml:space="preserve">illion USD. Generally in </w:t>
      </w:r>
      <w:r>
        <w:rPr>
          <w:iCs/>
        </w:rPr>
        <w:t>8 months</w:t>
      </w:r>
      <w:r w:rsidRPr="009D1A0A">
        <w:rPr>
          <w:iCs/>
        </w:rPr>
        <w:t xml:space="preserve"> of 2022, the trade balance of goods </w:t>
      </w:r>
      <w:r>
        <w:rPr>
          <w:iCs/>
        </w:rPr>
        <w:t>wa</w:t>
      </w:r>
      <w:r w:rsidRPr="009D1A0A">
        <w:rPr>
          <w:iCs/>
        </w:rPr>
        <w:t xml:space="preserve">s estimated to have a trade surplus of </w:t>
      </w:r>
      <w:r>
        <w:rPr>
          <w:iCs/>
        </w:rPr>
        <w:t>3.96 b</w:t>
      </w:r>
      <w:r w:rsidRPr="009D1A0A">
        <w:rPr>
          <w:iCs/>
        </w:rPr>
        <w:t xml:space="preserve">illion USD (in the same period last year, the trade </w:t>
      </w:r>
      <w:r>
        <w:rPr>
          <w:iCs/>
        </w:rPr>
        <w:t>deficit</w:t>
      </w:r>
      <w:r w:rsidRPr="009D1A0A">
        <w:rPr>
          <w:iCs/>
        </w:rPr>
        <w:t xml:space="preserve"> of </w:t>
      </w:r>
      <w:r>
        <w:rPr>
          <w:iCs/>
        </w:rPr>
        <w:t>3.52</w:t>
      </w:r>
      <w:r w:rsidRPr="009D1A0A">
        <w:rPr>
          <w:iCs/>
        </w:rPr>
        <w:t xml:space="preserve"> billion USD). In which, the domestic economic sector has a trade deficit of </w:t>
      </w:r>
      <w:r>
        <w:rPr>
          <w:iCs/>
        </w:rPr>
        <w:t>19.44</w:t>
      </w:r>
      <w:r w:rsidRPr="009D1A0A">
        <w:rPr>
          <w:iCs/>
        </w:rPr>
        <w:t xml:space="preserve"> billion USD; the FDI sector (including crude oil) had a trade surplus of </w:t>
      </w:r>
      <w:r>
        <w:rPr>
          <w:iCs/>
        </w:rPr>
        <w:t>23.4</w:t>
      </w:r>
      <w:r w:rsidRPr="009D1A0A">
        <w:rPr>
          <w:iCs/>
        </w:rPr>
        <w:t xml:space="preserve"> billion USD.</w:t>
      </w:r>
    </w:p>
    <w:p w14:paraId="1CB8CD86" w14:textId="77777777" w:rsidR="00293829" w:rsidRDefault="000B5CF7" w:rsidP="00293829">
      <w:pPr>
        <w:spacing w:before="40" w:after="40" w:line="252" w:lineRule="auto"/>
        <w:ind w:firstLine="567"/>
        <w:jc w:val="both"/>
        <w:rPr>
          <w:i/>
          <w:spacing w:val="-4"/>
        </w:rPr>
      </w:pPr>
      <w:r w:rsidRPr="0034554C">
        <w:rPr>
          <w:b/>
          <w:bCs/>
          <w:i/>
          <w:iCs/>
        </w:rPr>
        <w:t xml:space="preserve">c) </w:t>
      </w:r>
      <w:r w:rsidR="00293829" w:rsidRPr="00C41760">
        <w:rPr>
          <w:b/>
          <w:i/>
        </w:rPr>
        <w:t>Consumer price index, gold price index and US dollar price index</w:t>
      </w:r>
      <w:r w:rsidR="00293829">
        <w:rPr>
          <w:i/>
          <w:spacing w:val="-4"/>
        </w:rPr>
        <w:t xml:space="preserve"> </w:t>
      </w:r>
    </w:p>
    <w:p w14:paraId="155FE6AE" w14:textId="77777777" w:rsidR="00664CD6" w:rsidRPr="008F21F3" w:rsidRDefault="00664CD6" w:rsidP="00664CD6">
      <w:pPr>
        <w:pStyle w:val="NormalWeb"/>
        <w:spacing w:before="40" w:beforeAutospacing="0" w:after="40" w:afterAutospacing="0" w:line="252" w:lineRule="auto"/>
        <w:ind w:right="6" w:firstLine="567"/>
        <w:jc w:val="both"/>
        <w:rPr>
          <w:i/>
          <w:sz w:val="28"/>
          <w:szCs w:val="28"/>
          <w:lang w:val="nl-NL"/>
        </w:rPr>
      </w:pPr>
      <w:r w:rsidRPr="008F21F3">
        <w:rPr>
          <w:i/>
          <w:sz w:val="28"/>
          <w:szCs w:val="28"/>
          <w:lang w:val="nl-NL"/>
        </w:rPr>
        <w:t>The consumer price index (CPI) in August 2022 only increased slightly by 0.005% over the previous month due to the increase in the price of essential consumer goods and services in line with the price of input materials and the new school year 2022-2023. Education costs in some localities increased again, however, domestic gasoline prices have been continuously adjusted down since July 2022. Consumer price index in August 2022 increased by 3.6% compared to December 2021 and increased by 2.89% over the same period last year.</w:t>
      </w:r>
    </w:p>
    <w:p w14:paraId="53D08700" w14:textId="77777777" w:rsidR="0022159A" w:rsidRPr="008F21F3" w:rsidRDefault="0022159A" w:rsidP="0022159A">
      <w:pPr>
        <w:pStyle w:val="NormalWeb"/>
        <w:spacing w:before="40" w:beforeAutospacing="0" w:after="40" w:afterAutospacing="0" w:line="252" w:lineRule="auto"/>
        <w:ind w:right="6" w:firstLine="567"/>
        <w:jc w:val="both"/>
        <w:rPr>
          <w:i/>
          <w:sz w:val="28"/>
          <w:szCs w:val="28"/>
          <w:lang w:val="nl-NL"/>
        </w:rPr>
      </w:pPr>
      <w:r w:rsidRPr="008F21F3">
        <w:rPr>
          <w:i/>
          <w:sz w:val="28"/>
          <w:szCs w:val="28"/>
          <w:lang w:val="nl-NL"/>
        </w:rPr>
        <w:t>On average in 8 months of 2022, CPI increased by 2.58% over the same period last year; core inflation increased by 1.64%.</w:t>
      </w:r>
    </w:p>
    <w:p w14:paraId="797A756F" w14:textId="3C08112B" w:rsidR="00762BDE" w:rsidRPr="00147B97" w:rsidRDefault="00762BDE" w:rsidP="00762BDE">
      <w:pPr>
        <w:tabs>
          <w:tab w:val="left" w:pos="720"/>
        </w:tabs>
        <w:ind w:right="142"/>
        <w:jc w:val="center"/>
        <w:rPr>
          <w:rFonts w:ascii="Arial" w:hAnsi="Arial" w:cs="Arial"/>
          <w:b/>
          <w:sz w:val="24"/>
          <w:szCs w:val="24"/>
          <w:lang w:val="nl-NL"/>
        </w:rPr>
      </w:pPr>
      <w:r w:rsidRPr="00147B97">
        <w:rPr>
          <w:rFonts w:ascii="Arial" w:hAnsi="Arial" w:cs="Arial"/>
          <w:b/>
          <w:sz w:val="24"/>
          <w:szCs w:val="24"/>
          <w:lang w:val="nl-NL"/>
        </w:rPr>
        <w:t xml:space="preserve">Figure 16. CPI growth rates in </w:t>
      </w:r>
      <w:r>
        <w:rPr>
          <w:rFonts w:ascii="Arial" w:hAnsi="Arial" w:cs="Arial"/>
          <w:b/>
          <w:sz w:val="24"/>
          <w:szCs w:val="24"/>
          <w:lang w:val="nl-NL"/>
        </w:rPr>
        <w:t>August</w:t>
      </w:r>
      <w:r w:rsidRPr="00147B97">
        <w:rPr>
          <w:rFonts w:ascii="Arial" w:hAnsi="Arial" w:cs="Arial"/>
          <w:b/>
          <w:sz w:val="24"/>
          <w:szCs w:val="24"/>
          <w:lang w:val="nl-NL"/>
        </w:rPr>
        <w:t xml:space="preserve"> and </w:t>
      </w:r>
      <w:r>
        <w:rPr>
          <w:rFonts w:ascii="Arial" w:hAnsi="Arial" w:cs="Arial"/>
          <w:b/>
          <w:sz w:val="24"/>
          <w:szCs w:val="24"/>
          <w:lang w:val="nl-NL"/>
        </w:rPr>
        <w:t>8</w:t>
      </w:r>
      <w:r w:rsidRPr="00147B97">
        <w:rPr>
          <w:rFonts w:ascii="Arial" w:hAnsi="Arial" w:cs="Arial"/>
          <w:b/>
          <w:sz w:val="24"/>
          <w:szCs w:val="24"/>
          <w:lang w:val="nl-NL"/>
        </w:rPr>
        <w:t xml:space="preserve"> months</w:t>
      </w:r>
    </w:p>
    <w:p w14:paraId="69F81943" w14:textId="77777777" w:rsidR="00762BDE" w:rsidRPr="00147B97" w:rsidRDefault="00762BDE" w:rsidP="00762BDE">
      <w:pPr>
        <w:tabs>
          <w:tab w:val="left" w:pos="720"/>
        </w:tabs>
        <w:ind w:right="142"/>
        <w:jc w:val="center"/>
        <w:rPr>
          <w:rFonts w:ascii="Arial" w:hAnsi="Arial" w:cs="Arial"/>
          <w:b/>
          <w:sz w:val="24"/>
          <w:szCs w:val="24"/>
          <w:lang w:val="nl-NL"/>
        </w:rPr>
      </w:pPr>
      <w:r>
        <w:rPr>
          <w:rFonts w:ascii="Arial" w:hAnsi="Arial" w:cs="Arial"/>
          <w:b/>
          <w:sz w:val="24"/>
          <w:szCs w:val="24"/>
          <w:lang w:val="nl-NL"/>
        </w:rPr>
        <w:t xml:space="preserve">In </w:t>
      </w:r>
      <w:r w:rsidRPr="00147B97">
        <w:rPr>
          <w:rFonts w:ascii="Arial" w:hAnsi="Arial" w:cs="Arial"/>
          <w:b/>
          <w:sz w:val="24"/>
          <w:szCs w:val="24"/>
          <w:lang w:val="nl-NL"/>
        </w:rPr>
        <w:t xml:space="preserve">the period </w:t>
      </w:r>
      <w:r>
        <w:rPr>
          <w:rFonts w:ascii="Arial" w:hAnsi="Arial" w:cs="Arial"/>
          <w:b/>
          <w:sz w:val="24"/>
          <w:szCs w:val="24"/>
          <w:lang w:val="nl-NL"/>
        </w:rPr>
        <w:t xml:space="preserve">of </w:t>
      </w:r>
      <w:r w:rsidRPr="00147B97">
        <w:rPr>
          <w:rFonts w:ascii="Arial" w:hAnsi="Arial" w:cs="Arial"/>
          <w:b/>
          <w:sz w:val="24"/>
          <w:szCs w:val="24"/>
          <w:lang w:val="nl-NL"/>
        </w:rPr>
        <w:t>2018-2022 (%)</w:t>
      </w:r>
    </w:p>
    <w:p w14:paraId="2A178810" w14:textId="4AEF9523" w:rsidR="000B5CF7" w:rsidRPr="00304548" w:rsidRDefault="006B6C3C" w:rsidP="000B5CF7">
      <w:pPr>
        <w:pStyle w:val="NormalWeb"/>
        <w:spacing w:before="40" w:beforeAutospacing="0" w:after="40" w:afterAutospacing="0" w:line="281" w:lineRule="auto"/>
        <w:jc w:val="center"/>
        <w:rPr>
          <w:rStyle w:val="normalchar"/>
          <w:noProof/>
          <w:sz w:val="28"/>
          <w:szCs w:val="28"/>
        </w:rPr>
      </w:pPr>
      <w:r>
        <w:rPr>
          <w:noProof/>
          <w:lang w:val="en-US"/>
        </w:rPr>
        <w:lastRenderedPageBreak/>
        <w:drawing>
          <wp:inline distT="0" distB="0" distL="0" distR="0" wp14:anchorId="64393DAC" wp14:editId="344AF8B3">
            <wp:extent cx="5699760" cy="3657600"/>
            <wp:effectExtent l="0" t="0" r="1524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E3FB2B" w14:textId="77777777" w:rsidR="00D5048C" w:rsidRDefault="00D5048C" w:rsidP="007058D9">
      <w:pPr>
        <w:pStyle w:val="FootnoteText"/>
        <w:spacing w:before="40" w:after="40" w:line="271" w:lineRule="auto"/>
        <w:ind w:firstLine="567"/>
        <w:jc w:val="both"/>
        <w:rPr>
          <w:rStyle w:val="normalchar"/>
          <w:sz w:val="28"/>
          <w:szCs w:val="28"/>
          <w:lang w:val="nl-NL"/>
        </w:rPr>
      </w:pPr>
    </w:p>
    <w:p w14:paraId="790458DA" w14:textId="77777777" w:rsidR="00D5048C" w:rsidRDefault="00D5048C" w:rsidP="00D5048C">
      <w:pPr>
        <w:pStyle w:val="FootnoteText"/>
        <w:spacing w:before="40" w:after="40" w:line="271" w:lineRule="auto"/>
        <w:ind w:firstLine="567"/>
        <w:jc w:val="both"/>
        <w:rPr>
          <w:rStyle w:val="normalchar"/>
          <w:sz w:val="28"/>
          <w:szCs w:val="28"/>
          <w:lang w:val="nl-NL"/>
        </w:rPr>
      </w:pPr>
      <w:r w:rsidRPr="008F21F3">
        <w:rPr>
          <w:rStyle w:val="normalchar"/>
          <w:sz w:val="28"/>
          <w:szCs w:val="28"/>
          <w:lang w:val="nl-NL"/>
        </w:rPr>
        <w:t>In the increase of 0.005% of CPI in August 2022 compared to the previous month, there were 9 groups of goods and services with an increase in price index and 2 groups of goods with a decrease in price index.</w:t>
      </w:r>
    </w:p>
    <w:p w14:paraId="75E5035A" w14:textId="77777777" w:rsidR="00D5048C" w:rsidRPr="0034554C" w:rsidRDefault="00D5048C" w:rsidP="007058D9">
      <w:pPr>
        <w:pStyle w:val="FootnoteText"/>
        <w:spacing w:before="40" w:after="40" w:line="271" w:lineRule="auto"/>
        <w:ind w:firstLine="567"/>
        <w:jc w:val="both"/>
        <w:rPr>
          <w:rStyle w:val="normalchar"/>
          <w:sz w:val="28"/>
          <w:szCs w:val="28"/>
          <w:lang w:val="nl-NL"/>
        </w:rPr>
      </w:pPr>
    </w:p>
    <w:p w14:paraId="16AF260F" w14:textId="7A646435" w:rsidR="000B5CF7" w:rsidRPr="0034554C" w:rsidRDefault="00853DB7" w:rsidP="007058D9">
      <w:pPr>
        <w:pStyle w:val="FootnoteText"/>
        <w:numPr>
          <w:ilvl w:val="0"/>
          <w:numId w:val="6"/>
        </w:numPr>
        <w:tabs>
          <w:tab w:val="left" w:pos="993"/>
        </w:tabs>
        <w:spacing w:before="40" w:after="40" w:line="271" w:lineRule="auto"/>
        <w:ind w:left="0" w:firstLine="567"/>
        <w:jc w:val="both"/>
        <w:rPr>
          <w:rStyle w:val="normalchar"/>
          <w:sz w:val="28"/>
          <w:szCs w:val="28"/>
          <w:lang w:val="nl-NL"/>
        </w:rPr>
      </w:pPr>
      <w:r w:rsidRPr="00853DB7">
        <w:rPr>
          <w:sz w:val="28"/>
          <w:szCs w:val="28"/>
          <w:lang w:val="es-NI"/>
        </w:rPr>
        <w:t>Nine groups of goods and services with an increase in price index include:</w:t>
      </w:r>
    </w:p>
    <w:p w14:paraId="1A6E44C6" w14:textId="77777777" w:rsidR="006C17A8" w:rsidRDefault="000B5CF7" w:rsidP="006C17A8">
      <w:pPr>
        <w:pStyle w:val="FootnoteText"/>
        <w:spacing w:before="40" w:after="40" w:line="271" w:lineRule="auto"/>
        <w:ind w:firstLine="567"/>
        <w:jc w:val="both"/>
        <w:rPr>
          <w:sz w:val="28"/>
          <w:szCs w:val="28"/>
          <w:lang w:val="es-NI"/>
        </w:rPr>
      </w:pPr>
      <w:r w:rsidRPr="0034554C">
        <w:rPr>
          <w:i/>
          <w:sz w:val="28"/>
          <w:szCs w:val="28"/>
          <w:lang w:val="es-NI"/>
        </w:rPr>
        <w:t xml:space="preserve">- </w:t>
      </w:r>
      <w:r w:rsidR="00F27B12" w:rsidRPr="00E3641C">
        <w:rPr>
          <w:i/>
          <w:sz w:val="28"/>
          <w:szCs w:val="28"/>
          <w:lang w:val="es-NI"/>
        </w:rPr>
        <w:t>Education group</w:t>
      </w:r>
      <w:r w:rsidR="00F27B12" w:rsidRPr="00E3641C">
        <w:rPr>
          <w:sz w:val="28"/>
          <w:szCs w:val="28"/>
          <w:lang w:val="es-NI"/>
        </w:rPr>
        <w:t xml:space="preserve"> had the highest increase with 1.46%, of which the education service price index increased by 1.51% compared to the previous month because in August 2022, some provinces and centrally-run cities increased their prices. tuition fees for the new school year 2022-2023</w:t>
      </w:r>
      <w:r w:rsidRPr="002330B3">
        <w:rPr>
          <w:rStyle w:val="FootnoteReference"/>
          <w:sz w:val="28"/>
          <w:szCs w:val="28"/>
        </w:rPr>
        <w:footnoteReference w:id="21"/>
      </w:r>
      <w:r>
        <w:rPr>
          <w:sz w:val="28"/>
          <w:szCs w:val="28"/>
          <w:lang w:val="es-NI"/>
        </w:rPr>
        <w:t xml:space="preserve"> </w:t>
      </w:r>
      <w:r w:rsidR="006C17A8" w:rsidRPr="00E3641C">
        <w:rPr>
          <w:sz w:val="28"/>
          <w:szCs w:val="28"/>
          <w:lang w:val="es-NI"/>
        </w:rPr>
        <w:t>for preschools, intermediate schools, colleges and universities. Besides, preparing for the new school year should increase the demand for books and school supplies. The price of textbooks increased by 1.05%, pens of all kinds increased by 1.38%, the price of notebooks and writing paper increased by 1.02% compared to the previous month.</w:t>
      </w:r>
    </w:p>
    <w:p w14:paraId="3B581513" w14:textId="77777777" w:rsidR="00085D9F" w:rsidRPr="00E3641C" w:rsidRDefault="00085D9F" w:rsidP="00085D9F">
      <w:pPr>
        <w:pStyle w:val="FootnoteText"/>
        <w:spacing w:before="40" w:after="40" w:line="271" w:lineRule="auto"/>
        <w:ind w:firstLine="567"/>
        <w:jc w:val="both"/>
        <w:rPr>
          <w:sz w:val="28"/>
          <w:szCs w:val="28"/>
          <w:lang w:val="es-NI"/>
        </w:rPr>
      </w:pPr>
      <w:r w:rsidRPr="0041683C">
        <w:rPr>
          <w:i/>
          <w:sz w:val="28"/>
          <w:szCs w:val="28"/>
          <w:lang w:val="es-NI"/>
        </w:rPr>
        <w:t>- Food and foodstuff group</w:t>
      </w:r>
      <w:r w:rsidRPr="0041683C">
        <w:rPr>
          <w:sz w:val="28"/>
          <w:szCs w:val="28"/>
          <w:lang w:val="es-NI"/>
        </w:rPr>
        <w:t xml:space="preserve"> </w:t>
      </w:r>
      <w:r w:rsidRPr="00E3641C">
        <w:rPr>
          <w:sz w:val="28"/>
          <w:szCs w:val="28"/>
          <w:lang w:val="es-NI"/>
        </w:rPr>
        <w:t>increased by 1.05% (increasing the overall CPI by 0.35 percentage points), of which: Food increased by 0.19%</w:t>
      </w:r>
      <w:r w:rsidRPr="0034554C">
        <w:rPr>
          <w:rStyle w:val="FootnoteReference"/>
          <w:sz w:val="28"/>
          <w:szCs w:val="28"/>
          <w:lang w:val="es-NI"/>
        </w:rPr>
        <w:footnoteReference w:id="22"/>
      </w:r>
      <w:r w:rsidRPr="00E3641C">
        <w:rPr>
          <w:sz w:val="28"/>
          <w:szCs w:val="28"/>
          <w:lang w:val="es-NI"/>
        </w:rPr>
        <w:t xml:space="preserve"> (the overall CPI </w:t>
      </w:r>
      <w:r w:rsidRPr="00E3641C">
        <w:rPr>
          <w:sz w:val="28"/>
          <w:szCs w:val="28"/>
          <w:lang w:val="es-NI"/>
        </w:rPr>
        <w:lastRenderedPageBreak/>
        <w:t>impact incre</w:t>
      </w:r>
      <w:r>
        <w:rPr>
          <w:sz w:val="28"/>
          <w:szCs w:val="28"/>
          <w:lang w:val="es-NI"/>
        </w:rPr>
        <w:t>ased by 0.01 percentage points)</w:t>
      </w:r>
      <w:r w:rsidRPr="00E3641C">
        <w:rPr>
          <w:sz w:val="28"/>
          <w:szCs w:val="28"/>
          <w:lang w:val="es-NI"/>
        </w:rPr>
        <w:t>; food</w:t>
      </w:r>
      <w:r>
        <w:rPr>
          <w:sz w:val="28"/>
          <w:szCs w:val="28"/>
          <w:lang w:val="es-NI"/>
        </w:rPr>
        <w:t>stuff</w:t>
      </w:r>
      <w:r w:rsidRPr="00E3641C">
        <w:rPr>
          <w:sz w:val="28"/>
          <w:szCs w:val="28"/>
          <w:lang w:val="es-NI"/>
        </w:rPr>
        <w:t xml:space="preserve"> increased by 1.33%</w:t>
      </w:r>
      <w:r w:rsidRPr="0034554C">
        <w:rPr>
          <w:rStyle w:val="FootnoteReference"/>
          <w:sz w:val="28"/>
          <w:szCs w:val="28"/>
          <w:lang w:val="es-NI"/>
        </w:rPr>
        <w:footnoteReference w:id="23"/>
      </w:r>
      <w:r w:rsidRPr="00E3641C">
        <w:rPr>
          <w:sz w:val="28"/>
          <w:szCs w:val="28"/>
          <w:lang w:val="es-NI"/>
        </w:rPr>
        <w:t xml:space="preserve"> (impact increased by 0.28 percentage points); eating out of the family increased by 0.73%</w:t>
      </w:r>
      <w:r w:rsidRPr="0034554C">
        <w:rPr>
          <w:rStyle w:val="FootnoteReference"/>
          <w:sz w:val="28"/>
          <w:szCs w:val="28"/>
          <w:lang w:val="es-NI"/>
        </w:rPr>
        <w:footnoteReference w:id="24"/>
      </w:r>
      <w:r w:rsidRPr="00E3641C">
        <w:rPr>
          <w:sz w:val="28"/>
          <w:szCs w:val="28"/>
          <w:lang w:val="es-NI"/>
        </w:rPr>
        <w:t xml:space="preserve"> (general CPI impact increased by 0.06 percentage points).</w:t>
      </w:r>
    </w:p>
    <w:p w14:paraId="37D2F6E4" w14:textId="77777777" w:rsidR="001D27D3" w:rsidRDefault="001D27D3" w:rsidP="001D27D3">
      <w:pPr>
        <w:pStyle w:val="FootnoteText"/>
        <w:spacing w:before="40" w:after="40" w:line="271" w:lineRule="auto"/>
        <w:ind w:firstLine="567"/>
        <w:jc w:val="both"/>
        <w:rPr>
          <w:sz w:val="28"/>
          <w:szCs w:val="28"/>
          <w:lang w:val="es-NI"/>
        </w:rPr>
      </w:pPr>
      <w:r w:rsidRPr="0041683C">
        <w:rPr>
          <w:i/>
          <w:sz w:val="28"/>
          <w:szCs w:val="28"/>
          <w:lang w:val="es-NI"/>
        </w:rPr>
        <w:t xml:space="preserve">- The group of culture, entertainment and tourism </w:t>
      </w:r>
      <w:r w:rsidRPr="0041683C">
        <w:rPr>
          <w:sz w:val="28"/>
          <w:szCs w:val="28"/>
          <w:lang w:val="es-NI"/>
        </w:rPr>
        <w:t>increased by 0.43%, mainly focusing on the following groups: Prices of domestic tourism services increased by 0.94%; Outbound tourism increased by 0.09% and hotels and guest houses increased by 0.25% due to increased tourism demand in the summer month. At the same time, the price of musical instruments increased by 0.51% over the previous month; sports services increased by 1.14%; sports equipment increased by 0.42%.</w:t>
      </w:r>
    </w:p>
    <w:p w14:paraId="58125E3F" w14:textId="77777777" w:rsidR="00D3459C" w:rsidRDefault="00D3459C" w:rsidP="00D3459C">
      <w:pPr>
        <w:pStyle w:val="FootnoteText"/>
        <w:spacing w:before="40" w:after="40" w:line="271" w:lineRule="auto"/>
        <w:ind w:firstLine="567"/>
        <w:jc w:val="both"/>
        <w:rPr>
          <w:sz w:val="28"/>
          <w:szCs w:val="28"/>
          <w:lang w:val="es-NI"/>
        </w:rPr>
      </w:pPr>
      <w:r w:rsidRPr="0041683C">
        <w:rPr>
          <w:i/>
          <w:sz w:val="28"/>
          <w:szCs w:val="28"/>
          <w:lang w:val="es-NI"/>
        </w:rPr>
        <w:t>- Beverage and cigarettes group</w:t>
      </w:r>
      <w:r w:rsidRPr="0041683C">
        <w:rPr>
          <w:sz w:val="28"/>
          <w:szCs w:val="28"/>
          <w:lang w:val="es-NI"/>
        </w:rPr>
        <w:t xml:space="preserve"> increased by 0.27% due to high consumer demand, at the same time the price of raw materials for beverage production increased</w:t>
      </w:r>
      <w:r w:rsidRPr="0034554C">
        <w:rPr>
          <w:rStyle w:val="FootnoteReference"/>
          <w:sz w:val="28"/>
          <w:szCs w:val="28"/>
          <w:lang w:val="es-NI"/>
        </w:rPr>
        <w:footnoteReference w:id="25"/>
      </w:r>
      <w:r w:rsidRPr="0041683C">
        <w:rPr>
          <w:sz w:val="28"/>
          <w:szCs w:val="28"/>
          <w:lang w:val="es-NI"/>
        </w:rPr>
        <w:t>.</w:t>
      </w:r>
    </w:p>
    <w:p w14:paraId="0ADB483B" w14:textId="77777777" w:rsidR="00ED7A8D" w:rsidRPr="0034554C" w:rsidRDefault="00ED7A8D" w:rsidP="00ED7A8D">
      <w:pPr>
        <w:pStyle w:val="FootnoteText"/>
        <w:spacing w:before="40" w:after="40" w:line="264" w:lineRule="auto"/>
        <w:ind w:firstLine="567"/>
        <w:jc w:val="both"/>
        <w:rPr>
          <w:sz w:val="28"/>
          <w:szCs w:val="28"/>
          <w:lang w:val="es-NI"/>
        </w:rPr>
      </w:pPr>
      <w:r w:rsidRPr="0041683C">
        <w:rPr>
          <w:i/>
          <w:sz w:val="28"/>
          <w:szCs w:val="28"/>
          <w:lang w:val="es-NI"/>
        </w:rPr>
        <w:t>- Housing and construction materials group</w:t>
      </w:r>
      <w:r w:rsidRPr="0041683C">
        <w:rPr>
          <w:sz w:val="28"/>
          <w:szCs w:val="28"/>
          <w:lang w:val="es-NI"/>
        </w:rPr>
        <w:t xml:space="preserve"> increased by 0.26% due to an increase in electricity price in August by 1.44% compared to the previous month</w:t>
      </w:r>
      <w:r w:rsidRPr="002330B3">
        <w:rPr>
          <w:rStyle w:val="FootnoteReference"/>
          <w:sz w:val="28"/>
          <w:szCs w:val="28"/>
        </w:rPr>
        <w:footnoteReference w:id="26"/>
      </w:r>
      <w:r w:rsidRPr="0041683C">
        <w:rPr>
          <w:sz w:val="28"/>
          <w:szCs w:val="28"/>
          <w:lang w:val="es-NI"/>
        </w:rPr>
        <w:t xml:space="preserve">; the price of domestic water increased by 0.39% due to increased demand; housing repair service prices increased by 0.54%; housing maintenance materials prices increased by 0.49%. In the opposite direction, gas price decreased by 4.22% compared to the previous month because from August 1, 2022, the domestic gas price </w:t>
      </w:r>
      <w:r>
        <w:rPr>
          <w:sz w:val="28"/>
          <w:szCs w:val="28"/>
          <w:lang w:val="es-NI"/>
        </w:rPr>
        <w:t>was adjusted down by 18,500 VND/</w:t>
      </w:r>
      <w:r w:rsidRPr="0041683C">
        <w:rPr>
          <w:sz w:val="28"/>
          <w:szCs w:val="28"/>
          <w:lang w:val="es-NI"/>
        </w:rPr>
        <w:t>12 kg bottle after the worl</w:t>
      </w:r>
      <w:r>
        <w:rPr>
          <w:sz w:val="28"/>
          <w:szCs w:val="28"/>
          <w:lang w:val="es-NI"/>
        </w:rPr>
        <w:t>d gas price decreased by 60 USD/ton (</w:t>
      </w:r>
      <w:r w:rsidRPr="0041683C">
        <w:rPr>
          <w:sz w:val="28"/>
          <w:szCs w:val="28"/>
          <w:lang w:val="es-NI"/>
        </w:rPr>
        <w:t>from 725 USD/ton to 665 USD/ton); kerosene price decreased by 9.97% over the previous month due to the impact of price adjustments on August 1, 2022, August 11, 2022 and August 22, 2022.</w:t>
      </w:r>
    </w:p>
    <w:p w14:paraId="3CE29B19" w14:textId="77777777" w:rsidR="00B51BA5" w:rsidRPr="0086217C" w:rsidRDefault="00B51BA5" w:rsidP="00B51BA5">
      <w:pPr>
        <w:pStyle w:val="FootnoteText"/>
        <w:spacing w:before="40" w:after="20" w:line="271" w:lineRule="auto"/>
        <w:ind w:firstLine="567"/>
        <w:jc w:val="both"/>
        <w:rPr>
          <w:sz w:val="28"/>
          <w:szCs w:val="28"/>
          <w:lang w:val="es-NI"/>
        </w:rPr>
      </w:pPr>
      <w:r w:rsidRPr="0086217C">
        <w:rPr>
          <w:i/>
          <w:sz w:val="28"/>
          <w:szCs w:val="28"/>
          <w:lang w:val="es-NI"/>
        </w:rPr>
        <w:t>- Household equipment and goods group</w:t>
      </w:r>
      <w:r w:rsidRPr="0086217C">
        <w:rPr>
          <w:sz w:val="28"/>
          <w:szCs w:val="28"/>
          <w:lang w:val="es-NI"/>
        </w:rPr>
        <w:t xml:space="preserve"> increased by 0.21%, mainly focusing on items such as: Gas stove prices increased by 0.75%; tissue paper increased by 0.47%; metal utensils increased by 0.32%; soaps and detergents by </w:t>
      </w:r>
      <w:r w:rsidRPr="0086217C">
        <w:rPr>
          <w:sz w:val="28"/>
          <w:szCs w:val="28"/>
          <w:lang w:val="es-NI"/>
        </w:rPr>
        <w:lastRenderedPageBreak/>
        <w:t>0.33%; beds, cabinets, tables and chairs increased by 0.22%... In the opposite direction, prices of blenders and juicers decreased by 0.68% compared to the previous month; refrigerator down 0.1%; washing machine down 0.02%.</w:t>
      </w:r>
    </w:p>
    <w:p w14:paraId="324AE79D" w14:textId="77777777" w:rsidR="00182DB1" w:rsidRDefault="00182DB1" w:rsidP="00182DB1">
      <w:pPr>
        <w:pStyle w:val="FootnoteText"/>
        <w:spacing w:before="40" w:after="20" w:line="271" w:lineRule="auto"/>
        <w:ind w:firstLine="567"/>
        <w:jc w:val="both"/>
        <w:rPr>
          <w:sz w:val="28"/>
          <w:szCs w:val="28"/>
          <w:lang w:val="es-NI"/>
        </w:rPr>
      </w:pPr>
      <w:r w:rsidRPr="0086217C">
        <w:rPr>
          <w:i/>
          <w:sz w:val="28"/>
          <w:szCs w:val="28"/>
          <w:lang w:val="es-NI"/>
        </w:rPr>
        <w:t>- Other goods and services</w:t>
      </w:r>
      <w:r w:rsidRPr="0086217C">
        <w:rPr>
          <w:sz w:val="28"/>
          <w:szCs w:val="28"/>
          <w:lang w:val="es-NI"/>
        </w:rPr>
        <w:t xml:space="preserve"> increased by 0.2%, mainly focusing on body care products such as lotion, lipstick and perfume, increasing by 0.53%; razors, toothbrushes and sunglasses by 0.34%; hospitality services increased by 0.28%; personal service increased by 0.15%; environmental sanitation services increased by 0.1%.</w:t>
      </w:r>
    </w:p>
    <w:p w14:paraId="2071B941" w14:textId="77777777" w:rsidR="0078178F" w:rsidRDefault="0078178F" w:rsidP="0078178F">
      <w:pPr>
        <w:pStyle w:val="FootnoteText"/>
        <w:spacing w:before="40" w:after="20" w:line="271" w:lineRule="auto"/>
        <w:ind w:firstLine="567"/>
        <w:jc w:val="both"/>
        <w:rPr>
          <w:sz w:val="28"/>
          <w:szCs w:val="28"/>
          <w:lang w:val="es-NI"/>
        </w:rPr>
      </w:pPr>
      <w:r w:rsidRPr="0086217C">
        <w:rPr>
          <w:i/>
          <w:sz w:val="28"/>
          <w:szCs w:val="28"/>
          <w:lang w:val="es-NI"/>
        </w:rPr>
        <w:t>- The group of garments, hats and footwear</w:t>
      </w:r>
      <w:r w:rsidRPr="0086217C">
        <w:rPr>
          <w:sz w:val="28"/>
          <w:szCs w:val="28"/>
          <w:lang w:val="es-NI"/>
        </w:rPr>
        <w:t xml:space="preserve"> increased by 0.18% due to the increase in the cost of production materials, labor costs and the increased demand for procurement to prepare for the new school year.</w:t>
      </w:r>
    </w:p>
    <w:p w14:paraId="6F98F608" w14:textId="77777777" w:rsidR="00CA279B" w:rsidRDefault="004800FE" w:rsidP="007058D9">
      <w:pPr>
        <w:pStyle w:val="FootnoteText"/>
        <w:spacing w:before="40" w:after="20" w:line="271" w:lineRule="auto"/>
        <w:ind w:firstLine="567"/>
        <w:jc w:val="both"/>
        <w:rPr>
          <w:sz w:val="28"/>
          <w:szCs w:val="28"/>
          <w:lang w:val="es-NI"/>
        </w:rPr>
      </w:pPr>
      <w:r w:rsidRPr="0086217C">
        <w:rPr>
          <w:i/>
          <w:sz w:val="28"/>
          <w:szCs w:val="28"/>
          <w:lang w:val="es-NI"/>
        </w:rPr>
        <w:t>- Medicines and medical services</w:t>
      </w:r>
      <w:r w:rsidRPr="0086217C">
        <w:rPr>
          <w:sz w:val="28"/>
          <w:szCs w:val="28"/>
          <w:lang w:val="es-NI"/>
        </w:rPr>
        <w:t xml:space="preserve"> increased by 0.09%.</w:t>
      </w:r>
      <w:r w:rsidRPr="0034554C">
        <w:rPr>
          <w:sz w:val="28"/>
          <w:szCs w:val="28"/>
          <w:lang w:val="es-NI"/>
        </w:rPr>
        <w:t xml:space="preserve"> </w:t>
      </w:r>
    </w:p>
    <w:p w14:paraId="698CBA57" w14:textId="77777777" w:rsidR="00467228" w:rsidRDefault="000B5CF7" w:rsidP="007058D9">
      <w:pPr>
        <w:pStyle w:val="FootnoteText"/>
        <w:spacing w:before="40" w:after="20" w:line="271" w:lineRule="auto"/>
        <w:ind w:firstLine="567"/>
        <w:jc w:val="both"/>
        <w:rPr>
          <w:sz w:val="28"/>
          <w:szCs w:val="28"/>
          <w:lang w:val="es-NI"/>
        </w:rPr>
      </w:pPr>
      <w:r w:rsidRPr="0034554C">
        <w:rPr>
          <w:sz w:val="28"/>
          <w:szCs w:val="28"/>
          <w:lang w:val="es-NI"/>
        </w:rPr>
        <w:t xml:space="preserve">(2) </w:t>
      </w:r>
      <w:r w:rsidR="003B74FF" w:rsidRPr="00455293">
        <w:rPr>
          <w:sz w:val="28"/>
          <w:szCs w:val="28"/>
          <w:lang w:val="es-NI"/>
        </w:rPr>
        <w:t>Two groups of goods and services have a decreasing price index:</w:t>
      </w:r>
    </w:p>
    <w:p w14:paraId="185BF675" w14:textId="77777777" w:rsidR="003538D2" w:rsidRDefault="003538D2" w:rsidP="003538D2">
      <w:pPr>
        <w:pStyle w:val="FootnoteText"/>
        <w:spacing w:before="40" w:after="20" w:line="271" w:lineRule="auto"/>
        <w:ind w:firstLine="567"/>
        <w:jc w:val="both"/>
        <w:rPr>
          <w:i/>
          <w:sz w:val="28"/>
          <w:szCs w:val="28"/>
          <w:lang w:val="es-NI"/>
        </w:rPr>
      </w:pPr>
      <w:r w:rsidRPr="00455293">
        <w:rPr>
          <w:i/>
          <w:sz w:val="28"/>
          <w:szCs w:val="28"/>
          <w:lang w:val="es-NI"/>
        </w:rPr>
        <w:t>- Post and telecommunications group decreased by 0.01%.</w:t>
      </w:r>
    </w:p>
    <w:p w14:paraId="7CC8D580" w14:textId="77777777" w:rsidR="00FA228D" w:rsidRDefault="00FA228D" w:rsidP="003056DC">
      <w:pPr>
        <w:spacing w:before="40" w:after="20" w:line="276" w:lineRule="auto"/>
        <w:ind w:firstLine="567"/>
        <w:jc w:val="both"/>
      </w:pPr>
      <w:r>
        <w:rPr>
          <w:rStyle w:val="Emphasis"/>
        </w:rPr>
        <w:t>- The transport group</w:t>
      </w:r>
      <w:r>
        <w:t xml:space="preserve"> decreased by 5.51% (making the general CPI decrease by 0.53 percentage points) due to the influence of domestic petrol price adjustments on August 1, 2022, August 11, 2022, and 22/ 8/2022 making gasoline price decreased by 14.52%; diesel prices fell 12.9%. In the opposite direction, the price of public transport services increased by 0.88%; prices of new motorbikes, bicycles, and cars continued to increase by 0.33%, 0.27%, and 0.11% respectively due to a lack of supply of components and spare parts.</w:t>
      </w:r>
    </w:p>
    <w:p w14:paraId="7BBC17B4" w14:textId="2C6A1588" w:rsidR="00C44528" w:rsidRPr="003056DC" w:rsidRDefault="00C44528" w:rsidP="003056DC">
      <w:pPr>
        <w:spacing w:before="40" w:after="20" w:line="276" w:lineRule="auto"/>
        <w:ind w:firstLine="567"/>
        <w:jc w:val="both"/>
        <w:rPr>
          <w:rFonts w:eastAsia="Calibri"/>
          <w:lang w:val="nl-NL"/>
        </w:rPr>
      </w:pPr>
      <w:r w:rsidRPr="00455293">
        <w:rPr>
          <w:rFonts w:eastAsia="Calibri"/>
          <w:lang w:val="nl-NL"/>
        </w:rPr>
        <w:t>Core inflation</w:t>
      </w:r>
      <w:r w:rsidRPr="00697350">
        <w:rPr>
          <w:rStyle w:val="FootnoteReference"/>
        </w:rPr>
        <w:footnoteReference w:id="27"/>
      </w:r>
      <w:r w:rsidRPr="00455293">
        <w:rPr>
          <w:rFonts w:eastAsia="Calibri"/>
          <w:lang w:val="nl-NL"/>
        </w:rPr>
        <w:t xml:space="preserve"> in August 2022 increased by 0.4% over the previous month, increasing by 3.06% over the same period last year. On average, in the first eight months of 2022, core inflation increased by 1.64% over the same period in 2021, lower than the general average CPI (up 2.58%), which reflects fluctuations in </w:t>
      </w:r>
      <w:r w:rsidRPr="003056DC">
        <w:rPr>
          <w:rFonts w:eastAsia="Calibri"/>
          <w:lang w:val="nl-NL"/>
        </w:rPr>
        <w:t>consumer prices mainly due to food prices and gasoline prices.</w:t>
      </w:r>
    </w:p>
    <w:p w14:paraId="6380C5D8" w14:textId="77777777" w:rsidR="005F16E8" w:rsidRPr="003056DC" w:rsidRDefault="005F16E8" w:rsidP="003056DC">
      <w:pPr>
        <w:spacing w:before="40" w:after="20" w:line="276" w:lineRule="auto"/>
        <w:ind w:firstLine="567"/>
        <w:jc w:val="both"/>
        <w:rPr>
          <w:rStyle w:val="a21"/>
          <w:rFonts w:ascii="Times New Roman" w:eastAsia="Calibri" w:hAnsi="Times New Roman" w:cs="Times New Roman"/>
          <w:sz w:val="28"/>
          <w:szCs w:val="28"/>
        </w:rPr>
      </w:pPr>
      <w:r w:rsidRPr="003056DC">
        <w:rPr>
          <w:rStyle w:val="a21"/>
          <w:rFonts w:ascii="Times New Roman" w:eastAsia="Calibri" w:hAnsi="Times New Roman" w:cs="Times New Roman"/>
          <w:sz w:val="28"/>
          <w:szCs w:val="28"/>
        </w:rPr>
        <w:t>Domestic gold price fluctuated opposite to world gold price. As of August 25, 2022, the average world gold price stood at $1,787.59 per ounce, up 3.2% compared to July 2022 as investors were concerned that high US inflation would persist. and the FED will strongly increase interest rates in the near future, so they should look to gold as a safe haven asset. Domestically, the gold price index in August 2022 decreased by 0.9% compared to the previous month; an increase of 5.87% over the same period in 2021; an average increase of 6.5% in the first 8 months of 2022.</w:t>
      </w:r>
    </w:p>
    <w:p w14:paraId="5E32DCA3" w14:textId="77777777" w:rsidR="005F16E8" w:rsidRPr="003056DC" w:rsidRDefault="005F16E8" w:rsidP="003056DC">
      <w:pPr>
        <w:spacing w:before="40" w:after="40" w:line="276" w:lineRule="auto"/>
        <w:ind w:firstLine="567"/>
        <w:jc w:val="both"/>
        <w:rPr>
          <w:rStyle w:val="a21"/>
          <w:rFonts w:ascii="Times New Roman" w:hAnsi="Times New Roman" w:cs="Times New Roman"/>
          <w:sz w:val="28"/>
          <w:szCs w:val="28"/>
        </w:rPr>
      </w:pPr>
      <w:r w:rsidRPr="003056DC">
        <w:lastRenderedPageBreak/>
        <w:tab/>
      </w:r>
      <w:r w:rsidRPr="003056DC">
        <w:rPr>
          <w:rStyle w:val="a21"/>
          <w:rFonts w:ascii="Times New Roman" w:hAnsi="Times New Roman" w:cs="Times New Roman"/>
          <w:sz w:val="28"/>
          <w:szCs w:val="28"/>
        </w:rPr>
        <w:t>The US dollar in the world market mainly fell in the first days of August 2022 amid the US economic data showing high inflation. As of August 25, 2022, the US dollar index on the international market reached 106.5 points, down 0.26 points from the previous month. Domestically, the average US dollar price on the free market is around 23,528 VND/USD. US dollar price index in August 2022 increased by 0.18% over the previous month and by 2.41% over the same period in 2021; the average 8 months of 2022 increased by 0.37%.</w:t>
      </w:r>
    </w:p>
    <w:p w14:paraId="7ED1F9B2" w14:textId="44AD18F4" w:rsidR="00705C44" w:rsidRPr="000B5CF7" w:rsidRDefault="00705C44" w:rsidP="007058D9">
      <w:pPr>
        <w:spacing w:before="40" w:after="40" w:line="288" w:lineRule="auto"/>
        <w:ind w:firstLine="567"/>
        <w:jc w:val="both"/>
        <w:rPr>
          <w:b/>
          <w:bCs/>
          <w:i/>
          <w:iCs/>
          <w:lang w:val="fr-FR"/>
        </w:rPr>
      </w:pPr>
      <w:r w:rsidRPr="007058D9">
        <w:rPr>
          <w:b/>
          <w:bCs/>
          <w:i/>
          <w:iCs/>
          <w:lang w:val="fr-FR"/>
        </w:rPr>
        <w:t xml:space="preserve">d) </w:t>
      </w:r>
      <w:r w:rsidR="008C1824" w:rsidRPr="00635A11">
        <w:rPr>
          <w:rStyle w:val="y2iqfc"/>
          <w:rFonts w:eastAsia="Calibri"/>
          <w:b/>
          <w:bCs/>
          <w:i/>
          <w:iCs/>
          <w:color w:val="202124"/>
        </w:rPr>
        <w:t>Transport</w:t>
      </w:r>
    </w:p>
    <w:p w14:paraId="0E129749" w14:textId="097D1B66" w:rsidR="00395EF1" w:rsidRPr="007058D9" w:rsidRDefault="00ED336D" w:rsidP="007058D9">
      <w:pPr>
        <w:pStyle w:val="ListParagraph"/>
        <w:tabs>
          <w:tab w:val="left" w:pos="567"/>
        </w:tabs>
        <w:spacing w:before="40" w:after="40" w:line="288" w:lineRule="auto"/>
        <w:ind w:left="0" w:firstLine="567"/>
        <w:contextualSpacing w:val="0"/>
        <w:jc w:val="both"/>
        <w:rPr>
          <w:i/>
          <w:spacing w:val="-4"/>
          <w:lang w:val="fr-FR"/>
        </w:rPr>
      </w:pPr>
      <w:r>
        <w:rPr>
          <w:rStyle w:val="Emphasis"/>
          <w:color w:val="0E101A"/>
        </w:rPr>
        <w:t xml:space="preserve">Transport activities in August achieved positive results. In which, passengers carried </w:t>
      </w:r>
      <w:r w:rsidR="00935233">
        <w:rPr>
          <w:rStyle w:val="Emphasis"/>
          <w:color w:val="0E101A"/>
          <w:lang w:val="en-US"/>
        </w:rPr>
        <w:t>wa</w:t>
      </w:r>
      <w:r>
        <w:rPr>
          <w:rStyle w:val="Emphasis"/>
          <w:color w:val="0E101A"/>
        </w:rPr>
        <w:t>s 4.4 times higher and passengers’ traffic was 7.5 times higher than the same period last year due to the high increase in travel and tourism demand of the people in the summer; freight transportation increased by 58.6% in freight carried and 68.8% in freight traffic over the same period last year.</w:t>
      </w:r>
    </w:p>
    <w:p w14:paraId="5A1B5416" w14:textId="77777777" w:rsidR="003E2877" w:rsidRDefault="00ED336D" w:rsidP="007058D9">
      <w:pPr>
        <w:spacing w:before="40" w:after="40" w:line="288" w:lineRule="auto"/>
        <w:ind w:firstLine="567"/>
        <w:jc w:val="both"/>
        <w:rPr>
          <w:rStyle w:val="Emphasis"/>
          <w:color w:val="0E101A"/>
        </w:rPr>
      </w:pPr>
      <w:r>
        <w:rPr>
          <w:rStyle w:val="Emphasis"/>
          <w:color w:val="0E101A"/>
        </w:rPr>
        <w:t>Generally, for the 8 months of 2022, passengers carried increased by 29.8% over the same period last year, passenger traffic increased by 51.6% and freight carried increased by 20.6%, freight traffic increased by 28%. </w:t>
      </w:r>
    </w:p>
    <w:p w14:paraId="62D57C67" w14:textId="44D6FB21" w:rsidR="00395EF1" w:rsidRDefault="0034445B" w:rsidP="007058D9">
      <w:pPr>
        <w:spacing w:before="40" w:after="40" w:line="288" w:lineRule="auto"/>
        <w:ind w:firstLine="567"/>
        <w:jc w:val="both"/>
        <w:rPr>
          <w:lang w:val="fr-FR"/>
        </w:rPr>
      </w:pPr>
      <w:r>
        <w:rPr>
          <w:rStyle w:val="Emphasis"/>
          <w:color w:val="0E101A"/>
        </w:rPr>
        <w:t>Passenger transport</w:t>
      </w:r>
      <w:r>
        <w:t> in August 2022 was estimated at 315.9 million passengers, a decrease of 0.9% compared to the previous month, and 16.3 billion passengers-kilometers, an increase of 1.9%. Generally, in 8 months of 2022, passengers carried an estimated 2,515.1 million passengers, up 29.8% over the same period last year (decreased by 18.3% in the same period in 2021) and passenger traffic reached 121.7 billion passengers. km, an increase of 51.6% (in the same period last year, a decrease of 25.8%). </w:t>
      </w:r>
      <w:r w:rsidR="00077362" w:rsidRPr="00077362">
        <w:rPr>
          <w:lang w:val="fr-FR"/>
        </w:rPr>
        <w:t>In which, domestic transport reached 2,513.3 million passengers, up 29.7% over the same period last year, and 115.5 billion passengers-kilometers, up 44.4</w:t>
      </w:r>
      <w:r w:rsidR="003443A7" w:rsidRPr="00077362">
        <w:rPr>
          <w:lang w:val="fr-FR"/>
        </w:rPr>
        <w:t>%;</w:t>
      </w:r>
      <w:r w:rsidR="00077362" w:rsidRPr="00077362">
        <w:rPr>
          <w:lang w:val="fr-FR"/>
        </w:rPr>
        <w:t xml:space="preserve"> Overseas transport recovered positively with 1.8 million passengers, 24.2 times higher than the same period last year and 6.2 billion passengers-kilometers, 22.8 times higher. Although passenger transport has made a positive recovery, it is only equal to 75.9% of carried and 74.1% of traffic in the same period in 2019.</w:t>
      </w:r>
    </w:p>
    <w:p w14:paraId="00E606EF" w14:textId="77777777" w:rsidR="006913BC" w:rsidRPr="00483451" w:rsidRDefault="006913BC" w:rsidP="006913BC">
      <w:pPr>
        <w:spacing w:before="60" w:after="60"/>
        <w:ind w:right="119"/>
        <w:jc w:val="center"/>
        <w:rPr>
          <w:b/>
          <w:color w:val="000000" w:themeColor="text1"/>
          <w:spacing w:val="-2"/>
          <w:lang w:val="pl-PL"/>
        </w:rPr>
      </w:pPr>
      <w:r w:rsidRPr="00483451">
        <w:rPr>
          <w:b/>
          <w:color w:val="000000" w:themeColor="text1"/>
          <w:spacing w:val="-2"/>
          <w:lang w:val="pl-PL"/>
        </w:rPr>
        <w:t xml:space="preserve">Table 6. Carriage of passengers in </w:t>
      </w:r>
      <w:r>
        <w:rPr>
          <w:b/>
          <w:color w:val="000000" w:themeColor="text1"/>
          <w:spacing w:val="-2"/>
          <w:lang w:val="pl-PL"/>
        </w:rPr>
        <w:t>8</w:t>
      </w:r>
      <w:r w:rsidRPr="00483451">
        <w:rPr>
          <w:b/>
          <w:color w:val="000000" w:themeColor="text1"/>
          <w:spacing w:val="-2"/>
          <w:lang w:val="pl-PL"/>
        </w:rPr>
        <w:t xml:space="preserve"> months of 2022</w:t>
      </w:r>
    </w:p>
    <w:p w14:paraId="13A49D9F" w14:textId="76458C50" w:rsidR="006913BC" w:rsidRDefault="006913BC" w:rsidP="006913BC">
      <w:pPr>
        <w:spacing w:before="60" w:after="60"/>
        <w:jc w:val="center"/>
        <w:rPr>
          <w:b/>
          <w:color w:val="000000" w:themeColor="text1"/>
          <w:spacing w:val="-2"/>
          <w:lang w:val="pl-PL"/>
        </w:rPr>
      </w:pPr>
      <w:r w:rsidRPr="00483451">
        <w:rPr>
          <w:b/>
          <w:color w:val="000000" w:themeColor="text1"/>
          <w:spacing w:val="-2"/>
          <w:lang w:val="pl-PL"/>
        </w:rPr>
        <w:t>by types of transport</w:t>
      </w:r>
    </w:p>
    <w:tbl>
      <w:tblPr>
        <w:tblW w:w="9197" w:type="dxa"/>
        <w:tblLook w:val="04A0" w:firstRow="1" w:lastRow="0" w:firstColumn="1" w:lastColumn="0" w:noHBand="0" w:noVBand="1"/>
      </w:tblPr>
      <w:tblGrid>
        <w:gridCol w:w="2263"/>
        <w:gridCol w:w="1905"/>
        <w:gridCol w:w="2150"/>
        <w:gridCol w:w="1334"/>
        <w:gridCol w:w="1545"/>
      </w:tblGrid>
      <w:tr w:rsidR="00A81040" w:rsidRPr="00483451" w14:paraId="459146BB" w14:textId="77777777" w:rsidTr="00255053">
        <w:trPr>
          <w:trHeight w:val="418"/>
        </w:trPr>
        <w:tc>
          <w:tcPr>
            <w:tcW w:w="2263" w:type="dxa"/>
            <w:tcBorders>
              <w:top w:val="single" w:sz="4" w:space="0" w:color="auto"/>
              <w:left w:val="nil"/>
              <w:bottom w:val="nil"/>
              <w:right w:val="nil"/>
            </w:tcBorders>
            <w:vAlign w:val="center"/>
            <w:hideMark/>
          </w:tcPr>
          <w:p w14:paraId="50A1A39B" w14:textId="77777777" w:rsidR="00A81040" w:rsidRPr="00483451" w:rsidRDefault="00A81040" w:rsidP="00255053">
            <w:pPr>
              <w:spacing w:before="60" w:after="60"/>
              <w:jc w:val="center"/>
              <w:rPr>
                <w:rFonts w:ascii="Arial" w:hAnsi="Arial" w:cs="Arial"/>
                <w:color w:val="000000" w:themeColor="text1"/>
                <w:sz w:val="20"/>
                <w:szCs w:val="20"/>
                <w:lang w:eastAsia="vi-VN"/>
              </w:rPr>
            </w:pPr>
          </w:p>
        </w:tc>
        <w:tc>
          <w:tcPr>
            <w:tcW w:w="4055" w:type="dxa"/>
            <w:gridSpan w:val="2"/>
            <w:tcBorders>
              <w:top w:val="single" w:sz="4" w:space="0" w:color="auto"/>
              <w:left w:val="nil"/>
              <w:bottom w:val="single" w:sz="4" w:space="0" w:color="auto"/>
              <w:right w:val="nil"/>
            </w:tcBorders>
            <w:vAlign w:val="center"/>
            <w:hideMark/>
          </w:tcPr>
          <w:p w14:paraId="640E5569" w14:textId="77777777" w:rsidR="00A81040" w:rsidRPr="00483451" w:rsidRDefault="00A81040" w:rsidP="00255053">
            <w:pPr>
              <w:spacing w:before="60" w:after="60"/>
              <w:jc w:val="center"/>
              <w:rPr>
                <w:rFonts w:ascii="Arial" w:hAnsi="Arial" w:cs="Arial"/>
                <w:color w:val="000000" w:themeColor="text1"/>
                <w:sz w:val="20"/>
                <w:szCs w:val="20"/>
                <w:lang w:eastAsia="vi-VN"/>
              </w:rPr>
            </w:pPr>
            <w:r w:rsidRPr="00483451">
              <w:rPr>
                <w:rFonts w:ascii="Arial" w:hAnsi="Arial" w:cs="Arial"/>
                <w:iCs/>
                <w:color w:val="000000" w:themeColor="text1"/>
                <w:sz w:val="20"/>
                <w:szCs w:val="20"/>
                <w:lang w:eastAsia="vi-VN"/>
              </w:rPr>
              <w:t>Number of passengers</w:t>
            </w:r>
          </w:p>
        </w:tc>
        <w:tc>
          <w:tcPr>
            <w:tcW w:w="2879" w:type="dxa"/>
            <w:gridSpan w:val="2"/>
            <w:tcBorders>
              <w:top w:val="single" w:sz="4" w:space="0" w:color="auto"/>
              <w:left w:val="nil"/>
              <w:bottom w:val="single" w:sz="4" w:space="0" w:color="auto"/>
              <w:right w:val="nil"/>
            </w:tcBorders>
            <w:vAlign w:val="center"/>
            <w:hideMark/>
          </w:tcPr>
          <w:p w14:paraId="14EF90C3" w14:textId="77777777" w:rsidR="00A81040" w:rsidRPr="00483451" w:rsidRDefault="00A81040" w:rsidP="00255053">
            <w:pPr>
              <w:spacing w:before="60" w:after="60"/>
              <w:jc w:val="center"/>
              <w:rPr>
                <w:rFonts w:ascii="Arial" w:hAnsi="Arial" w:cs="Arial"/>
                <w:color w:val="000000" w:themeColor="text1"/>
                <w:sz w:val="20"/>
                <w:szCs w:val="20"/>
                <w:lang w:eastAsia="vi-VN"/>
              </w:rPr>
            </w:pPr>
            <w:r w:rsidRPr="00483451">
              <w:rPr>
                <w:rFonts w:ascii="Arial" w:hAnsi="Arial" w:cs="Arial"/>
                <w:color w:val="000000" w:themeColor="text1"/>
                <w:sz w:val="20"/>
                <w:szCs w:val="20"/>
                <w:lang w:eastAsia="vi-VN"/>
              </w:rPr>
              <w:t>The growth rate</w:t>
            </w:r>
            <w:r>
              <w:rPr>
                <w:rFonts w:ascii="Arial" w:hAnsi="Arial" w:cs="Arial"/>
                <w:color w:val="000000" w:themeColor="text1"/>
                <w:sz w:val="20"/>
                <w:szCs w:val="20"/>
                <w:lang w:eastAsia="vi-VN"/>
              </w:rPr>
              <w:t xml:space="preserve"> </w:t>
            </w:r>
            <w:r w:rsidRPr="00483451">
              <w:rPr>
                <w:rFonts w:ascii="Arial" w:hAnsi="Arial" w:cs="Arial"/>
                <w:color w:val="000000" w:themeColor="text1"/>
                <w:sz w:val="20"/>
                <w:szCs w:val="20"/>
                <w:lang w:eastAsia="vi-VN"/>
              </w:rPr>
              <w:t>compared to the same period last year (%)</w:t>
            </w:r>
          </w:p>
        </w:tc>
      </w:tr>
      <w:tr w:rsidR="00A81040" w:rsidRPr="00483451" w14:paraId="2E62D15E" w14:textId="77777777" w:rsidTr="00255053">
        <w:trPr>
          <w:trHeight w:val="411"/>
        </w:trPr>
        <w:tc>
          <w:tcPr>
            <w:tcW w:w="2263" w:type="dxa"/>
            <w:vAlign w:val="center"/>
            <w:hideMark/>
          </w:tcPr>
          <w:p w14:paraId="71534F1E" w14:textId="77777777" w:rsidR="00A81040" w:rsidRPr="00483451" w:rsidRDefault="00A81040" w:rsidP="00255053">
            <w:pPr>
              <w:spacing w:before="60" w:after="60"/>
              <w:jc w:val="center"/>
              <w:rPr>
                <w:rFonts w:ascii="Arial" w:hAnsi="Arial" w:cs="Arial"/>
                <w:color w:val="000000" w:themeColor="text1"/>
                <w:sz w:val="20"/>
                <w:szCs w:val="20"/>
                <w:lang w:eastAsia="vi-VN"/>
              </w:rPr>
            </w:pPr>
          </w:p>
        </w:tc>
        <w:tc>
          <w:tcPr>
            <w:tcW w:w="1905" w:type="dxa"/>
            <w:tcBorders>
              <w:top w:val="single" w:sz="4" w:space="0" w:color="auto"/>
              <w:left w:val="nil"/>
              <w:bottom w:val="single" w:sz="4" w:space="0" w:color="auto"/>
              <w:right w:val="nil"/>
            </w:tcBorders>
            <w:vAlign w:val="center"/>
            <w:hideMark/>
          </w:tcPr>
          <w:p w14:paraId="240F3447" w14:textId="77777777" w:rsidR="00A81040" w:rsidRPr="00483451" w:rsidRDefault="00A81040" w:rsidP="00255053">
            <w:pPr>
              <w:spacing w:before="60" w:after="60"/>
              <w:jc w:val="center"/>
              <w:rPr>
                <w:rFonts w:ascii="Arial" w:hAnsi="Arial" w:cs="Arial"/>
                <w:color w:val="000000" w:themeColor="text1"/>
                <w:sz w:val="20"/>
                <w:szCs w:val="20"/>
                <w:lang w:eastAsia="vi-VN"/>
              </w:rPr>
            </w:pPr>
            <w:r w:rsidRPr="00483451">
              <w:rPr>
                <w:rFonts w:ascii="Arial" w:hAnsi="Arial" w:cs="Arial"/>
                <w:color w:val="000000" w:themeColor="text1"/>
                <w:sz w:val="20"/>
                <w:szCs w:val="20"/>
                <w:lang w:eastAsia="vi-VN"/>
              </w:rPr>
              <w:t>Carried</w:t>
            </w:r>
            <w:r w:rsidRPr="00483451">
              <w:rPr>
                <w:rFonts w:ascii="Arial" w:hAnsi="Arial" w:cs="Arial"/>
                <w:color w:val="000000" w:themeColor="text1"/>
                <w:sz w:val="20"/>
                <w:szCs w:val="20"/>
                <w:lang w:eastAsia="vi-VN"/>
              </w:rPr>
              <w:br/>
              <w:t>(Mill. passengers)</w:t>
            </w:r>
          </w:p>
        </w:tc>
        <w:tc>
          <w:tcPr>
            <w:tcW w:w="2150" w:type="dxa"/>
            <w:tcBorders>
              <w:top w:val="single" w:sz="4" w:space="0" w:color="auto"/>
              <w:left w:val="nil"/>
              <w:bottom w:val="single" w:sz="4" w:space="0" w:color="auto"/>
              <w:right w:val="nil"/>
            </w:tcBorders>
            <w:vAlign w:val="center"/>
            <w:hideMark/>
          </w:tcPr>
          <w:p w14:paraId="76553D5D" w14:textId="77777777" w:rsidR="00A81040" w:rsidRPr="00483451" w:rsidRDefault="00A81040" w:rsidP="00255053">
            <w:pPr>
              <w:spacing w:before="60" w:after="60"/>
              <w:jc w:val="center"/>
              <w:rPr>
                <w:rFonts w:ascii="Arial" w:hAnsi="Arial" w:cs="Arial"/>
                <w:color w:val="000000" w:themeColor="text1"/>
                <w:sz w:val="20"/>
                <w:szCs w:val="20"/>
                <w:lang w:eastAsia="vi-VN"/>
              </w:rPr>
            </w:pPr>
            <w:r w:rsidRPr="00483451">
              <w:rPr>
                <w:rFonts w:ascii="Arial" w:hAnsi="Arial" w:cs="Arial"/>
                <w:color w:val="000000" w:themeColor="text1"/>
                <w:sz w:val="20"/>
                <w:szCs w:val="20"/>
                <w:lang w:eastAsia="vi-VN"/>
              </w:rPr>
              <w:t>Traffic</w:t>
            </w:r>
            <w:r w:rsidRPr="00483451">
              <w:rPr>
                <w:rFonts w:ascii="Arial" w:hAnsi="Arial" w:cs="Arial"/>
                <w:color w:val="000000" w:themeColor="text1"/>
                <w:sz w:val="20"/>
                <w:szCs w:val="20"/>
                <w:lang w:eastAsia="vi-VN"/>
              </w:rPr>
              <w:br/>
              <w:t>(Bill. passengers-km)</w:t>
            </w:r>
          </w:p>
        </w:tc>
        <w:tc>
          <w:tcPr>
            <w:tcW w:w="1334" w:type="dxa"/>
            <w:tcBorders>
              <w:top w:val="single" w:sz="4" w:space="0" w:color="auto"/>
              <w:left w:val="nil"/>
              <w:bottom w:val="single" w:sz="4" w:space="0" w:color="auto"/>
              <w:right w:val="nil"/>
            </w:tcBorders>
            <w:vAlign w:val="center"/>
            <w:hideMark/>
          </w:tcPr>
          <w:p w14:paraId="3F20141E" w14:textId="77777777" w:rsidR="00A81040" w:rsidRPr="00483451" w:rsidRDefault="00A81040" w:rsidP="00255053">
            <w:pPr>
              <w:spacing w:before="60" w:after="60"/>
              <w:jc w:val="center"/>
              <w:rPr>
                <w:rFonts w:ascii="Arial" w:hAnsi="Arial" w:cs="Arial"/>
                <w:color w:val="000000" w:themeColor="text1"/>
                <w:sz w:val="20"/>
                <w:szCs w:val="20"/>
                <w:lang w:eastAsia="vi-VN"/>
              </w:rPr>
            </w:pPr>
            <w:r w:rsidRPr="00483451">
              <w:rPr>
                <w:rFonts w:ascii="Arial" w:hAnsi="Arial" w:cs="Arial"/>
                <w:color w:val="000000" w:themeColor="text1"/>
                <w:sz w:val="20"/>
                <w:szCs w:val="20"/>
                <w:lang w:eastAsia="vi-VN"/>
              </w:rPr>
              <w:t>Carried</w:t>
            </w:r>
          </w:p>
        </w:tc>
        <w:tc>
          <w:tcPr>
            <w:tcW w:w="1545" w:type="dxa"/>
            <w:tcBorders>
              <w:top w:val="single" w:sz="4" w:space="0" w:color="auto"/>
              <w:left w:val="nil"/>
              <w:bottom w:val="single" w:sz="4" w:space="0" w:color="auto"/>
              <w:right w:val="nil"/>
            </w:tcBorders>
            <w:vAlign w:val="center"/>
            <w:hideMark/>
          </w:tcPr>
          <w:p w14:paraId="4CB09C23" w14:textId="77777777" w:rsidR="00A81040" w:rsidRPr="00483451" w:rsidRDefault="00A81040" w:rsidP="00255053">
            <w:pPr>
              <w:spacing w:before="60" w:after="60"/>
              <w:jc w:val="center"/>
              <w:rPr>
                <w:rFonts w:ascii="Arial" w:hAnsi="Arial" w:cs="Arial"/>
                <w:color w:val="000000" w:themeColor="text1"/>
                <w:sz w:val="20"/>
                <w:szCs w:val="20"/>
                <w:lang w:eastAsia="vi-VN"/>
              </w:rPr>
            </w:pPr>
            <w:r w:rsidRPr="00483451">
              <w:rPr>
                <w:rFonts w:ascii="Arial" w:hAnsi="Arial" w:cs="Arial"/>
                <w:color w:val="000000" w:themeColor="text1"/>
                <w:sz w:val="20"/>
                <w:szCs w:val="20"/>
                <w:lang w:eastAsia="vi-VN"/>
              </w:rPr>
              <w:t>Traffic</w:t>
            </w:r>
          </w:p>
        </w:tc>
      </w:tr>
      <w:tr w:rsidR="00A81040" w:rsidRPr="00483451" w14:paraId="6FCDF486" w14:textId="77777777" w:rsidTr="00255053">
        <w:trPr>
          <w:trHeight w:val="372"/>
        </w:trPr>
        <w:tc>
          <w:tcPr>
            <w:tcW w:w="2263" w:type="dxa"/>
            <w:noWrap/>
            <w:vAlign w:val="bottom"/>
            <w:hideMark/>
          </w:tcPr>
          <w:p w14:paraId="2006D725" w14:textId="77777777" w:rsidR="00A81040" w:rsidRPr="00483451" w:rsidRDefault="00A81040" w:rsidP="00255053">
            <w:pPr>
              <w:spacing w:before="60" w:after="60"/>
              <w:jc w:val="both"/>
              <w:rPr>
                <w:rFonts w:ascii="Arial" w:hAnsi="Arial" w:cs="Arial"/>
                <w:b/>
                <w:bCs/>
                <w:color w:val="000000" w:themeColor="text1"/>
                <w:sz w:val="20"/>
                <w:szCs w:val="20"/>
                <w:lang w:eastAsia="vi-VN"/>
              </w:rPr>
            </w:pPr>
            <w:r w:rsidRPr="00483451">
              <w:rPr>
                <w:rFonts w:ascii="Arial" w:hAnsi="Arial" w:cs="Arial"/>
                <w:b/>
                <w:bCs/>
                <w:color w:val="000000" w:themeColor="text1"/>
                <w:sz w:val="20"/>
                <w:szCs w:val="20"/>
                <w:lang w:eastAsia="vi-VN"/>
              </w:rPr>
              <w:t>Total</w:t>
            </w:r>
          </w:p>
        </w:tc>
        <w:tc>
          <w:tcPr>
            <w:tcW w:w="1905" w:type="dxa"/>
            <w:tcBorders>
              <w:top w:val="single" w:sz="4" w:space="0" w:color="auto"/>
              <w:left w:val="nil"/>
              <w:bottom w:val="nil"/>
              <w:right w:val="nil"/>
            </w:tcBorders>
            <w:noWrap/>
            <w:vAlign w:val="bottom"/>
            <w:hideMark/>
          </w:tcPr>
          <w:p w14:paraId="417871AB" w14:textId="77777777" w:rsidR="00A81040" w:rsidRPr="00483451" w:rsidRDefault="00A81040" w:rsidP="00255053">
            <w:pPr>
              <w:spacing w:before="60" w:after="60"/>
              <w:ind w:right="532"/>
              <w:jc w:val="right"/>
              <w:rPr>
                <w:rFonts w:ascii="Arial" w:hAnsi="Arial" w:cs="Arial"/>
                <w:b/>
                <w:color w:val="000000" w:themeColor="text1"/>
                <w:sz w:val="20"/>
                <w:szCs w:val="20"/>
                <w:lang w:val="en-US"/>
              </w:rPr>
            </w:pPr>
            <w:r w:rsidRPr="00795365">
              <w:rPr>
                <w:rFonts w:ascii="Arial" w:hAnsi="Arial" w:cs="Arial"/>
                <w:b/>
                <w:color w:val="000000"/>
                <w:sz w:val="20"/>
                <w:szCs w:val="20"/>
              </w:rPr>
              <w:t>2</w:t>
            </w:r>
            <w:r>
              <w:rPr>
                <w:rFonts w:ascii="Arial" w:hAnsi="Arial" w:cs="Arial"/>
                <w:b/>
                <w:color w:val="000000"/>
                <w:sz w:val="20"/>
                <w:szCs w:val="20"/>
                <w:lang w:val="en-US"/>
              </w:rPr>
              <w:t>,</w:t>
            </w:r>
            <w:r w:rsidRPr="00795365">
              <w:rPr>
                <w:rFonts w:ascii="Arial" w:hAnsi="Arial" w:cs="Arial"/>
                <w:b/>
                <w:color w:val="000000"/>
                <w:sz w:val="20"/>
                <w:szCs w:val="20"/>
              </w:rPr>
              <w:t>515</w:t>
            </w:r>
            <w:r>
              <w:rPr>
                <w:rFonts w:ascii="Arial" w:hAnsi="Arial" w:cs="Arial"/>
                <w:b/>
                <w:color w:val="000000"/>
                <w:sz w:val="20"/>
                <w:szCs w:val="20"/>
              </w:rPr>
              <w:t>.</w:t>
            </w:r>
            <w:r w:rsidRPr="00795365">
              <w:rPr>
                <w:rFonts w:ascii="Arial" w:hAnsi="Arial" w:cs="Arial"/>
                <w:b/>
                <w:color w:val="000000"/>
                <w:sz w:val="20"/>
                <w:szCs w:val="20"/>
              </w:rPr>
              <w:t>1</w:t>
            </w:r>
          </w:p>
        </w:tc>
        <w:tc>
          <w:tcPr>
            <w:tcW w:w="2150" w:type="dxa"/>
            <w:tcBorders>
              <w:top w:val="single" w:sz="4" w:space="0" w:color="auto"/>
              <w:left w:val="nil"/>
              <w:bottom w:val="nil"/>
              <w:right w:val="nil"/>
            </w:tcBorders>
            <w:noWrap/>
            <w:vAlign w:val="bottom"/>
            <w:hideMark/>
          </w:tcPr>
          <w:p w14:paraId="44AD950C" w14:textId="77777777" w:rsidR="00A81040" w:rsidRPr="00483451" w:rsidRDefault="00A81040" w:rsidP="00255053">
            <w:pPr>
              <w:spacing w:before="60" w:after="60"/>
              <w:ind w:right="702"/>
              <w:jc w:val="right"/>
              <w:rPr>
                <w:rFonts w:ascii="Arial" w:hAnsi="Arial" w:cs="Arial"/>
                <w:b/>
                <w:color w:val="000000" w:themeColor="text1"/>
                <w:sz w:val="20"/>
                <w:szCs w:val="20"/>
              </w:rPr>
            </w:pPr>
            <w:r w:rsidRPr="00795365">
              <w:rPr>
                <w:rFonts w:ascii="Arial" w:hAnsi="Arial" w:cs="Arial"/>
                <w:b/>
                <w:color w:val="000000"/>
                <w:sz w:val="20"/>
                <w:szCs w:val="20"/>
              </w:rPr>
              <w:t>121</w:t>
            </w:r>
            <w:r>
              <w:rPr>
                <w:rFonts w:ascii="Arial" w:hAnsi="Arial" w:cs="Arial"/>
                <w:b/>
                <w:color w:val="000000"/>
                <w:sz w:val="20"/>
                <w:szCs w:val="20"/>
              </w:rPr>
              <w:t>.</w:t>
            </w:r>
            <w:r w:rsidRPr="00795365">
              <w:rPr>
                <w:rFonts w:ascii="Arial" w:hAnsi="Arial" w:cs="Arial"/>
                <w:b/>
                <w:color w:val="000000"/>
                <w:sz w:val="20"/>
                <w:szCs w:val="20"/>
              </w:rPr>
              <w:t>7</w:t>
            </w:r>
          </w:p>
        </w:tc>
        <w:tc>
          <w:tcPr>
            <w:tcW w:w="1334" w:type="dxa"/>
            <w:tcBorders>
              <w:top w:val="single" w:sz="4" w:space="0" w:color="auto"/>
              <w:left w:val="nil"/>
              <w:bottom w:val="nil"/>
              <w:right w:val="nil"/>
            </w:tcBorders>
            <w:noWrap/>
            <w:vAlign w:val="bottom"/>
          </w:tcPr>
          <w:p w14:paraId="523BC4BA" w14:textId="77777777" w:rsidR="00A81040" w:rsidRPr="00483451" w:rsidRDefault="00A81040" w:rsidP="00255053">
            <w:pPr>
              <w:spacing w:before="60" w:after="60"/>
              <w:ind w:right="298"/>
              <w:jc w:val="right"/>
              <w:rPr>
                <w:rFonts w:ascii="Arial" w:hAnsi="Arial" w:cs="Arial"/>
                <w:b/>
                <w:color w:val="000000" w:themeColor="text1"/>
                <w:sz w:val="20"/>
                <w:szCs w:val="20"/>
              </w:rPr>
            </w:pPr>
            <w:r w:rsidRPr="00795365">
              <w:rPr>
                <w:rFonts w:ascii="Arial" w:hAnsi="Arial" w:cs="Arial"/>
                <w:b/>
                <w:color w:val="000000"/>
                <w:sz w:val="20"/>
                <w:szCs w:val="20"/>
              </w:rPr>
              <w:t xml:space="preserve">       29</w:t>
            </w:r>
            <w:r>
              <w:rPr>
                <w:rFonts w:ascii="Arial" w:hAnsi="Arial" w:cs="Arial"/>
                <w:b/>
                <w:color w:val="000000"/>
                <w:sz w:val="20"/>
                <w:szCs w:val="20"/>
              </w:rPr>
              <w:t>.</w:t>
            </w:r>
            <w:r w:rsidRPr="00795365">
              <w:rPr>
                <w:rFonts w:ascii="Arial" w:hAnsi="Arial" w:cs="Arial"/>
                <w:b/>
                <w:color w:val="000000"/>
                <w:sz w:val="20"/>
                <w:szCs w:val="20"/>
              </w:rPr>
              <w:t xml:space="preserve">8 </w:t>
            </w:r>
          </w:p>
        </w:tc>
        <w:tc>
          <w:tcPr>
            <w:tcW w:w="1545" w:type="dxa"/>
            <w:tcBorders>
              <w:top w:val="single" w:sz="4" w:space="0" w:color="auto"/>
              <w:left w:val="nil"/>
              <w:bottom w:val="nil"/>
              <w:right w:val="nil"/>
            </w:tcBorders>
            <w:noWrap/>
            <w:vAlign w:val="bottom"/>
            <w:hideMark/>
          </w:tcPr>
          <w:p w14:paraId="59F6E577" w14:textId="77777777" w:rsidR="00A81040" w:rsidRPr="00483451" w:rsidRDefault="00A81040" w:rsidP="00255053">
            <w:pPr>
              <w:spacing w:before="60" w:after="60"/>
              <w:ind w:right="431"/>
              <w:jc w:val="right"/>
              <w:rPr>
                <w:rFonts w:ascii="Arial" w:hAnsi="Arial" w:cs="Arial"/>
                <w:b/>
                <w:color w:val="000000" w:themeColor="text1"/>
                <w:sz w:val="20"/>
                <w:szCs w:val="20"/>
              </w:rPr>
            </w:pPr>
            <w:r w:rsidRPr="00795365">
              <w:rPr>
                <w:rFonts w:ascii="Arial" w:hAnsi="Arial" w:cs="Arial"/>
                <w:b/>
                <w:color w:val="000000"/>
                <w:sz w:val="20"/>
                <w:szCs w:val="20"/>
              </w:rPr>
              <w:t xml:space="preserve">       51</w:t>
            </w:r>
            <w:r>
              <w:rPr>
                <w:rFonts w:ascii="Arial" w:hAnsi="Arial" w:cs="Arial"/>
                <w:b/>
                <w:color w:val="000000"/>
                <w:sz w:val="20"/>
                <w:szCs w:val="20"/>
              </w:rPr>
              <w:t>.</w:t>
            </w:r>
            <w:r w:rsidRPr="00795365">
              <w:rPr>
                <w:rFonts w:ascii="Arial" w:hAnsi="Arial" w:cs="Arial"/>
                <w:b/>
                <w:color w:val="000000"/>
                <w:sz w:val="20"/>
                <w:szCs w:val="20"/>
              </w:rPr>
              <w:t xml:space="preserve">6 </w:t>
            </w:r>
          </w:p>
        </w:tc>
      </w:tr>
      <w:tr w:rsidR="00A81040" w:rsidRPr="00483451" w14:paraId="66184B8A" w14:textId="77777777" w:rsidTr="00255053">
        <w:trPr>
          <w:cantSplit/>
          <w:trHeight w:val="315"/>
        </w:trPr>
        <w:tc>
          <w:tcPr>
            <w:tcW w:w="2263" w:type="dxa"/>
            <w:noWrap/>
            <w:vAlign w:val="bottom"/>
            <w:hideMark/>
          </w:tcPr>
          <w:p w14:paraId="4B2AA0E8" w14:textId="77777777" w:rsidR="00A81040" w:rsidRPr="00483451" w:rsidRDefault="00A81040" w:rsidP="00255053">
            <w:pPr>
              <w:spacing w:before="60" w:after="60"/>
              <w:ind w:firstLineChars="100" w:firstLine="200"/>
              <w:jc w:val="both"/>
              <w:rPr>
                <w:rFonts w:ascii="Arial" w:hAnsi="Arial" w:cs="Arial"/>
                <w:color w:val="000000" w:themeColor="text1"/>
                <w:sz w:val="20"/>
                <w:szCs w:val="20"/>
              </w:rPr>
            </w:pPr>
            <w:r w:rsidRPr="00483451">
              <w:rPr>
                <w:rFonts w:ascii="Arial" w:hAnsi="Arial" w:cs="Arial"/>
                <w:color w:val="000000" w:themeColor="text1"/>
                <w:sz w:val="20"/>
                <w:szCs w:val="20"/>
              </w:rPr>
              <w:t>Railway</w:t>
            </w:r>
          </w:p>
        </w:tc>
        <w:tc>
          <w:tcPr>
            <w:tcW w:w="1905" w:type="dxa"/>
            <w:noWrap/>
            <w:vAlign w:val="bottom"/>
            <w:hideMark/>
          </w:tcPr>
          <w:p w14:paraId="3D6BB13C" w14:textId="77777777" w:rsidR="00A81040" w:rsidRPr="00483451" w:rsidRDefault="00A81040" w:rsidP="00255053">
            <w:pPr>
              <w:spacing w:before="60" w:after="60"/>
              <w:ind w:right="532"/>
              <w:jc w:val="right"/>
              <w:rPr>
                <w:rFonts w:ascii="Arial" w:hAnsi="Arial" w:cs="Arial"/>
                <w:color w:val="000000" w:themeColor="text1"/>
                <w:sz w:val="20"/>
                <w:szCs w:val="20"/>
              </w:rPr>
            </w:pPr>
            <w:r>
              <w:rPr>
                <w:rFonts w:ascii="Arial" w:hAnsi="Arial" w:cs="Arial"/>
                <w:color w:val="000000"/>
                <w:sz w:val="20"/>
                <w:szCs w:val="20"/>
              </w:rPr>
              <w:t>3.1</w:t>
            </w:r>
          </w:p>
        </w:tc>
        <w:tc>
          <w:tcPr>
            <w:tcW w:w="2150" w:type="dxa"/>
            <w:noWrap/>
            <w:vAlign w:val="bottom"/>
            <w:hideMark/>
          </w:tcPr>
          <w:p w14:paraId="677B132D" w14:textId="77777777" w:rsidR="00A81040" w:rsidRPr="00483451" w:rsidRDefault="00A81040" w:rsidP="00255053">
            <w:pPr>
              <w:spacing w:before="60" w:after="60"/>
              <w:ind w:right="702"/>
              <w:jc w:val="right"/>
              <w:rPr>
                <w:rFonts w:ascii="Arial" w:hAnsi="Arial" w:cs="Arial"/>
                <w:color w:val="000000" w:themeColor="text1"/>
                <w:sz w:val="20"/>
                <w:szCs w:val="20"/>
              </w:rPr>
            </w:pPr>
            <w:r>
              <w:rPr>
                <w:rFonts w:ascii="Arial" w:hAnsi="Arial" w:cs="Arial"/>
                <w:color w:val="000000"/>
                <w:sz w:val="20"/>
                <w:szCs w:val="20"/>
              </w:rPr>
              <w:t>1.2</w:t>
            </w:r>
          </w:p>
        </w:tc>
        <w:tc>
          <w:tcPr>
            <w:tcW w:w="1334" w:type="dxa"/>
            <w:noWrap/>
            <w:vAlign w:val="bottom"/>
          </w:tcPr>
          <w:p w14:paraId="779B9104" w14:textId="77777777" w:rsidR="00A81040" w:rsidRPr="00483451" w:rsidRDefault="00A81040" w:rsidP="00255053">
            <w:pPr>
              <w:spacing w:before="60" w:after="60"/>
              <w:ind w:right="298"/>
              <w:jc w:val="right"/>
              <w:rPr>
                <w:rFonts w:ascii="Arial" w:hAnsi="Arial" w:cs="Arial"/>
                <w:color w:val="000000" w:themeColor="text1"/>
                <w:sz w:val="20"/>
                <w:szCs w:val="20"/>
              </w:rPr>
            </w:pPr>
            <w:r>
              <w:rPr>
                <w:rFonts w:ascii="Arial" w:hAnsi="Arial" w:cs="Arial"/>
                <w:color w:val="000000"/>
                <w:sz w:val="20"/>
                <w:szCs w:val="20"/>
              </w:rPr>
              <w:t xml:space="preserve">     146.3 </w:t>
            </w:r>
          </w:p>
        </w:tc>
        <w:tc>
          <w:tcPr>
            <w:tcW w:w="1545" w:type="dxa"/>
            <w:noWrap/>
            <w:vAlign w:val="bottom"/>
            <w:hideMark/>
          </w:tcPr>
          <w:p w14:paraId="26174755" w14:textId="77777777" w:rsidR="00A81040" w:rsidRPr="00483451" w:rsidRDefault="00A81040" w:rsidP="00255053">
            <w:pPr>
              <w:spacing w:before="60" w:after="60"/>
              <w:ind w:right="431"/>
              <w:jc w:val="right"/>
              <w:rPr>
                <w:rFonts w:ascii="Arial" w:hAnsi="Arial" w:cs="Arial"/>
                <w:color w:val="000000" w:themeColor="text1"/>
                <w:sz w:val="20"/>
                <w:szCs w:val="20"/>
              </w:rPr>
            </w:pPr>
            <w:r>
              <w:rPr>
                <w:rFonts w:ascii="Arial" w:hAnsi="Arial" w:cs="Arial"/>
                <w:color w:val="000000"/>
                <w:sz w:val="20"/>
                <w:szCs w:val="20"/>
              </w:rPr>
              <w:t xml:space="preserve">     122.1 </w:t>
            </w:r>
          </w:p>
        </w:tc>
      </w:tr>
      <w:tr w:rsidR="00A81040" w:rsidRPr="00483451" w14:paraId="0833E5A6" w14:textId="77777777" w:rsidTr="00255053">
        <w:trPr>
          <w:cantSplit/>
          <w:trHeight w:val="315"/>
        </w:trPr>
        <w:tc>
          <w:tcPr>
            <w:tcW w:w="2263" w:type="dxa"/>
            <w:noWrap/>
            <w:vAlign w:val="bottom"/>
            <w:hideMark/>
          </w:tcPr>
          <w:p w14:paraId="4D16C7CC" w14:textId="77777777" w:rsidR="00A81040" w:rsidRPr="00483451" w:rsidRDefault="00A81040" w:rsidP="00255053">
            <w:pPr>
              <w:spacing w:before="60" w:after="60"/>
              <w:ind w:firstLineChars="100" w:firstLine="200"/>
              <w:jc w:val="both"/>
              <w:rPr>
                <w:rFonts w:ascii="Arial" w:hAnsi="Arial" w:cs="Arial"/>
                <w:color w:val="000000" w:themeColor="text1"/>
                <w:sz w:val="20"/>
                <w:szCs w:val="20"/>
              </w:rPr>
            </w:pPr>
            <w:r w:rsidRPr="00483451">
              <w:rPr>
                <w:rFonts w:ascii="Arial" w:hAnsi="Arial" w:cs="Arial"/>
                <w:color w:val="000000" w:themeColor="text1"/>
                <w:sz w:val="20"/>
                <w:szCs w:val="20"/>
              </w:rPr>
              <w:lastRenderedPageBreak/>
              <w:t>Seaway</w:t>
            </w:r>
          </w:p>
        </w:tc>
        <w:tc>
          <w:tcPr>
            <w:tcW w:w="1905" w:type="dxa"/>
            <w:noWrap/>
            <w:vAlign w:val="bottom"/>
            <w:hideMark/>
          </w:tcPr>
          <w:p w14:paraId="7DFBAEB4" w14:textId="77777777" w:rsidR="00A81040" w:rsidRPr="00483451" w:rsidRDefault="00A81040" w:rsidP="00255053">
            <w:pPr>
              <w:spacing w:before="60" w:after="60"/>
              <w:ind w:right="532"/>
              <w:jc w:val="right"/>
              <w:rPr>
                <w:rFonts w:ascii="Arial" w:hAnsi="Arial" w:cs="Arial"/>
                <w:color w:val="000000" w:themeColor="text1"/>
                <w:sz w:val="20"/>
                <w:szCs w:val="20"/>
              </w:rPr>
            </w:pPr>
            <w:r>
              <w:rPr>
                <w:rFonts w:ascii="Arial" w:hAnsi="Arial" w:cs="Arial"/>
                <w:color w:val="000000"/>
                <w:sz w:val="20"/>
                <w:szCs w:val="20"/>
              </w:rPr>
              <w:t>5.2</w:t>
            </w:r>
          </w:p>
        </w:tc>
        <w:tc>
          <w:tcPr>
            <w:tcW w:w="2150" w:type="dxa"/>
            <w:noWrap/>
            <w:vAlign w:val="bottom"/>
            <w:hideMark/>
          </w:tcPr>
          <w:p w14:paraId="3B6A282D" w14:textId="77777777" w:rsidR="00A81040" w:rsidRPr="00483451" w:rsidRDefault="00A81040" w:rsidP="00255053">
            <w:pPr>
              <w:spacing w:before="60" w:after="60"/>
              <w:ind w:right="702"/>
              <w:jc w:val="right"/>
              <w:rPr>
                <w:rFonts w:ascii="Arial" w:hAnsi="Arial" w:cs="Arial"/>
                <w:color w:val="000000" w:themeColor="text1"/>
                <w:sz w:val="20"/>
                <w:szCs w:val="20"/>
              </w:rPr>
            </w:pPr>
            <w:r>
              <w:rPr>
                <w:rFonts w:ascii="Arial" w:hAnsi="Arial" w:cs="Arial"/>
                <w:color w:val="000000"/>
                <w:sz w:val="20"/>
                <w:szCs w:val="20"/>
              </w:rPr>
              <w:t>0.3</w:t>
            </w:r>
          </w:p>
        </w:tc>
        <w:tc>
          <w:tcPr>
            <w:tcW w:w="1334" w:type="dxa"/>
            <w:noWrap/>
            <w:vAlign w:val="bottom"/>
          </w:tcPr>
          <w:p w14:paraId="729418B1" w14:textId="77777777" w:rsidR="00A81040" w:rsidRPr="00483451" w:rsidRDefault="00A81040" w:rsidP="00255053">
            <w:pPr>
              <w:spacing w:before="60" w:after="60"/>
              <w:ind w:right="298"/>
              <w:jc w:val="right"/>
              <w:rPr>
                <w:rFonts w:ascii="Arial" w:hAnsi="Arial" w:cs="Arial"/>
                <w:color w:val="000000" w:themeColor="text1"/>
                <w:sz w:val="20"/>
                <w:szCs w:val="20"/>
              </w:rPr>
            </w:pPr>
            <w:r>
              <w:rPr>
                <w:rFonts w:ascii="Arial" w:hAnsi="Arial" w:cs="Arial"/>
                <w:color w:val="000000"/>
                <w:sz w:val="20"/>
                <w:szCs w:val="20"/>
              </w:rPr>
              <w:t xml:space="preserve">       32.5 </w:t>
            </w:r>
          </w:p>
        </w:tc>
        <w:tc>
          <w:tcPr>
            <w:tcW w:w="1545" w:type="dxa"/>
            <w:noWrap/>
            <w:vAlign w:val="bottom"/>
            <w:hideMark/>
          </w:tcPr>
          <w:p w14:paraId="3684300B" w14:textId="77777777" w:rsidR="00A81040" w:rsidRPr="00483451" w:rsidRDefault="00A81040" w:rsidP="00255053">
            <w:pPr>
              <w:spacing w:before="60" w:after="60"/>
              <w:ind w:right="431"/>
              <w:jc w:val="right"/>
              <w:rPr>
                <w:rFonts w:ascii="Arial" w:hAnsi="Arial" w:cs="Arial"/>
                <w:color w:val="000000" w:themeColor="text1"/>
                <w:sz w:val="20"/>
                <w:szCs w:val="20"/>
              </w:rPr>
            </w:pPr>
            <w:r>
              <w:rPr>
                <w:rFonts w:ascii="Arial" w:hAnsi="Arial" w:cs="Arial"/>
                <w:color w:val="000000"/>
                <w:sz w:val="20"/>
                <w:szCs w:val="20"/>
              </w:rPr>
              <w:t xml:space="preserve">       39.6 </w:t>
            </w:r>
          </w:p>
        </w:tc>
      </w:tr>
      <w:tr w:rsidR="00A81040" w:rsidRPr="00483451" w14:paraId="6AEB3F23" w14:textId="77777777" w:rsidTr="00255053">
        <w:trPr>
          <w:cantSplit/>
          <w:trHeight w:val="315"/>
        </w:trPr>
        <w:tc>
          <w:tcPr>
            <w:tcW w:w="2263" w:type="dxa"/>
            <w:noWrap/>
            <w:vAlign w:val="bottom"/>
            <w:hideMark/>
          </w:tcPr>
          <w:p w14:paraId="49FDC801" w14:textId="77777777" w:rsidR="00A81040" w:rsidRPr="00483451" w:rsidRDefault="00A81040" w:rsidP="00255053">
            <w:pPr>
              <w:spacing w:before="60" w:after="60"/>
              <w:ind w:firstLineChars="100" w:firstLine="200"/>
              <w:jc w:val="both"/>
              <w:rPr>
                <w:rFonts w:ascii="Arial" w:hAnsi="Arial" w:cs="Arial"/>
                <w:color w:val="000000" w:themeColor="text1"/>
                <w:sz w:val="20"/>
                <w:szCs w:val="20"/>
              </w:rPr>
            </w:pPr>
            <w:r w:rsidRPr="00483451">
              <w:rPr>
                <w:rFonts w:ascii="Arial" w:hAnsi="Arial" w:cs="Arial"/>
                <w:color w:val="000000" w:themeColor="text1"/>
                <w:sz w:val="20"/>
                <w:szCs w:val="20"/>
              </w:rPr>
              <w:t>Inland waterway</w:t>
            </w:r>
          </w:p>
        </w:tc>
        <w:tc>
          <w:tcPr>
            <w:tcW w:w="1905" w:type="dxa"/>
            <w:noWrap/>
            <w:vAlign w:val="bottom"/>
            <w:hideMark/>
          </w:tcPr>
          <w:p w14:paraId="27EE98C5" w14:textId="77777777" w:rsidR="00A81040" w:rsidRPr="00483451" w:rsidRDefault="00A81040" w:rsidP="00255053">
            <w:pPr>
              <w:spacing w:before="60" w:after="60"/>
              <w:ind w:right="532"/>
              <w:jc w:val="right"/>
              <w:rPr>
                <w:rFonts w:ascii="Arial" w:hAnsi="Arial" w:cs="Arial"/>
                <w:color w:val="000000" w:themeColor="text1"/>
                <w:sz w:val="20"/>
                <w:szCs w:val="20"/>
              </w:rPr>
            </w:pPr>
            <w:r>
              <w:rPr>
                <w:rFonts w:ascii="Arial" w:hAnsi="Arial" w:cs="Arial"/>
                <w:color w:val="000000"/>
                <w:sz w:val="20"/>
                <w:szCs w:val="20"/>
              </w:rPr>
              <w:t>179.3</w:t>
            </w:r>
          </w:p>
        </w:tc>
        <w:tc>
          <w:tcPr>
            <w:tcW w:w="2150" w:type="dxa"/>
            <w:noWrap/>
            <w:vAlign w:val="bottom"/>
            <w:hideMark/>
          </w:tcPr>
          <w:p w14:paraId="07677F35" w14:textId="77777777" w:rsidR="00A81040" w:rsidRPr="00483451" w:rsidRDefault="00A81040" w:rsidP="00255053">
            <w:pPr>
              <w:spacing w:before="60" w:after="60"/>
              <w:ind w:right="702"/>
              <w:jc w:val="right"/>
              <w:rPr>
                <w:rFonts w:ascii="Arial" w:hAnsi="Arial" w:cs="Arial"/>
                <w:color w:val="000000" w:themeColor="text1"/>
                <w:sz w:val="20"/>
                <w:szCs w:val="20"/>
              </w:rPr>
            </w:pPr>
            <w:r>
              <w:rPr>
                <w:rFonts w:ascii="Arial" w:hAnsi="Arial" w:cs="Arial"/>
                <w:color w:val="000000"/>
                <w:sz w:val="20"/>
                <w:szCs w:val="20"/>
              </w:rPr>
              <w:t>2.8</w:t>
            </w:r>
          </w:p>
        </w:tc>
        <w:tc>
          <w:tcPr>
            <w:tcW w:w="1334" w:type="dxa"/>
            <w:noWrap/>
            <w:vAlign w:val="bottom"/>
          </w:tcPr>
          <w:p w14:paraId="2887CC3A" w14:textId="77777777" w:rsidR="00A81040" w:rsidRPr="00483451" w:rsidRDefault="00A81040" w:rsidP="00255053">
            <w:pPr>
              <w:spacing w:before="60" w:after="60"/>
              <w:ind w:right="298"/>
              <w:jc w:val="right"/>
              <w:rPr>
                <w:rFonts w:ascii="Arial" w:hAnsi="Arial" w:cs="Arial"/>
                <w:color w:val="000000" w:themeColor="text1"/>
                <w:sz w:val="20"/>
                <w:szCs w:val="20"/>
              </w:rPr>
            </w:pPr>
            <w:r>
              <w:rPr>
                <w:rFonts w:ascii="Arial" w:hAnsi="Arial" w:cs="Arial"/>
                <w:color w:val="000000"/>
                <w:sz w:val="20"/>
                <w:szCs w:val="20"/>
              </w:rPr>
              <w:t xml:space="preserve">       41.0 </w:t>
            </w:r>
          </w:p>
        </w:tc>
        <w:tc>
          <w:tcPr>
            <w:tcW w:w="1545" w:type="dxa"/>
            <w:noWrap/>
            <w:vAlign w:val="bottom"/>
            <w:hideMark/>
          </w:tcPr>
          <w:p w14:paraId="7CB29AD8" w14:textId="77777777" w:rsidR="00A81040" w:rsidRPr="00483451" w:rsidRDefault="00A81040" w:rsidP="00255053">
            <w:pPr>
              <w:spacing w:before="60" w:after="60"/>
              <w:ind w:right="431"/>
              <w:jc w:val="right"/>
              <w:rPr>
                <w:rFonts w:ascii="Arial" w:hAnsi="Arial" w:cs="Arial"/>
                <w:color w:val="000000" w:themeColor="text1"/>
                <w:sz w:val="20"/>
                <w:szCs w:val="20"/>
              </w:rPr>
            </w:pPr>
            <w:r>
              <w:rPr>
                <w:rFonts w:ascii="Arial" w:hAnsi="Arial" w:cs="Arial"/>
                <w:color w:val="000000"/>
                <w:sz w:val="20"/>
                <w:szCs w:val="20"/>
              </w:rPr>
              <w:t xml:space="preserve">       23.7 </w:t>
            </w:r>
          </w:p>
        </w:tc>
      </w:tr>
      <w:tr w:rsidR="00A81040" w:rsidRPr="00483451" w14:paraId="15C51F2E" w14:textId="77777777" w:rsidTr="00255053">
        <w:trPr>
          <w:cantSplit/>
          <w:trHeight w:val="315"/>
        </w:trPr>
        <w:tc>
          <w:tcPr>
            <w:tcW w:w="2263" w:type="dxa"/>
            <w:noWrap/>
            <w:vAlign w:val="bottom"/>
            <w:hideMark/>
          </w:tcPr>
          <w:p w14:paraId="5DE2067E" w14:textId="77777777" w:rsidR="00A81040" w:rsidRPr="00483451" w:rsidRDefault="00A81040" w:rsidP="00255053">
            <w:pPr>
              <w:spacing w:before="60" w:after="60"/>
              <w:ind w:firstLineChars="100" w:firstLine="200"/>
              <w:jc w:val="both"/>
              <w:rPr>
                <w:rFonts w:ascii="Arial" w:hAnsi="Arial" w:cs="Arial"/>
                <w:color w:val="000000" w:themeColor="text1"/>
                <w:sz w:val="20"/>
                <w:szCs w:val="20"/>
              </w:rPr>
            </w:pPr>
            <w:r w:rsidRPr="00483451">
              <w:rPr>
                <w:rFonts w:ascii="Arial" w:hAnsi="Arial" w:cs="Arial"/>
                <w:color w:val="000000" w:themeColor="text1"/>
                <w:sz w:val="20"/>
                <w:szCs w:val="20"/>
              </w:rPr>
              <w:t>Road</w:t>
            </w:r>
          </w:p>
        </w:tc>
        <w:tc>
          <w:tcPr>
            <w:tcW w:w="1905" w:type="dxa"/>
            <w:noWrap/>
            <w:vAlign w:val="bottom"/>
            <w:hideMark/>
          </w:tcPr>
          <w:p w14:paraId="431FF574" w14:textId="77777777" w:rsidR="00A81040" w:rsidRPr="00483451" w:rsidRDefault="00A81040" w:rsidP="00255053">
            <w:pPr>
              <w:spacing w:before="60" w:after="60"/>
              <w:ind w:right="532"/>
              <w:jc w:val="right"/>
              <w:rPr>
                <w:rFonts w:ascii="Arial" w:hAnsi="Arial" w:cs="Arial"/>
                <w:color w:val="000000" w:themeColor="text1"/>
                <w:sz w:val="20"/>
                <w:szCs w:val="20"/>
              </w:rPr>
            </w:pPr>
            <w:r>
              <w:rPr>
                <w:rFonts w:ascii="Arial" w:hAnsi="Arial" w:cs="Arial"/>
                <w:color w:val="000000"/>
                <w:sz w:val="20"/>
                <w:szCs w:val="20"/>
              </w:rPr>
              <w:t>2</w:t>
            </w:r>
            <w:r>
              <w:rPr>
                <w:rFonts w:ascii="Arial" w:hAnsi="Arial" w:cs="Arial"/>
                <w:color w:val="000000"/>
                <w:sz w:val="20"/>
                <w:szCs w:val="20"/>
                <w:lang w:val="en-US"/>
              </w:rPr>
              <w:t>,</w:t>
            </w:r>
            <w:r>
              <w:rPr>
                <w:rFonts w:ascii="Arial" w:hAnsi="Arial" w:cs="Arial"/>
                <w:color w:val="000000"/>
                <w:sz w:val="20"/>
                <w:szCs w:val="20"/>
              </w:rPr>
              <w:t>293.8</w:t>
            </w:r>
          </w:p>
        </w:tc>
        <w:tc>
          <w:tcPr>
            <w:tcW w:w="2150" w:type="dxa"/>
            <w:noWrap/>
            <w:vAlign w:val="bottom"/>
            <w:hideMark/>
          </w:tcPr>
          <w:p w14:paraId="3C182946" w14:textId="77777777" w:rsidR="00A81040" w:rsidRPr="00483451" w:rsidRDefault="00A81040" w:rsidP="00255053">
            <w:pPr>
              <w:spacing w:before="60" w:after="60"/>
              <w:ind w:right="702"/>
              <w:jc w:val="right"/>
              <w:rPr>
                <w:rFonts w:ascii="Arial" w:hAnsi="Arial" w:cs="Arial"/>
                <w:color w:val="000000" w:themeColor="text1"/>
                <w:sz w:val="20"/>
                <w:szCs w:val="20"/>
              </w:rPr>
            </w:pPr>
            <w:r>
              <w:rPr>
                <w:rFonts w:ascii="Arial" w:hAnsi="Arial" w:cs="Arial"/>
                <w:color w:val="000000"/>
                <w:sz w:val="20"/>
                <w:szCs w:val="20"/>
              </w:rPr>
              <w:t>76.7</w:t>
            </w:r>
          </w:p>
        </w:tc>
        <w:tc>
          <w:tcPr>
            <w:tcW w:w="1334" w:type="dxa"/>
            <w:noWrap/>
            <w:vAlign w:val="bottom"/>
          </w:tcPr>
          <w:p w14:paraId="05F43CDF" w14:textId="77777777" w:rsidR="00A81040" w:rsidRPr="00483451" w:rsidRDefault="00A81040" w:rsidP="00255053">
            <w:pPr>
              <w:spacing w:before="60" w:after="60"/>
              <w:ind w:right="298"/>
              <w:jc w:val="right"/>
              <w:rPr>
                <w:rFonts w:ascii="Arial" w:hAnsi="Arial" w:cs="Arial"/>
                <w:color w:val="000000" w:themeColor="text1"/>
                <w:sz w:val="20"/>
                <w:szCs w:val="20"/>
              </w:rPr>
            </w:pPr>
            <w:r>
              <w:rPr>
                <w:rFonts w:ascii="Arial" w:hAnsi="Arial" w:cs="Arial"/>
                <w:color w:val="000000"/>
                <w:sz w:val="20"/>
                <w:szCs w:val="20"/>
              </w:rPr>
              <w:t xml:space="preserve">       28.0 </w:t>
            </w:r>
          </w:p>
        </w:tc>
        <w:tc>
          <w:tcPr>
            <w:tcW w:w="1545" w:type="dxa"/>
            <w:noWrap/>
            <w:vAlign w:val="bottom"/>
            <w:hideMark/>
          </w:tcPr>
          <w:p w14:paraId="05CFF3B5" w14:textId="77777777" w:rsidR="00A81040" w:rsidRPr="00483451" w:rsidRDefault="00A81040" w:rsidP="00255053">
            <w:pPr>
              <w:spacing w:before="60" w:after="60"/>
              <w:ind w:right="431"/>
              <w:jc w:val="right"/>
              <w:rPr>
                <w:rFonts w:ascii="Arial" w:hAnsi="Arial" w:cs="Arial"/>
                <w:color w:val="000000" w:themeColor="text1"/>
                <w:sz w:val="20"/>
                <w:szCs w:val="20"/>
              </w:rPr>
            </w:pPr>
            <w:r>
              <w:rPr>
                <w:rFonts w:ascii="Arial" w:hAnsi="Arial" w:cs="Arial"/>
                <w:color w:val="000000"/>
                <w:sz w:val="20"/>
                <w:szCs w:val="20"/>
              </w:rPr>
              <w:t xml:space="preserve">       17.8 </w:t>
            </w:r>
          </w:p>
        </w:tc>
      </w:tr>
      <w:tr w:rsidR="00A81040" w:rsidRPr="00483451" w14:paraId="5165F212" w14:textId="77777777" w:rsidTr="00255053">
        <w:trPr>
          <w:cantSplit/>
          <w:trHeight w:val="315"/>
        </w:trPr>
        <w:tc>
          <w:tcPr>
            <w:tcW w:w="2263" w:type="dxa"/>
            <w:tcBorders>
              <w:top w:val="nil"/>
              <w:left w:val="nil"/>
              <w:bottom w:val="single" w:sz="4" w:space="0" w:color="auto"/>
              <w:right w:val="nil"/>
            </w:tcBorders>
            <w:noWrap/>
            <w:vAlign w:val="bottom"/>
            <w:hideMark/>
          </w:tcPr>
          <w:p w14:paraId="4649D292" w14:textId="77777777" w:rsidR="00A81040" w:rsidRPr="00483451" w:rsidRDefault="00A81040" w:rsidP="00255053">
            <w:pPr>
              <w:spacing w:before="60" w:after="60"/>
              <w:ind w:firstLineChars="100" w:firstLine="200"/>
              <w:jc w:val="both"/>
              <w:rPr>
                <w:rFonts w:ascii="Arial" w:hAnsi="Arial" w:cs="Arial"/>
                <w:color w:val="000000" w:themeColor="text1"/>
                <w:sz w:val="20"/>
                <w:szCs w:val="20"/>
              </w:rPr>
            </w:pPr>
            <w:r w:rsidRPr="00483451">
              <w:rPr>
                <w:rFonts w:ascii="Arial" w:hAnsi="Arial" w:cs="Arial"/>
                <w:color w:val="000000" w:themeColor="text1"/>
                <w:sz w:val="20"/>
                <w:szCs w:val="20"/>
              </w:rPr>
              <w:t>Airway</w:t>
            </w:r>
          </w:p>
        </w:tc>
        <w:tc>
          <w:tcPr>
            <w:tcW w:w="1905" w:type="dxa"/>
            <w:tcBorders>
              <w:top w:val="nil"/>
              <w:left w:val="nil"/>
              <w:bottom w:val="single" w:sz="4" w:space="0" w:color="auto"/>
              <w:right w:val="nil"/>
            </w:tcBorders>
            <w:noWrap/>
            <w:vAlign w:val="bottom"/>
            <w:hideMark/>
          </w:tcPr>
          <w:p w14:paraId="192000FC" w14:textId="77777777" w:rsidR="00A81040" w:rsidRPr="00483451" w:rsidRDefault="00A81040" w:rsidP="00255053">
            <w:pPr>
              <w:spacing w:before="60" w:after="60"/>
              <w:ind w:right="532"/>
              <w:jc w:val="right"/>
              <w:rPr>
                <w:rFonts w:ascii="Arial" w:hAnsi="Arial" w:cs="Arial"/>
                <w:color w:val="000000" w:themeColor="text1"/>
                <w:sz w:val="20"/>
                <w:szCs w:val="20"/>
              </w:rPr>
            </w:pPr>
            <w:r>
              <w:rPr>
                <w:rFonts w:ascii="Arial" w:hAnsi="Arial" w:cs="Arial"/>
                <w:color w:val="000000"/>
                <w:sz w:val="20"/>
                <w:szCs w:val="20"/>
              </w:rPr>
              <w:t>33.7</w:t>
            </w:r>
          </w:p>
        </w:tc>
        <w:tc>
          <w:tcPr>
            <w:tcW w:w="2150" w:type="dxa"/>
            <w:tcBorders>
              <w:top w:val="nil"/>
              <w:left w:val="nil"/>
              <w:bottom w:val="single" w:sz="4" w:space="0" w:color="auto"/>
              <w:right w:val="nil"/>
            </w:tcBorders>
            <w:noWrap/>
            <w:vAlign w:val="bottom"/>
            <w:hideMark/>
          </w:tcPr>
          <w:p w14:paraId="7BD28422" w14:textId="77777777" w:rsidR="00A81040" w:rsidRPr="00483451" w:rsidRDefault="00A81040" w:rsidP="00255053">
            <w:pPr>
              <w:spacing w:before="60" w:after="60"/>
              <w:ind w:right="702"/>
              <w:jc w:val="right"/>
              <w:rPr>
                <w:rFonts w:ascii="Arial" w:hAnsi="Arial" w:cs="Arial"/>
                <w:color w:val="000000" w:themeColor="text1"/>
                <w:sz w:val="20"/>
                <w:szCs w:val="20"/>
              </w:rPr>
            </w:pPr>
            <w:r>
              <w:rPr>
                <w:rFonts w:ascii="Arial" w:hAnsi="Arial" w:cs="Arial"/>
                <w:color w:val="000000"/>
                <w:sz w:val="20"/>
                <w:szCs w:val="20"/>
              </w:rPr>
              <w:t>40.7</w:t>
            </w:r>
          </w:p>
        </w:tc>
        <w:tc>
          <w:tcPr>
            <w:tcW w:w="1334" w:type="dxa"/>
            <w:tcBorders>
              <w:top w:val="nil"/>
              <w:left w:val="nil"/>
              <w:bottom w:val="single" w:sz="4" w:space="0" w:color="auto"/>
              <w:right w:val="nil"/>
            </w:tcBorders>
            <w:noWrap/>
            <w:vAlign w:val="bottom"/>
          </w:tcPr>
          <w:p w14:paraId="5623FC38" w14:textId="77777777" w:rsidR="00A81040" w:rsidRPr="00483451" w:rsidRDefault="00A81040" w:rsidP="00255053">
            <w:pPr>
              <w:spacing w:before="60" w:after="60"/>
              <w:ind w:right="298"/>
              <w:jc w:val="right"/>
              <w:rPr>
                <w:rFonts w:ascii="Arial" w:hAnsi="Arial" w:cs="Arial"/>
                <w:color w:val="000000" w:themeColor="text1"/>
                <w:sz w:val="20"/>
                <w:szCs w:val="20"/>
              </w:rPr>
            </w:pPr>
            <w:r>
              <w:rPr>
                <w:rFonts w:ascii="Arial" w:hAnsi="Arial" w:cs="Arial"/>
                <w:color w:val="000000"/>
                <w:sz w:val="20"/>
                <w:szCs w:val="20"/>
              </w:rPr>
              <w:t xml:space="preserve">     152.4 </w:t>
            </w:r>
          </w:p>
        </w:tc>
        <w:tc>
          <w:tcPr>
            <w:tcW w:w="1545" w:type="dxa"/>
            <w:tcBorders>
              <w:top w:val="nil"/>
              <w:left w:val="nil"/>
              <w:bottom w:val="single" w:sz="4" w:space="0" w:color="auto"/>
              <w:right w:val="nil"/>
            </w:tcBorders>
            <w:noWrap/>
            <w:vAlign w:val="bottom"/>
            <w:hideMark/>
          </w:tcPr>
          <w:p w14:paraId="3D8FD187" w14:textId="77777777" w:rsidR="00A81040" w:rsidRPr="00483451" w:rsidRDefault="00A81040" w:rsidP="00255053">
            <w:pPr>
              <w:spacing w:before="60" w:after="60"/>
              <w:ind w:right="431"/>
              <w:jc w:val="right"/>
              <w:rPr>
                <w:rFonts w:ascii="Arial" w:hAnsi="Arial" w:cs="Arial"/>
                <w:color w:val="000000" w:themeColor="text1"/>
                <w:sz w:val="20"/>
                <w:szCs w:val="20"/>
              </w:rPr>
            </w:pPr>
            <w:r>
              <w:rPr>
                <w:rFonts w:ascii="Arial" w:hAnsi="Arial" w:cs="Arial"/>
                <w:color w:val="000000"/>
                <w:sz w:val="20"/>
                <w:szCs w:val="20"/>
              </w:rPr>
              <w:t xml:space="preserve">     235.0 </w:t>
            </w:r>
          </w:p>
        </w:tc>
      </w:tr>
    </w:tbl>
    <w:p w14:paraId="71EE2D0C" w14:textId="77777777" w:rsidR="00395EF1" w:rsidRPr="00646EC8" w:rsidRDefault="00395EF1" w:rsidP="00395EF1">
      <w:pPr>
        <w:spacing w:before="40" w:after="40" w:line="283" w:lineRule="auto"/>
        <w:ind w:firstLine="567"/>
        <w:jc w:val="both"/>
        <w:rPr>
          <w:bCs/>
          <w:i/>
          <w:iCs/>
          <w:sz w:val="8"/>
          <w:lang w:val="fr-FR"/>
        </w:rPr>
      </w:pPr>
    </w:p>
    <w:p w14:paraId="59432CE7" w14:textId="099823C7" w:rsidR="00395EF1" w:rsidRPr="003118BD" w:rsidRDefault="00AB4AC8" w:rsidP="00A4445B">
      <w:pPr>
        <w:pStyle w:val="HTMLPreformatted"/>
        <w:spacing w:before="120" w:after="60" w:line="276" w:lineRule="auto"/>
        <w:jc w:val="both"/>
        <w:rPr>
          <w:bCs/>
          <w:iCs/>
          <w:spacing w:val="-2"/>
        </w:rPr>
      </w:pPr>
      <w:bookmarkStart w:id="11" w:name="_Hlk86823246"/>
      <w:r w:rsidRPr="00483451">
        <w:rPr>
          <w:rFonts w:ascii="Times New Roman" w:hAnsi="Times New Roman" w:cs="Times New Roman"/>
          <w:color w:val="000000" w:themeColor="text1"/>
          <w:sz w:val="28"/>
          <w:szCs w:val="28"/>
          <w:lang w:val="fr-FR"/>
        </w:rPr>
        <w:tab/>
      </w:r>
      <w:bookmarkEnd w:id="11"/>
      <w:r w:rsidRPr="009A1AA1">
        <w:rPr>
          <w:rFonts w:ascii="Times New Roman" w:hAnsi="Times New Roman" w:cs="Times New Roman"/>
          <w:i/>
          <w:color w:val="000000" w:themeColor="text1"/>
          <w:sz w:val="28"/>
          <w:szCs w:val="28"/>
          <w:lang w:val="en"/>
        </w:rPr>
        <w:t>Freight transport</w:t>
      </w:r>
      <w:r w:rsidRPr="00483451">
        <w:rPr>
          <w:rFonts w:ascii="Times New Roman" w:hAnsi="Times New Roman" w:cs="Times New Roman"/>
          <w:color w:val="000000" w:themeColor="text1"/>
          <w:sz w:val="28"/>
          <w:szCs w:val="28"/>
          <w:lang w:val="en"/>
        </w:rPr>
        <w:t xml:space="preserve"> in </w:t>
      </w:r>
      <w:r>
        <w:rPr>
          <w:rFonts w:ascii="Times New Roman" w:hAnsi="Times New Roman" w:cs="Times New Roman"/>
          <w:color w:val="000000" w:themeColor="text1"/>
          <w:sz w:val="28"/>
          <w:szCs w:val="28"/>
          <w:lang w:val="en"/>
        </w:rPr>
        <w:t>August</w:t>
      </w:r>
      <w:r w:rsidRPr="00483451">
        <w:rPr>
          <w:rFonts w:ascii="Times New Roman" w:hAnsi="Times New Roman" w:cs="Times New Roman"/>
          <w:color w:val="000000" w:themeColor="text1"/>
          <w:sz w:val="28"/>
          <w:szCs w:val="28"/>
          <w:lang w:val="en"/>
        </w:rPr>
        <w:t xml:space="preserve"> 2022 was estimated at 1</w:t>
      </w:r>
      <w:r>
        <w:rPr>
          <w:rFonts w:ascii="Times New Roman" w:hAnsi="Times New Roman" w:cs="Times New Roman"/>
          <w:color w:val="000000" w:themeColor="text1"/>
          <w:sz w:val="28"/>
          <w:szCs w:val="28"/>
          <w:lang w:val="en"/>
        </w:rPr>
        <w:t>71</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9</w:t>
      </w:r>
      <w:r w:rsidRPr="00483451">
        <w:rPr>
          <w:rFonts w:ascii="Times New Roman" w:hAnsi="Times New Roman" w:cs="Times New Roman"/>
          <w:color w:val="000000" w:themeColor="text1"/>
          <w:sz w:val="28"/>
          <w:szCs w:val="28"/>
          <w:lang w:val="en"/>
        </w:rPr>
        <w:t xml:space="preserve"> million tons of freight carried, </w:t>
      </w:r>
      <w:r>
        <w:rPr>
          <w:rFonts w:ascii="Times New Roman" w:hAnsi="Times New Roman" w:cs="Times New Roman"/>
          <w:color w:val="000000" w:themeColor="text1"/>
          <w:sz w:val="28"/>
          <w:szCs w:val="28"/>
          <w:lang w:val="en"/>
        </w:rPr>
        <w:t>down</w:t>
      </w:r>
      <w:r w:rsidRPr="00483451">
        <w:rPr>
          <w:rFonts w:ascii="Times New Roman" w:hAnsi="Times New Roman" w:cs="Times New Roman"/>
          <w:color w:val="000000" w:themeColor="text1"/>
          <w:sz w:val="28"/>
          <w:szCs w:val="28"/>
          <w:lang w:val="en"/>
        </w:rPr>
        <w:t xml:space="preserve"> </w:t>
      </w:r>
      <w:r>
        <w:rPr>
          <w:rFonts w:ascii="Times New Roman" w:hAnsi="Times New Roman" w:cs="Times New Roman"/>
          <w:color w:val="000000" w:themeColor="text1"/>
          <w:sz w:val="28"/>
          <w:szCs w:val="28"/>
          <w:lang w:val="en"/>
        </w:rPr>
        <w:t>1</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2</w:t>
      </w:r>
      <w:r w:rsidRPr="00483451">
        <w:rPr>
          <w:rFonts w:ascii="Times New Roman" w:hAnsi="Times New Roman" w:cs="Times New Roman"/>
          <w:color w:val="000000" w:themeColor="text1"/>
          <w:sz w:val="28"/>
          <w:szCs w:val="28"/>
          <w:lang w:val="en"/>
        </w:rPr>
        <w:t>% over the previous month and 3</w:t>
      </w:r>
      <w:r>
        <w:rPr>
          <w:rFonts w:ascii="Times New Roman" w:hAnsi="Times New Roman" w:cs="Times New Roman"/>
          <w:color w:val="000000" w:themeColor="text1"/>
          <w:sz w:val="28"/>
          <w:szCs w:val="28"/>
          <w:lang w:val="en"/>
        </w:rPr>
        <w:t>9</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3</w:t>
      </w:r>
      <w:r w:rsidRPr="00483451">
        <w:rPr>
          <w:rFonts w:ascii="Times New Roman" w:hAnsi="Times New Roman" w:cs="Times New Roman"/>
          <w:color w:val="000000" w:themeColor="text1"/>
          <w:sz w:val="28"/>
          <w:szCs w:val="28"/>
          <w:lang w:val="en"/>
        </w:rPr>
        <w:t xml:space="preserve"> billion tons-km, up </w:t>
      </w:r>
      <w:r>
        <w:rPr>
          <w:rFonts w:ascii="Times New Roman" w:hAnsi="Times New Roman" w:cs="Times New Roman"/>
          <w:color w:val="000000" w:themeColor="text1"/>
          <w:sz w:val="28"/>
          <w:szCs w:val="28"/>
          <w:lang w:val="en"/>
        </w:rPr>
        <w:t>3</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8</w:t>
      </w:r>
      <w:r w:rsidRPr="00483451">
        <w:rPr>
          <w:rFonts w:ascii="Times New Roman" w:hAnsi="Times New Roman" w:cs="Times New Roman"/>
          <w:color w:val="000000" w:themeColor="text1"/>
          <w:sz w:val="28"/>
          <w:szCs w:val="28"/>
          <w:lang w:val="en"/>
        </w:rPr>
        <w:t xml:space="preserve">%. Generally, in </w:t>
      </w:r>
      <w:r>
        <w:rPr>
          <w:rFonts w:ascii="Times New Roman" w:hAnsi="Times New Roman" w:cs="Times New Roman"/>
          <w:color w:val="000000" w:themeColor="text1"/>
          <w:sz w:val="28"/>
          <w:szCs w:val="28"/>
          <w:lang w:val="en"/>
        </w:rPr>
        <w:t>8 months</w:t>
      </w:r>
      <w:r w:rsidRPr="00483451">
        <w:rPr>
          <w:rFonts w:ascii="Times New Roman" w:hAnsi="Times New Roman" w:cs="Times New Roman"/>
          <w:color w:val="000000" w:themeColor="text1"/>
          <w:sz w:val="28"/>
          <w:szCs w:val="28"/>
          <w:lang w:val="en"/>
        </w:rPr>
        <w:t xml:space="preserve"> of 2022, freight transport </w:t>
      </w:r>
      <w:r>
        <w:rPr>
          <w:rFonts w:ascii="Times New Roman" w:hAnsi="Times New Roman" w:cs="Times New Roman"/>
          <w:color w:val="000000" w:themeColor="text1"/>
          <w:sz w:val="28"/>
          <w:szCs w:val="28"/>
          <w:lang w:val="en"/>
        </w:rPr>
        <w:t>wa</w:t>
      </w:r>
      <w:r w:rsidRPr="00483451">
        <w:rPr>
          <w:rFonts w:ascii="Times New Roman" w:hAnsi="Times New Roman" w:cs="Times New Roman"/>
          <w:color w:val="000000" w:themeColor="text1"/>
          <w:sz w:val="28"/>
          <w:szCs w:val="28"/>
          <w:lang w:val="en"/>
        </w:rPr>
        <w:t>s estimated at 1</w:t>
      </w:r>
      <w:r>
        <w:rPr>
          <w:rFonts w:ascii="Times New Roman" w:hAnsi="Times New Roman" w:cs="Times New Roman"/>
          <w:color w:val="000000" w:themeColor="text1"/>
          <w:sz w:val="28"/>
          <w:szCs w:val="28"/>
          <w:lang w:val="en"/>
        </w:rPr>
        <w:t xml:space="preserve">,302.6 </w:t>
      </w:r>
      <w:r w:rsidRPr="00483451">
        <w:rPr>
          <w:rFonts w:ascii="Times New Roman" w:hAnsi="Times New Roman" w:cs="Times New Roman"/>
          <w:color w:val="000000" w:themeColor="text1"/>
          <w:sz w:val="28"/>
          <w:szCs w:val="28"/>
          <w:lang w:val="en"/>
        </w:rPr>
        <w:t xml:space="preserve">million tons of freight carried, up </w:t>
      </w:r>
      <w:r>
        <w:rPr>
          <w:rFonts w:ascii="Times New Roman" w:hAnsi="Times New Roman" w:cs="Times New Roman"/>
          <w:color w:val="000000" w:themeColor="text1"/>
          <w:sz w:val="28"/>
          <w:szCs w:val="28"/>
          <w:lang w:val="en"/>
        </w:rPr>
        <w:t>20</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6</w:t>
      </w:r>
      <w:r w:rsidRPr="00483451">
        <w:rPr>
          <w:rFonts w:ascii="Times New Roman" w:hAnsi="Times New Roman" w:cs="Times New Roman"/>
          <w:color w:val="000000" w:themeColor="text1"/>
          <w:sz w:val="28"/>
          <w:szCs w:val="28"/>
          <w:lang w:val="en"/>
        </w:rPr>
        <w:t xml:space="preserve">% over the same period last year (in the same period in 2021, </w:t>
      </w:r>
      <w:r>
        <w:rPr>
          <w:rFonts w:ascii="Times New Roman" w:hAnsi="Times New Roman" w:cs="Times New Roman"/>
          <w:color w:val="000000" w:themeColor="text1"/>
          <w:sz w:val="28"/>
          <w:szCs w:val="28"/>
          <w:lang w:val="en"/>
        </w:rPr>
        <w:t>down</w:t>
      </w:r>
      <w:r w:rsidRPr="00483451">
        <w:rPr>
          <w:rFonts w:ascii="Times New Roman" w:hAnsi="Times New Roman" w:cs="Times New Roman"/>
          <w:color w:val="000000" w:themeColor="text1"/>
          <w:sz w:val="28"/>
          <w:szCs w:val="28"/>
          <w:lang w:val="en"/>
        </w:rPr>
        <w:t xml:space="preserve"> </w:t>
      </w:r>
      <w:r>
        <w:rPr>
          <w:rFonts w:ascii="Times New Roman" w:hAnsi="Times New Roman" w:cs="Times New Roman"/>
          <w:color w:val="000000" w:themeColor="text1"/>
          <w:sz w:val="28"/>
          <w:szCs w:val="28"/>
          <w:lang w:val="en"/>
        </w:rPr>
        <w:t>2</w:t>
      </w:r>
      <w:r w:rsidRPr="00483451">
        <w:rPr>
          <w:rFonts w:ascii="Times New Roman" w:hAnsi="Times New Roman" w:cs="Times New Roman"/>
          <w:color w:val="000000" w:themeColor="text1"/>
          <w:sz w:val="28"/>
          <w:szCs w:val="28"/>
          <w:lang w:val="en"/>
        </w:rPr>
        <w:t xml:space="preserve">.5%) and </w:t>
      </w:r>
      <w:r>
        <w:rPr>
          <w:rFonts w:ascii="Times New Roman" w:hAnsi="Times New Roman" w:cs="Times New Roman"/>
          <w:color w:val="000000" w:themeColor="text1"/>
          <w:sz w:val="28"/>
          <w:szCs w:val="28"/>
          <w:lang w:val="en"/>
        </w:rPr>
        <w:t>279,6 billion tons.</w:t>
      </w:r>
      <w:r w:rsidRPr="00483451">
        <w:rPr>
          <w:rFonts w:ascii="Times New Roman" w:hAnsi="Times New Roman" w:cs="Times New Roman"/>
          <w:color w:val="000000" w:themeColor="text1"/>
          <w:sz w:val="28"/>
          <w:szCs w:val="28"/>
          <w:lang w:val="en"/>
        </w:rPr>
        <w:t>km</w:t>
      </w:r>
      <w:r w:rsidRPr="009A1AA1">
        <w:rPr>
          <w:rFonts w:ascii="Times New Roman" w:hAnsi="Times New Roman" w:cs="Times New Roman"/>
          <w:color w:val="000000" w:themeColor="text1"/>
          <w:sz w:val="28"/>
          <w:szCs w:val="28"/>
          <w:lang w:val="en"/>
        </w:rPr>
        <w:t xml:space="preserve"> </w:t>
      </w:r>
      <w:r w:rsidRPr="00483451">
        <w:rPr>
          <w:rFonts w:ascii="Times New Roman" w:hAnsi="Times New Roman" w:cs="Times New Roman"/>
          <w:color w:val="000000" w:themeColor="text1"/>
          <w:sz w:val="28"/>
          <w:szCs w:val="28"/>
          <w:lang w:val="en"/>
        </w:rPr>
        <w:t xml:space="preserve">of freight </w:t>
      </w:r>
      <w:r>
        <w:rPr>
          <w:rFonts w:ascii="Times New Roman" w:hAnsi="Times New Roman" w:cs="Times New Roman"/>
          <w:color w:val="000000" w:themeColor="text1"/>
          <w:sz w:val="28"/>
          <w:szCs w:val="28"/>
          <w:lang w:val="en"/>
        </w:rPr>
        <w:t>traffic</w:t>
      </w:r>
      <w:r w:rsidRPr="00483451">
        <w:rPr>
          <w:rFonts w:ascii="Times New Roman" w:hAnsi="Times New Roman" w:cs="Times New Roman"/>
          <w:color w:val="000000" w:themeColor="text1"/>
          <w:sz w:val="28"/>
          <w:szCs w:val="28"/>
          <w:lang w:val="en"/>
        </w:rPr>
        <w:t>, an increase of 2</w:t>
      </w:r>
      <w:r>
        <w:rPr>
          <w:rFonts w:ascii="Times New Roman" w:hAnsi="Times New Roman" w:cs="Times New Roman"/>
          <w:color w:val="000000" w:themeColor="text1"/>
          <w:sz w:val="28"/>
          <w:szCs w:val="28"/>
          <w:lang w:val="en"/>
        </w:rPr>
        <w:t>8</w:t>
      </w:r>
      <w:r w:rsidRPr="00483451">
        <w:rPr>
          <w:rFonts w:ascii="Times New Roman" w:hAnsi="Times New Roman" w:cs="Times New Roman"/>
          <w:color w:val="000000" w:themeColor="text1"/>
          <w:sz w:val="28"/>
          <w:szCs w:val="28"/>
          <w:lang w:val="en"/>
        </w:rPr>
        <w:t xml:space="preserve">% (in the same period last year, an increase of </w:t>
      </w:r>
      <w:r>
        <w:rPr>
          <w:rFonts w:ascii="Times New Roman" w:hAnsi="Times New Roman" w:cs="Times New Roman"/>
          <w:color w:val="000000" w:themeColor="text1"/>
          <w:sz w:val="28"/>
          <w:szCs w:val="28"/>
          <w:lang w:val="en"/>
        </w:rPr>
        <w:t>1</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8</w:t>
      </w:r>
      <w:r w:rsidRPr="00483451">
        <w:rPr>
          <w:rFonts w:ascii="Times New Roman" w:hAnsi="Times New Roman" w:cs="Times New Roman"/>
          <w:color w:val="000000" w:themeColor="text1"/>
          <w:sz w:val="28"/>
          <w:szCs w:val="28"/>
          <w:lang w:val="en"/>
        </w:rPr>
        <w:t>%). In which, domestic transport reached 1,</w:t>
      </w:r>
      <w:r>
        <w:rPr>
          <w:rFonts w:ascii="Times New Roman" w:hAnsi="Times New Roman" w:cs="Times New Roman"/>
          <w:color w:val="000000" w:themeColor="text1"/>
          <w:sz w:val="28"/>
          <w:szCs w:val="28"/>
          <w:lang w:val="en"/>
        </w:rPr>
        <w:t>274</w:t>
      </w:r>
      <w:r w:rsidRPr="00483451">
        <w:rPr>
          <w:rFonts w:ascii="Times New Roman" w:hAnsi="Times New Roman" w:cs="Times New Roman"/>
          <w:color w:val="000000" w:themeColor="text1"/>
          <w:sz w:val="28"/>
          <w:szCs w:val="28"/>
          <w:lang w:val="en"/>
        </w:rPr>
        <w:t xml:space="preserve">.2 million tons of freight carried, up </w:t>
      </w:r>
      <w:r>
        <w:rPr>
          <w:rFonts w:ascii="Times New Roman" w:hAnsi="Times New Roman" w:cs="Times New Roman"/>
          <w:color w:val="000000" w:themeColor="text1"/>
          <w:sz w:val="28"/>
          <w:szCs w:val="28"/>
          <w:lang w:val="en"/>
        </w:rPr>
        <w:t>20</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5</w:t>
      </w:r>
      <w:r w:rsidRPr="00483451">
        <w:rPr>
          <w:rFonts w:ascii="Times New Roman" w:hAnsi="Times New Roman" w:cs="Times New Roman"/>
          <w:color w:val="000000" w:themeColor="text1"/>
          <w:sz w:val="28"/>
          <w:szCs w:val="28"/>
          <w:lang w:val="en"/>
        </w:rPr>
        <w:t xml:space="preserve">% and </w:t>
      </w:r>
      <w:r>
        <w:rPr>
          <w:rFonts w:ascii="Times New Roman" w:hAnsi="Times New Roman" w:cs="Times New Roman"/>
          <w:color w:val="000000" w:themeColor="text1"/>
          <w:sz w:val="28"/>
          <w:szCs w:val="28"/>
          <w:lang w:val="en"/>
        </w:rPr>
        <w:t>168</w:t>
      </w:r>
      <w:r w:rsidRPr="00483451">
        <w:rPr>
          <w:rFonts w:ascii="Times New Roman" w:hAnsi="Times New Roman" w:cs="Times New Roman"/>
          <w:color w:val="000000" w:themeColor="text1"/>
          <w:sz w:val="28"/>
          <w:szCs w:val="28"/>
          <w:lang w:val="en"/>
        </w:rPr>
        <w:t xml:space="preserve">.2 billion tons-kilometers of freight traffic, up </w:t>
      </w:r>
      <w:r>
        <w:rPr>
          <w:rFonts w:ascii="Times New Roman" w:hAnsi="Times New Roman" w:cs="Times New Roman"/>
          <w:color w:val="000000" w:themeColor="text1"/>
          <w:sz w:val="28"/>
          <w:szCs w:val="28"/>
          <w:lang w:val="en"/>
        </w:rPr>
        <w:t>41</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2</w:t>
      </w:r>
      <w:r w:rsidR="00A50EF8">
        <w:rPr>
          <w:rFonts w:ascii="Times New Roman" w:hAnsi="Times New Roman" w:cs="Times New Roman"/>
          <w:color w:val="000000" w:themeColor="text1"/>
          <w:sz w:val="28"/>
          <w:szCs w:val="28"/>
          <w:lang w:val="en"/>
        </w:rPr>
        <w:t>%; o</w:t>
      </w:r>
      <w:r w:rsidRPr="00483451">
        <w:rPr>
          <w:rFonts w:ascii="Times New Roman" w:hAnsi="Times New Roman" w:cs="Times New Roman"/>
          <w:color w:val="000000" w:themeColor="text1"/>
          <w:sz w:val="28"/>
          <w:szCs w:val="28"/>
          <w:lang w:val="en"/>
        </w:rPr>
        <w:t>verseas transport reached 2</w:t>
      </w:r>
      <w:r>
        <w:rPr>
          <w:rFonts w:ascii="Times New Roman" w:hAnsi="Times New Roman" w:cs="Times New Roman"/>
          <w:color w:val="000000" w:themeColor="text1"/>
          <w:sz w:val="28"/>
          <w:szCs w:val="28"/>
          <w:lang w:val="en"/>
        </w:rPr>
        <w:t>8</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4</w:t>
      </w:r>
      <w:r w:rsidRPr="00483451">
        <w:rPr>
          <w:rFonts w:ascii="Times New Roman" w:hAnsi="Times New Roman" w:cs="Times New Roman"/>
          <w:color w:val="000000" w:themeColor="text1"/>
          <w:sz w:val="28"/>
          <w:szCs w:val="28"/>
          <w:lang w:val="en"/>
        </w:rPr>
        <w:t xml:space="preserve"> million tons freight carried, up</w:t>
      </w:r>
      <w:r>
        <w:rPr>
          <w:rFonts w:ascii="Times New Roman" w:hAnsi="Times New Roman" w:cs="Times New Roman"/>
          <w:color w:val="000000" w:themeColor="text1"/>
          <w:sz w:val="28"/>
          <w:szCs w:val="28"/>
          <w:lang w:val="en"/>
        </w:rPr>
        <w:t xml:space="preserve"> 21</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6</w:t>
      </w:r>
      <w:r w:rsidRPr="00483451">
        <w:rPr>
          <w:rFonts w:ascii="Times New Roman" w:hAnsi="Times New Roman" w:cs="Times New Roman"/>
          <w:color w:val="000000" w:themeColor="text1"/>
          <w:sz w:val="28"/>
          <w:szCs w:val="28"/>
          <w:lang w:val="en"/>
        </w:rPr>
        <w:t xml:space="preserve">% and </w:t>
      </w:r>
      <w:r>
        <w:rPr>
          <w:rFonts w:ascii="Times New Roman" w:hAnsi="Times New Roman" w:cs="Times New Roman"/>
          <w:color w:val="000000" w:themeColor="text1"/>
          <w:sz w:val="28"/>
          <w:szCs w:val="28"/>
          <w:lang w:val="en"/>
        </w:rPr>
        <w:t>111</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4</w:t>
      </w:r>
      <w:r w:rsidRPr="00483451">
        <w:rPr>
          <w:rFonts w:ascii="Times New Roman" w:hAnsi="Times New Roman" w:cs="Times New Roman"/>
          <w:color w:val="000000" w:themeColor="text1"/>
          <w:sz w:val="28"/>
          <w:szCs w:val="28"/>
          <w:lang w:val="en"/>
        </w:rPr>
        <w:t xml:space="preserve"> billion tons-kilometers of freight traffic, up 1</w:t>
      </w:r>
      <w:r>
        <w:rPr>
          <w:rFonts w:ascii="Times New Roman" w:hAnsi="Times New Roman" w:cs="Times New Roman"/>
          <w:color w:val="000000" w:themeColor="text1"/>
          <w:sz w:val="28"/>
          <w:szCs w:val="28"/>
          <w:lang w:val="en"/>
        </w:rPr>
        <w:t>2</w:t>
      </w:r>
      <w:r w:rsidRPr="00483451">
        <w:rPr>
          <w:rFonts w:ascii="Times New Roman" w:hAnsi="Times New Roman" w:cs="Times New Roman"/>
          <w:color w:val="000000" w:themeColor="text1"/>
          <w:sz w:val="28"/>
          <w:szCs w:val="28"/>
          <w:lang w:val="en"/>
        </w:rPr>
        <w:t>.</w:t>
      </w:r>
      <w:r>
        <w:rPr>
          <w:rFonts w:ascii="Times New Roman" w:hAnsi="Times New Roman" w:cs="Times New Roman"/>
          <w:color w:val="000000" w:themeColor="text1"/>
          <w:sz w:val="28"/>
          <w:szCs w:val="28"/>
          <w:lang w:val="en"/>
        </w:rPr>
        <w:t>1</w:t>
      </w:r>
      <w:r w:rsidRPr="00483451">
        <w:rPr>
          <w:rFonts w:ascii="Times New Roman" w:hAnsi="Times New Roman" w:cs="Times New Roman"/>
          <w:color w:val="000000" w:themeColor="text1"/>
          <w:sz w:val="28"/>
          <w:szCs w:val="28"/>
          <w:lang w:val="en"/>
        </w:rPr>
        <w:t xml:space="preserve">%. Enterprises went into stable operation, import and export continued to prosper, so the demand for domestic and foreign freight transportation in the </w:t>
      </w:r>
      <w:r>
        <w:rPr>
          <w:rFonts w:ascii="Times New Roman" w:hAnsi="Times New Roman" w:cs="Times New Roman"/>
          <w:color w:val="000000" w:themeColor="text1"/>
          <w:sz w:val="28"/>
          <w:szCs w:val="28"/>
          <w:lang w:val="en"/>
        </w:rPr>
        <w:t>eight</w:t>
      </w:r>
      <w:r w:rsidRPr="00483451">
        <w:rPr>
          <w:rFonts w:ascii="Times New Roman" w:hAnsi="Times New Roman" w:cs="Times New Roman"/>
          <w:color w:val="000000" w:themeColor="text1"/>
          <w:sz w:val="28"/>
          <w:szCs w:val="28"/>
          <w:lang w:val="en"/>
        </w:rPr>
        <w:t xml:space="preserve"> months of 2022 increased sharply compared to the same period last year</w:t>
      </w:r>
      <w:r w:rsidR="00395EF1">
        <w:rPr>
          <w:rStyle w:val="FootnoteReference"/>
          <w:bCs/>
          <w:iCs/>
          <w:spacing w:val="-2"/>
          <w:lang w:val="fr-FR"/>
        </w:rPr>
        <w:footnoteReference w:id="28"/>
      </w:r>
      <w:r w:rsidR="00395EF1" w:rsidRPr="00FA71A6">
        <w:rPr>
          <w:bCs/>
          <w:iCs/>
          <w:spacing w:val="-2"/>
          <w:lang w:val="fr-FR"/>
        </w:rPr>
        <w:t>.</w:t>
      </w:r>
    </w:p>
    <w:p w14:paraId="1FDB6F2F" w14:textId="77777777" w:rsidR="00D6105F" w:rsidRPr="00483451" w:rsidRDefault="00D6105F" w:rsidP="00D6105F">
      <w:pPr>
        <w:spacing w:before="60" w:after="60"/>
        <w:jc w:val="center"/>
        <w:rPr>
          <w:b/>
          <w:color w:val="000000" w:themeColor="text1"/>
          <w:spacing w:val="-2"/>
          <w:lang w:val="pl-PL"/>
        </w:rPr>
      </w:pPr>
      <w:r w:rsidRPr="00483451">
        <w:rPr>
          <w:b/>
          <w:color w:val="000000" w:themeColor="text1"/>
          <w:spacing w:val="-2"/>
          <w:lang w:val="pl-PL"/>
        </w:rPr>
        <w:t xml:space="preserve">Table 7. Carriage of freight in </w:t>
      </w:r>
      <w:r>
        <w:rPr>
          <w:b/>
          <w:color w:val="000000" w:themeColor="text1"/>
          <w:spacing w:val="-2"/>
          <w:lang w:val="pl-PL"/>
        </w:rPr>
        <w:t>8</w:t>
      </w:r>
      <w:r w:rsidRPr="00483451">
        <w:rPr>
          <w:b/>
          <w:color w:val="000000" w:themeColor="text1"/>
          <w:spacing w:val="-2"/>
          <w:lang w:val="pl-PL"/>
        </w:rPr>
        <w:t xml:space="preserve"> months of 2022</w:t>
      </w:r>
    </w:p>
    <w:p w14:paraId="40451E10" w14:textId="77777777" w:rsidR="00D6105F" w:rsidRPr="00483451" w:rsidRDefault="00D6105F" w:rsidP="00D6105F">
      <w:pPr>
        <w:spacing w:before="60" w:after="60"/>
        <w:jc w:val="center"/>
        <w:rPr>
          <w:b/>
          <w:bCs/>
          <w:color w:val="000000" w:themeColor="text1"/>
          <w:lang w:val="fr-FR"/>
        </w:rPr>
      </w:pPr>
      <w:r w:rsidRPr="00483451">
        <w:rPr>
          <w:b/>
          <w:color w:val="000000" w:themeColor="text1"/>
          <w:spacing w:val="-2"/>
          <w:lang w:val="pl-PL"/>
        </w:rPr>
        <w:t>by types of transport</w:t>
      </w:r>
    </w:p>
    <w:p w14:paraId="7102952C" w14:textId="77777777" w:rsidR="00395EF1" w:rsidRPr="000B3891" w:rsidRDefault="00395EF1" w:rsidP="00395EF1">
      <w:pPr>
        <w:jc w:val="center"/>
        <w:rPr>
          <w:rFonts w:ascii="Arial" w:hAnsi="Arial" w:cs="Arial"/>
          <w:b/>
          <w:bCs/>
          <w:sz w:val="24"/>
          <w:szCs w:val="24"/>
          <w:lang w:val="fr-FR"/>
        </w:rPr>
      </w:pPr>
    </w:p>
    <w:tbl>
      <w:tblPr>
        <w:tblW w:w="8784" w:type="dxa"/>
        <w:jc w:val="center"/>
        <w:tblLook w:val="04A0" w:firstRow="1" w:lastRow="0" w:firstColumn="1" w:lastColumn="0" w:noHBand="0" w:noVBand="1"/>
      </w:tblPr>
      <w:tblGrid>
        <w:gridCol w:w="2355"/>
        <w:gridCol w:w="1767"/>
        <w:gridCol w:w="1638"/>
        <w:gridCol w:w="1499"/>
        <w:gridCol w:w="1525"/>
      </w:tblGrid>
      <w:tr w:rsidR="00395EF1" w:rsidRPr="00985565" w14:paraId="6583F0E8" w14:textId="77777777" w:rsidTr="003118BD">
        <w:trPr>
          <w:trHeight w:val="497"/>
          <w:jc w:val="center"/>
        </w:trPr>
        <w:tc>
          <w:tcPr>
            <w:tcW w:w="2355" w:type="dxa"/>
            <w:tcBorders>
              <w:top w:val="single" w:sz="4" w:space="0" w:color="auto"/>
              <w:left w:val="nil"/>
              <w:bottom w:val="nil"/>
              <w:right w:val="nil"/>
            </w:tcBorders>
            <w:shd w:val="clear" w:color="auto" w:fill="auto"/>
            <w:vAlign w:val="center"/>
            <w:hideMark/>
          </w:tcPr>
          <w:p w14:paraId="0B21B721" w14:textId="77777777" w:rsidR="00395EF1" w:rsidRPr="00985565" w:rsidRDefault="00395EF1" w:rsidP="003118BD">
            <w:pPr>
              <w:spacing w:before="60" w:after="60"/>
              <w:rPr>
                <w:rFonts w:ascii="Arial" w:hAnsi="Arial" w:cs="Arial"/>
                <w:sz w:val="20"/>
                <w:szCs w:val="20"/>
                <w:lang w:val="fr-FR" w:eastAsia="vi-VN"/>
              </w:rPr>
            </w:pPr>
            <w:r w:rsidRPr="00985565">
              <w:rPr>
                <w:rFonts w:ascii="Arial" w:hAnsi="Arial" w:cs="Arial"/>
                <w:sz w:val="20"/>
                <w:szCs w:val="20"/>
                <w:lang w:val="fr-FR" w:eastAsia="vi-VN"/>
              </w:rPr>
              <w:t> </w:t>
            </w:r>
          </w:p>
        </w:tc>
        <w:tc>
          <w:tcPr>
            <w:tcW w:w="3405" w:type="dxa"/>
            <w:gridSpan w:val="2"/>
            <w:tcBorders>
              <w:top w:val="single" w:sz="4" w:space="0" w:color="auto"/>
              <w:left w:val="nil"/>
              <w:bottom w:val="single" w:sz="4" w:space="0" w:color="auto"/>
              <w:right w:val="nil"/>
            </w:tcBorders>
            <w:shd w:val="clear" w:color="auto" w:fill="auto"/>
            <w:vAlign w:val="center"/>
            <w:hideMark/>
          </w:tcPr>
          <w:p w14:paraId="277B2BB5" w14:textId="1940140A" w:rsidR="00395EF1" w:rsidRPr="00985565" w:rsidRDefault="008A3E60" w:rsidP="003118BD">
            <w:pPr>
              <w:spacing w:before="60" w:after="60"/>
              <w:jc w:val="center"/>
              <w:rPr>
                <w:rFonts w:ascii="Arial" w:hAnsi="Arial" w:cs="Arial"/>
                <w:color w:val="000000"/>
                <w:sz w:val="20"/>
                <w:szCs w:val="20"/>
                <w:lang w:eastAsia="vi-VN"/>
              </w:rPr>
            </w:pPr>
            <w:r w:rsidRPr="00483451">
              <w:rPr>
                <w:rFonts w:ascii="Arial" w:hAnsi="Arial" w:cs="Arial"/>
                <w:color w:val="000000" w:themeColor="text1"/>
                <w:sz w:val="20"/>
                <w:szCs w:val="20"/>
                <w:lang w:eastAsia="vi-VN"/>
              </w:rPr>
              <w:t>Quantity of goods</w:t>
            </w:r>
          </w:p>
        </w:tc>
        <w:tc>
          <w:tcPr>
            <w:tcW w:w="3024" w:type="dxa"/>
            <w:gridSpan w:val="2"/>
            <w:tcBorders>
              <w:top w:val="single" w:sz="4" w:space="0" w:color="auto"/>
              <w:left w:val="nil"/>
              <w:bottom w:val="single" w:sz="4" w:space="0" w:color="auto"/>
              <w:right w:val="nil"/>
            </w:tcBorders>
            <w:shd w:val="clear" w:color="auto" w:fill="auto"/>
            <w:vAlign w:val="center"/>
            <w:hideMark/>
          </w:tcPr>
          <w:p w14:paraId="3B487381" w14:textId="523398AB" w:rsidR="00395EF1" w:rsidRPr="00985565" w:rsidRDefault="008A3E60" w:rsidP="003118BD">
            <w:pPr>
              <w:spacing w:before="60" w:after="60"/>
              <w:jc w:val="center"/>
              <w:rPr>
                <w:rFonts w:ascii="Arial" w:hAnsi="Arial" w:cs="Arial"/>
                <w:color w:val="000000"/>
                <w:sz w:val="20"/>
                <w:szCs w:val="20"/>
                <w:lang w:eastAsia="vi-VN"/>
              </w:rPr>
            </w:pPr>
            <w:r w:rsidRPr="00483451">
              <w:rPr>
                <w:rFonts w:ascii="Arial" w:hAnsi="Arial" w:cs="Arial"/>
                <w:color w:val="000000" w:themeColor="text1"/>
                <w:sz w:val="20"/>
                <w:szCs w:val="20"/>
                <w:lang w:eastAsia="vi-VN"/>
              </w:rPr>
              <w:t>The growth rate compared to the same period last year (%)</w:t>
            </w:r>
          </w:p>
        </w:tc>
      </w:tr>
      <w:tr w:rsidR="00395EF1" w:rsidRPr="00985565" w14:paraId="1EAC3CF1" w14:textId="77777777" w:rsidTr="003118BD">
        <w:trPr>
          <w:trHeight w:val="416"/>
          <w:jc w:val="center"/>
        </w:trPr>
        <w:tc>
          <w:tcPr>
            <w:tcW w:w="2355" w:type="dxa"/>
            <w:tcBorders>
              <w:top w:val="nil"/>
              <w:left w:val="nil"/>
              <w:bottom w:val="nil"/>
              <w:right w:val="nil"/>
            </w:tcBorders>
            <w:shd w:val="clear" w:color="auto" w:fill="auto"/>
            <w:vAlign w:val="center"/>
            <w:hideMark/>
          </w:tcPr>
          <w:p w14:paraId="11BDD458" w14:textId="77777777" w:rsidR="00395EF1" w:rsidRPr="00985565" w:rsidRDefault="00395EF1" w:rsidP="003118BD">
            <w:pPr>
              <w:spacing w:before="60" w:after="60"/>
              <w:jc w:val="center"/>
              <w:rPr>
                <w:rFonts w:ascii="Arial" w:hAnsi="Arial" w:cs="Arial"/>
                <w:color w:val="000000"/>
                <w:sz w:val="20"/>
                <w:szCs w:val="20"/>
                <w:lang w:eastAsia="vi-VN"/>
              </w:rPr>
            </w:pPr>
          </w:p>
        </w:tc>
        <w:tc>
          <w:tcPr>
            <w:tcW w:w="1767" w:type="dxa"/>
            <w:tcBorders>
              <w:top w:val="single" w:sz="4" w:space="0" w:color="auto"/>
              <w:left w:val="nil"/>
              <w:bottom w:val="single" w:sz="4" w:space="0" w:color="auto"/>
              <w:right w:val="nil"/>
            </w:tcBorders>
            <w:shd w:val="clear" w:color="auto" w:fill="auto"/>
            <w:vAlign w:val="center"/>
            <w:hideMark/>
          </w:tcPr>
          <w:p w14:paraId="3A87E233" w14:textId="0CA150D5" w:rsidR="00395EF1" w:rsidRPr="00985565" w:rsidRDefault="008A3E60" w:rsidP="003118BD">
            <w:pPr>
              <w:spacing w:before="60" w:after="60"/>
              <w:jc w:val="center"/>
              <w:rPr>
                <w:rFonts w:ascii="Arial" w:hAnsi="Arial" w:cs="Arial"/>
                <w:sz w:val="20"/>
                <w:szCs w:val="20"/>
                <w:lang w:eastAsia="vi-VN"/>
              </w:rPr>
            </w:pPr>
            <w:r w:rsidRPr="00483451">
              <w:rPr>
                <w:rFonts w:ascii="Arial" w:hAnsi="Arial" w:cs="Arial"/>
                <w:color w:val="000000" w:themeColor="text1"/>
                <w:sz w:val="20"/>
                <w:szCs w:val="20"/>
                <w:lang w:eastAsia="vi-VN"/>
              </w:rPr>
              <w:t>Carried</w:t>
            </w:r>
            <w:r w:rsidRPr="00483451">
              <w:rPr>
                <w:rFonts w:ascii="Arial" w:hAnsi="Arial" w:cs="Arial"/>
                <w:color w:val="000000" w:themeColor="text1"/>
                <w:sz w:val="20"/>
                <w:szCs w:val="20"/>
                <w:lang w:eastAsia="vi-VN"/>
              </w:rPr>
              <w:br/>
              <w:t>(Mill. tons)</w:t>
            </w:r>
          </w:p>
        </w:tc>
        <w:tc>
          <w:tcPr>
            <w:tcW w:w="1638" w:type="dxa"/>
            <w:tcBorders>
              <w:top w:val="single" w:sz="4" w:space="0" w:color="auto"/>
              <w:left w:val="nil"/>
              <w:bottom w:val="single" w:sz="4" w:space="0" w:color="auto"/>
              <w:right w:val="nil"/>
            </w:tcBorders>
            <w:shd w:val="clear" w:color="auto" w:fill="auto"/>
            <w:vAlign w:val="center"/>
            <w:hideMark/>
          </w:tcPr>
          <w:p w14:paraId="09FD9B24" w14:textId="7FD141A4" w:rsidR="00395EF1" w:rsidRPr="00985565" w:rsidRDefault="008A3E60" w:rsidP="003118BD">
            <w:pPr>
              <w:spacing w:before="60" w:after="60"/>
              <w:jc w:val="center"/>
              <w:rPr>
                <w:rFonts w:ascii="Arial" w:hAnsi="Arial" w:cs="Arial"/>
                <w:sz w:val="20"/>
                <w:szCs w:val="20"/>
                <w:lang w:eastAsia="vi-VN"/>
              </w:rPr>
            </w:pPr>
            <w:r w:rsidRPr="00483451">
              <w:rPr>
                <w:rFonts w:ascii="Arial" w:hAnsi="Arial" w:cs="Arial"/>
                <w:color w:val="000000" w:themeColor="text1"/>
                <w:sz w:val="20"/>
                <w:szCs w:val="20"/>
                <w:lang w:eastAsia="vi-VN"/>
              </w:rPr>
              <w:t>Traffic</w:t>
            </w:r>
            <w:r w:rsidRPr="00483451">
              <w:rPr>
                <w:rFonts w:ascii="Arial" w:hAnsi="Arial" w:cs="Arial"/>
                <w:color w:val="000000" w:themeColor="text1"/>
                <w:sz w:val="20"/>
                <w:szCs w:val="20"/>
                <w:lang w:eastAsia="vi-VN"/>
              </w:rPr>
              <w:br/>
              <w:t>(Bill. tons-km)</w:t>
            </w:r>
          </w:p>
        </w:tc>
        <w:tc>
          <w:tcPr>
            <w:tcW w:w="1499" w:type="dxa"/>
            <w:tcBorders>
              <w:top w:val="single" w:sz="4" w:space="0" w:color="auto"/>
              <w:left w:val="nil"/>
              <w:bottom w:val="single" w:sz="4" w:space="0" w:color="auto"/>
              <w:right w:val="nil"/>
            </w:tcBorders>
            <w:shd w:val="clear" w:color="auto" w:fill="auto"/>
            <w:vAlign w:val="center"/>
            <w:hideMark/>
          </w:tcPr>
          <w:p w14:paraId="61357B09" w14:textId="17FF658E" w:rsidR="00395EF1" w:rsidRPr="00985565" w:rsidRDefault="008A3E60" w:rsidP="003118BD">
            <w:pPr>
              <w:spacing w:before="60" w:after="60"/>
              <w:jc w:val="center"/>
              <w:rPr>
                <w:rFonts w:ascii="Arial" w:hAnsi="Arial" w:cs="Arial"/>
                <w:sz w:val="20"/>
                <w:szCs w:val="20"/>
                <w:lang w:eastAsia="vi-VN"/>
              </w:rPr>
            </w:pPr>
            <w:r w:rsidRPr="00483451">
              <w:rPr>
                <w:rFonts w:ascii="Arial" w:hAnsi="Arial" w:cs="Arial"/>
                <w:color w:val="000000" w:themeColor="text1"/>
                <w:sz w:val="20"/>
                <w:szCs w:val="20"/>
                <w:lang w:eastAsia="vi-VN"/>
              </w:rPr>
              <w:t>Carried</w:t>
            </w:r>
          </w:p>
        </w:tc>
        <w:tc>
          <w:tcPr>
            <w:tcW w:w="1525" w:type="dxa"/>
            <w:tcBorders>
              <w:top w:val="single" w:sz="4" w:space="0" w:color="auto"/>
              <w:left w:val="nil"/>
              <w:bottom w:val="single" w:sz="4" w:space="0" w:color="auto"/>
              <w:right w:val="nil"/>
            </w:tcBorders>
            <w:shd w:val="clear" w:color="auto" w:fill="auto"/>
            <w:vAlign w:val="center"/>
            <w:hideMark/>
          </w:tcPr>
          <w:p w14:paraId="5BBDE2A2" w14:textId="2076C3AB" w:rsidR="00395EF1" w:rsidRPr="00985565" w:rsidRDefault="008A3E60" w:rsidP="003118BD">
            <w:pPr>
              <w:spacing w:before="60" w:after="60"/>
              <w:jc w:val="center"/>
              <w:rPr>
                <w:rFonts w:ascii="Arial" w:hAnsi="Arial" w:cs="Arial"/>
                <w:sz w:val="20"/>
                <w:szCs w:val="20"/>
                <w:lang w:eastAsia="vi-VN"/>
              </w:rPr>
            </w:pPr>
            <w:r w:rsidRPr="00483451">
              <w:rPr>
                <w:rFonts w:ascii="Arial" w:hAnsi="Arial" w:cs="Arial"/>
                <w:color w:val="000000" w:themeColor="text1"/>
                <w:sz w:val="20"/>
                <w:szCs w:val="20"/>
                <w:lang w:eastAsia="vi-VN"/>
              </w:rPr>
              <w:t>Traffic</w:t>
            </w:r>
          </w:p>
        </w:tc>
      </w:tr>
      <w:tr w:rsidR="00395EF1" w:rsidRPr="00795365" w14:paraId="10B8182B" w14:textId="77777777" w:rsidTr="003118BD">
        <w:trPr>
          <w:cantSplit/>
          <w:trHeight w:val="340"/>
          <w:jc w:val="center"/>
        </w:trPr>
        <w:tc>
          <w:tcPr>
            <w:tcW w:w="2355" w:type="dxa"/>
            <w:tcBorders>
              <w:top w:val="nil"/>
              <w:left w:val="nil"/>
              <w:bottom w:val="nil"/>
              <w:right w:val="nil"/>
            </w:tcBorders>
            <w:shd w:val="clear" w:color="auto" w:fill="auto"/>
            <w:noWrap/>
            <w:vAlign w:val="center"/>
            <w:hideMark/>
          </w:tcPr>
          <w:p w14:paraId="50AAA618" w14:textId="23A3E432" w:rsidR="00395EF1" w:rsidRPr="00795365" w:rsidRDefault="008A3E60" w:rsidP="003118BD">
            <w:pPr>
              <w:spacing w:before="120" w:after="60"/>
              <w:rPr>
                <w:rFonts w:ascii="Arial" w:hAnsi="Arial" w:cs="Arial"/>
                <w:b/>
                <w:color w:val="000000"/>
                <w:sz w:val="20"/>
                <w:szCs w:val="20"/>
              </w:rPr>
            </w:pPr>
            <w:r w:rsidRPr="00483451">
              <w:rPr>
                <w:rFonts w:ascii="Arial" w:hAnsi="Arial" w:cs="Arial"/>
                <w:b/>
                <w:bCs/>
                <w:color w:val="000000" w:themeColor="text1"/>
                <w:sz w:val="20"/>
                <w:szCs w:val="20"/>
                <w:lang w:eastAsia="vi-VN"/>
              </w:rPr>
              <w:t>Total</w:t>
            </w:r>
          </w:p>
        </w:tc>
        <w:tc>
          <w:tcPr>
            <w:tcW w:w="1767" w:type="dxa"/>
            <w:tcBorders>
              <w:top w:val="single" w:sz="4" w:space="0" w:color="auto"/>
              <w:left w:val="nil"/>
              <w:bottom w:val="nil"/>
              <w:right w:val="nil"/>
            </w:tcBorders>
            <w:shd w:val="clear" w:color="auto" w:fill="auto"/>
            <w:noWrap/>
            <w:vAlign w:val="bottom"/>
            <w:hideMark/>
          </w:tcPr>
          <w:p w14:paraId="3DB2B791" w14:textId="7C4AF90A" w:rsidR="00395EF1" w:rsidRPr="00795365" w:rsidRDefault="00395EF1" w:rsidP="003118BD">
            <w:pPr>
              <w:ind w:right="470"/>
              <w:jc w:val="right"/>
              <w:rPr>
                <w:rFonts w:ascii="Arial" w:hAnsi="Arial" w:cs="Arial"/>
                <w:b/>
                <w:color w:val="000000"/>
                <w:sz w:val="20"/>
                <w:szCs w:val="20"/>
                <w:lang w:val="en-US"/>
              </w:rPr>
            </w:pPr>
            <w:r w:rsidRPr="00795365">
              <w:rPr>
                <w:rFonts w:ascii="Arial" w:hAnsi="Arial" w:cs="Arial"/>
                <w:b/>
                <w:color w:val="000000"/>
                <w:sz w:val="20"/>
                <w:szCs w:val="20"/>
              </w:rPr>
              <w:t>1302</w:t>
            </w:r>
            <w:r w:rsidR="008A3E60">
              <w:rPr>
                <w:rFonts w:ascii="Arial" w:hAnsi="Arial" w:cs="Arial"/>
                <w:b/>
                <w:color w:val="000000"/>
                <w:sz w:val="20"/>
                <w:szCs w:val="20"/>
              </w:rPr>
              <w:t>.</w:t>
            </w:r>
            <w:r w:rsidRPr="00795365">
              <w:rPr>
                <w:rFonts w:ascii="Arial" w:hAnsi="Arial" w:cs="Arial"/>
                <w:b/>
                <w:color w:val="000000"/>
                <w:sz w:val="20"/>
                <w:szCs w:val="20"/>
              </w:rPr>
              <w:t>6</w:t>
            </w:r>
          </w:p>
        </w:tc>
        <w:tc>
          <w:tcPr>
            <w:tcW w:w="1638" w:type="dxa"/>
            <w:tcBorders>
              <w:top w:val="single" w:sz="4" w:space="0" w:color="auto"/>
              <w:left w:val="nil"/>
              <w:bottom w:val="nil"/>
              <w:right w:val="nil"/>
            </w:tcBorders>
            <w:shd w:val="clear" w:color="auto" w:fill="auto"/>
            <w:noWrap/>
            <w:vAlign w:val="bottom"/>
            <w:hideMark/>
          </w:tcPr>
          <w:p w14:paraId="0C390F25" w14:textId="55859946" w:rsidR="00395EF1" w:rsidRPr="00795365" w:rsidRDefault="00395EF1" w:rsidP="003118BD">
            <w:pPr>
              <w:ind w:right="470"/>
              <w:jc w:val="right"/>
              <w:rPr>
                <w:rFonts w:ascii="Arial" w:hAnsi="Arial" w:cs="Arial"/>
                <w:b/>
                <w:color w:val="000000"/>
                <w:sz w:val="20"/>
                <w:szCs w:val="20"/>
                <w:lang w:val="en-US"/>
              </w:rPr>
            </w:pPr>
            <w:r w:rsidRPr="00795365">
              <w:rPr>
                <w:rFonts w:ascii="Arial" w:hAnsi="Arial" w:cs="Arial"/>
                <w:b/>
                <w:color w:val="000000"/>
                <w:sz w:val="20"/>
                <w:szCs w:val="20"/>
              </w:rPr>
              <w:t>279</w:t>
            </w:r>
            <w:r w:rsidR="008A3E60">
              <w:rPr>
                <w:rFonts w:ascii="Arial" w:hAnsi="Arial" w:cs="Arial"/>
                <w:b/>
                <w:color w:val="000000"/>
                <w:sz w:val="20"/>
                <w:szCs w:val="20"/>
              </w:rPr>
              <w:t>.</w:t>
            </w:r>
            <w:r>
              <w:rPr>
                <w:rFonts w:ascii="Arial" w:hAnsi="Arial" w:cs="Arial"/>
                <w:b/>
                <w:color w:val="000000"/>
                <w:sz w:val="20"/>
                <w:szCs w:val="20"/>
                <w:lang w:val="en-US"/>
              </w:rPr>
              <w:t>6</w:t>
            </w:r>
          </w:p>
        </w:tc>
        <w:tc>
          <w:tcPr>
            <w:tcW w:w="1499" w:type="dxa"/>
            <w:tcBorders>
              <w:top w:val="single" w:sz="4" w:space="0" w:color="auto"/>
              <w:left w:val="nil"/>
              <w:bottom w:val="nil"/>
              <w:right w:val="nil"/>
            </w:tcBorders>
            <w:shd w:val="clear" w:color="auto" w:fill="auto"/>
            <w:noWrap/>
            <w:vAlign w:val="bottom"/>
            <w:hideMark/>
          </w:tcPr>
          <w:p w14:paraId="0406AD47" w14:textId="585024FF" w:rsidR="00395EF1" w:rsidRPr="00795365" w:rsidRDefault="00395EF1" w:rsidP="003118BD">
            <w:pPr>
              <w:ind w:right="347"/>
              <w:jc w:val="right"/>
              <w:rPr>
                <w:rFonts w:ascii="Arial" w:hAnsi="Arial" w:cs="Arial"/>
                <w:b/>
                <w:color w:val="000000"/>
                <w:sz w:val="20"/>
                <w:szCs w:val="20"/>
              </w:rPr>
            </w:pPr>
            <w:r w:rsidRPr="00795365">
              <w:rPr>
                <w:rFonts w:ascii="Arial" w:hAnsi="Arial" w:cs="Arial"/>
                <w:b/>
                <w:color w:val="000000"/>
                <w:sz w:val="20"/>
                <w:szCs w:val="20"/>
              </w:rPr>
              <w:t xml:space="preserve">       20</w:t>
            </w:r>
            <w:r w:rsidR="008A3E60">
              <w:rPr>
                <w:rFonts w:ascii="Arial" w:hAnsi="Arial" w:cs="Arial"/>
                <w:b/>
                <w:color w:val="000000"/>
                <w:sz w:val="20"/>
                <w:szCs w:val="20"/>
              </w:rPr>
              <w:t>.</w:t>
            </w:r>
            <w:r w:rsidRPr="00795365">
              <w:rPr>
                <w:rFonts w:ascii="Arial" w:hAnsi="Arial" w:cs="Arial"/>
                <w:b/>
                <w:color w:val="000000"/>
                <w:sz w:val="20"/>
                <w:szCs w:val="20"/>
              </w:rPr>
              <w:t xml:space="preserve">6 </w:t>
            </w:r>
          </w:p>
        </w:tc>
        <w:tc>
          <w:tcPr>
            <w:tcW w:w="1525" w:type="dxa"/>
            <w:tcBorders>
              <w:top w:val="single" w:sz="4" w:space="0" w:color="auto"/>
              <w:left w:val="nil"/>
              <w:bottom w:val="nil"/>
              <w:right w:val="nil"/>
            </w:tcBorders>
            <w:shd w:val="clear" w:color="auto" w:fill="auto"/>
            <w:noWrap/>
            <w:vAlign w:val="bottom"/>
            <w:hideMark/>
          </w:tcPr>
          <w:p w14:paraId="0F321E10" w14:textId="6FB72C01" w:rsidR="00395EF1" w:rsidRPr="00795365" w:rsidRDefault="00395EF1" w:rsidP="003118BD">
            <w:pPr>
              <w:ind w:right="347"/>
              <w:jc w:val="right"/>
              <w:rPr>
                <w:rFonts w:ascii="Arial" w:hAnsi="Arial" w:cs="Arial"/>
                <w:b/>
                <w:color w:val="000000"/>
                <w:sz w:val="20"/>
                <w:szCs w:val="20"/>
              </w:rPr>
            </w:pPr>
            <w:r w:rsidRPr="00795365">
              <w:rPr>
                <w:rFonts w:ascii="Arial" w:hAnsi="Arial" w:cs="Arial"/>
                <w:b/>
                <w:color w:val="000000"/>
                <w:sz w:val="20"/>
                <w:szCs w:val="20"/>
              </w:rPr>
              <w:t xml:space="preserve">       28</w:t>
            </w:r>
            <w:r w:rsidR="008A3E60">
              <w:rPr>
                <w:rFonts w:ascii="Arial" w:hAnsi="Arial" w:cs="Arial"/>
                <w:b/>
                <w:color w:val="000000"/>
                <w:sz w:val="20"/>
                <w:szCs w:val="20"/>
              </w:rPr>
              <w:t>.</w:t>
            </w:r>
            <w:r w:rsidRPr="00795365">
              <w:rPr>
                <w:rFonts w:ascii="Arial" w:hAnsi="Arial" w:cs="Arial"/>
                <w:b/>
                <w:color w:val="000000"/>
                <w:sz w:val="20"/>
                <w:szCs w:val="20"/>
              </w:rPr>
              <w:t xml:space="preserve">0 </w:t>
            </w:r>
          </w:p>
        </w:tc>
      </w:tr>
      <w:tr w:rsidR="00395EF1" w:rsidRPr="00985565" w14:paraId="6DA79305" w14:textId="77777777" w:rsidTr="003118BD">
        <w:trPr>
          <w:cantSplit/>
          <w:trHeight w:val="340"/>
          <w:jc w:val="center"/>
        </w:trPr>
        <w:tc>
          <w:tcPr>
            <w:tcW w:w="2355" w:type="dxa"/>
            <w:tcBorders>
              <w:top w:val="nil"/>
              <w:left w:val="nil"/>
              <w:bottom w:val="nil"/>
              <w:right w:val="nil"/>
            </w:tcBorders>
            <w:shd w:val="clear" w:color="auto" w:fill="auto"/>
            <w:noWrap/>
            <w:vAlign w:val="center"/>
            <w:hideMark/>
          </w:tcPr>
          <w:p w14:paraId="0183E09F" w14:textId="3D1AF136" w:rsidR="00395EF1" w:rsidRPr="00985565" w:rsidRDefault="008A3E60" w:rsidP="003118BD">
            <w:pPr>
              <w:spacing w:before="60" w:after="60"/>
              <w:ind w:firstLine="176"/>
              <w:rPr>
                <w:rFonts w:ascii="Arial" w:hAnsi="Arial" w:cs="Arial"/>
                <w:sz w:val="20"/>
                <w:szCs w:val="20"/>
                <w:lang w:eastAsia="vi-VN"/>
              </w:rPr>
            </w:pPr>
            <w:r w:rsidRPr="00483451">
              <w:rPr>
                <w:rFonts w:ascii="Arial" w:hAnsi="Arial" w:cs="Arial"/>
                <w:color w:val="000000" w:themeColor="text1"/>
                <w:sz w:val="20"/>
                <w:szCs w:val="20"/>
              </w:rPr>
              <w:t>Railway</w:t>
            </w:r>
          </w:p>
        </w:tc>
        <w:tc>
          <w:tcPr>
            <w:tcW w:w="1767" w:type="dxa"/>
            <w:tcBorders>
              <w:top w:val="nil"/>
              <w:left w:val="nil"/>
              <w:bottom w:val="nil"/>
              <w:right w:val="nil"/>
            </w:tcBorders>
            <w:shd w:val="clear" w:color="auto" w:fill="auto"/>
            <w:noWrap/>
            <w:vAlign w:val="bottom"/>
            <w:hideMark/>
          </w:tcPr>
          <w:p w14:paraId="3B4CF3AD" w14:textId="2699207E" w:rsidR="00395EF1" w:rsidRDefault="00395EF1" w:rsidP="003118BD">
            <w:pPr>
              <w:ind w:right="470"/>
              <w:jc w:val="right"/>
              <w:rPr>
                <w:rFonts w:ascii="Arial" w:hAnsi="Arial" w:cs="Arial"/>
                <w:color w:val="000000"/>
                <w:sz w:val="20"/>
                <w:szCs w:val="20"/>
              </w:rPr>
            </w:pPr>
            <w:r>
              <w:rPr>
                <w:rFonts w:ascii="Arial" w:hAnsi="Arial" w:cs="Arial"/>
                <w:color w:val="000000"/>
                <w:sz w:val="20"/>
                <w:szCs w:val="20"/>
              </w:rPr>
              <w:t>3</w:t>
            </w:r>
            <w:r w:rsidR="008A3E60">
              <w:rPr>
                <w:rFonts w:ascii="Arial" w:hAnsi="Arial" w:cs="Arial"/>
                <w:color w:val="000000"/>
                <w:sz w:val="20"/>
                <w:szCs w:val="20"/>
              </w:rPr>
              <w:t>.</w:t>
            </w:r>
            <w:r>
              <w:rPr>
                <w:rFonts w:ascii="Arial" w:hAnsi="Arial" w:cs="Arial"/>
                <w:color w:val="000000"/>
                <w:sz w:val="20"/>
                <w:szCs w:val="20"/>
              </w:rPr>
              <w:t>9</w:t>
            </w:r>
          </w:p>
        </w:tc>
        <w:tc>
          <w:tcPr>
            <w:tcW w:w="1638" w:type="dxa"/>
            <w:tcBorders>
              <w:top w:val="nil"/>
              <w:left w:val="nil"/>
              <w:bottom w:val="nil"/>
              <w:right w:val="nil"/>
            </w:tcBorders>
            <w:shd w:val="clear" w:color="auto" w:fill="auto"/>
            <w:noWrap/>
            <w:vAlign w:val="bottom"/>
            <w:hideMark/>
          </w:tcPr>
          <w:p w14:paraId="122D0B5E" w14:textId="65F40B75" w:rsidR="00395EF1" w:rsidRDefault="00395EF1" w:rsidP="003118BD">
            <w:pPr>
              <w:ind w:right="470"/>
              <w:jc w:val="right"/>
              <w:rPr>
                <w:rFonts w:ascii="Arial" w:hAnsi="Arial" w:cs="Arial"/>
                <w:color w:val="000000"/>
                <w:sz w:val="20"/>
                <w:szCs w:val="20"/>
              </w:rPr>
            </w:pPr>
            <w:r>
              <w:rPr>
                <w:rFonts w:ascii="Arial" w:hAnsi="Arial" w:cs="Arial"/>
                <w:color w:val="000000"/>
                <w:sz w:val="20"/>
                <w:szCs w:val="20"/>
              </w:rPr>
              <w:t>3</w:t>
            </w:r>
            <w:r w:rsidR="008A3E60">
              <w:rPr>
                <w:rFonts w:ascii="Arial" w:hAnsi="Arial" w:cs="Arial"/>
                <w:color w:val="000000"/>
                <w:sz w:val="20"/>
                <w:szCs w:val="20"/>
              </w:rPr>
              <w:t>.</w:t>
            </w:r>
            <w:r>
              <w:rPr>
                <w:rFonts w:ascii="Arial" w:hAnsi="Arial" w:cs="Arial"/>
                <w:color w:val="000000"/>
                <w:sz w:val="20"/>
                <w:szCs w:val="20"/>
              </w:rPr>
              <w:t>1</w:t>
            </w:r>
          </w:p>
        </w:tc>
        <w:tc>
          <w:tcPr>
            <w:tcW w:w="1499" w:type="dxa"/>
            <w:tcBorders>
              <w:top w:val="nil"/>
              <w:left w:val="nil"/>
              <w:bottom w:val="nil"/>
              <w:right w:val="nil"/>
            </w:tcBorders>
            <w:shd w:val="clear" w:color="auto" w:fill="auto"/>
            <w:noWrap/>
            <w:vAlign w:val="bottom"/>
            <w:hideMark/>
          </w:tcPr>
          <w:p w14:paraId="6519DA15" w14:textId="660397C9" w:rsidR="00395EF1" w:rsidRDefault="00395EF1" w:rsidP="003118BD">
            <w:pPr>
              <w:ind w:right="347"/>
              <w:jc w:val="right"/>
              <w:rPr>
                <w:rFonts w:ascii="Arial" w:hAnsi="Arial" w:cs="Arial"/>
                <w:color w:val="000000"/>
                <w:sz w:val="20"/>
                <w:szCs w:val="20"/>
              </w:rPr>
            </w:pPr>
            <w:r>
              <w:rPr>
                <w:rFonts w:ascii="Arial" w:hAnsi="Arial" w:cs="Arial"/>
                <w:color w:val="000000"/>
                <w:sz w:val="20"/>
                <w:szCs w:val="20"/>
              </w:rPr>
              <w:t xml:space="preserve">         6</w:t>
            </w:r>
            <w:r w:rsidR="008A3E60">
              <w:rPr>
                <w:rFonts w:ascii="Arial" w:hAnsi="Arial" w:cs="Arial"/>
                <w:color w:val="000000"/>
                <w:sz w:val="20"/>
                <w:szCs w:val="20"/>
              </w:rPr>
              <w:t>.</w:t>
            </w:r>
            <w:r>
              <w:rPr>
                <w:rFonts w:ascii="Arial" w:hAnsi="Arial" w:cs="Arial"/>
                <w:color w:val="000000"/>
                <w:sz w:val="20"/>
                <w:szCs w:val="20"/>
              </w:rPr>
              <w:t xml:space="preserve">5 </w:t>
            </w:r>
          </w:p>
        </w:tc>
        <w:tc>
          <w:tcPr>
            <w:tcW w:w="1525" w:type="dxa"/>
            <w:tcBorders>
              <w:top w:val="nil"/>
              <w:left w:val="nil"/>
              <w:bottom w:val="nil"/>
              <w:right w:val="nil"/>
            </w:tcBorders>
            <w:shd w:val="clear" w:color="auto" w:fill="auto"/>
            <w:noWrap/>
            <w:vAlign w:val="bottom"/>
            <w:hideMark/>
          </w:tcPr>
          <w:p w14:paraId="2BD035AA" w14:textId="44987D11" w:rsidR="00395EF1" w:rsidRDefault="00395EF1" w:rsidP="003118BD">
            <w:pPr>
              <w:ind w:right="347"/>
              <w:jc w:val="right"/>
              <w:rPr>
                <w:rFonts w:ascii="Arial" w:hAnsi="Arial" w:cs="Arial"/>
                <w:color w:val="000000"/>
                <w:sz w:val="20"/>
                <w:szCs w:val="20"/>
              </w:rPr>
            </w:pPr>
            <w:r>
              <w:rPr>
                <w:rFonts w:ascii="Arial" w:hAnsi="Arial" w:cs="Arial"/>
                <w:color w:val="000000"/>
                <w:sz w:val="20"/>
                <w:szCs w:val="20"/>
              </w:rPr>
              <w:t xml:space="preserve">       25</w:t>
            </w:r>
            <w:r w:rsidR="008A3E60">
              <w:rPr>
                <w:rFonts w:ascii="Arial" w:hAnsi="Arial" w:cs="Arial"/>
                <w:color w:val="000000"/>
                <w:sz w:val="20"/>
                <w:szCs w:val="20"/>
              </w:rPr>
              <w:t>.</w:t>
            </w:r>
            <w:r>
              <w:rPr>
                <w:rFonts w:ascii="Arial" w:hAnsi="Arial" w:cs="Arial"/>
                <w:color w:val="000000"/>
                <w:sz w:val="20"/>
                <w:szCs w:val="20"/>
              </w:rPr>
              <w:t xml:space="preserve">5 </w:t>
            </w:r>
          </w:p>
        </w:tc>
      </w:tr>
      <w:tr w:rsidR="00395EF1" w:rsidRPr="00985565" w14:paraId="1756EF51" w14:textId="77777777" w:rsidTr="003118BD">
        <w:trPr>
          <w:cantSplit/>
          <w:trHeight w:val="340"/>
          <w:jc w:val="center"/>
        </w:trPr>
        <w:tc>
          <w:tcPr>
            <w:tcW w:w="2355" w:type="dxa"/>
            <w:tcBorders>
              <w:top w:val="nil"/>
              <w:left w:val="nil"/>
              <w:bottom w:val="nil"/>
              <w:right w:val="nil"/>
            </w:tcBorders>
            <w:shd w:val="clear" w:color="auto" w:fill="auto"/>
            <w:noWrap/>
            <w:vAlign w:val="center"/>
            <w:hideMark/>
          </w:tcPr>
          <w:p w14:paraId="50C025F8" w14:textId="2B0D9AB2" w:rsidR="00395EF1" w:rsidRPr="00985565" w:rsidRDefault="008A3E60" w:rsidP="003118BD">
            <w:pPr>
              <w:spacing w:before="60" w:after="60"/>
              <w:ind w:firstLine="176"/>
              <w:rPr>
                <w:rFonts w:ascii="Arial" w:hAnsi="Arial" w:cs="Arial"/>
                <w:sz w:val="20"/>
                <w:szCs w:val="20"/>
                <w:lang w:eastAsia="vi-VN"/>
              </w:rPr>
            </w:pPr>
            <w:r w:rsidRPr="00483451">
              <w:rPr>
                <w:rFonts w:ascii="Arial" w:hAnsi="Arial" w:cs="Arial"/>
                <w:color w:val="000000" w:themeColor="text1"/>
                <w:sz w:val="20"/>
                <w:szCs w:val="20"/>
              </w:rPr>
              <w:t>Seaway</w:t>
            </w:r>
          </w:p>
        </w:tc>
        <w:tc>
          <w:tcPr>
            <w:tcW w:w="1767" w:type="dxa"/>
            <w:tcBorders>
              <w:top w:val="nil"/>
              <w:left w:val="nil"/>
              <w:bottom w:val="nil"/>
              <w:right w:val="nil"/>
            </w:tcBorders>
            <w:shd w:val="clear" w:color="auto" w:fill="auto"/>
            <w:noWrap/>
            <w:vAlign w:val="bottom"/>
            <w:hideMark/>
          </w:tcPr>
          <w:p w14:paraId="767D7E5F" w14:textId="6A768D83" w:rsidR="00395EF1" w:rsidRDefault="00395EF1" w:rsidP="003118BD">
            <w:pPr>
              <w:ind w:right="470"/>
              <w:jc w:val="right"/>
              <w:rPr>
                <w:rFonts w:ascii="Arial" w:hAnsi="Arial" w:cs="Arial"/>
                <w:color w:val="000000"/>
                <w:sz w:val="20"/>
                <w:szCs w:val="20"/>
              </w:rPr>
            </w:pPr>
            <w:r>
              <w:rPr>
                <w:rFonts w:ascii="Arial" w:hAnsi="Arial" w:cs="Arial"/>
                <w:color w:val="000000"/>
                <w:sz w:val="20"/>
                <w:szCs w:val="20"/>
              </w:rPr>
              <w:t>68</w:t>
            </w:r>
            <w:r w:rsidR="008A3E60">
              <w:rPr>
                <w:rFonts w:ascii="Arial" w:hAnsi="Arial" w:cs="Arial"/>
                <w:color w:val="000000"/>
                <w:sz w:val="20"/>
                <w:szCs w:val="20"/>
              </w:rPr>
              <w:t>.</w:t>
            </w:r>
            <w:r>
              <w:rPr>
                <w:rFonts w:ascii="Arial" w:hAnsi="Arial" w:cs="Arial"/>
                <w:color w:val="000000"/>
                <w:sz w:val="20"/>
                <w:szCs w:val="20"/>
              </w:rPr>
              <w:t>1</w:t>
            </w:r>
          </w:p>
        </w:tc>
        <w:tc>
          <w:tcPr>
            <w:tcW w:w="1638" w:type="dxa"/>
            <w:tcBorders>
              <w:top w:val="nil"/>
              <w:left w:val="nil"/>
              <w:bottom w:val="nil"/>
              <w:right w:val="nil"/>
            </w:tcBorders>
            <w:shd w:val="clear" w:color="auto" w:fill="auto"/>
            <w:noWrap/>
            <w:vAlign w:val="bottom"/>
            <w:hideMark/>
          </w:tcPr>
          <w:p w14:paraId="4765F633" w14:textId="1CC91E8D" w:rsidR="00395EF1" w:rsidRDefault="00395EF1" w:rsidP="003118BD">
            <w:pPr>
              <w:ind w:right="470"/>
              <w:jc w:val="right"/>
              <w:rPr>
                <w:rFonts w:ascii="Arial" w:hAnsi="Arial" w:cs="Arial"/>
                <w:color w:val="000000"/>
                <w:sz w:val="20"/>
                <w:szCs w:val="20"/>
              </w:rPr>
            </w:pPr>
            <w:r>
              <w:rPr>
                <w:rFonts w:ascii="Arial" w:hAnsi="Arial" w:cs="Arial"/>
                <w:color w:val="000000"/>
                <w:sz w:val="20"/>
                <w:szCs w:val="20"/>
              </w:rPr>
              <w:t>150</w:t>
            </w:r>
            <w:r w:rsidR="008A3E60">
              <w:rPr>
                <w:rFonts w:ascii="Arial" w:hAnsi="Arial" w:cs="Arial"/>
                <w:color w:val="000000"/>
                <w:sz w:val="20"/>
                <w:szCs w:val="20"/>
              </w:rPr>
              <w:t>.</w:t>
            </w:r>
            <w:r>
              <w:rPr>
                <w:rFonts w:ascii="Arial" w:hAnsi="Arial" w:cs="Arial"/>
                <w:color w:val="000000"/>
                <w:sz w:val="20"/>
                <w:szCs w:val="20"/>
              </w:rPr>
              <w:t>5</w:t>
            </w:r>
          </w:p>
        </w:tc>
        <w:tc>
          <w:tcPr>
            <w:tcW w:w="1499" w:type="dxa"/>
            <w:tcBorders>
              <w:top w:val="nil"/>
              <w:left w:val="nil"/>
              <w:bottom w:val="nil"/>
              <w:right w:val="nil"/>
            </w:tcBorders>
            <w:shd w:val="clear" w:color="auto" w:fill="auto"/>
            <w:noWrap/>
            <w:vAlign w:val="bottom"/>
            <w:hideMark/>
          </w:tcPr>
          <w:p w14:paraId="2DA2EDC0" w14:textId="762B71D7" w:rsidR="00395EF1" w:rsidRDefault="00395EF1" w:rsidP="003118BD">
            <w:pPr>
              <w:ind w:right="347"/>
              <w:jc w:val="right"/>
              <w:rPr>
                <w:rFonts w:ascii="Arial" w:hAnsi="Arial" w:cs="Arial"/>
                <w:color w:val="000000"/>
                <w:sz w:val="20"/>
                <w:szCs w:val="20"/>
              </w:rPr>
            </w:pPr>
            <w:r>
              <w:rPr>
                <w:rFonts w:ascii="Arial" w:hAnsi="Arial" w:cs="Arial"/>
                <w:color w:val="000000"/>
                <w:sz w:val="20"/>
                <w:szCs w:val="20"/>
              </w:rPr>
              <w:t xml:space="preserve">       24</w:t>
            </w:r>
            <w:r w:rsidR="008A3E60">
              <w:rPr>
                <w:rFonts w:ascii="Arial" w:hAnsi="Arial" w:cs="Arial"/>
                <w:color w:val="000000"/>
                <w:sz w:val="20"/>
                <w:szCs w:val="20"/>
              </w:rPr>
              <w:t>.</w:t>
            </w:r>
            <w:r>
              <w:rPr>
                <w:rFonts w:ascii="Arial" w:hAnsi="Arial" w:cs="Arial"/>
                <w:color w:val="000000"/>
                <w:sz w:val="20"/>
                <w:szCs w:val="20"/>
              </w:rPr>
              <w:t xml:space="preserve">8 </w:t>
            </w:r>
          </w:p>
        </w:tc>
        <w:tc>
          <w:tcPr>
            <w:tcW w:w="1525" w:type="dxa"/>
            <w:tcBorders>
              <w:top w:val="nil"/>
              <w:left w:val="nil"/>
              <w:bottom w:val="nil"/>
              <w:right w:val="nil"/>
            </w:tcBorders>
            <w:shd w:val="clear" w:color="auto" w:fill="auto"/>
            <w:noWrap/>
            <w:vAlign w:val="bottom"/>
            <w:hideMark/>
          </w:tcPr>
          <w:p w14:paraId="5E87B5D1" w14:textId="56C40309" w:rsidR="00395EF1" w:rsidRDefault="00395EF1" w:rsidP="003118BD">
            <w:pPr>
              <w:ind w:right="347"/>
              <w:jc w:val="right"/>
              <w:rPr>
                <w:rFonts w:ascii="Arial" w:hAnsi="Arial" w:cs="Arial"/>
                <w:color w:val="000000"/>
                <w:sz w:val="20"/>
                <w:szCs w:val="20"/>
              </w:rPr>
            </w:pPr>
            <w:r>
              <w:rPr>
                <w:rFonts w:ascii="Arial" w:hAnsi="Arial" w:cs="Arial"/>
                <w:color w:val="000000"/>
                <w:sz w:val="20"/>
                <w:szCs w:val="20"/>
              </w:rPr>
              <w:t xml:space="preserve">       35</w:t>
            </w:r>
            <w:r w:rsidR="008A3E60">
              <w:rPr>
                <w:rFonts w:ascii="Arial" w:hAnsi="Arial" w:cs="Arial"/>
                <w:color w:val="000000"/>
                <w:sz w:val="20"/>
                <w:szCs w:val="20"/>
              </w:rPr>
              <w:t>.</w:t>
            </w:r>
            <w:r>
              <w:rPr>
                <w:rFonts w:ascii="Arial" w:hAnsi="Arial" w:cs="Arial"/>
                <w:color w:val="000000"/>
                <w:sz w:val="20"/>
                <w:szCs w:val="20"/>
              </w:rPr>
              <w:t xml:space="preserve">0 </w:t>
            </w:r>
          </w:p>
        </w:tc>
      </w:tr>
      <w:tr w:rsidR="00395EF1" w:rsidRPr="00985565" w14:paraId="0FDA869B" w14:textId="77777777" w:rsidTr="003118BD">
        <w:trPr>
          <w:cantSplit/>
          <w:trHeight w:val="340"/>
          <w:jc w:val="center"/>
        </w:trPr>
        <w:tc>
          <w:tcPr>
            <w:tcW w:w="2355" w:type="dxa"/>
            <w:tcBorders>
              <w:top w:val="nil"/>
              <w:left w:val="nil"/>
              <w:bottom w:val="nil"/>
              <w:right w:val="nil"/>
            </w:tcBorders>
            <w:shd w:val="clear" w:color="auto" w:fill="auto"/>
            <w:noWrap/>
            <w:vAlign w:val="center"/>
            <w:hideMark/>
          </w:tcPr>
          <w:p w14:paraId="7D27A879" w14:textId="6BC94A61" w:rsidR="00395EF1" w:rsidRPr="00985565" w:rsidRDefault="008A3E60" w:rsidP="003118BD">
            <w:pPr>
              <w:spacing w:before="60" w:after="60"/>
              <w:ind w:firstLine="176"/>
              <w:rPr>
                <w:rFonts w:ascii="Arial" w:hAnsi="Arial" w:cs="Arial"/>
                <w:sz w:val="20"/>
                <w:szCs w:val="20"/>
                <w:lang w:eastAsia="vi-VN"/>
              </w:rPr>
            </w:pPr>
            <w:r w:rsidRPr="00483451">
              <w:rPr>
                <w:rFonts w:ascii="Arial" w:hAnsi="Arial" w:cs="Arial"/>
                <w:color w:val="000000" w:themeColor="text1"/>
                <w:sz w:val="20"/>
                <w:szCs w:val="20"/>
              </w:rPr>
              <w:t>Inland waterway</w:t>
            </w:r>
          </w:p>
        </w:tc>
        <w:tc>
          <w:tcPr>
            <w:tcW w:w="1767" w:type="dxa"/>
            <w:tcBorders>
              <w:top w:val="nil"/>
              <w:left w:val="nil"/>
              <w:bottom w:val="nil"/>
              <w:right w:val="nil"/>
            </w:tcBorders>
            <w:shd w:val="clear" w:color="auto" w:fill="auto"/>
            <w:noWrap/>
            <w:vAlign w:val="bottom"/>
            <w:hideMark/>
          </w:tcPr>
          <w:p w14:paraId="7577370B" w14:textId="1CF770B6" w:rsidR="00395EF1" w:rsidRDefault="00395EF1" w:rsidP="003118BD">
            <w:pPr>
              <w:ind w:right="470"/>
              <w:jc w:val="right"/>
              <w:rPr>
                <w:rFonts w:ascii="Arial" w:hAnsi="Arial" w:cs="Arial"/>
                <w:color w:val="000000"/>
                <w:sz w:val="20"/>
                <w:szCs w:val="20"/>
              </w:rPr>
            </w:pPr>
            <w:r>
              <w:rPr>
                <w:rFonts w:ascii="Arial" w:hAnsi="Arial" w:cs="Arial"/>
                <w:color w:val="000000"/>
                <w:sz w:val="20"/>
                <w:szCs w:val="20"/>
              </w:rPr>
              <w:t>260</w:t>
            </w:r>
            <w:r w:rsidR="008A3E60">
              <w:rPr>
                <w:rFonts w:ascii="Arial" w:hAnsi="Arial" w:cs="Arial"/>
                <w:color w:val="000000"/>
                <w:sz w:val="20"/>
                <w:szCs w:val="20"/>
              </w:rPr>
              <w:t>.</w:t>
            </w:r>
            <w:r>
              <w:rPr>
                <w:rFonts w:ascii="Arial" w:hAnsi="Arial" w:cs="Arial"/>
                <w:color w:val="000000"/>
                <w:sz w:val="20"/>
                <w:szCs w:val="20"/>
              </w:rPr>
              <w:t>0</w:t>
            </w:r>
          </w:p>
        </w:tc>
        <w:tc>
          <w:tcPr>
            <w:tcW w:w="1638" w:type="dxa"/>
            <w:tcBorders>
              <w:top w:val="nil"/>
              <w:left w:val="nil"/>
              <w:bottom w:val="nil"/>
              <w:right w:val="nil"/>
            </w:tcBorders>
            <w:shd w:val="clear" w:color="auto" w:fill="auto"/>
            <w:noWrap/>
            <w:vAlign w:val="bottom"/>
            <w:hideMark/>
          </w:tcPr>
          <w:p w14:paraId="7987A265" w14:textId="63A73D1D" w:rsidR="00395EF1" w:rsidRDefault="00395EF1" w:rsidP="003118BD">
            <w:pPr>
              <w:ind w:right="470"/>
              <w:jc w:val="right"/>
              <w:rPr>
                <w:rFonts w:ascii="Arial" w:hAnsi="Arial" w:cs="Arial"/>
                <w:color w:val="000000"/>
                <w:sz w:val="20"/>
                <w:szCs w:val="20"/>
              </w:rPr>
            </w:pPr>
            <w:r>
              <w:rPr>
                <w:rFonts w:ascii="Arial" w:hAnsi="Arial" w:cs="Arial"/>
                <w:color w:val="000000"/>
                <w:sz w:val="20"/>
                <w:szCs w:val="20"/>
              </w:rPr>
              <w:t>56</w:t>
            </w:r>
            <w:r w:rsidR="008A3E60">
              <w:rPr>
                <w:rFonts w:ascii="Arial" w:hAnsi="Arial" w:cs="Arial"/>
                <w:color w:val="000000"/>
                <w:sz w:val="20"/>
                <w:szCs w:val="20"/>
              </w:rPr>
              <w:t>.</w:t>
            </w:r>
            <w:r>
              <w:rPr>
                <w:rFonts w:ascii="Arial" w:hAnsi="Arial" w:cs="Arial"/>
                <w:color w:val="000000"/>
                <w:sz w:val="20"/>
                <w:szCs w:val="20"/>
              </w:rPr>
              <w:t>8</w:t>
            </w:r>
          </w:p>
        </w:tc>
        <w:tc>
          <w:tcPr>
            <w:tcW w:w="1499" w:type="dxa"/>
            <w:tcBorders>
              <w:top w:val="nil"/>
              <w:left w:val="nil"/>
              <w:bottom w:val="nil"/>
              <w:right w:val="nil"/>
            </w:tcBorders>
            <w:shd w:val="clear" w:color="auto" w:fill="auto"/>
            <w:noWrap/>
            <w:vAlign w:val="bottom"/>
            <w:hideMark/>
          </w:tcPr>
          <w:p w14:paraId="636DF134" w14:textId="39182CC9" w:rsidR="00395EF1" w:rsidRDefault="00395EF1" w:rsidP="003118BD">
            <w:pPr>
              <w:ind w:right="347"/>
              <w:jc w:val="right"/>
              <w:rPr>
                <w:rFonts w:ascii="Arial" w:hAnsi="Arial" w:cs="Arial"/>
                <w:color w:val="000000"/>
                <w:sz w:val="20"/>
                <w:szCs w:val="20"/>
              </w:rPr>
            </w:pPr>
            <w:r>
              <w:rPr>
                <w:rFonts w:ascii="Arial" w:hAnsi="Arial" w:cs="Arial"/>
                <w:color w:val="000000"/>
                <w:sz w:val="20"/>
                <w:szCs w:val="20"/>
              </w:rPr>
              <w:t xml:space="preserve">       23</w:t>
            </w:r>
            <w:r w:rsidR="008A3E60">
              <w:rPr>
                <w:rFonts w:ascii="Arial" w:hAnsi="Arial" w:cs="Arial"/>
                <w:color w:val="000000"/>
                <w:sz w:val="20"/>
                <w:szCs w:val="20"/>
              </w:rPr>
              <w:t>.</w:t>
            </w:r>
            <w:r>
              <w:rPr>
                <w:rFonts w:ascii="Arial" w:hAnsi="Arial" w:cs="Arial"/>
                <w:color w:val="000000"/>
                <w:sz w:val="20"/>
                <w:szCs w:val="20"/>
              </w:rPr>
              <w:t xml:space="preserve">6 </w:t>
            </w:r>
          </w:p>
        </w:tc>
        <w:tc>
          <w:tcPr>
            <w:tcW w:w="1525" w:type="dxa"/>
            <w:tcBorders>
              <w:top w:val="nil"/>
              <w:left w:val="nil"/>
              <w:bottom w:val="nil"/>
              <w:right w:val="nil"/>
            </w:tcBorders>
            <w:shd w:val="clear" w:color="auto" w:fill="auto"/>
            <w:noWrap/>
            <w:vAlign w:val="bottom"/>
            <w:hideMark/>
          </w:tcPr>
          <w:p w14:paraId="0BCB431E" w14:textId="5B892829" w:rsidR="00395EF1" w:rsidRDefault="00395EF1" w:rsidP="003118BD">
            <w:pPr>
              <w:ind w:right="347"/>
              <w:jc w:val="right"/>
              <w:rPr>
                <w:rFonts w:ascii="Arial" w:hAnsi="Arial" w:cs="Arial"/>
                <w:color w:val="000000"/>
                <w:sz w:val="20"/>
                <w:szCs w:val="20"/>
              </w:rPr>
            </w:pPr>
            <w:r>
              <w:rPr>
                <w:rFonts w:ascii="Arial" w:hAnsi="Arial" w:cs="Arial"/>
                <w:color w:val="000000"/>
                <w:sz w:val="20"/>
                <w:szCs w:val="20"/>
              </w:rPr>
              <w:t xml:space="preserve">       25</w:t>
            </w:r>
            <w:r w:rsidR="008A3E60">
              <w:rPr>
                <w:rFonts w:ascii="Arial" w:hAnsi="Arial" w:cs="Arial"/>
                <w:color w:val="000000"/>
                <w:sz w:val="20"/>
                <w:szCs w:val="20"/>
              </w:rPr>
              <w:t>.</w:t>
            </w:r>
            <w:r>
              <w:rPr>
                <w:rFonts w:ascii="Arial" w:hAnsi="Arial" w:cs="Arial"/>
                <w:color w:val="000000"/>
                <w:sz w:val="20"/>
                <w:szCs w:val="20"/>
              </w:rPr>
              <w:t xml:space="preserve">7 </w:t>
            </w:r>
          </w:p>
        </w:tc>
      </w:tr>
      <w:tr w:rsidR="00395EF1" w:rsidRPr="00985565" w14:paraId="5CA8ACE7" w14:textId="77777777" w:rsidTr="003118BD">
        <w:trPr>
          <w:cantSplit/>
          <w:trHeight w:val="340"/>
          <w:jc w:val="center"/>
        </w:trPr>
        <w:tc>
          <w:tcPr>
            <w:tcW w:w="2355" w:type="dxa"/>
            <w:tcBorders>
              <w:top w:val="nil"/>
              <w:left w:val="nil"/>
              <w:right w:val="nil"/>
            </w:tcBorders>
            <w:shd w:val="clear" w:color="auto" w:fill="auto"/>
            <w:noWrap/>
            <w:vAlign w:val="center"/>
            <w:hideMark/>
          </w:tcPr>
          <w:p w14:paraId="4D6A9E55" w14:textId="2E345EA2" w:rsidR="00395EF1" w:rsidRPr="00985565" w:rsidRDefault="008A3E60" w:rsidP="003118BD">
            <w:pPr>
              <w:spacing w:before="60" w:after="60"/>
              <w:ind w:firstLine="176"/>
              <w:rPr>
                <w:rFonts w:ascii="Arial" w:hAnsi="Arial" w:cs="Arial"/>
                <w:sz w:val="20"/>
                <w:szCs w:val="20"/>
                <w:lang w:eastAsia="vi-VN"/>
              </w:rPr>
            </w:pPr>
            <w:r w:rsidRPr="00483451">
              <w:rPr>
                <w:rFonts w:ascii="Arial" w:hAnsi="Arial" w:cs="Arial"/>
                <w:color w:val="000000" w:themeColor="text1"/>
                <w:sz w:val="20"/>
                <w:szCs w:val="20"/>
              </w:rPr>
              <w:t>Road</w:t>
            </w:r>
          </w:p>
        </w:tc>
        <w:tc>
          <w:tcPr>
            <w:tcW w:w="1767" w:type="dxa"/>
            <w:tcBorders>
              <w:top w:val="nil"/>
              <w:left w:val="nil"/>
              <w:right w:val="nil"/>
            </w:tcBorders>
            <w:shd w:val="clear" w:color="auto" w:fill="auto"/>
            <w:noWrap/>
            <w:vAlign w:val="bottom"/>
            <w:hideMark/>
          </w:tcPr>
          <w:p w14:paraId="0E48FB4C" w14:textId="3EB90C6A" w:rsidR="00395EF1" w:rsidRDefault="00395EF1" w:rsidP="003118BD">
            <w:pPr>
              <w:ind w:right="470"/>
              <w:jc w:val="right"/>
              <w:rPr>
                <w:rFonts w:ascii="Arial" w:hAnsi="Arial" w:cs="Arial"/>
                <w:color w:val="000000"/>
                <w:sz w:val="20"/>
                <w:szCs w:val="20"/>
              </w:rPr>
            </w:pPr>
            <w:r>
              <w:rPr>
                <w:rFonts w:ascii="Arial" w:hAnsi="Arial" w:cs="Arial"/>
                <w:color w:val="000000"/>
                <w:sz w:val="20"/>
                <w:szCs w:val="20"/>
              </w:rPr>
              <w:t>970</w:t>
            </w:r>
            <w:r w:rsidR="008A3E60">
              <w:rPr>
                <w:rFonts w:ascii="Arial" w:hAnsi="Arial" w:cs="Arial"/>
                <w:color w:val="000000"/>
                <w:sz w:val="20"/>
                <w:szCs w:val="20"/>
              </w:rPr>
              <w:t>.</w:t>
            </w:r>
            <w:r>
              <w:rPr>
                <w:rFonts w:ascii="Arial" w:hAnsi="Arial" w:cs="Arial"/>
                <w:color w:val="000000"/>
                <w:sz w:val="20"/>
                <w:szCs w:val="20"/>
              </w:rPr>
              <w:t>4</w:t>
            </w:r>
          </w:p>
        </w:tc>
        <w:tc>
          <w:tcPr>
            <w:tcW w:w="1638" w:type="dxa"/>
            <w:tcBorders>
              <w:top w:val="nil"/>
              <w:left w:val="nil"/>
              <w:right w:val="nil"/>
            </w:tcBorders>
            <w:shd w:val="clear" w:color="auto" w:fill="auto"/>
            <w:noWrap/>
            <w:vAlign w:val="bottom"/>
            <w:hideMark/>
          </w:tcPr>
          <w:p w14:paraId="20DD52FA" w14:textId="08512EC0" w:rsidR="00395EF1" w:rsidRDefault="00395EF1" w:rsidP="003118BD">
            <w:pPr>
              <w:ind w:right="470"/>
              <w:jc w:val="right"/>
              <w:rPr>
                <w:rFonts w:ascii="Arial" w:hAnsi="Arial" w:cs="Arial"/>
                <w:color w:val="000000"/>
                <w:sz w:val="20"/>
                <w:szCs w:val="20"/>
              </w:rPr>
            </w:pPr>
            <w:r>
              <w:rPr>
                <w:rFonts w:ascii="Arial" w:hAnsi="Arial" w:cs="Arial"/>
                <w:color w:val="000000"/>
                <w:sz w:val="20"/>
                <w:szCs w:val="20"/>
              </w:rPr>
              <w:t>64</w:t>
            </w:r>
            <w:r w:rsidR="008A3E60">
              <w:rPr>
                <w:rFonts w:ascii="Arial" w:hAnsi="Arial" w:cs="Arial"/>
                <w:color w:val="000000"/>
                <w:sz w:val="20"/>
                <w:szCs w:val="20"/>
              </w:rPr>
              <w:t>.</w:t>
            </w:r>
            <w:r>
              <w:rPr>
                <w:rFonts w:ascii="Arial" w:hAnsi="Arial" w:cs="Arial"/>
                <w:color w:val="000000"/>
                <w:sz w:val="20"/>
                <w:szCs w:val="20"/>
              </w:rPr>
              <w:t>8</w:t>
            </w:r>
          </w:p>
        </w:tc>
        <w:tc>
          <w:tcPr>
            <w:tcW w:w="1499" w:type="dxa"/>
            <w:tcBorders>
              <w:top w:val="nil"/>
              <w:left w:val="nil"/>
              <w:right w:val="nil"/>
            </w:tcBorders>
            <w:shd w:val="clear" w:color="auto" w:fill="auto"/>
            <w:noWrap/>
            <w:vAlign w:val="bottom"/>
            <w:hideMark/>
          </w:tcPr>
          <w:p w14:paraId="65C4F56B" w14:textId="6B288639" w:rsidR="00395EF1" w:rsidRDefault="00395EF1" w:rsidP="003118BD">
            <w:pPr>
              <w:ind w:right="347"/>
              <w:jc w:val="right"/>
              <w:rPr>
                <w:rFonts w:ascii="Arial" w:hAnsi="Arial" w:cs="Arial"/>
                <w:color w:val="000000"/>
                <w:sz w:val="20"/>
                <w:szCs w:val="20"/>
              </w:rPr>
            </w:pPr>
            <w:r>
              <w:rPr>
                <w:rFonts w:ascii="Arial" w:hAnsi="Arial" w:cs="Arial"/>
                <w:color w:val="000000"/>
                <w:sz w:val="20"/>
                <w:szCs w:val="20"/>
              </w:rPr>
              <w:t xml:space="preserve">       19</w:t>
            </w:r>
            <w:r w:rsidR="008A3E60">
              <w:rPr>
                <w:rFonts w:ascii="Arial" w:hAnsi="Arial" w:cs="Arial"/>
                <w:color w:val="000000"/>
                <w:sz w:val="20"/>
                <w:szCs w:val="20"/>
              </w:rPr>
              <w:t>.</w:t>
            </w:r>
            <w:r>
              <w:rPr>
                <w:rFonts w:ascii="Arial" w:hAnsi="Arial" w:cs="Arial"/>
                <w:color w:val="000000"/>
                <w:sz w:val="20"/>
                <w:szCs w:val="20"/>
              </w:rPr>
              <w:t xml:space="preserve">6 </w:t>
            </w:r>
          </w:p>
        </w:tc>
        <w:tc>
          <w:tcPr>
            <w:tcW w:w="1525" w:type="dxa"/>
            <w:tcBorders>
              <w:top w:val="nil"/>
              <w:left w:val="nil"/>
              <w:right w:val="nil"/>
            </w:tcBorders>
            <w:shd w:val="clear" w:color="auto" w:fill="auto"/>
            <w:noWrap/>
            <w:vAlign w:val="bottom"/>
            <w:hideMark/>
          </w:tcPr>
          <w:p w14:paraId="5007F757" w14:textId="270E1024" w:rsidR="00395EF1" w:rsidRDefault="00395EF1" w:rsidP="003118BD">
            <w:pPr>
              <w:ind w:right="347"/>
              <w:jc w:val="right"/>
              <w:rPr>
                <w:rFonts w:ascii="Arial" w:hAnsi="Arial" w:cs="Arial"/>
                <w:color w:val="000000"/>
                <w:sz w:val="20"/>
                <w:szCs w:val="20"/>
              </w:rPr>
            </w:pPr>
            <w:r>
              <w:rPr>
                <w:rFonts w:ascii="Arial" w:hAnsi="Arial" w:cs="Arial"/>
                <w:color w:val="000000"/>
                <w:sz w:val="20"/>
                <w:szCs w:val="20"/>
              </w:rPr>
              <w:t xml:space="preserve">       14</w:t>
            </w:r>
            <w:r w:rsidR="008A3E60">
              <w:rPr>
                <w:rFonts w:ascii="Arial" w:hAnsi="Arial" w:cs="Arial"/>
                <w:color w:val="000000"/>
                <w:sz w:val="20"/>
                <w:szCs w:val="20"/>
              </w:rPr>
              <w:t>.</w:t>
            </w:r>
            <w:r>
              <w:rPr>
                <w:rFonts w:ascii="Arial" w:hAnsi="Arial" w:cs="Arial"/>
                <w:color w:val="000000"/>
                <w:sz w:val="20"/>
                <w:szCs w:val="20"/>
              </w:rPr>
              <w:t xml:space="preserve">6 </w:t>
            </w:r>
          </w:p>
        </w:tc>
      </w:tr>
      <w:tr w:rsidR="00395EF1" w:rsidRPr="00873581" w14:paraId="2CE5FF31" w14:textId="77777777" w:rsidTr="003118BD">
        <w:trPr>
          <w:cantSplit/>
          <w:trHeight w:val="340"/>
          <w:jc w:val="center"/>
        </w:trPr>
        <w:tc>
          <w:tcPr>
            <w:tcW w:w="2355" w:type="dxa"/>
            <w:tcBorders>
              <w:top w:val="nil"/>
              <w:left w:val="nil"/>
              <w:bottom w:val="single" w:sz="4" w:space="0" w:color="auto"/>
              <w:right w:val="nil"/>
            </w:tcBorders>
            <w:shd w:val="clear" w:color="auto" w:fill="auto"/>
            <w:noWrap/>
            <w:vAlign w:val="center"/>
            <w:hideMark/>
          </w:tcPr>
          <w:p w14:paraId="4DFE1420" w14:textId="07E528FE" w:rsidR="00395EF1" w:rsidRPr="00985565" w:rsidRDefault="008A3E60" w:rsidP="003118BD">
            <w:pPr>
              <w:spacing w:before="60" w:after="60"/>
              <w:ind w:firstLine="176"/>
              <w:rPr>
                <w:rFonts w:ascii="Arial" w:hAnsi="Arial" w:cs="Arial"/>
                <w:sz w:val="20"/>
                <w:szCs w:val="20"/>
                <w:lang w:eastAsia="vi-VN"/>
              </w:rPr>
            </w:pPr>
            <w:r w:rsidRPr="00483451">
              <w:rPr>
                <w:rFonts w:ascii="Arial" w:hAnsi="Arial" w:cs="Arial"/>
                <w:color w:val="000000" w:themeColor="text1"/>
                <w:sz w:val="20"/>
                <w:szCs w:val="20"/>
              </w:rPr>
              <w:t>Airway</w:t>
            </w:r>
          </w:p>
        </w:tc>
        <w:tc>
          <w:tcPr>
            <w:tcW w:w="1767" w:type="dxa"/>
            <w:tcBorders>
              <w:top w:val="nil"/>
              <w:left w:val="nil"/>
              <w:bottom w:val="single" w:sz="4" w:space="0" w:color="auto"/>
              <w:right w:val="nil"/>
            </w:tcBorders>
            <w:shd w:val="clear" w:color="auto" w:fill="auto"/>
            <w:noWrap/>
            <w:vAlign w:val="bottom"/>
            <w:hideMark/>
          </w:tcPr>
          <w:p w14:paraId="2756F348" w14:textId="20B70C5E" w:rsidR="00395EF1" w:rsidRDefault="00395EF1" w:rsidP="003118BD">
            <w:pPr>
              <w:ind w:right="470"/>
              <w:jc w:val="right"/>
              <w:rPr>
                <w:rFonts w:ascii="Arial" w:hAnsi="Arial" w:cs="Arial"/>
                <w:color w:val="000000"/>
                <w:sz w:val="20"/>
                <w:szCs w:val="20"/>
              </w:rPr>
            </w:pPr>
            <w:r>
              <w:rPr>
                <w:rFonts w:ascii="Arial" w:hAnsi="Arial" w:cs="Arial"/>
                <w:color w:val="000000"/>
                <w:sz w:val="20"/>
                <w:szCs w:val="20"/>
              </w:rPr>
              <w:t>0</w:t>
            </w:r>
            <w:r w:rsidR="008A3E60">
              <w:rPr>
                <w:rFonts w:ascii="Arial" w:hAnsi="Arial" w:cs="Arial"/>
                <w:color w:val="000000"/>
                <w:sz w:val="20"/>
                <w:szCs w:val="20"/>
              </w:rPr>
              <w:t>.</w:t>
            </w:r>
            <w:r>
              <w:rPr>
                <w:rFonts w:ascii="Arial" w:hAnsi="Arial" w:cs="Arial"/>
                <w:color w:val="000000"/>
                <w:sz w:val="20"/>
                <w:szCs w:val="20"/>
              </w:rPr>
              <w:t>2</w:t>
            </w:r>
          </w:p>
        </w:tc>
        <w:tc>
          <w:tcPr>
            <w:tcW w:w="1638" w:type="dxa"/>
            <w:tcBorders>
              <w:top w:val="nil"/>
              <w:left w:val="nil"/>
              <w:bottom w:val="single" w:sz="4" w:space="0" w:color="auto"/>
              <w:right w:val="nil"/>
            </w:tcBorders>
            <w:shd w:val="clear" w:color="auto" w:fill="auto"/>
            <w:noWrap/>
            <w:vAlign w:val="bottom"/>
            <w:hideMark/>
          </w:tcPr>
          <w:p w14:paraId="4DBFDAF6" w14:textId="3597D94E" w:rsidR="00395EF1" w:rsidRDefault="00395EF1" w:rsidP="003118BD">
            <w:pPr>
              <w:ind w:right="470"/>
              <w:jc w:val="right"/>
              <w:rPr>
                <w:rFonts w:ascii="Arial" w:hAnsi="Arial" w:cs="Arial"/>
                <w:color w:val="000000"/>
                <w:sz w:val="20"/>
                <w:szCs w:val="20"/>
              </w:rPr>
            </w:pPr>
            <w:r>
              <w:rPr>
                <w:rFonts w:ascii="Arial" w:hAnsi="Arial" w:cs="Arial"/>
                <w:color w:val="000000"/>
                <w:sz w:val="20"/>
                <w:szCs w:val="20"/>
              </w:rPr>
              <w:t>4</w:t>
            </w:r>
            <w:r w:rsidR="008A3E60">
              <w:rPr>
                <w:rFonts w:ascii="Arial" w:hAnsi="Arial" w:cs="Arial"/>
                <w:color w:val="000000"/>
                <w:sz w:val="20"/>
                <w:szCs w:val="20"/>
              </w:rPr>
              <w:t>.</w:t>
            </w:r>
            <w:r>
              <w:rPr>
                <w:rFonts w:ascii="Arial" w:hAnsi="Arial" w:cs="Arial"/>
                <w:color w:val="000000"/>
                <w:sz w:val="20"/>
                <w:szCs w:val="20"/>
              </w:rPr>
              <w:t>4</w:t>
            </w:r>
          </w:p>
        </w:tc>
        <w:tc>
          <w:tcPr>
            <w:tcW w:w="1499" w:type="dxa"/>
            <w:tcBorders>
              <w:top w:val="nil"/>
              <w:left w:val="nil"/>
              <w:bottom w:val="single" w:sz="4" w:space="0" w:color="auto"/>
              <w:right w:val="nil"/>
            </w:tcBorders>
            <w:shd w:val="clear" w:color="auto" w:fill="auto"/>
            <w:noWrap/>
            <w:vAlign w:val="bottom"/>
            <w:hideMark/>
          </w:tcPr>
          <w:p w14:paraId="543FE5FC" w14:textId="2E696D34" w:rsidR="00395EF1" w:rsidRDefault="00395EF1" w:rsidP="003118BD">
            <w:pPr>
              <w:ind w:right="347"/>
              <w:jc w:val="right"/>
              <w:rPr>
                <w:rFonts w:ascii="Arial" w:hAnsi="Arial" w:cs="Arial"/>
                <w:color w:val="000000"/>
                <w:sz w:val="20"/>
                <w:szCs w:val="20"/>
              </w:rPr>
            </w:pPr>
            <w:r>
              <w:rPr>
                <w:rFonts w:ascii="Arial" w:hAnsi="Arial" w:cs="Arial"/>
                <w:color w:val="000000"/>
                <w:sz w:val="20"/>
                <w:szCs w:val="20"/>
              </w:rPr>
              <w:t xml:space="preserve">       14</w:t>
            </w:r>
            <w:r w:rsidR="008A3E60">
              <w:rPr>
                <w:rFonts w:ascii="Arial" w:hAnsi="Arial" w:cs="Arial"/>
                <w:color w:val="000000"/>
                <w:sz w:val="20"/>
                <w:szCs w:val="20"/>
              </w:rPr>
              <w:t>.</w:t>
            </w:r>
            <w:r>
              <w:rPr>
                <w:rFonts w:ascii="Arial" w:hAnsi="Arial" w:cs="Arial"/>
                <w:color w:val="000000"/>
                <w:sz w:val="20"/>
                <w:szCs w:val="20"/>
              </w:rPr>
              <w:t xml:space="preserve">1 </w:t>
            </w:r>
          </w:p>
        </w:tc>
        <w:tc>
          <w:tcPr>
            <w:tcW w:w="1525" w:type="dxa"/>
            <w:tcBorders>
              <w:top w:val="nil"/>
              <w:left w:val="nil"/>
              <w:bottom w:val="single" w:sz="4" w:space="0" w:color="auto"/>
              <w:right w:val="nil"/>
            </w:tcBorders>
            <w:shd w:val="clear" w:color="auto" w:fill="auto"/>
            <w:noWrap/>
            <w:vAlign w:val="bottom"/>
            <w:hideMark/>
          </w:tcPr>
          <w:p w14:paraId="3266CD7D" w14:textId="1663589B" w:rsidR="00395EF1" w:rsidRDefault="00395EF1" w:rsidP="003118BD">
            <w:pPr>
              <w:ind w:right="347"/>
              <w:jc w:val="right"/>
              <w:rPr>
                <w:rFonts w:ascii="Arial" w:hAnsi="Arial" w:cs="Arial"/>
                <w:color w:val="000000"/>
                <w:sz w:val="20"/>
                <w:szCs w:val="20"/>
              </w:rPr>
            </w:pPr>
            <w:r>
              <w:rPr>
                <w:rFonts w:ascii="Arial" w:hAnsi="Arial" w:cs="Arial"/>
                <w:color w:val="000000"/>
                <w:sz w:val="20"/>
                <w:szCs w:val="20"/>
              </w:rPr>
              <w:t xml:space="preserve">       54</w:t>
            </w:r>
            <w:r w:rsidR="008A3E60">
              <w:rPr>
                <w:rFonts w:ascii="Arial" w:hAnsi="Arial" w:cs="Arial"/>
                <w:color w:val="000000"/>
                <w:sz w:val="20"/>
                <w:szCs w:val="20"/>
              </w:rPr>
              <w:t>.</w:t>
            </w:r>
            <w:r>
              <w:rPr>
                <w:rFonts w:ascii="Arial" w:hAnsi="Arial" w:cs="Arial"/>
                <w:color w:val="000000"/>
                <w:sz w:val="20"/>
                <w:szCs w:val="20"/>
              </w:rPr>
              <w:t xml:space="preserve">4 </w:t>
            </w:r>
          </w:p>
        </w:tc>
      </w:tr>
    </w:tbl>
    <w:p w14:paraId="0E7BB8EB" w14:textId="77777777" w:rsidR="00395EF1" w:rsidRPr="004E3B23" w:rsidRDefault="00395EF1" w:rsidP="00395EF1">
      <w:pPr>
        <w:spacing w:before="40" w:after="40" w:line="278" w:lineRule="auto"/>
        <w:ind w:firstLine="567"/>
        <w:jc w:val="both"/>
        <w:rPr>
          <w:color w:val="000000"/>
          <w:spacing w:val="-2"/>
          <w:sz w:val="2"/>
          <w:lang w:val="en-US"/>
        </w:rPr>
      </w:pPr>
    </w:p>
    <w:p w14:paraId="3B71D91A" w14:textId="77777777" w:rsidR="00395EF1" w:rsidRPr="002E41D5" w:rsidRDefault="00395EF1" w:rsidP="00395EF1">
      <w:pPr>
        <w:pStyle w:val="NormalWeb"/>
        <w:shd w:val="clear" w:color="auto" w:fill="FFFFFF"/>
        <w:tabs>
          <w:tab w:val="left" w:pos="6540"/>
        </w:tabs>
        <w:spacing w:before="0" w:beforeAutospacing="0" w:after="0" w:afterAutospacing="0"/>
        <w:rPr>
          <w:b/>
          <w:bCs/>
          <w:sz w:val="4"/>
          <w:szCs w:val="28"/>
          <w:lang w:val="pt-BR"/>
        </w:rPr>
      </w:pPr>
    </w:p>
    <w:p w14:paraId="158C1BDE" w14:textId="77777777" w:rsidR="00255053" w:rsidRPr="002539C0" w:rsidRDefault="00255053" w:rsidP="00255053">
      <w:pPr>
        <w:spacing w:before="40" w:after="40" w:line="276" w:lineRule="auto"/>
        <w:ind w:firstLine="567"/>
        <w:jc w:val="both"/>
        <w:rPr>
          <w:b/>
          <w:bCs/>
          <w:i/>
          <w:lang w:val="fr-FR"/>
        </w:rPr>
      </w:pPr>
      <w:r>
        <w:rPr>
          <w:b/>
          <w:bCs/>
          <w:i/>
          <w:iCs/>
          <w:lang w:val="fr-FR"/>
        </w:rPr>
        <w:t>d</w:t>
      </w:r>
      <w:r w:rsidRPr="002539C0">
        <w:rPr>
          <w:b/>
          <w:bCs/>
          <w:i/>
          <w:iCs/>
          <w:lang w:val="fr-FR"/>
        </w:rPr>
        <w:t xml:space="preserve">) </w:t>
      </w:r>
      <w:r w:rsidRPr="00E20A7A">
        <w:rPr>
          <w:b/>
          <w:bCs/>
          <w:i/>
          <w:iCs/>
        </w:rPr>
        <w:t xml:space="preserve">International visitors to Viet </w:t>
      </w:r>
      <w:r w:rsidRPr="001E40A3">
        <w:rPr>
          <w:b/>
          <w:bCs/>
          <w:i/>
          <w:iCs/>
        </w:rPr>
        <w:t>Nam</w:t>
      </w:r>
      <w:r w:rsidRPr="001B2AD0">
        <w:rPr>
          <w:rStyle w:val="EndnoteTextChar"/>
          <w:i/>
          <w:iCs/>
        </w:rPr>
        <w:t xml:space="preserve"> </w:t>
      </w:r>
      <w:r w:rsidRPr="001B2AD0">
        <w:rPr>
          <w:rStyle w:val="FootnoteReference"/>
          <w:i/>
          <w:iCs/>
        </w:rPr>
        <w:footnoteReference w:id="29"/>
      </w:r>
    </w:p>
    <w:p w14:paraId="3B15DF7A" w14:textId="58A052CF" w:rsidR="00255053" w:rsidRPr="007B1528" w:rsidRDefault="00255053" w:rsidP="00255053">
      <w:pPr>
        <w:spacing w:before="60" w:after="60"/>
        <w:ind w:firstLine="567"/>
        <w:jc w:val="both"/>
        <w:rPr>
          <w:i/>
          <w:color w:val="000000" w:themeColor="text1"/>
          <w:lang w:val="fr-FR" w:eastAsia="en-GB"/>
        </w:rPr>
      </w:pPr>
      <w:r w:rsidRPr="007B1528">
        <w:rPr>
          <w:i/>
          <w:color w:val="000000" w:themeColor="text1"/>
          <w:lang w:val="fr-FR" w:eastAsia="en-GB"/>
        </w:rPr>
        <w:t xml:space="preserve">International visitors to our country in </w:t>
      </w:r>
      <w:r>
        <w:rPr>
          <w:i/>
          <w:color w:val="000000" w:themeColor="text1"/>
          <w:lang w:val="fr-FR" w:eastAsia="en-GB"/>
        </w:rPr>
        <w:t>August</w:t>
      </w:r>
      <w:r w:rsidRPr="007B1528">
        <w:rPr>
          <w:rStyle w:val="FootnoteReference"/>
          <w:i/>
          <w:color w:val="000000" w:themeColor="text1"/>
        </w:rPr>
        <w:footnoteReference w:id="30"/>
      </w:r>
      <w:r w:rsidRPr="007B1528">
        <w:rPr>
          <w:i/>
          <w:color w:val="000000" w:themeColor="text1"/>
          <w:lang w:val="fr-FR" w:eastAsia="en-GB"/>
        </w:rPr>
        <w:t xml:space="preserve"> were estimated at </w:t>
      </w:r>
      <w:r>
        <w:rPr>
          <w:i/>
          <w:color w:val="000000" w:themeColor="text1"/>
          <w:lang w:val="fr-FR" w:eastAsia="en-GB"/>
        </w:rPr>
        <w:t>486.4</w:t>
      </w:r>
      <w:r w:rsidRPr="007B1528">
        <w:rPr>
          <w:i/>
          <w:color w:val="000000" w:themeColor="text1"/>
          <w:lang w:val="fr-FR" w:eastAsia="en-GB"/>
        </w:rPr>
        <w:t xml:space="preserve"> thousand arrivals, increased </w:t>
      </w:r>
      <w:r>
        <w:rPr>
          <w:i/>
          <w:color w:val="000000" w:themeColor="text1"/>
          <w:lang w:val="fr-FR" w:eastAsia="en-GB"/>
        </w:rPr>
        <w:t>38</w:t>
      </w:r>
      <w:r w:rsidRPr="007B1528">
        <w:rPr>
          <w:i/>
          <w:color w:val="000000" w:themeColor="text1"/>
          <w:lang w:val="fr-FR" w:eastAsia="en-GB"/>
        </w:rPr>
        <w:t xml:space="preserve">% compared to the previous month and </w:t>
      </w:r>
      <w:r>
        <w:rPr>
          <w:i/>
          <w:color w:val="000000" w:themeColor="text1"/>
          <w:lang w:val="fr-FR" w:eastAsia="en-GB"/>
        </w:rPr>
        <w:t>52.3</w:t>
      </w:r>
      <w:r w:rsidRPr="007B1528">
        <w:rPr>
          <w:i/>
          <w:color w:val="000000" w:themeColor="text1"/>
          <w:lang w:val="fr-FR" w:eastAsia="en-GB"/>
        </w:rPr>
        <w:t xml:space="preserve"> times higher than the same period last year because Viet Nam has opened up to tourism, international routes have been restored. Generally, in </w:t>
      </w:r>
      <w:r>
        <w:rPr>
          <w:i/>
          <w:color w:val="000000" w:themeColor="text1"/>
          <w:lang w:val="fr-FR" w:eastAsia="en-GB"/>
        </w:rPr>
        <w:t>8</w:t>
      </w:r>
      <w:r w:rsidRPr="007B1528">
        <w:rPr>
          <w:i/>
          <w:color w:val="000000" w:themeColor="text1"/>
          <w:lang w:val="fr-FR" w:eastAsia="en-GB"/>
        </w:rPr>
        <w:t xml:space="preserve"> months of 2022, </w:t>
      </w:r>
      <w:r w:rsidRPr="007B1528">
        <w:rPr>
          <w:i/>
          <w:color w:val="000000" w:themeColor="text1"/>
          <w:lang w:val="fr-FR" w:eastAsia="en-GB"/>
        </w:rPr>
        <w:lastRenderedPageBreak/>
        <w:t xml:space="preserve">international visitors to Viet Nam were estimated at </w:t>
      </w:r>
      <w:r>
        <w:rPr>
          <w:i/>
          <w:color w:val="000000" w:themeColor="text1"/>
          <w:lang w:val="fr-FR" w:eastAsia="en-GB"/>
        </w:rPr>
        <w:t>1.441</w:t>
      </w:r>
      <w:r w:rsidRPr="007B1528">
        <w:rPr>
          <w:i/>
          <w:color w:val="000000" w:themeColor="text1"/>
          <w:lang w:val="fr-FR" w:eastAsia="en-GB"/>
        </w:rPr>
        <w:t xml:space="preserve"> thousand arrivals, </w:t>
      </w:r>
      <w:r>
        <w:rPr>
          <w:i/>
          <w:color w:val="000000" w:themeColor="text1"/>
          <w:lang w:val="fr-FR" w:eastAsia="en-GB"/>
        </w:rPr>
        <w:t>13.7</w:t>
      </w:r>
      <w:r w:rsidRPr="007B1528">
        <w:rPr>
          <w:i/>
          <w:color w:val="000000" w:themeColor="text1"/>
          <w:lang w:val="fr-FR" w:eastAsia="en-GB"/>
        </w:rPr>
        <w:t xml:space="preserve"> times higher than the same period last year</w:t>
      </w:r>
      <w:r w:rsidRPr="007B1528">
        <w:rPr>
          <w:i/>
          <w:color w:val="000000" w:themeColor="text1"/>
        </w:rPr>
        <w:t xml:space="preserve"> </w:t>
      </w:r>
      <w:r w:rsidRPr="007B1528">
        <w:rPr>
          <w:i/>
          <w:color w:val="000000" w:themeColor="text1"/>
          <w:lang w:val="fr-FR" w:eastAsia="en-GB"/>
        </w:rPr>
        <w:t xml:space="preserve">but still down </w:t>
      </w:r>
      <w:r>
        <w:rPr>
          <w:i/>
          <w:color w:val="000000" w:themeColor="text1"/>
          <w:lang w:val="fr-FR" w:eastAsia="en-GB"/>
        </w:rPr>
        <w:t>87.3</w:t>
      </w:r>
      <w:r w:rsidRPr="007B1528">
        <w:rPr>
          <w:i/>
          <w:color w:val="000000" w:themeColor="text1"/>
          <w:lang w:val="fr-FR" w:eastAsia="en-GB"/>
        </w:rPr>
        <w:t>% compared to the same period in 2019</w:t>
      </w:r>
      <w:r>
        <w:rPr>
          <w:i/>
          <w:color w:val="000000" w:themeColor="text1"/>
          <w:lang w:val="fr-FR" w:eastAsia="en-GB"/>
        </w:rPr>
        <w:t>.</w:t>
      </w:r>
    </w:p>
    <w:p w14:paraId="512B1E44" w14:textId="6EBA5044" w:rsidR="00255053" w:rsidRDefault="00255053" w:rsidP="0025505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76" w:lineRule="auto"/>
        <w:ind w:firstLine="567"/>
        <w:jc w:val="both"/>
        <w:rPr>
          <w:rFonts w:ascii="Arial" w:hAnsi="Arial" w:cs="Arial"/>
          <w:b/>
          <w:sz w:val="24"/>
          <w:szCs w:val="24"/>
          <w:lang w:val="fr-FR"/>
        </w:rPr>
      </w:pPr>
      <w:r w:rsidRPr="00483451">
        <w:rPr>
          <w:rFonts w:ascii="Times New Roman" w:hAnsi="Times New Roman" w:cs="Times New Roman"/>
          <w:color w:val="000000" w:themeColor="text1"/>
          <w:spacing w:val="-4"/>
          <w:sz w:val="28"/>
          <w:szCs w:val="28"/>
        </w:rPr>
        <w:t xml:space="preserve">Out of a total of nearly </w:t>
      </w:r>
      <w:r>
        <w:rPr>
          <w:rFonts w:ascii="Times New Roman" w:hAnsi="Times New Roman" w:cs="Times New Roman"/>
          <w:color w:val="000000" w:themeColor="text1"/>
          <w:spacing w:val="-4"/>
          <w:sz w:val="28"/>
          <w:szCs w:val="28"/>
        </w:rPr>
        <w:t>1.441</w:t>
      </w:r>
      <w:r w:rsidRPr="00483451">
        <w:rPr>
          <w:rFonts w:ascii="Times New Roman" w:hAnsi="Times New Roman" w:cs="Times New Roman"/>
          <w:color w:val="000000" w:themeColor="text1"/>
          <w:spacing w:val="-4"/>
          <w:sz w:val="28"/>
          <w:szCs w:val="28"/>
        </w:rPr>
        <w:t xml:space="preserve"> thousand international visitors to Viet Nam in </w:t>
      </w:r>
      <w:r>
        <w:rPr>
          <w:rFonts w:ascii="Times New Roman" w:hAnsi="Times New Roman" w:cs="Times New Roman"/>
          <w:color w:val="000000" w:themeColor="text1"/>
          <w:spacing w:val="-4"/>
          <w:sz w:val="28"/>
          <w:szCs w:val="28"/>
        </w:rPr>
        <w:t>8</w:t>
      </w:r>
      <w:r w:rsidRPr="00483451">
        <w:rPr>
          <w:rFonts w:ascii="Times New Roman" w:hAnsi="Times New Roman" w:cs="Times New Roman"/>
          <w:color w:val="000000" w:themeColor="text1"/>
          <w:spacing w:val="-4"/>
          <w:sz w:val="28"/>
          <w:szCs w:val="28"/>
        </w:rPr>
        <w:t xml:space="preserve"> months of the year, visitors coming by airway gained </w:t>
      </w:r>
      <w:r>
        <w:rPr>
          <w:rFonts w:ascii="Times New Roman" w:hAnsi="Times New Roman" w:cs="Times New Roman"/>
          <w:color w:val="000000" w:themeColor="text1"/>
          <w:spacing w:val="-4"/>
          <w:sz w:val="28"/>
          <w:szCs w:val="28"/>
        </w:rPr>
        <w:t>1.270.6</w:t>
      </w:r>
      <w:r w:rsidRPr="00483451">
        <w:rPr>
          <w:rFonts w:ascii="Times New Roman" w:hAnsi="Times New Roman" w:cs="Times New Roman"/>
          <w:color w:val="000000" w:themeColor="text1"/>
          <w:spacing w:val="-4"/>
          <w:sz w:val="28"/>
          <w:szCs w:val="28"/>
        </w:rPr>
        <w:t xml:space="preserve"> thousand persons, accounting for </w:t>
      </w:r>
      <w:r>
        <w:rPr>
          <w:rFonts w:ascii="Times New Roman" w:hAnsi="Times New Roman" w:cs="Times New Roman"/>
          <w:color w:val="000000" w:themeColor="text1"/>
          <w:spacing w:val="-4"/>
          <w:sz w:val="28"/>
          <w:szCs w:val="28"/>
        </w:rPr>
        <w:t>88.2</w:t>
      </w:r>
      <w:r w:rsidRPr="00483451">
        <w:rPr>
          <w:rFonts w:ascii="Times New Roman" w:hAnsi="Times New Roman" w:cs="Times New Roman"/>
          <w:color w:val="000000" w:themeColor="text1"/>
          <w:spacing w:val="-4"/>
          <w:sz w:val="28"/>
          <w:szCs w:val="28"/>
        </w:rPr>
        <w:t xml:space="preserve">% of the number of international visitors to Viet Nam, </w:t>
      </w:r>
      <w:r>
        <w:rPr>
          <w:rFonts w:ascii="Times New Roman" w:hAnsi="Times New Roman" w:cs="Times New Roman"/>
          <w:color w:val="000000" w:themeColor="text1"/>
          <w:spacing w:val="-4"/>
          <w:sz w:val="28"/>
          <w:szCs w:val="28"/>
        </w:rPr>
        <w:t>18.5</w:t>
      </w:r>
      <w:r w:rsidRPr="00483451">
        <w:rPr>
          <w:rFonts w:ascii="Times New Roman" w:hAnsi="Times New Roman" w:cs="Times New Roman"/>
          <w:color w:val="000000" w:themeColor="text1"/>
          <w:spacing w:val="-4"/>
          <w:sz w:val="28"/>
          <w:szCs w:val="28"/>
        </w:rPr>
        <w:t xml:space="preserve"> times higher than the same period last year; by roadway achieved </w:t>
      </w:r>
      <w:r>
        <w:rPr>
          <w:rFonts w:ascii="Times New Roman" w:hAnsi="Times New Roman" w:cs="Times New Roman"/>
          <w:color w:val="000000" w:themeColor="text1"/>
          <w:spacing w:val="-4"/>
          <w:sz w:val="28"/>
          <w:szCs w:val="28"/>
        </w:rPr>
        <w:t>170</w:t>
      </w:r>
      <w:r w:rsidRPr="00483451">
        <w:rPr>
          <w:rFonts w:ascii="Times New Roman" w:hAnsi="Times New Roman" w:cs="Times New Roman"/>
          <w:color w:val="000000" w:themeColor="text1"/>
          <w:spacing w:val="-4"/>
          <w:sz w:val="28"/>
          <w:szCs w:val="28"/>
        </w:rPr>
        <w:t xml:space="preserve"> thousand arrivals, accounted for </w:t>
      </w:r>
      <w:r>
        <w:rPr>
          <w:rFonts w:ascii="Times New Roman" w:hAnsi="Times New Roman" w:cs="Times New Roman"/>
          <w:color w:val="000000" w:themeColor="text1"/>
          <w:spacing w:val="-4"/>
          <w:sz w:val="28"/>
          <w:szCs w:val="28"/>
        </w:rPr>
        <w:t>11.8</w:t>
      </w:r>
      <w:r w:rsidRPr="00483451">
        <w:rPr>
          <w:rFonts w:ascii="Times New Roman" w:hAnsi="Times New Roman" w:cs="Times New Roman"/>
          <w:color w:val="000000" w:themeColor="text1"/>
          <w:spacing w:val="-4"/>
          <w:sz w:val="28"/>
          <w:szCs w:val="28"/>
        </w:rPr>
        <w:t xml:space="preserve">% and </w:t>
      </w:r>
      <w:r>
        <w:rPr>
          <w:rFonts w:ascii="Times New Roman" w:hAnsi="Times New Roman" w:cs="Times New Roman"/>
          <w:color w:val="000000" w:themeColor="text1"/>
          <w:spacing w:val="-4"/>
          <w:sz w:val="28"/>
          <w:szCs w:val="28"/>
        </w:rPr>
        <w:t>4.7</w:t>
      </w:r>
      <w:r w:rsidRPr="00483451">
        <w:rPr>
          <w:rFonts w:ascii="Times New Roman" w:hAnsi="Times New Roman" w:cs="Times New Roman"/>
          <w:color w:val="000000" w:themeColor="text1"/>
          <w:spacing w:val="-4"/>
          <w:sz w:val="28"/>
          <w:szCs w:val="28"/>
        </w:rPr>
        <w:t xml:space="preserve"> ti</w:t>
      </w:r>
      <w:r>
        <w:rPr>
          <w:rFonts w:ascii="Times New Roman" w:hAnsi="Times New Roman" w:cs="Times New Roman"/>
          <w:color w:val="000000" w:themeColor="text1"/>
          <w:spacing w:val="-4"/>
          <w:sz w:val="28"/>
          <w:szCs w:val="28"/>
        </w:rPr>
        <w:t>mes higher; by seaway achieved 387</w:t>
      </w:r>
      <w:r w:rsidRPr="00483451">
        <w:rPr>
          <w:rFonts w:ascii="Times New Roman" w:hAnsi="Times New Roman" w:cs="Times New Roman"/>
          <w:color w:val="000000" w:themeColor="text1"/>
          <w:spacing w:val="-4"/>
          <w:sz w:val="28"/>
          <w:szCs w:val="28"/>
        </w:rPr>
        <w:t xml:space="preserve"> arrivals, accounted for 0.03% and </w:t>
      </w:r>
      <w:r>
        <w:rPr>
          <w:rFonts w:ascii="Times New Roman" w:hAnsi="Times New Roman" w:cs="Times New Roman"/>
          <w:color w:val="000000" w:themeColor="text1"/>
          <w:spacing w:val="-4"/>
          <w:sz w:val="28"/>
          <w:szCs w:val="28"/>
        </w:rPr>
        <w:t>in</w:t>
      </w:r>
      <w:r w:rsidRPr="00483451">
        <w:rPr>
          <w:rFonts w:ascii="Times New Roman" w:hAnsi="Times New Roman" w:cs="Times New Roman"/>
          <w:color w:val="000000" w:themeColor="text1"/>
          <w:spacing w:val="-4"/>
          <w:sz w:val="28"/>
          <w:szCs w:val="28"/>
        </w:rPr>
        <w:t xml:space="preserve">creased by </w:t>
      </w:r>
      <w:r>
        <w:rPr>
          <w:rFonts w:ascii="Times New Roman" w:hAnsi="Times New Roman" w:cs="Times New Roman"/>
          <w:color w:val="000000" w:themeColor="text1"/>
          <w:spacing w:val="-4"/>
          <w:sz w:val="28"/>
          <w:szCs w:val="28"/>
        </w:rPr>
        <w:t>40.7</w:t>
      </w:r>
      <w:r w:rsidRPr="00483451">
        <w:rPr>
          <w:rFonts w:ascii="Times New Roman" w:hAnsi="Times New Roman" w:cs="Times New Roman"/>
          <w:color w:val="000000" w:themeColor="text1"/>
          <w:spacing w:val="-4"/>
          <w:sz w:val="28"/>
          <w:szCs w:val="28"/>
        </w:rPr>
        <w:t>%.</w:t>
      </w:r>
    </w:p>
    <w:p w14:paraId="78039E0F" w14:textId="2E29D2E3" w:rsidR="00395EF1" w:rsidRPr="001B2AD0" w:rsidRDefault="00395EF1" w:rsidP="007058D9">
      <w:pPr>
        <w:spacing w:before="40" w:after="40" w:line="283" w:lineRule="auto"/>
        <w:ind w:firstLine="567"/>
        <w:jc w:val="both"/>
        <w:rPr>
          <w:lang w:val="fr-FR" w:eastAsia="en-GB"/>
        </w:rPr>
      </w:pPr>
    </w:p>
    <w:p w14:paraId="14905692" w14:textId="77777777" w:rsidR="00F45C0F" w:rsidRPr="00483451" w:rsidRDefault="00F45C0F" w:rsidP="00F45C0F">
      <w:pPr>
        <w:shd w:val="clear" w:color="auto" w:fill="FFFFFF"/>
        <w:spacing w:before="60" w:after="60"/>
        <w:ind w:firstLine="567"/>
        <w:jc w:val="center"/>
        <w:rPr>
          <w:b/>
          <w:color w:val="000000" w:themeColor="text1"/>
          <w:lang w:val="fr-FR"/>
        </w:rPr>
      </w:pPr>
      <w:r w:rsidRPr="00483451">
        <w:rPr>
          <w:b/>
          <w:color w:val="000000" w:themeColor="text1"/>
          <w:lang w:val="fr-FR"/>
        </w:rPr>
        <w:t>Figure 17. International visitors to Viet Nam</w:t>
      </w:r>
    </w:p>
    <w:p w14:paraId="0055DE48" w14:textId="77777777" w:rsidR="00F45C0F" w:rsidRDefault="00F45C0F" w:rsidP="00F45C0F">
      <w:pPr>
        <w:shd w:val="clear" w:color="auto" w:fill="FFFFFF"/>
        <w:spacing w:before="60" w:after="60"/>
        <w:ind w:firstLine="567"/>
        <w:jc w:val="center"/>
        <w:rPr>
          <w:b/>
          <w:color w:val="000000" w:themeColor="text1"/>
          <w:lang w:val="fr-FR"/>
        </w:rPr>
      </w:pPr>
      <w:r w:rsidRPr="00483451">
        <w:rPr>
          <w:b/>
          <w:color w:val="000000" w:themeColor="text1"/>
          <w:lang w:val="fr-FR"/>
        </w:rPr>
        <w:t xml:space="preserve">in </w:t>
      </w:r>
      <w:r>
        <w:rPr>
          <w:b/>
          <w:color w:val="000000" w:themeColor="text1"/>
          <w:lang w:val="fr-FR"/>
        </w:rPr>
        <w:t>8</w:t>
      </w:r>
      <w:r w:rsidRPr="00483451">
        <w:rPr>
          <w:b/>
          <w:color w:val="000000" w:themeColor="text1"/>
          <w:lang w:val="fr-FR"/>
        </w:rPr>
        <w:t xml:space="preserve"> months of 2022 by territories</w:t>
      </w:r>
    </w:p>
    <w:p w14:paraId="1815BE85" w14:textId="77777777" w:rsidR="00395EF1" w:rsidRDefault="00395EF1" w:rsidP="00395EF1">
      <w:pPr>
        <w:shd w:val="clear" w:color="auto" w:fill="FFFFFF"/>
        <w:jc w:val="center"/>
        <w:rPr>
          <w:rFonts w:ascii="Arial" w:hAnsi="Arial" w:cs="Arial"/>
          <w:b/>
          <w:sz w:val="24"/>
          <w:szCs w:val="24"/>
        </w:rPr>
      </w:pPr>
    </w:p>
    <w:p w14:paraId="153AC099" w14:textId="0CDE2110" w:rsidR="00395EF1" w:rsidRDefault="00255053" w:rsidP="00395EF1">
      <w:pPr>
        <w:shd w:val="clear" w:color="auto" w:fill="FFFFFF"/>
        <w:jc w:val="center"/>
        <w:rPr>
          <w:rFonts w:ascii="Arial" w:hAnsi="Arial" w:cs="Arial"/>
          <w:b/>
          <w:sz w:val="24"/>
          <w:szCs w:val="24"/>
        </w:rPr>
      </w:pPr>
      <w:r w:rsidRPr="00255053">
        <w:rPr>
          <w:rFonts w:ascii="Arial" w:hAnsi="Arial" w:cs="Arial"/>
          <w:b/>
          <w:noProof/>
          <w:sz w:val="24"/>
          <w:szCs w:val="24"/>
          <w:lang w:val="en-US"/>
        </w:rPr>
        <w:drawing>
          <wp:inline distT="0" distB="0" distL="0" distR="0" wp14:anchorId="4AFABCF4" wp14:editId="467F2048">
            <wp:extent cx="5699760" cy="2849880"/>
            <wp:effectExtent l="0" t="0" r="0" b="7620"/>
            <wp:docPr id="6" name="Picture 6" descr="N:\01 Bao cao thang\2022\Thang 08\Infographic\AI Van\Du lich T8.2022 copy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01 Bao cao thang\2022\Thang 08\Infographic\AI Van\Du lich T8.2022 copy_page-00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99760" cy="2849880"/>
                    </a:xfrm>
                    <a:prstGeom prst="rect">
                      <a:avLst/>
                    </a:prstGeom>
                    <a:noFill/>
                    <a:ln>
                      <a:noFill/>
                    </a:ln>
                  </pic:spPr>
                </pic:pic>
              </a:graphicData>
            </a:graphic>
          </wp:inline>
        </w:drawing>
      </w:r>
    </w:p>
    <w:p w14:paraId="666295F9" w14:textId="2C59DA25" w:rsidR="00646EC8" w:rsidRDefault="00646EC8" w:rsidP="00646EC8">
      <w:pPr>
        <w:shd w:val="clear" w:color="auto" w:fill="FFFFFF"/>
        <w:jc w:val="center"/>
        <w:rPr>
          <w:rFonts w:ascii="Arial" w:hAnsi="Arial" w:cs="Arial"/>
          <w:b/>
          <w:sz w:val="24"/>
          <w:szCs w:val="24"/>
        </w:rPr>
      </w:pPr>
    </w:p>
    <w:p w14:paraId="6F205ABB" w14:textId="77777777" w:rsidR="00646EC8" w:rsidRPr="00487664" w:rsidRDefault="00646EC8" w:rsidP="00646EC8">
      <w:pPr>
        <w:shd w:val="clear" w:color="auto" w:fill="FFFFFF"/>
        <w:jc w:val="center"/>
        <w:rPr>
          <w:rFonts w:ascii="Arial" w:hAnsi="Arial" w:cs="Arial"/>
          <w:b/>
          <w:sz w:val="6"/>
          <w:szCs w:val="24"/>
        </w:rPr>
      </w:pPr>
    </w:p>
    <w:p w14:paraId="1426E40F" w14:textId="25A9545C" w:rsidR="00E8607E" w:rsidRPr="000B5CF7" w:rsidRDefault="00E8607E">
      <w:pPr>
        <w:spacing w:before="40" w:after="40" w:line="276" w:lineRule="auto"/>
        <w:ind w:firstLine="567"/>
        <w:jc w:val="both"/>
        <w:rPr>
          <w:b/>
          <w:bCs/>
        </w:rPr>
      </w:pPr>
      <w:r w:rsidRPr="000B5CF7">
        <w:rPr>
          <w:b/>
          <w:bCs/>
        </w:rPr>
        <w:t xml:space="preserve">7. </w:t>
      </w:r>
      <w:r w:rsidR="00DC43A6">
        <w:rPr>
          <w:b/>
          <w:bCs/>
        </w:rPr>
        <w:t>S</w:t>
      </w:r>
      <w:r w:rsidR="00DC43A6" w:rsidRPr="00C65045">
        <w:rPr>
          <w:b/>
          <w:bCs/>
        </w:rPr>
        <w:t>ome social issues</w:t>
      </w:r>
    </w:p>
    <w:p w14:paraId="1A6DE94D" w14:textId="4B3669CB" w:rsidR="00F17FEE" w:rsidRPr="000B5CF7" w:rsidRDefault="00F17FEE">
      <w:pPr>
        <w:tabs>
          <w:tab w:val="left" w:pos="709"/>
          <w:tab w:val="left" w:pos="1134"/>
        </w:tabs>
        <w:spacing w:before="40" w:after="40" w:line="276" w:lineRule="auto"/>
        <w:ind w:firstLine="567"/>
        <w:jc w:val="both"/>
        <w:rPr>
          <w:b/>
          <w:i/>
        </w:rPr>
      </w:pPr>
      <w:r w:rsidRPr="000B5CF7">
        <w:rPr>
          <w:b/>
          <w:i/>
        </w:rPr>
        <w:t xml:space="preserve">a) </w:t>
      </w:r>
      <w:bookmarkStart w:id="12" w:name="_Hlk107922051"/>
      <w:r w:rsidR="00DC43A6" w:rsidRPr="00E84DF5">
        <w:rPr>
          <w:b/>
          <w:i/>
          <w:iCs/>
        </w:rPr>
        <w:t>Residential life and social security</w:t>
      </w:r>
      <w:bookmarkEnd w:id="12"/>
    </w:p>
    <w:p w14:paraId="29C57F12" w14:textId="77777777" w:rsidR="00627A29" w:rsidRDefault="00627A29" w:rsidP="007058D9">
      <w:pPr>
        <w:spacing w:before="40" w:after="40" w:line="276" w:lineRule="auto"/>
        <w:ind w:firstLine="567"/>
        <w:jc w:val="both"/>
        <w:rPr>
          <w:bCs/>
          <w:snapToGrid w:val="0"/>
          <w:spacing w:val="-2"/>
          <w:lang w:val="nl-NL"/>
        </w:rPr>
      </w:pPr>
      <w:r w:rsidRPr="00627A29">
        <w:rPr>
          <w:bCs/>
          <w:snapToGrid w:val="0"/>
          <w:spacing w:val="-2"/>
          <w:lang w:val="nl-NL"/>
        </w:rPr>
        <w:t xml:space="preserve">According to preliminary results from the Household Living Standards Survey in the eight months of 2022, the living situation continues to be better. The percentage of households assessed that their income in the month remained unchanged and increased compared to 8/2021 was 82.2%; assessed that has decreased was 17.8%. Among the reasons for reducing household income, 76.3% rated it due to the impact of the Covid-19 pandemic; 18.8% assessed that members of the household lost their jobs/temporarily quit their jobs, and 16.0% of households assessed that input costs for production and business activities of the household increased. Regarding the negative impacts on life in the eight months of 2022, 62.8% are suffering from negative impacts of the Covid-19 pandemic; </w:t>
      </w:r>
      <w:r w:rsidRPr="00627A29">
        <w:rPr>
          <w:bCs/>
          <w:snapToGrid w:val="0"/>
          <w:spacing w:val="-2"/>
          <w:lang w:val="nl-NL"/>
        </w:rPr>
        <w:lastRenderedPageBreak/>
        <w:t>2.2% are from diseases on livestock and crops, and similarly, 1.9% are affected by other diseases.</w:t>
      </w:r>
    </w:p>
    <w:p w14:paraId="1EF03179" w14:textId="77777777" w:rsidR="000E4D9E" w:rsidRDefault="003F5FF3" w:rsidP="007058D9">
      <w:pPr>
        <w:pStyle w:val="Normal1"/>
        <w:tabs>
          <w:tab w:val="left" w:pos="900"/>
        </w:tabs>
        <w:spacing w:before="40" w:beforeAutospacing="0" w:after="40" w:afterAutospacing="0" w:line="276" w:lineRule="auto"/>
        <w:ind w:firstLine="567"/>
        <w:jc w:val="both"/>
        <w:rPr>
          <w:bCs/>
          <w:snapToGrid w:val="0"/>
          <w:sz w:val="28"/>
          <w:szCs w:val="28"/>
          <w:lang w:val="nl-NL"/>
        </w:rPr>
      </w:pPr>
      <w:r w:rsidRPr="003F5FF3">
        <w:rPr>
          <w:bCs/>
          <w:snapToGrid w:val="0"/>
          <w:sz w:val="28"/>
          <w:szCs w:val="28"/>
          <w:lang w:val="nl-NL"/>
        </w:rPr>
        <w:t>In 8 months of 2022, 25.4% of households received help from different sources of support. Specifically, the percentage of households receiving support from general national programs and policies was 10.8%; from relatives, relatives is 12.1%; from local programs and policies was 9.7%; from charitable activities of other organizations and individuals was 5.6% and from other sources was nearly 0.2%.</w:t>
      </w:r>
    </w:p>
    <w:p w14:paraId="50AC0BEB" w14:textId="77777777" w:rsidR="007A22CF" w:rsidRDefault="001E30AD" w:rsidP="007058D9">
      <w:pPr>
        <w:pStyle w:val="Normal1"/>
        <w:tabs>
          <w:tab w:val="left" w:pos="900"/>
        </w:tabs>
        <w:spacing w:before="40" w:beforeAutospacing="0" w:after="40" w:afterAutospacing="0" w:line="276" w:lineRule="auto"/>
        <w:ind w:firstLine="567"/>
        <w:jc w:val="both"/>
        <w:rPr>
          <w:iCs/>
          <w:snapToGrid w:val="0"/>
          <w:sz w:val="28"/>
          <w:szCs w:val="28"/>
          <w:lang w:val="nl-NL"/>
        </w:rPr>
      </w:pPr>
      <w:r w:rsidRPr="001E30AD">
        <w:rPr>
          <w:iCs/>
          <w:snapToGrid w:val="0"/>
          <w:sz w:val="28"/>
          <w:szCs w:val="28"/>
          <w:lang w:val="nl-NL"/>
        </w:rPr>
        <w:t>According to a report of the Ministry of Labor, War Invalids and Social Affairs, as of August 25, 2022, the support package under Resolution No. 11/NQ-CP has disbursed about 689 billion VND to support nearly 2.6 million employees in 61,068 enterprises. Specifically, support 1,539 billion VND for 2.4 million employees working in 49,469 enterprises; supporting 150 billion VND for 131,074 employees returning to the labor market at 11,586 enterprises.</w:t>
      </w:r>
    </w:p>
    <w:p w14:paraId="5098AEAE" w14:textId="081CB72E" w:rsidR="00395EF1" w:rsidRPr="000B5CF7" w:rsidRDefault="00395EF1" w:rsidP="007058D9">
      <w:pPr>
        <w:pStyle w:val="Normal1"/>
        <w:tabs>
          <w:tab w:val="left" w:pos="900"/>
        </w:tabs>
        <w:spacing w:before="40" w:beforeAutospacing="0" w:after="40" w:afterAutospacing="0" w:line="276" w:lineRule="auto"/>
        <w:ind w:firstLine="567"/>
        <w:jc w:val="both"/>
        <w:rPr>
          <w:rStyle w:val="normalchar"/>
          <w:b/>
          <w:bCs/>
          <w:i/>
          <w:iCs/>
          <w:sz w:val="28"/>
          <w:szCs w:val="28"/>
          <w:lang w:val="nl-NL"/>
        </w:rPr>
      </w:pPr>
      <w:r w:rsidRPr="000B5CF7">
        <w:rPr>
          <w:rStyle w:val="normalchar"/>
          <w:b/>
          <w:bCs/>
          <w:i/>
          <w:iCs/>
          <w:sz w:val="28"/>
          <w:szCs w:val="28"/>
          <w:lang w:val="nl-NL"/>
        </w:rPr>
        <w:t xml:space="preserve">b) </w:t>
      </w:r>
      <w:r w:rsidR="00B14CCA" w:rsidRPr="002A32D4">
        <w:rPr>
          <w:rStyle w:val="normalchar"/>
          <w:b/>
          <w:bCs/>
          <w:i/>
          <w:iCs/>
          <w:sz w:val="28"/>
          <w:szCs w:val="28"/>
          <w:lang w:val="nl-NL"/>
        </w:rPr>
        <w:t>Epidemic diseases and food poisoning</w:t>
      </w:r>
    </w:p>
    <w:p w14:paraId="1F2159AB" w14:textId="77777777" w:rsidR="00727A18" w:rsidRPr="000B5CF7" w:rsidRDefault="00727A18" w:rsidP="00727A18">
      <w:pPr>
        <w:spacing w:before="40" w:after="40" w:line="278" w:lineRule="auto"/>
        <w:ind w:firstLine="567"/>
        <w:jc w:val="both"/>
        <w:rPr>
          <w:color w:val="FF0000"/>
          <w:lang w:val="de-DE"/>
        </w:rPr>
      </w:pPr>
      <w:r w:rsidRPr="00B337EB">
        <w:rPr>
          <w:lang w:val="de-DE"/>
        </w:rPr>
        <w:t>According to the report of the Ministry of Health, in the month</w:t>
      </w:r>
      <w:r w:rsidRPr="000B5CF7">
        <w:rPr>
          <w:lang w:val="de-DE"/>
        </w:rPr>
        <w:t xml:space="preserve"> (</w:t>
      </w:r>
      <w:r>
        <w:rPr>
          <w:lang w:val="de-DE"/>
        </w:rPr>
        <w:t>July</w:t>
      </w:r>
      <w:r w:rsidRPr="00B337EB">
        <w:rPr>
          <w:lang w:val="de-DE"/>
        </w:rPr>
        <w:t xml:space="preserve"> 19 - </w:t>
      </w:r>
      <w:r>
        <w:rPr>
          <w:lang w:val="de-DE"/>
        </w:rPr>
        <w:t>August</w:t>
      </w:r>
      <w:r w:rsidRPr="00B337EB">
        <w:rPr>
          <w:lang w:val="de-DE"/>
        </w:rPr>
        <w:t xml:space="preserve"> 18, 2022</w:t>
      </w:r>
      <w:r w:rsidRPr="000B5CF7">
        <w:rPr>
          <w:lang w:val="de-DE"/>
        </w:rPr>
        <w:t xml:space="preserve">), </w:t>
      </w:r>
      <w:r w:rsidRPr="00B337EB">
        <w:rPr>
          <w:lang w:val="de-DE"/>
        </w:rPr>
        <w:t>there were</w:t>
      </w:r>
      <w:r w:rsidRPr="000B5CF7">
        <w:rPr>
          <w:lang w:val="de-DE"/>
        </w:rPr>
        <w:t xml:space="preserve"> 62</w:t>
      </w:r>
      <w:r>
        <w:rPr>
          <w:lang w:val="de-DE"/>
        </w:rPr>
        <w:t>,</w:t>
      </w:r>
      <w:r w:rsidRPr="000B5CF7">
        <w:rPr>
          <w:lang w:val="de-DE"/>
        </w:rPr>
        <w:t xml:space="preserve">411 </w:t>
      </w:r>
      <w:r w:rsidRPr="00B337EB">
        <w:rPr>
          <w:lang w:val="de-DE"/>
        </w:rPr>
        <w:t>cases of hemorrhagic fever</w:t>
      </w:r>
      <w:r w:rsidRPr="000B5CF7">
        <w:rPr>
          <w:lang w:val="de-DE"/>
        </w:rPr>
        <w:t xml:space="preserve"> (25 </w:t>
      </w:r>
      <w:r w:rsidRPr="00B337EB">
        <w:rPr>
          <w:lang w:val="de-DE"/>
        </w:rPr>
        <w:t>cases died</w:t>
      </w:r>
      <w:r w:rsidRPr="000B5CF7">
        <w:rPr>
          <w:lang w:val="de-DE"/>
        </w:rPr>
        <w:t>); 7</w:t>
      </w:r>
      <w:r>
        <w:rPr>
          <w:lang w:val="de-DE"/>
        </w:rPr>
        <w:t>,</w:t>
      </w:r>
      <w:r w:rsidRPr="000B5CF7">
        <w:rPr>
          <w:lang w:val="de-DE"/>
        </w:rPr>
        <w:t xml:space="preserve">545 </w:t>
      </w:r>
      <w:r w:rsidRPr="00B337EB">
        <w:rPr>
          <w:lang w:val="de-DE"/>
        </w:rPr>
        <w:t>cases of hand, foot and mouth disease</w:t>
      </w:r>
      <w:r w:rsidRPr="000B5CF7">
        <w:rPr>
          <w:lang w:val="de-DE"/>
        </w:rPr>
        <w:t xml:space="preserve">; 51 </w:t>
      </w:r>
      <w:r w:rsidRPr="00B337EB">
        <w:rPr>
          <w:lang w:val="de-DE"/>
        </w:rPr>
        <w:t xml:space="preserve">cases of virus encephalitis </w:t>
      </w:r>
      <w:r w:rsidRPr="000B5CF7">
        <w:rPr>
          <w:lang w:val="de-DE"/>
        </w:rPr>
        <w:t xml:space="preserve"> (01 </w:t>
      </w:r>
      <w:r w:rsidRPr="00B337EB">
        <w:rPr>
          <w:lang w:val="de-DE"/>
        </w:rPr>
        <w:t>case died</w:t>
      </w:r>
      <w:r w:rsidRPr="000B5CF7">
        <w:rPr>
          <w:lang w:val="de-DE"/>
        </w:rPr>
        <w:t xml:space="preserve">); 01 </w:t>
      </w:r>
      <w:r w:rsidRPr="00B337EB">
        <w:rPr>
          <w:lang w:val="de-DE"/>
        </w:rPr>
        <w:t>cases of meningococcal disease</w:t>
      </w:r>
      <w:r w:rsidRPr="000B5CF7">
        <w:rPr>
          <w:lang w:val="de-DE"/>
        </w:rPr>
        <w:t xml:space="preserve">; 43 </w:t>
      </w:r>
      <w:r w:rsidRPr="00B337EB">
        <w:rPr>
          <w:lang w:val="de-DE"/>
        </w:rPr>
        <w:t>cases of scarlet fever suspected for measles</w:t>
      </w:r>
      <w:r w:rsidRPr="000B5CF7">
        <w:rPr>
          <w:lang w:val="de-DE"/>
        </w:rPr>
        <w:t xml:space="preserve">. </w:t>
      </w:r>
      <w:r w:rsidRPr="00B337EB">
        <w:rPr>
          <w:lang w:val="de-DE"/>
        </w:rPr>
        <w:t xml:space="preserve">Generally, in </w:t>
      </w:r>
      <w:r>
        <w:rPr>
          <w:lang w:val="de-DE"/>
        </w:rPr>
        <w:t>8</w:t>
      </w:r>
      <w:r w:rsidRPr="00B337EB">
        <w:rPr>
          <w:lang w:val="de-DE"/>
        </w:rPr>
        <w:t xml:space="preserve"> months of 2022, there were</w:t>
      </w:r>
      <w:r w:rsidRPr="000B5CF7">
        <w:rPr>
          <w:lang w:val="de-DE"/>
        </w:rPr>
        <w:t xml:space="preserve"> 165</w:t>
      </w:r>
      <w:r>
        <w:rPr>
          <w:lang w:val="de-DE"/>
        </w:rPr>
        <w:t>,</w:t>
      </w:r>
      <w:r w:rsidRPr="000B5CF7">
        <w:rPr>
          <w:lang w:val="de-DE"/>
        </w:rPr>
        <w:t xml:space="preserve">844 </w:t>
      </w:r>
      <w:r w:rsidRPr="00B337EB">
        <w:rPr>
          <w:lang w:val="de-DE"/>
        </w:rPr>
        <w:t>cases of hemorrhagic fever</w:t>
      </w:r>
      <w:r w:rsidRPr="000B5CF7">
        <w:rPr>
          <w:lang w:val="de-DE"/>
        </w:rPr>
        <w:t xml:space="preserve"> (62 </w:t>
      </w:r>
      <w:r w:rsidRPr="00B337EB">
        <w:rPr>
          <w:lang w:val="de-DE"/>
        </w:rPr>
        <w:t>cases died</w:t>
      </w:r>
      <w:r w:rsidRPr="000B5CF7">
        <w:rPr>
          <w:lang w:val="de-DE"/>
        </w:rPr>
        <w:t>); 44</w:t>
      </w:r>
      <w:r>
        <w:rPr>
          <w:lang w:val="de-DE"/>
        </w:rPr>
        <w:t>,</w:t>
      </w:r>
      <w:r w:rsidRPr="000B5CF7">
        <w:rPr>
          <w:lang w:val="de-DE"/>
        </w:rPr>
        <w:t xml:space="preserve">337 </w:t>
      </w:r>
      <w:r w:rsidRPr="00B337EB">
        <w:rPr>
          <w:lang w:val="de-DE"/>
        </w:rPr>
        <w:t>cases of hand, foot and mouth disease</w:t>
      </w:r>
      <w:r w:rsidRPr="000B5CF7">
        <w:rPr>
          <w:lang w:val="de-DE"/>
        </w:rPr>
        <w:t xml:space="preserve"> (02 </w:t>
      </w:r>
      <w:r w:rsidRPr="00B337EB">
        <w:rPr>
          <w:lang w:val="de-DE"/>
        </w:rPr>
        <w:t>cases died</w:t>
      </w:r>
      <w:r w:rsidRPr="000B5CF7">
        <w:rPr>
          <w:lang w:val="de-DE"/>
        </w:rPr>
        <w:t xml:space="preserve">); 190 </w:t>
      </w:r>
      <w:r w:rsidRPr="00B337EB">
        <w:rPr>
          <w:lang w:val="de-DE"/>
        </w:rPr>
        <w:t>cases of virus encephalitis</w:t>
      </w:r>
      <w:r w:rsidRPr="000B5CF7">
        <w:rPr>
          <w:lang w:val="de-DE"/>
        </w:rPr>
        <w:t xml:space="preserve"> (04 </w:t>
      </w:r>
      <w:r w:rsidRPr="00B337EB">
        <w:rPr>
          <w:lang w:val="de-DE"/>
        </w:rPr>
        <w:t>cases died</w:t>
      </w:r>
      <w:r w:rsidRPr="000B5CF7">
        <w:rPr>
          <w:lang w:val="de-DE"/>
        </w:rPr>
        <w:t xml:space="preserve">); 10 </w:t>
      </w:r>
      <w:r w:rsidRPr="00B337EB">
        <w:rPr>
          <w:lang w:val="de-DE"/>
        </w:rPr>
        <w:t>cases of meningococcal disease</w:t>
      </w:r>
      <w:r w:rsidRPr="000B5CF7">
        <w:rPr>
          <w:lang w:val="de-DE"/>
        </w:rPr>
        <w:t xml:space="preserve">; 161 </w:t>
      </w:r>
      <w:r w:rsidRPr="00B337EB">
        <w:rPr>
          <w:lang w:val="de-DE"/>
        </w:rPr>
        <w:t>cases of scarlet fever suspected for measles</w:t>
      </w:r>
      <w:r w:rsidRPr="000B5CF7">
        <w:rPr>
          <w:color w:val="FF0000"/>
          <w:lang w:val="de-DE"/>
        </w:rPr>
        <w:t>.</w:t>
      </w:r>
    </w:p>
    <w:p w14:paraId="5D79BA0E" w14:textId="3824606C" w:rsidR="00727A18" w:rsidRPr="007B087D" w:rsidRDefault="00727A18" w:rsidP="00727A18">
      <w:pPr>
        <w:spacing w:before="40" w:after="40" w:line="278" w:lineRule="auto"/>
        <w:ind w:firstLine="567"/>
        <w:jc w:val="both"/>
        <w:rPr>
          <w:lang w:val="de-DE"/>
        </w:rPr>
      </w:pPr>
      <w:r>
        <w:rPr>
          <w:lang w:val="de-DE"/>
        </w:rPr>
        <w:t xml:space="preserve">In </w:t>
      </w:r>
      <w:r w:rsidRPr="005703FD">
        <w:rPr>
          <w:lang w:val="de-DE"/>
        </w:rPr>
        <w:t>the world, the Covid-19 epidemic is on an increasing trend in the number of cases</w:t>
      </w:r>
      <w:r w:rsidRPr="007B087D">
        <w:rPr>
          <w:rStyle w:val="FootnoteReference"/>
          <w:lang w:val="de-DE"/>
        </w:rPr>
        <w:footnoteReference w:id="31"/>
      </w:r>
      <w:r w:rsidRPr="007B087D">
        <w:rPr>
          <w:lang w:val="de-DE"/>
        </w:rPr>
        <w:t xml:space="preserve">. </w:t>
      </w:r>
      <w:r w:rsidRPr="005703FD">
        <w:rPr>
          <w:lang w:val="de-DE"/>
        </w:rPr>
        <w:t>In Vietnam, the emergence of new sub-variants of the Omicron variant (BA.4, BA.5, BA.2.75, BA.2.12.1) with rapid transmission ability has been recorded</w:t>
      </w:r>
      <w:r w:rsidRPr="007B087D">
        <w:rPr>
          <w:lang w:val="de-DE"/>
        </w:rPr>
        <w:t xml:space="preserve">. </w:t>
      </w:r>
      <w:r>
        <w:rPr>
          <w:color w:val="000000" w:themeColor="text1"/>
          <w:lang w:val="de-DE"/>
        </w:rPr>
        <w:t>From the first case of Covid-19 in Vietnam on January 23, 2020 to August 27, 2022</w:t>
      </w:r>
      <w:r>
        <w:rPr>
          <w:lang w:val="de-DE"/>
        </w:rPr>
        <w:t xml:space="preserve">, there were </w:t>
      </w:r>
      <w:r w:rsidRPr="00344202">
        <w:rPr>
          <w:lang w:val="de-DE"/>
        </w:rPr>
        <w:t xml:space="preserve"> 11</w:t>
      </w:r>
      <w:r>
        <w:rPr>
          <w:lang w:val="de-DE"/>
        </w:rPr>
        <w:t>,</w:t>
      </w:r>
      <w:r w:rsidRPr="00344202">
        <w:rPr>
          <w:lang w:val="de-DE"/>
        </w:rPr>
        <w:t>401</w:t>
      </w:r>
      <w:r>
        <w:rPr>
          <w:lang w:val="de-DE"/>
        </w:rPr>
        <w:t>.</w:t>
      </w:r>
      <w:r w:rsidRPr="00344202">
        <w:rPr>
          <w:lang w:val="de-DE"/>
        </w:rPr>
        <w:t xml:space="preserve">6 </w:t>
      </w:r>
      <w:r>
        <w:rPr>
          <w:lang w:val="de-DE"/>
        </w:rPr>
        <w:t xml:space="preserve">thousand cases have been reported, of which </w:t>
      </w:r>
      <w:r w:rsidRPr="00344202">
        <w:rPr>
          <w:lang w:val="de-DE"/>
        </w:rPr>
        <w:t xml:space="preserve"> 10</w:t>
      </w:r>
      <w:r>
        <w:rPr>
          <w:lang w:val="de-DE"/>
        </w:rPr>
        <w:t>,</w:t>
      </w:r>
      <w:r w:rsidRPr="00344202">
        <w:rPr>
          <w:lang w:val="de-DE"/>
        </w:rPr>
        <w:t>140</w:t>
      </w:r>
      <w:r>
        <w:rPr>
          <w:lang w:val="de-DE"/>
        </w:rPr>
        <w:t>.</w:t>
      </w:r>
      <w:r w:rsidRPr="00344202">
        <w:rPr>
          <w:lang w:val="de-DE"/>
        </w:rPr>
        <w:t xml:space="preserve">2 </w:t>
      </w:r>
      <w:r>
        <w:rPr>
          <w:lang w:val="de-DE"/>
        </w:rPr>
        <w:t xml:space="preserve">thousand have been cured and </w:t>
      </w:r>
      <w:r w:rsidR="002A2060">
        <w:t>43.1 thousand cases died.</w:t>
      </w:r>
    </w:p>
    <w:p w14:paraId="21E38920" w14:textId="77777777" w:rsidR="00727A18" w:rsidRPr="000B5CF7" w:rsidRDefault="00727A18" w:rsidP="00727A18">
      <w:pPr>
        <w:spacing w:before="40" w:after="40" w:line="278" w:lineRule="auto"/>
        <w:ind w:firstLine="567"/>
        <w:jc w:val="both"/>
        <w:rPr>
          <w:lang w:val="de-DE"/>
        </w:rPr>
      </w:pPr>
      <w:r w:rsidRPr="004B3CFB">
        <w:rPr>
          <w:spacing w:val="-2"/>
          <w:lang w:val="de-DE"/>
        </w:rPr>
        <w:t>The rate of vaccination against Covid-19 for children aged 5-11 years old in some localities is still low</w:t>
      </w:r>
      <w:r w:rsidRPr="007B087D">
        <w:rPr>
          <w:spacing w:val="-2"/>
          <w:lang w:val="de-DE"/>
        </w:rPr>
        <w:t>.</w:t>
      </w:r>
      <w:r w:rsidRPr="007B087D">
        <w:rPr>
          <w:lang w:val="de-DE"/>
        </w:rPr>
        <w:t xml:space="preserve"> </w:t>
      </w:r>
      <w:r>
        <w:rPr>
          <w:lang w:val="de-DE"/>
        </w:rPr>
        <w:t xml:space="preserve">From March 8, 2021 to August 26, 2022, the total number of doses of Covid-19 vaccine that have been administered </w:t>
      </w:r>
      <w:r w:rsidRPr="00344202">
        <w:rPr>
          <w:lang w:val="de-DE"/>
        </w:rPr>
        <w:t>255</w:t>
      </w:r>
      <w:r>
        <w:rPr>
          <w:lang w:val="de-DE"/>
        </w:rPr>
        <w:t>,</w:t>
      </w:r>
      <w:r w:rsidRPr="00344202">
        <w:rPr>
          <w:lang w:val="de-DE"/>
        </w:rPr>
        <w:t>563</w:t>
      </w:r>
      <w:r>
        <w:rPr>
          <w:lang w:val="de-DE"/>
        </w:rPr>
        <w:t>.</w:t>
      </w:r>
      <w:r w:rsidRPr="00344202">
        <w:rPr>
          <w:lang w:val="de-DE"/>
        </w:rPr>
        <w:t xml:space="preserve">8 </w:t>
      </w:r>
      <w:r>
        <w:rPr>
          <w:lang w:val="de-DE"/>
        </w:rPr>
        <w:t>thousand doses</w:t>
      </w:r>
      <w:r w:rsidRPr="00344202">
        <w:rPr>
          <w:lang w:val="de-DE"/>
        </w:rPr>
        <w:t xml:space="preserve">, </w:t>
      </w:r>
      <w:r>
        <w:rPr>
          <w:lang w:val="de-DE"/>
        </w:rPr>
        <w:t xml:space="preserve">of which the first time </w:t>
      </w:r>
      <w:r w:rsidRPr="00344202">
        <w:rPr>
          <w:lang w:val="de-DE"/>
        </w:rPr>
        <w:t>89</w:t>
      </w:r>
      <w:r>
        <w:rPr>
          <w:lang w:val="de-DE"/>
        </w:rPr>
        <w:t>,</w:t>
      </w:r>
      <w:r w:rsidRPr="00344202">
        <w:rPr>
          <w:lang w:val="de-DE"/>
        </w:rPr>
        <w:t>348</w:t>
      </w:r>
      <w:r>
        <w:rPr>
          <w:lang w:val="de-DE"/>
        </w:rPr>
        <w:t>.</w:t>
      </w:r>
      <w:r w:rsidRPr="00344202">
        <w:rPr>
          <w:lang w:val="de-DE"/>
        </w:rPr>
        <w:t xml:space="preserve">4 </w:t>
      </w:r>
      <w:r>
        <w:rPr>
          <w:lang w:val="de-DE"/>
        </w:rPr>
        <w:t>thousand doses</w:t>
      </w:r>
      <w:r w:rsidRPr="00344202">
        <w:rPr>
          <w:lang w:val="de-DE"/>
        </w:rPr>
        <w:t xml:space="preserve">; </w:t>
      </w:r>
      <w:r>
        <w:rPr>
          <w:lang w:val="de-DE"/>
        </w:rPr>
        <w:t xml:space="preserve">the second time </w:t>
      </w:r>
      <w:r w:rsidRPr="00344202">
        <w:rPr>
          <w:lang w:val="de-DE"/>
        </w:rPr>
        <w:t>83</w:t>
      </w:r>
      <w:r>
        <w:rPr>
          <w:lang w:val="de-DE"/>
        </w:rPr>
        <w:t>,</w:t>
      </w:r>
      <w:r w:rsidRPr="00344202">
        <w:rPr>
          <w:lang w:val="de-DE"/>
        </w:rPr>
        <w:t>315</w:t>
      </w:r>
      <w:r>
        <w:rPr>
          <w:lang w:val="de-DE"/>
        </w:rPr>
        <w:t>.</w:t>
      </w:r>
      <w:r w:rsidRPr="00344202">
        <w:rPr>
          <w:lang w:val="de-DE"/>
        </w:rPr>
        <w:t xml:space="preserve">4 </w:t>
      </w:r>
      <w:r>
        <w:rPr>
          <w:lang w:val="de-DE"/>
        </w:rPr>
        <w:t>thousand doses</w:t>
      </w:r>
      <w:r w:rsidRPr="00344202">
        <w:rPr>
          <w:lang w:val="de-DE"/>
        </w:rPr>
        <w:t xml:space="preserve">; </w:t>
      </w:r>
      <w:r>
        <w:rPr>
          <w:lang w:val="de-DE"/>
        </w:rPr>
        <w:t xml:space="preserve">additional dose </w:t>
      </w:r>
      <w:r w:rsidRPr="00344202">
        <w:rPr>
          <w:lang w:val="de-DE"/>
        </w:rPr>
        <w:t>14</w:t>
      </w:r>
      <w:r>
        <w:rPr>
          <w:lang w:val="de-DE"/>
        </w:rPr>
        <w:t>,</w:t>
      </w:r>
      <w:r w:rsidRPr="00344202">
        <w:rPr>
          <w:lang w:val="de-DE"/>
        </w:rPr>
        <w:t>850</w:t>
      </w:r>
      <w:r>
        <w:rPr>
          <w:lang w:val="de-DE"/>
        </w:rPr>
        <w:t>.</w:t>
      </w:r>
      <w:r w:rsidRPr="00344202">
        <w:rPr>
          <w:lang w:val="de-DE"/>
        </w:rPr>
        <w:t xml:space="preserve">6 </w:t>
      </w:r>
      <w:r>
        <w:rPr>
          <w:lang w:val="de-DE"/>
        </w:rPr>
        <w:t>thousand doses</w:t>
      </w:r>
      <w:r w:rsidRPr="00344202">
        <w:rPr>
          <w:lang w:val="de-DE"/>
        </w:rPr>
        <w:t xml:space="preserve">; </w:t>
      </w:r>
      <w:r>
        <w:rPr>
          <w:lang w:val="de-DE"/>
        </w:rPr>
        <w:t>the first booster dose</w:t>
      </w:r>
      <w:r w:rsidRPr="00344202">
        <w:rPr>
          <w:lang w:val="de-DE"/>
        </w:rPr>
        <w:t xml:space="preserve"> 54</w:t>
      </w:r>
      <w:r>
        <w:rPr>
          <w:lang w:val="de-DE"/>
        </w:rPr>
        <w:t>,</w:t>
      </w:r>
      <w:r w:rsidRPr="00344202">
        <w:rPr>
          <w:lang w:val="de-DE"/>
        </w:rPr>
        <w:t>227</w:t>
      </w:r>
      <w:r>
        <w:rPr>
          <w:lang w:val="de-DE"/>
        </w:rPr>
        <w:t>.</w:t>
      </w:r>
      <w:r w:rsidRPr="00344202">
        <w:rPr>
          <w:lang w:val="de-DE"/>
        </w:rPr>
        <w:t xml:space="preserve">3 </w:t>
      </w:r>
      <w:r>
        <w:rPr>
          <w:lang w:val="de-DE"/>
        </w:rPr>
        <w:t>thousand doses</w:t>
      </w:r>
      <w:r w:rsidRPr="00344202">
        <w:rPr>
          <w:lang w:val="de-DE"/>
        </w:rPr>
        <w:t xml:space="preserve">; </w:t>
      </w:r>
      <w:r>
        <w:rPr>
          <w:lang w:val="de-DE"/>
        </w:rPr>
        <w:t>the second booster dose</w:t>
      </w:r>
      <w:r w:rsidRPr="00344202">
        <w:rPr>
          <w:lang w:val="de-DE"/>
        </w:rPr>
        <w:t xml:space="preserve"> 13</w:t>
      </w:r>
      <w:r>
        <w:rPr>
          <w:lang w:val="de-DE"/>
        </w:rPr>
        <w:t>,</w:t>
      </w:r>
      <w:r w:rsidRPr="00344202">
        <w:rPr>
          <w:lang w:val="de-DE"/>
        </w:rPr>
        <w:t>822</w:t>
      </w:r>
      <w:r>
        <w:rPr>
          <w:lang w:val="de-DE"/>
        </w:rPr>
        <w:t>.</w:t>
      </w:r>
      <w:r w:rsidRPr="00344202">
        <w:rPr>
          <w:lang w:val="de-DE"/>
        </w:rPr>
        <w:t xml:space="preserve">1 </w:t>
      </w:r>
      <w:r>
        <w:rPr>
          <w:lang w:val="de-DE"/>
        </w:rPr>
        <w:t>thousand doses</w:t>
      </w:r>
      <w:r w:rsidRPr="00344202">
        <w:rPr>
          <w:lang w:val="de-DE"/>
        </w:rPr>
        <w:t>.</w:t>
      </w:r>
    </w:p>
    <w:p w14:paraId="4292AB1B" w14:textId="77777777" w:rsidR="006F7A9B" w:rsidRDefault="006F7A9B" w:rsidP="00727A18">
      <w:pPr>
        <w:tabs>
          <w:tab w:val="left" w:pos="851"/>
        </w:tabs>
        <w:spacing w:before="40" w:after="40" w:line="278" w:lineRule="auto"/>
        <w:ind w:firstLine="567"/>
        <w:jc w:val="both"/>
      </w:pPr>
      <w:r>
        <w:lastRenderedPageBreak/>
        <w:t>The total number of people living with HIV nationwide as of August 18, 2022, was 218,416 persons and the number of deaths by HIV/AIDS as of the above time-point was 111,954 persons.</w:t>
      </w:r>
    </w:p>
    <w:p w14:paraId="57D50DD5" w14:textId="2F67F79A" w:rsidR="00727A18" w:rsidRPr="000B5CF7" w:rsidRDefault="00727A18" w:rsidP="00727A18">
      <w:pPr>
        <w:tabs>
          <w:tab w:val="left" w:pos="851"/>
        </w:tabs>
        <w:spacing w:before="40" w:after="40" w:line="278" w:lineRule="auto"/>
        <w:ind w:firstLine="567"/>
        <w:jc w:val="both"/>
        <w:rPr>
          <w:lang w:val="de-DE"/>
        </w:rPr>
      </w:pPr>
      <w:r>
        <w:rPr>
          <w:lang w:val="de-DE"/>
        </w:rPr>
        <w:t>In August 2022, there were</w:t>
      </w:r>
      <w:r w:rsidRPr="000B5CF7">
        <w:rPr>
          <w:lang w:val="de-DE"/>
        </w:rPr>
        <w:t xml:space="preserve"> 09 </w:t>
      </w:r>
      <w:r>
        <w:rPr>
          <w:lang w:val="de-DE"/>
        </w:rPr>
        <w:t>cases of food poisoning with</w:t>
      </w:r>
      <w:r w:rsidRPr="000B5CF7">
        <w:rPr>
          <w:lang w:val="de-DE"/>
        </w:rPr>
        <w:t xml:space="preserve"> 165 </w:t>
      </w:r>
      <w:r>
        <w:rPr>
          <w:lang w:val="de-DE"/>
        </w:rPr>
        <w:t xml:space="preserve">persons poisoned. Generally, in 8 months of 2022, there were </w:t>
      </w:r>
      <w:r w:rsidRPr="000B5CF7">
        <w:rPr>
          <w:lang w:val="de-DE"/>
        </w:rPr>
        <w:t xml:space="preserve">36 </w:t>
      </w:r>
      <w:r>
        <w:rPr>
          <w:lang w:val="de-DE"/>
        </w:rPr>
        <w:t>cases of food poisoning with</w:t>
      </w:r>
      <w:r w:rsidRPr="000B5CF7">
        <w:rPr>
          <w:lang w:val="de-DE"/>
        </w:rPr>
        <w:t xml:space="preserve"> 522 </w:t>
      </w:r>
      <w:r>
        <w:rPr>
          <w:lang w:val="de-DE"/>
        </w:rPr>
        <w:t xml:space="preserve">persons poisoned </w:t>
      </w:r>
      <w:r w:rsidRPr="000B5CF7">
        <w:rPr>
          <w:lang w:val="de-DE"/>
        </w:rPr>
        <w:t xml:space="preserve">(11 </w:t>
      </w:r>
      <w:r w:rsidRPr="00B337EB">
        <w:rPr>
          <w:lang w:val="de-DE"/>
        </w:rPr>
        <w:t>cases died</w:t>
      </w:r>
      <w:r w:rsidRPr="000B5CF7">
        <w:rPr>
          <w:lang w:val="de-DE"/>
        </w:rPr>
        <w:t>).</w:t>
      </w:r>
    </w:p>
    <w:p w14:paraId="62C5A150" w14:textId="6F1355F2" w:rsidR="00395EF1" w:rsidRPr="000B5CF7" w:rsidRDefault="005C593E" w:rsidP="005C593E">
      <w:pPr>
        <w:rPr>
          <w:rStyle w:val="normalchar"/>
          <w:b/>
          <w:i/>
          <w:lang w:val="nl-NL"/>
        </w:rPr>
      </w:pPr>
      <w:r>
        <w:rPr>
          <w:b/>
          <w:bCs/>
          <w:i/>
          <w:iCs/>
          <w:lang w:val="pl-PL"/>
        </w:rPr>
        <w:tab/>
      </w:r>
      <w:r w:rsidR="00395EF1" w:rsidRPr="000B5CF7">
        <w:rPr>
          <w:b/>
          <w:bCs/>
          <w:i/>
          <w:iCs/>
          <w:lang w:val="pl-PL"/>
        </w:rPr>
        <w:t xml:space="preserve">c) </w:t>
      </w:r>
      <w:r w:rsidR="00A92D0E" w:rsidRPr="00A92D0E">
        <w:rPr>
          <w:rStyle w:val="normalchar"/>
          <w:b/>
          <w:i/>
          <w:lang w:val="nl-NL"/>
        </w:rPr>
        <w:t>Cultural and sports activities</w:t>
      </w:r>
    </w:p>
    <w:p w14:paraId="4C216353" w14:textId="77777777" w:rsidR="00F20691" w:rsidRDefault="00F20691" w:rsidP="002C2D80">
      <w:pPr>
        <w:tabs>
          <w:tab w:val="left" w:pos="851"/>
        </w:tabs>
        <w:spacing w:before="40" w:after="40" w:line="278" w:lineRule="auto"/>
        <w:ind w:firstLine="567"/>
        <w:jc w:val="both"/>
      </w:pPr>
      <w:r>
        <w:t>The conservation and promotion of the value of the cultural heritage of Vietnam have always been a concern by the State and have achieved many positive achievements, contributing to the protection and preservation of the national cultural values. At the 9th General Assembly session of the 2003 UNESCO Convention on the Protection of Intangible Cultural Heritage, Vietnam was elected a member of the Intergovernmental Committee of the UNESCO Convention on the Protection of Intangible Cultural Heritage term 2022-2026. Continue to complete and develop documents to preserve and promote traditional culture such as Han Nom text in Truong Luu village, Ha Tinh province (1689-1943); Ghost beer is chewed at Marble Mountains (Da Nang) and Yen Tu Monuments and Scenic Landscape Complex (Quang Ninh, Bac Giang, and Hai Duong).</w:t>
      </w:r>
    </w:p>
    <w:p w14:paraId="66CD10F4" w14:textId="76A25199" w:rsidR="00190743" w:rsidRPr="002C2D80" w:rsidRDefault="00190743" w:rsidP="002C2D80">
      <w:pPr>
        <w:tabs>
          <w:tab w:val="left" w:pos="851"/>
        </w:tabs>
        <w:spacing w:before="40" w:after="40" w:line="278" w:lineRule="auto"/>
        <w:ind w:firstLine="567"/>
        <w:jc w:val="both"/>
        <w:rPr>
          <w:lang w:val="de-DE"/>
        </w:rPr>
      </w:pPr>
      <w:r w:rsidRPr="002C2D80">
        <w:rPr>
          <w:lang w:val="de-DE"/>
        </w:rPr>
        <w:t>Movements of mass exercise and sports have been promoted and organized widely in all localities, many movements have been launched such as: The Ninth Sports Festival in 2022 taking place in Hai Duong, Bac Giang. , Nghe An, Can Tho, An Giang, Thua Thien - Hue, Dong Thap; Sports festival on professional application of the people's police force in 2022 in Kien Giang.</w:t>
      </w:r>
    </w:p>
    <w:p w14:paraId="4D7BE331" w14:textId="77777777" w:rsidR="008C4BC5" w:rsidRDefault="008C4BC5" w:rsidP="007058D9">
      <w:pPr>
        <w:tabs>
          <w:tab w:val="left" w:pos="709"/>
          <w:tab w:val="left" w:pos="1134"/>
        </w:tabs>
        <w:spacing w:before="40" w:after="40" w:line="283" w:lineRule="auto"/>
        <w:ind w:firstLine="567"/>
        <w:jc w:val="both"/>
      </w:pPr>
      <w:r>
        <w:t>In terms of high-performance sports, in August 2022, a number of outstanding events will take place such as: The Vietnam Disabled People's Sports Delegation attending the 11th Southeast Asian Games for People with Disabilities (ASEAN Para Games 11). ) in Indonesia with 153 members, including 15 staff members, 18 coaches and 120 athletes; successfully held the National Club Weightlifting Championship in 2022; Vietnam Professional Basketball Tournament VBA 2022; The National Excellent Chess Championship in 2022 competes for the South Asia Bank Cup.</w:t>
      </w:r>
    </w:p>
    <w:p w14:paraId="3DD2BA05" w14:textId="28833B04" w:rsidR="000A06ED" w:rsidRPr="000B5CF7" w:rsidRDefault="000A06ED" w:rsidP="007058D9">
      <w:pPr>
        <w:tabs>
          <w:tab w:val="left" w:pos="709"/>
          <w:tab w:val="left" w:pos="1134"/>
        </w:tabs>
        <w:spacing w:before="40" w:after="40" w:line="283" w:lineRule="auto"/>
        <w:ind w:firstLine="567"/>
        <w:jc w:val="both"/>
        <w:rPr>
          <w:b/>
          <w:i/>
        </w:rPr>
      </w:pPr>
      <w:r w:rsidRPr="00133A85">
        <w:rPr>
          <w:b/>
          <w:i/>
          <w:lang w:val="nl-NL"/>
        </w:rPr>
        <w:t>d</w:t>
      </w:r>
      <w:r w:rsidRPr="000B5CF7">
        <w:rPr>
          <w:b/>
          <w:i/>
        </w:rPr>
        <w:t xml:space="preserve">) </w:t>
      </w:r>
      <w:r w:rsidR="00255934" w:rsidRPr="00FD314D">
        <w:rPr>
          <w:b/>
          <w:bCs/>
          <w:i/>
          <w:iCs/>
        </w:rPr>
        <w:t>Traffic accident</w:t>
      </w:r>
      <w:r w:rsidR="00255934" w:rsidRPr="00A7753E">
        <w:rPr>
          <w:rStyle w:val="EndnoteTextChar"/>
        </w:rPr>
        <w:t xml:space="preserve"> </w:t>
      </w:r>
      <w:r w:rsidRPr="007058D9">
        <w:rPr>
          <w:b/>
          <w:i/>
          <w:vertAlign w:val="superscript"/>
        </w:rPr>
        <w:footnoteReference w:id="32"/>
      </w:r>
    </w:p>
    <w:p w14:paraId="7F33E969" w14:textId="2B52BA56" w:rsidR="00D4586D" w:rsidRPr="00130B0E" w:rsidRDefault="00D4586D" w:rsidP="00D4586D">
      <w:pPr>
        <w:spacing w:before="120" w:after="120" w:line="288" w:lineRule="auto"/>
        <w:ind w:firstLine="720"/>
        <w:jc w:val="both"/>
      </w:pPr>
      <w:r w:rsidRPr="00130B0E">
        <w:t xml:space="preserve">In August (from July 15 to August 14, 2022), there were 952 traffic accidents in the whole country, including 647 </w:t>
      </w:r>
      <w:r w:rsidR="004877FC" w:rsidRPr="002F5C35">
        <w:rPr>
          <w:rFonts w:eastAsia="Calibri"/>
          <w:spacing w:val="-4"/>
          <w:lang w:val="de-DE"/>
        </w:rPr>
        <w:t>from less serious or more and</w:t>
      </w:r>
      <w:r w:rsidRPr="00130B0E">
        <w:t xml:space="preserve"> 305 </w:t>
      </w:r>
      <w:r w:rsidRPr="00130B0E">
        <w:lastRenderedPageBreak/>
        <w:t>traffic collision</w:t>
      </w:r>
      <w:r w:rsidR="004813A9">
        <w:rPr>
          <w:lang w:val="en-US"/>
        </w:rPr>
        <w:t>s</w:t>
      </w:r>
      <w:r w:rsidR="00852260">
        <w:rPr>
          <w:lang w:val="en-US"/>
        </w:rPr>
        <w:t>,</w:t>
      </w:r>
      <w:r w:rsidR="004813A9">
        <w:rPr>
          <w:lang w:val="en-US"/>
        </w:rPr>
        <w:t xml:space="preserve"> </w:t>
      </w:r>
      <w:r w:rsidRPr="00130B0E">
        <w:t xml:space="preserve">causing 491 deaths, 372 injuries and 329 minor injuries. Compared to the previous month, the number of traffic accidents increased by 14.3% (the number of traffic accidents </w:t>
      </w:r>
      <w:r w:rsidR="00FE3D39" w:rsidRPr="002F5C35">
        <w:rPr>
          <w:rFonts w:eastAsia="Calibri"/>
          <w:spacing w:val="-4"/>
          <w:lang w:val="de-DE"/>
        </w:rPr>
        <w:t xml:space="preserve">from less serious or more </w:t>
      </w:r>
      <w:r w:rsidRPr="00130B0E">
        <w:t>increased by 10.6% and the number of traffic collisions increased by 23%) the number of deaths increased by 4</w:t>
      </w:r>
      <w:r w:rsidR="00A207DE">
        <w:rPr>
          <w:lang w:val="en-US"/>
        </w:rPr>
        <w:t>.</w:t>
      </w:r>
      <w:r w:rsidRPr="00130B0E">
        <w:t xml:space="preserve">2%; the number of injured people increased by 16.3% and the number </w:t>
      </w:r>
      <w:r w:rsidR="00971B08" w:rsidRPr="002F5C35">
        <w:rPr>
          <w:rFonts w:eastAsia="Calibri"/>
          <w:spacing w:val="-4"/>
          <w:lang w:val="de-DE"/>
        </w:rPr>
        <w:t xml:space="preserve">of minor injuries </w:t>
      </w:r>
      <w:r w:rsidRPr="00130B0E">
        <w:t>increased by 33.7%. Compared to the same period last year, the number of traffic accidents in August increased by 86.7% (the number of traffic accidents from less serious and above increased by 88.6% and the number of traffic collisions increased by 82.6%); the number of deaths increased by 91.1%; the number of injured people increased by 105.5% and the number of people with minor injuries increased by 104.3%.</w:t>
      </w:r>
    </w:p>
    <w:p w14:paraId="2F7FFE86" w14:textId="6C3C6CD0" w:rsidR="00D4586D" w:rsidRPr="00D4586D" w:rsidRDefault="00D4586D" w:rsidP="00033AEE">
      <w:pPr>
        <w:spacing w:before="120" w:after="120" w:line="288" w:lineRule="auto"/>
        <w:ind w:firstLine="720"/>
        <w:jc w:val="both"/>
        <w:rPr>
          <w:rFonts w:eastAsia="Calibri"/>
          <w:color w:val="FF0000"/>
        </w:rPr>
      </w:pPr>
      <w:r w:rsidRPr="00130B0E">
        <w:t xml:space="preserve">Generally, in the first eight months of this year, there were 7,488 traffic accidents nationwide, including 5,225 traffic accidents </w:t>
      </w:r>
      <w:r w:rsidR="007C6948" w:rsidRPr="00BE00B2">
        <w:rPr>
          <w:rFonts w:eastAsia="Calibri"/>
          <w:spacing w:val="-2"/>
          <w:lang w:val="de-DE"/>
        </w:rPr>
        <w:t>of less serious or more</w:t>
      </w:r>
      <w:r w:rsidRPr="00130B0E">
        <w:t xml:space="preserve"> and 2,263 traffic collisions, killing 4,276 people and 2,656 people injured and 2,301 minor injuries. Compared to the same period last year, the number of traffic accidents in the eight months of this year decreased by 2.1% (the number of traffic accidents from less serious or more increased by 6.4%; the number of traffic collisions decreased by 17</w:t>
      </w:r>
      <w:r w:rsidR="006233CE">
        <w:rPr>
          <w:lang w:val="en-US"/>
        </w:rPr>
        <w:t>.</w:t>
      </w:r>
      <w:r w:rsidRPr="00130B0E">
        <w:t xml:space="preserve">3%); the number of deaths increased by 9.9%; the number of injured people increased by 4.4% and the number of minor injuries decreased by 17.3%. On average, 1 day in 8 months, there </w:t>
      </w:r>
      <w:r w:rsidR="004A523D">
        <w:rPr>
          <w:lang w:val="en-US"/>
        </w:rPr>
        <w:t>we</w:t>
      </w:r>
      <w:r w:rsidRPr="00130B0E">
        <w:t xml:space="preserve">re 31 traffic accidents in the whole country, including 22 traffic accidents </w:t>
      </w:r>
      <w:r w:rsidR="004A523D" w:rsidRPr="00BE00B2">
        <w:rPr>
          <w:rFonts w:eastAsia="Calibri"/>
          <w:spacing w:val="-2"/>
          <w:lang w:val="de-DE"/>
        </w:rPr>
        <w:t xml:space="preserve">of less serious or more </w:t>
      </w:r>
      <w:r w:rsidRPr="00130B0E">
        <w:t>and 9 traffic collisions, causing 18 deaths, 11 injured and 10 people with minor injuries.</w:t>
      </w:r>
    </w:p>
    <w:p w14:paraId="40151A92" w14:textId="70402245" w:rsidR="000A06ED" w:rsidRPr="000B5CF7" w:rsidRDefault="000A06ED" w:rsidP="007058D9">
      <w:pPr>
        <w:pStyle w:val="Normal11"/>
        <w:spacing w:before="40" w:beforeAutospacing="0" w:after="40" w:afterAutospacing="0" w:line="252" w:lineRule="auto"/>
        <w:ind w:firstLine="567"/>
        <w:jc w:val="both"/>
        <w:rPr>
          <w:rFonts w:ascii="Times New Roman" w:hAnsi="Times New Roman" w:cs="Times New Roman"/>
          <w:b/>
          <w:i/>
          <w:sz w:val="28"/>
          <w:szCs w:val="28"/>
          <w:lang w:val="pl-PL"/>
        </w:rPr>
      </w:pPr>
      <w:r w:rsidRPr="000B5CF7">
        <w:rPr>
          <w:rFonts w:ascii="Times New Roman" w:hAnsi="Times New Roman" w:cs="Times New Roman"/>
          <w:b/>
          <w:i/>
          <w:sz w:val="28"/>
          <w:szCs w:val="28"/>
          <w:lang w:val="pl-PL"/>
        </w:rPr>
        <w:t xml:space="preserve">đ) </w:t>
      </w:r>
      <w:r w:rsidR="00AD2087" w:rsidRPr="00AF7B75">
        <w:rPr>
          <w:rFonts w:ascii="Times New Roman" w:hAnsi="Times New Roman"/>
          <w:b/>
          <w:bCs/>
          <w:i/>
          <w:iCs/>
          <w:sz w:val="28"/>
          <w:szCs w:val="28"/>
        </w:rPr>
        <w:t xml:space="preserve">Damage caused by natural </w:t>
      </w:r>
      <w:r w:rsidR="00AD2087" w:rsidRPr="00B81BED">
        <w:rPr>
          <w:rFonts w:ascii="Times New Roman" w:hAnsi="Times New Roman" w:cs="Times New Roman"/>
          <w:b/>
          <w:bCs/>
          <w:i/>
          <w:iCs/>
          <w:sz w:val="28"/>
          <w:szCs w:val="28"/>
        </w:rPr>
        <w:t>disasters</w:t>
      </w:r>
      <w:r w:rsidR="00AD2087" w:rsidRPr="00B81BED">
        <w:rPr>
          <w:rStyle w:val="FootnoteReference"/>
          <w:rFonts w:ascii="Times New Roman" w:eastAsia="Calibri" w:hAnsi="Times New Roman" w:cs="Times New Roman"/>
          <w:i/>
          <w:sz w:val="28"/>
          <w:szCs w:val="28"/>
          <w:lang w:val="pl-PL"/>
        </w:rPr>
        <w:t xml:space="preserve"> </w:t>
      </w:r>
      <w:r w:rsidRPr="00B81BED">
        <w:rPr>
          <w:rStyle w:val="FootnoteReference"/>
          <w:rFonts w:ascii="Times New Roman" w:eastAsia="Calibri" w:hAnsi="Times New Roman" w:cs="Times New Roman"/>
          <w:i/>
          <w:sz w:val="28"/>
          <w:szCs w:val="28"/>
          <w:lang w:val="pl-PL"/>
        </w:rPr>
        <w:footnoteReference w:id="33"/>
      </w:r>
    </w:p>
    <w:p w14:paraId="4BFBCD7C" w14:textId="77777777" w:rsidR="00806FB7" w:rsidRDefault="00806FB7" w:rsidP="007058D9">
      <w:pPr>
        <w:tabs>
          <w:tab w:val="left" w:pos="426"/>
          <w:tab w:val="left" w:pos="900"/>
        </w:tabs>
        <w:spacing w:before="40" w:after="40" w:line="252" w:lineRule="auto"/>
        <w:ind w:firstLine="567"/>
        <w:jc w:val="both"/>
      </w:pPr>
      <w:r>
        <w:t>Damage caused by natural disasters in August was mainly caused by heavy rains, floods, and landslides, causing 21 deaths and missing (of which 7 deaths of the lightning storms), 12 injured; 2.4 thousand houses collapsed, washed away, and damaged; 9.5 thousand ha of paddy and 4.6 thousand ha of crops were damaged; total value of property damage caused by natural disasters in the month was 171.7 billion VND, up 21.5% over the same period last year. Generally, for the 8 months of this year, natural disasters made 118 people dead and missing (of which 57 deaths from lightning storms, accounting for 48% of the total deaths caused by natural disasters), 80 people injured; 14.5 thousand houses collapsed, and were damaged; 173.7 thousand hectares of paddy and 37.1 thousand hectares of crops were damaged; the total value of property damage was estimated at 5,796.3 billion VND, 6.3 times higher than the same period in 2021.</w:t>
      </w:r>
    </w:p>
    <w:p w14:paraId="66D2C070" w14:textId="18B7531A" w:rsidR="000A06ED" w:rsidRPr="000B5CF7" w:rsidRDefault="000A06ED" w:rsidP="007058D9">
      <w:pPr>
        <w:tabs>
          <w:tab w:val="left" w:pos="426"/>
          <w:tab w:val="left" w:pos="900"/>
        </w:tabs>
        <w:spacing w:before="40" w:after="40" w:line="252" w:lineRule="auto"/>
        <w:ind w:firstLine="567"/>
        <w:jc w:val="both"/>
        <w:rPr>
          <w:rFonts w:eastAsia="Calibri"/>
          <w:b/>
          <w:i/>
          <w:lang w:val="de-DE"/>
        </w:rPr>
      </w:pPr>
      <w:r w:rsidRPr="000B5CF7">
        <w:rPr>
          <w:rFonts w:eastAsia="Calibri"/>
          <w:b/>
          <w:i/>
          <w:lang w:val="de-DE"/>
        </w:rPr>
        <w:lastRenderedPageBreak/>
        <w:t>e)</w:t>
      </w:r>
      <w:r w:rsidRPr="000B5CF7">
        <w:rPr>
          <w:b/>
          <w:i/>
          <w:lang w:val="pl-PL"/>
        </w:rPr>
        <w:t xml:space="preserve"> </w:t>
      </w:r>
      <w:r w:rsidR="00AA76D1" w:rsidRPr="00502832">
        <w:rPr>
          <w:b/>
          <w:i/>
          <w:lang w:val="pl-PL"/>
        </w:rPr>
        <w:t>Environmental protection and fire, explosion prevention</w:t>
      </w:r>
    </w:p>
    <w:p w14:paraId="10EABDE1" w14:textId="77777777" w:rsidR="00D67311" w:rsidRDefault="00D67311" w:rsidP="00804CE6">
      <w:pPr>
        <w:tabs>
          <w:tab w:val="left" w:pos="426"/>
          <w:tab w:val="left" w:pos="900"/>
        </w:tabs>
        <w:spacing w:before="40" w:after="40" w:line="276" w:lineRule="auto"/>
        <w:ind w:firstLine="567"/>
        <w:jc w:val="both"/>
      </w:pPr>
      <w:r>
        <w:t>In August 2022, the authorities detected 1,637 cases of environmental violations, of which 1,485 cases were handled with a total fine of 20.8 billion VND, down 2.3% from the previous month and down 19.2% over the same period last year. Generally, in the 8 months of this year, 14,716 cases of environmental violations were detected, of which 12,804 cases were handled with a total fine of 172.6 billion VND, down 5.8% over the same period last year.</w:t>
      </w:r>
    </w:p>
    <w:p w14:paraId="57455618" w14:textId="15EBC4D4" w:rsidR="00804CE6" w:rsidRDefault="00804CE6" w:rsidP="00804CE6">
      <w:pPr>
        <w:tabs>
          <w:tab w:val="left" w:pos="426"/>
          <w:tab w:val="left" w:pos="900"/>
        </w:tabs>
        <w:spacing w:before="40" w:after="40" w:line="276" w:lineRule="auto"/>
        <w:ind w:firstLine="567"/>
        <w:jc w:val="both"/>
        <w:rPr>
          <w:rFonts w:eastAsia="Calibri"/>
          <w:spacing w:val="-4"/>
          <w:lang w:val="de-DE"/>
        </w:rPr>
      </w:pPr>
      <w:r w:rsidRPr="004A1FF2">
        <w:rPr>
          <w:rFonts w:eastAsia="Calibri"/>
          <w:spacing w:val="-4"/>
          <w:lang w:val="de-DE"/>
        </w:rPr>
        <w:t>In the month</w:t>
      </w:r>
      <w:r w:rsidRPr="001858AB">
        <w:rPr>
          <w:rStyle w:val="FootnoteReference"/>
          <w:rFonts w:eastAsia="Calibri"/>
          <w:spacing w:val="-4"/>
          <w:lang w:val="de-DE"/>
        </w:rPr>
        <w:footnoteReference w:id="34"/>
      </w:r>
      <w:r w:rsidRPr="001858AB">
        <w:rPr>
          <w:rFonts w:eastAsia="Calibri"/>
          <w:spacing w:val="-4"/>
          <w:lang w:val="de-DE"/>
        </w:rPr>
        <w:t xml:space="preserve">, </w:t>
      </w:r>
      <w:r>
        <w:t>the whole country had 1</w:t>
      </w:r>
      <w:r w:rsidR="00C16B77">
        <w:rPr>
          <w:lang w:val="en-US"/>
        </w:rPr>
        <w:t>37</w:t>
      </w:r>
      <w:r>
        <w:t xml:space="preserve"> fires and explosions, killing </w:t>
      </w:r>
      <w:r w:rsidR="00C16B77">
        <w:rPr>
          <w:lang w:val="en-US"/>
        </w:rPr>
        <w:t>10</w:t>
      </w:r>
      <w:r>
        <w:t xml:space="preserve"> people and injuring </w:t>
      </w:r>
      <w:r w:rsidR="00860517">
        <w:rPr>
          <w:lang w:val="en-US"/>
        </w:rPr>
        <w:t>10</w:t>
      </w:r>
      <w:r>
        <w:t xml:space="preserve"> people, with estimated damage of </w:t>
      </w:r>
      <w:r w:rsidR="00860517">
        <w:rPr>
          <w:lang w:val="en-US"/>
        </w:rPr>
        <w:t>29</w:t>
      </w:r>
      <w:r>
        <w:t>.</w:t>
      </w:r>
      <w:r w:rsidR="00860517">
        <w:rPr>
          <w:lang w:val="en-US"/>
        </w:rPr>
        <w:t>7</w:t>
      </w:r>
      <w:r>
        <w:t xml:space="preserve"> billion VND, down </w:t>
      </w:r>
      <w:r w:rsidR="00860517">
        <w:rPr>
          <w:lang w:val="en-US"/>
        </w:rPr>
        <w:t>61</w:t>
      </w:r>
      <w:r>
        <w:t>.</w:t>
      </w:r>
      <w:r w:rsidR="00860517">
        <w:rPr>
          <w:lang w:val="en-US"/>
        </w:rPr>
        <w:t>5</w:t>
      </w:r>
      <w:r>
        <w:t xml:space="preserve">% compared to the previous month and </w:t>
      </w:r>
      <w:r w:rsidR="00A377EA">
        <w:rPr>
          <w:lang w:val="en-US"/>
        </w:rPr>
        <w:t>up 78.4%</w:t>
      </w:r>
      <w:r>
        <w:t xml:space="preserve"> </w:t>
      </w:r>
      <w:r w:rsidR="00A377EA">
        <w:rPr>
          <w:lang w:val="en-US"/>
        </w:rPr>
        <w:t>over</w:t>
      </w:r>
      <w:r>
        <w:t xml:space="preserve"> the same period last year. Generally, in the </w:t>
      </w:r>
      <w:r w:rsidR="00A377EA">
        <w:rPr>
          <w:lang w:val="en-US"/>
        </w:rPr>
        <w:t>eight</w:t>
      </w:r>
      <w:r>
        <w:t xml:space="preserve"> months of this year, 1,</w:t>
      </w:r>
      <w:r w:rsidR="00A377EA">
        <w:rPr>
          <w:lang w:val="en-US"/>
        </w:rPr>
        <w:t>147</w:t>
      </w:r>
      <w:r>
        <w:t xml:space="preserve"> fires and explosions occurred nationwide, killing </w:t>
      </w:r>
      <w:r w:rsidR="00A377EA">
        <w:rPr>
          <w:lang w:val="en-US"/>
        </w:rPr>
        <w:t>6</w:t>
      </w:r>
      <w:r>
        <w:t xml:space="preserve">5 people and injuring </w:t>
      </w:r>
      <w:r w:rsidR="00A377EA">
        <w:rPr>
          <w:lang w:val="en-US"/>
        </w:rPr>
        <w:t>6</w:t>
      </w:r>
      <w:r>
        <w:t xml:space="preserve">5 people, causing estimated damage of </w:t>
      </w:r>
      <w:r w:rsidR="00A377EA">
        <w:rPr>
          <w:lang w:val="en-US"/>
        </w:rPr>
        <w:t>521</w:t>
      </w:r>
      <w:r>
        <w:t>.</w:t>
      </w:r>
      <w:r w:rsidR="00A377EA">
        <w:rPr>
          <w:lang w:val="en-US"/>
        </w:rPr>
        <w:t>6</w:t>
      </w:r>
      <w:r>
        <w:t xml:space="preserve"> billion VND, an increase of 5</w:t>
      </w:r>
      <w:r w:rsidR="00A377EA">
        <w:rPr>
          <w:lang w:val="en-US"/>
        </w:rPr>
        <w:t>5.7</w:t>
      </w:r>
      <w:r>
        <w:t>% over the same period last year./.</w:t>
      </w:r>
    </w:p>
    <w:p w14:paraId="3B76CA8D" w14:textId="77777777" w:rsidR="00804CE6" w:rsidRDefault="00804CE6" w:rsidP="007058D9">
      <w:pPr>
        <w:tabs>
          <w:tab w:val="left" w:pos="426"/>
          <w:tab w:val="left" w:pos="900"/>
        </w:tabs>
        <w:spacing w:before="40" w:after="40" w:line="252" w:lineRule="auto"/>
        <w:ind w:firstLine="567"/>
        <w:jc w:val="both"/>
        <w:rPr>
          <w:rFonts w:eastAsia="Calibri"/>
          <w:spacing w:val="-4"/>
          <w:lang w:val="de-DE"/>
        </w:rPr>
      </w:pPr>
    </w:p>
    <w:p w14:paraId="4C43B3AF" w14:textId="77777777" w:rsidR="00A21D41" w:rsidRPr="00C570A9" w:rsidRDefault="00A21D41" w:rsidP="007058D9">
      <w:pPr>
        <w:tabs>
          <w:tab w:val="left" w:pos="426"/>
          <w:tab w:val="left" w:pos="900"/>
        </w:tabs>
        <w:spacing w:before="40" w:after="40" w:line="252" w:lineRule="auto"/>
        <w:ind w:firstLine="567"/>
        <w:jc w:val="both"/>
        <w:rPr>
          <w:rFonts w:eastAsia="Calibri"/>
          <w:b/>
          <w:i/>
          <w:lang w:val="de-DE"/>
        </w:rPr>
      </w:pPr>
    </w:p>
    <w:p w14:paraId="68062576" w14:textId="77777777" w:rsidR="00E8607E" w:rsidRPr="00120FE9" w:rsidRDefault="00E8607E" w:rsidP="00E8607E">
      <w:pPr>
        <w:spacing w:before="40" w:after="40" w:line="288" w:lineRule="auto"/>
        <w:ind w:firstLine="567"/>
        <w:jc w:val="both"/>
        <w:rPr>
          <w:bCs/>
          <w:sz w:val="16"/>
          <w:lang w:val="de-DE"/>
        </w:rPr>
      </w:pPr>
    </w:p>
    <w:p w14:paraId="6CEB531E" w14:textId="77777777" w:rsidR="00A21D41" w:rsidRPr="001C0660" w:rsidRDefault="00A21D41" w:rsidP="00A21D41">
      <w:pPr>
        <w:pStyle w:val="Normal1"/>
        <w:spacing w:before="40" w:beforeAutospacing="0" w:after="40" w:afterAutospacing="0" w:line="288" w:lineRule="auto"/>
        <w:jc w:val="center"/>
        <w:rPr>
          <w:b/>
          <w:bCs/>
          <w:sz w:val="28"/>
          <w:szCs w:val="28"/>
        </w:rPr>
      </w:pPr>
      <w:r w:rsidRPr="001C0660">
        <w:rPr>
          <w:b/>
          <w:bCs/>
          <w:iCs/>
          <w:sz w:val="28"/>
          <w:szCs w:val="28"/>
          <w:shd w:val="clear" w:color="auto" w:fill="FFFFFF"/>
          <w:lang w:val="de-DE"/>
        </w:rPr>
        <w:t>GENERAL STATISTICS OFFICE</w:t>
      </w:r>
    </w:p>
    <w:p w14:paraId="0D46D8CF" w14:textId="11234AA3" w:rsidR="00E917D2" w:rsidRDefault="00E917D2">
      <w:pPr>
        <w:spacing w:after="160" w:line="259" w:lineRule="auto"/>
      </w:pPr>
    </w:p>
    <w:sectPr w:rsidR="00E917D2" w:rsidSect="00E917D2">
      <w:headerReference w:type="default" r:id="rId28"/>
      <w:pgSz w:w="11907" w:h="16840" w:code="9"/>
      <w:pgMar w:top="1077" w:right="1134" w:bottom="1134" w:left="1797" w:header="505"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7F9E5" w14:textId="77777777" w:rsidR="00255053" w:rsidRDefault="00255053" w:rsidP="00E8607E">
      <w:r>
        <w:separator/>
      </w:r>
    </w:p>
  </w:endnote>
  <w:endnote w:type="continuationSeparator" w:id="0">
    <w:p w14:paraId="77950252" w14:textId="77777777" w:rsidR="00255053" w:rsidRDefault="00255053" w:rsidP="00E8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ArialH">
    <w:altName w:val="Calibri"/>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imes New Roman Italic">
    <w:altName w:val="Times New Roman"/>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DCBEF" w14:textId="77777777" w:rsidR="00255053" w:rsidRDefault="00255053" w:rsidP="00E8607E">
      <w:r>
        <w:separator/>
      </w:r>
    </w:p>
  </w:footnote>
  <w:footnote w:type="continuationSeparator" w:id="0">
    <w:p w14:paraId="31A6B1B9" w14:textId="77777777" w:rsidR="00255053" w:rsidRDefault="00255053" w:rsidP="00E8607E">
      <w:r>
        <w:continuationSeparator/>
      </w:r>
    </w:p>
  </w:footnote>
  <w:footnote w:id="1">
    <w:p w14:paraId="70D5586E" w14:textId="77777777" w:rsidR="00211E9A" w:rsidRPr="00C648A5" w:rsidRDefault="00211E9A" w:rsidP="00211E9A">
      <w:pPr>
        <w:pStyle w:val="FootnoteText"/>
        <w:ind w:left="142" w:right="4" w:hanging="142"/>
        <w:jc w:val="both"/>
        <w:rPr>
          <w:lang w:val="en-US"/>
        </w:rPr>
      </w:pPr>
      <w:r w:rsidRPr="004E3B23">
        <w:rPr>
          <w:rStyle w:val="FootnoteReference"/>
        </w:rPr>
        <w:footnoteRef/>
      </w:r>
      <w:r w:rsidRPr="00C648A5">
        <w:t xml:space="preserve"> </w:t>
      </w:r>
      <w:r w:rsidRPr="007C6F91">
        <w:t>According to the Ministry of Agricultu</w:t>
      </w:r>
      <w:r>
        <w:t xml:space="preserve">re and Rural Development, from </w:t>
      </w:r>
      <w:r>
        <w:rPr>
          <w:lang w:val="en-US"/>
        </w:rPr>
        <w:t>July</w:t>
      </w:r>
      <w:r w:rsidRPr="007C6F91">
        <w:t xml:space="preserve"> 16, 2022, to </w:t>
      </w:r>
      <w:r>
        <w:rPr>
          <w:lang w:val="en-US"/>
        </w:rPr>
        <w:t>August</w:t>
      </w:r>
      <w:r w:rsidRPr="007C6F91">
        <w:t xml:space="preserve"> 15, 2022.</w:t>
      </w:r>
    </w:p>
  </w:footnote>
  <w:footnote w:id="2">
    <w:p w14:paraId="2F73ED66" w14:textId="77777777" w:rsidR="0078055F" w:rsidRPr="00333B7B" w:rsidRDefault="0078055F" w:rsidP="0078055F">
      <w:pPr>
        <w:pStyle w:val="FootnoteText"/>
        <w:ind w:left="142" w:right="4" w:hanging="142"/>
        <w:jc w:val="both"/>
        <w:rPr>
          <w:lang w:val="en-GB"/>
        </w:rPr>
      </w:pPr>
      <w:r w:rsidRPr="00626F3D">
        <w:rPr>
          <w:rStyle w:val="FootnoteReference"/>
        </w:rPr>
        <w:footnoteRef/>
      </w:r>
      <w:r w:rsidRPr="00626F3D">
        <w:t xml:space="preserve"> </w:t>
      </w:r>
      <w:r w:rsidRPr="007C6F91">
        <w:rPr>
          <w:lang w:val="en-GB"/>
        </w:rPr>
        <w:t xml:space="preserve">Source: </w:t>
      </w:r>
      <w:hyperlink r:id="rId1" w:history="1">
        <w:r w:rsidRPr="007C3BBB">
          <w:rPr>
            <w:rStyle w:val="Hyperlink"/>
          </w:rPr>
          <w:t>http://www.agromonitor.vn/group/48/280/giam-sat-gia</w:t>
        </w:r>
      </w:hyperlink>
      <w:r>
        <w:rPr>
          <w:rStyle w:val="Hyperlink"/>
          <w:lang w:val="en-GB"/>
        </w:rPr>
        <w:t xml:space="preserve">: </w:t>
      </w:r>
      <w:r w:rsidRPr="00333B7B">
        <w:rPr>
          <w:rStyle w:val="Hyperlink"/>
          <w:lang w:val="en-GB"/>
        </w:rPr>
        <w:t>The price of raw pangasius from 0.8 kg to 1.0 kg/head reached 28,500-30,000</w:t>
      </w:r>
      <w:r>
        <w:rPr>
          <w:rStyle w:val="Hyperlink"/>
          <w:lang w:val="en-GB"/>
        </w:rPr>
        <w:t xml:space="preserve"> </w:t>
      </w:r>
      <w:r w:rsidRPr="00333B7B">
        <w:rPr>
          <w:rStyle w:val="Hyperlink"/>
          <w:lang w:val="en-GB"/>
        </w:rPr>
        <w:t>VND/kg, an increase of about 1,000-2,000</w:t>
      </w:r>
      <w:r>
        <w:rPr>
          <w:rStyle w:val="Hyperlink"/>
          <w:lang w:val="en-GB"/>
        </w:rPr>
        <w:t xml:space="preserve"> </w:t>
      </w:r>
      <w:r w:rsidRPr="00333B7B">
        <w:rPr>
          <w:rStyle w:val="Hyperlink"/>
          <w:lang w:val="en-GB"/>
        </w:rPr>
        <w:t>VND/kg compared to the previous month.</w:t>
      </w:r>
    </w:p>
  </w:footnote>
  <w:footnote w:id="3">
    <w:p w14:paraId="62BC9345" w14:textId="77777777" w:rsidR="008A5C4A" w:rsidRPr="00037D01" w:rsidRDefault="008A5C4A" w:rsidP="008A5C4A">
      <w:pPr>
        <w:ind w:left="142" w:hanging="142"/>
        <w:jc w:val="both"/>
        <w:rPr>
          <w:sz w:val="20"/>
          <w:szCs w:val="20"/>
        </w:rPr>
      </w:pPr>
      <w:r w:rsidRPr="004F0F24">
        <w:rPr>
          <w:rStyle w:val="FootnoteReference"/>
          <w:sz w:val="20"/>
          <w:szCs w:val="20"/>
        </w:rPr>
        <w:footnoteRef/>
      </w:r>
      <w:r w:rsidRPr="004F0F24">
        <w:rPr>
          <w:sz w:val="20"/>
          <w:szCs w:val="20"/>
        </w:rPr>
        <w:t xml:space="preserve"> </w:t>
      </w:r>
      <w:r w:rsidRPr="00037D01">
        <w:rPr>
          <w:sz w:val="20"/>
          <w:szCs w:val="20"/>
          <w:lang w:val="en-US"/>
        </w:rPr>
        <w:t>The growth rate of industrial production index in the 8 months of 2018-2022 compared to the same period last year is: 10.8%, respectively; 9.5%; 2.2%; 5.5%; 9.4%.</w:t>
      </w:r>
    </w:p>
  </w:footnote>
  <w:footnote w:id="4">
    <w:p w14:paraId="7F59680B" w14:textId="77777777" w:rsidR="00E65DB9" w:rsidRPr="00032F36" w:rsidRDefault="00E65DB9" w:rsidP="00E65DB9">
      <w:pPr>
        <w:pStyle w:val="FootnoteText"/>
        <w:ind w:left="142" w:hanging="142"/>
        <w:jc w:val="both"/>
        <w:rPr>
          <w:spacing w:val="-4"/>
        </w:rPr>
      </w:pPr>
      <w:r w:rsidRPr="004E3B23">
        <w:rPr>
          <w:rStyle w:val="FootnoteReference"/>
        </w:rPr>
        <w:footnoteRef/>
      </w:r>
      <w:r w:rsidRPr="004E3B23">
        <w:t xml:space="preserve"> </w:t>
      </w:r>
      <w:r w:rsidRPr="00032F36">
        <w:rPr>
          <w:spacing w:val="-4"/>
        </w:rPr>
        <w:t xml:space="preserve">The growth rate of the IIP index in August 2022 compared to the previous month of some large-scale industrial regions are: Bac Ninh by 20%; Hai Phong increased by 7.5%; Bac Giang increased by 4.5%; Quang Ngai increased by 4.4%; Quang Ninh increased by 4.3%; Vinh Phuc increased by 4.2%; Tien Giang increased by 4.2%; Thai Nguyen increased by 4.1%; Dong Nai increased </w:t>
      </w:r>
      <w:r>
        <w:rPr>
          <w:spacing w:val="-4"/>
        </w:rPr>
        <w:t xml:space="preserve">by </w:t>
      </w:r>
      <w:r w:rsidRPr="00032F36">
        <w:rPr>
          <w:spacing w:val="-4"/>
        </w:rPr>
        <w:t>1.6%.</w:t>
      </w:r>
    </w:p>
  </w:footnote>
  <w:footnote w:id="5">
    <w:p w14:paraId="0A5ADE39" w14:textId="77777777" w:rsidR="00AB1DDB" w:rsidRPr="00032F36" w:rsidRDefault="00AB1DDB" w:rsidP="00AB1DDB">
      <w:pPr>
        <w:pStyle w:val="FootnoteText"/>
        <w:ind w:left="142" w:hanging="142"/>
        <w:jc w:val="both"/>
        <w:rPr>
          <w:spacing w:val="-2"/>
        </w:rPr>
      </w:pPr>
      <w:r w:rsidRPr="00644237">
        <w:rPr>
          <w:rStyle w:val="FootnoteReference"/>
          <w:spacing w:val="-2"/>
        </w:rPr>
        <w:footnoteRef/>
      </w:r>
      <w:r w:rsidRPr="00644237">
        <w:rPr>
          <w:spacing w:val="-2"/>
        </w:rPr>
        <w:t>Localities have high production index of the processing and manufacturing industry in the eight months of 2022 compared to the same period last year: Bac Giang increased by 53.9%; Can Tho increased by 28.4%; Khanh Hoa increased by 25.8%; Quang Nam increased by 25.5%; Vinh Long increased by 25.1%; Ben Tre increased 22.7%. Localities with high index of electricity production and distribution: Dak Lak up 42.7%; Lai Chau increased by 40.7%; Son La increased by 31.3%; Ha Giang increased by 27.4% due to high increase in hydropower.</w:t>
      </w:r>
    </w:p>
  </w:footnote>
  <w:footnote w:id="6">
    <w:p w14:paraId="5B0BF737" w14:textId="77777777" w:rsidR="00AB1DDB" w:rsidRPr="00B60F67" w:rsidRDefault="00AB1DDB" w:rsidP="00AB1DDB">
      <w:pPr>
        <w:pStyle w:val="FootnoteText"/>
        <w:ind w:left="142" w:hanging="142"/>
        <w:jc w:val="both"/>
        <w:rPr>
          <w:spacing w:val="-2"/>
        </w:rPr>
      </w:pPr>
      <w:r w:rsidRPr="00E42A32">
        <w:rPr>
          <w:rStyle w:val="FootnoteReference"/>
        </w:rPr>
        <w:footnoteRef/>
      </w:r>
      <w:r w:rsidRPr="00B60F67">
        <w:rPr>
          <w:spacing w:val="-2"/>
        </w:rPr>
        <w:t xml:space="preserve">Localities with low or low increase or decrease in the production index of the processing and manufacturing industry in the eight months of 2022 compared to the same period last year: Lao Cai increased by 9.3%; Quang Ngai increased by 6.7%; Bac Kan increased by 5.4%; Ninh Binh increased by 3.3%; Ha Tinh decreased by 9.9%. Localities with low or low increase or decrease in the index of electricity production and distribution industry in the 8 months of 2022 compared to the same period last year: Ninh Thuan increased by 5.2%; Ha Tinh decreased by 37.9%; Tra Vinh down 36%; Ca Mau decreased by 11.7%; Binh Thuan fell </w:t>
      </w:r>
      <w:r>
        <w:rPr>
          <w:spacing w:val="-2"/>
        </w:rPr>
        <w:t xml:space="preserve">by </w:t>
      </w:r>
      <w:r w:rsidRPr="00B60F67">
        <w:rPr>
          <w:spacing w:val="-2"/>
        </w:rPr>
        <w:t>2.8%. Localities with mining industry in the 8 months of 2022, compared to the same period last year, increased or decreased: Bac Kan increased by 3.4%; Ba Ria - Vung Tau increased by 1.2%; Ca Mau decreased by 24.6%; Ninh Thuan down 15.5%; Lao Cai decreased by 8.8%.</w:t>
      </w:r>
    </w:p>
  </w:footnote>
  <w:footnote w:id="7">
    <w:p w14:paraId="34D8FD28" w14:textId="03F3E2DF" w:rsidR="00255053" w:rsidRPr="00837379" w:rsidRDefault="00255053" w:rsidP="007058D9">
      <w:pPr>
        <w:pStyle w:val="FootnoteText"/>
        <w:ind w:left="142" w:hanging="142"/>
        <w:jc w:val="both"/>
        <w:rPr>
          <w:spacing w:val="-4"/>
        </w:rPr>
      </w:pPr>
      <w:r w:rsidRPr="00837379">
        <w:rPr>
          <w:rStyle w:val="FootnoteReference"/>
        </w:rPr>
        <w:footnoteRef/>
      </w:r>
      <w:r w:rsidRPr="00837379">
        <w:t xml:space="preserve"> </w:t>
      </w:r>
      <w:r w:rsidRPr="00B654A7">
        <w:t>Source: National Enterprise Registration Information System, Business Registration Management Agency, Ministry of Planning and Investment (Received the report on 2</w:t>
      </w:r>
      <w:r>
        <w:rPr>
          <w:lang w:val="en-US"/>
        </w:rPr>
        <w:t>5</w:t>
      </w:r>
      <w:r>
        <w:t xml:space="preserve">th </w:t>
      </w:r>
      <w:r>
        <w:rPr>
          <w:lang w:val="en-US"/>
        </w:rPr>
        <w:t>August</w:t>
      </w:r>
      <w:r w:rsidRPr="00B654A7">
        <w:t xml:space="preserve"> 2022)</w:t>
      </w:r>
    </w:p>
  </w:footnote>
  <w:footnote w:id="8">
    <w:p w14:paraId="4CE20D73" w14:textId="30DE24C4" w:rsidR="00255053" w:rsidRPr="00CA5470" w:rsidRDefault="00255053" w:rsidP="0083303A">
      <w:pPr>
        <w:pStyle w:val="FootnoteText"/>
      </w:pPr>
      <w:r w:rsidRPr="00CA5470">
        <w:rPr>
          <w:rStyle w:val="FootnoteReference"/>
        </w:rPr>
        <w:footnoteRef/>
      </w:r>
      <w:r>
        <w:rPr>
          <w:lang w:val="en-GB"/>
        </w:rPr>
        <w:t xml:space="preserve"> </w:t>
      </w:r>
      <w:r>
        <w:t xml:space="preserve">According to the </w:t>
      </w:r>
      <w:r>
        <w:rPr>
          <w:lang w:val="en-US"/>
        </w:rPr>
        <w:t>R</w:t>
      </w:r>
      <w:r>
        <w:t xml:space="preserve">eport of the Foreign Investment Department, Ministry of Planning and Investment, received on </w:t>
      </w:r>
      <w:r>
        <w:rPr>
          <w:lang w:val="en-US"/>
        </w:rPr>
        <w:t xml:space="preserve"> August</w:t>
      </w:r>
      <w:r>
        <w:t xml:space="preserve"> 22, 202</w:t>
      </w:r>
      <w:r>
        <w:rPr>
          <w:lang w:val="en-US"/>
        </w:rPr>
        <w:t>2</w:t>
      </w:r>
    </w:p>
  </w:footnote>
  <w:footnote w:id="9">
    <w:p w14:paraId="60C6AF40" w14:textId="1D6DD8B1" w:rsidR="00255053" w:rsidRPr="003C1E5F" w:rsidRDefault="00255053" w:rsidP="007058D9">
      <w:pPr>
        <w:pStyle w:val="FootnoteText"/>
        <w:spacing w:before="40" w:after="40"/>
        <w:ind w:left="198" w:hanging="198"/>
        <w:jc w:val="both"/>
        <w:rPr>
          <w:iCs/>
          <w:spacing w:val="-2"/>
          <w:lang w:val="de-DE"/>
        </w:rPr>
      </w:pPr>
      <w:r w:rsidRPr="0052390F">
        <w:rPr>
          <w:rStyle w:val="FootnoteReference"/>
        </w:rPr>
        <w:footnoteRef/>
      </w:r>
      <w:r>
        <w:rPr>
          <w:iCs/>
          <w:spacing w:val="-2"/>
          <w:lang w:val="de-DE"/>
        </w:rPr>
        <w:t xml:space="preserve"> </w:t>
      </w:r>
      <w:r w:rsidR="003F4455" w:rsidRPr="003F4455">
        <w:rPr>
          <w:iCs/>
          <w:spacing w:val="-2"/>
          <w:lang w:val="de-DE"/>
        </w:rPr>
        <w:t>Newly granted overseas investment capital in the 8 months of 2022 increased sharply over the same period last year because there were 05 major projects newly granted investment registration certificates, which are projects of Vines Energy Solutions Joint Stock Company to the US, Canada, France, Germany, and Netherlands with a total investment capital of more than 34.7 million USD per project.</w:t>
      </w:r>
    </w:p>
  </w:footnote>
  <w:footnote w:id="10">
    <w:p w14:paraId="0412CDD1" w14:textId="20E02673" w:rsidR="00255053" w:rsidRPr="0052390F" w:rsidRDefault="00255053" w:rsidP="007058D9">
      <w:pPr>
        <w:pStyle w:val="FootnoteText"/>
        <w:spacing w:before="40" w:after="40"/>
        <w:ind w:left="198" w:hanging="198"/>
        <w:jc w:val="both"/>
        <w:rPr>
          <w:iCs/>
          <w:spacing w:val="-2"/>
          <w:lang w:val="de-DE"/>
        </w:rPr>
      </w:pPr>
      <w:r w:rsidRPr="00991826">
        <w:rPr>
          <w:iCs/>
          <w:spacing w:val="-2"/>
          <w:vertAlign w:val="superscript"/>
          <w:lang w:val="de-DE"/>
        </w:rPr>
        <w:footnoteRef/>
      </w:r>
      <w:r>
        <w:rPr>
          <w:iCs/>
          <w:spacing w:val="-2"/>
          <w:lang w:val="de-DE"/>
        </w:rPr>
        <w:t xml:space="preserve"> </w:t>
      </w:r>
      <w:r w:rsidR="0040762C" w:rsidRPr="0040762C">
        <w:rPr>
          <w:iCs/>
          <w:spacing w:val="-2"/>
          <w:lang w:val="de-DE"/>
        </w:rPr>
        <w:t>Adjusted investment capital decreased sharply because in the 8 months of 2021 there were many large projects adjusted to increase capital: Vingroup's project in the US was adjusted to increase by 300 million USD; Indochina Rubber Development and Investment Co., Ltd. project in Cambodia increased by 76 million USD and 01 project of Vinfast in Germany increased by 32 million USD.</w:t>
      </w:r>
    </w:p>
  </w:footnote>
  <w:footnote w:id="11">
    <w:p w14:paraId="2EF7455B" w14:textId="5FFDEC7D" w:rsidR="00255053" w:rsidRPr="00C83F82" w:rsidRDefault="00255053" w:rsidP="007058D9">
      <w:pPr>
        <w:pStyle w:val="FootnoteText"/>
        <w:ind w:left="198" w:hanging="198"/>
        <w:jc w:val="both"/>
        <w:rPr>
          <w:lang w:val="en-US"/>
        </w:rPr>
      </w:pPr>
      <w:r>
        <w:rPr>
          <w:rStyle w:val="FootnoteReference"/>
        </w:rPr>
        <w:footnoteRef/>
      </w:r>
      <w:r>
        <w:t xml:space="preserve"> </w:t>
      </w:r>
      <w:r>
        <w:rPr>
          <w:lang w:val="en-US"/>
        </w:rPr>
        <w:t>According to the report on the implementation of the State Budget for the 8 months of 2022 of the Ministry of Finance.</w:t>
      </w:r>
    </w:p>
  </w:footnote>
  <w:footnote w:id="12">
    <w:p w14:paraId="48E2E27C" w14:textId="77777777" w:rsidR="00255053" w:rsidRPr="00483451" w:rsidRDefault="00255053" w:rsidP="00D72862">
      <w:pPr>
        <w:pStyle w:val="FootnoteText"/>
        <w:rPr>
          <w:rFonts w:ascii="Arial" w:hAnsi="Arial" w:cs="Arial"/>
        </w:rPr>
      </w:pPr>
      <w:r w:rsidRPr="00483451">
        <w:rPr>
          <w:rStyle w:val="FootnoteReference"/>
          <w:rFonts w:ascii="Arial" w:hAnsi="Arial" w:cs="Arial"/>
        </w:rPr>
        <w:footnoteRef/>
      </w:r>
      <w:r w:rsidRPr="00483451">
        <w:rPr>
          <w:rFonts w:ascii="Arial" w:hAnsi="Arial" w:cs="Arial"/>
        </w:rPr>
        <w:t xml:space="preserve">Total retail sales of consumer goods and services in </w:t>
      </w:r>
      <w:r>
        <w:rPr>
          <w:rFonts w:ascii="Arial" w:hAnsi="Arial" w:cs="Arial"/>
          <w:lang w:val="en-US"/>
        </w:rPr>
        <w:t>8</w:t>
      </w:r>
      <w:r w:rsidRPr="00483451">
        <w:rPr>
          <w:rFonts w:ascii="Arial" w:hAnsi="Arial" w:cs="Arial"/>
          <w:lang w:val="en-US"/>
        </w:rPr>
        <w:t>/</w:t>
      </w:r>
      <w:r w:rsidRPr="00483451">
        <w:rPr>
          <w:rFonts w:ascii="Arial" w:hAnsi="Arial" w:cs="Arial"/>
        </w:rPr>
        <w:t xml:space="preserve">2018 reached </w:t>
      </w:r>
      <w:r w:rsidRPr="00483451">
        <w:rPr>
          <w:rFonts w:ascii="Arial" w:hAnsi="Arial" w:cs="Arial"/>
          <w:lang w:val="en-US"/>
        </w:rPr>
        <w:t>369</w:t>
      </w:r>
      <w:r>
        <w:rPr>
          <w:rFonts w:ascii="Arial" w:hAnsi="Arial" w:cs="Arial"/>
          <w:lang w:val="en-US"/>
        </w:rPr>
        <w:t>.9</w:t>
      </w:r>
      <w:r w:rsidRPr="00483451">
        <w:rPr>
          <w:rFonts w:ascii="Arial" w:hAnsi="Arial" w:cs="Arial"/>
        </w:rPr>
        <w:t xml:space="preserve"> trillion VND, up </w:t>
      </w:r>
      <w:r>
        <w:rPr>
          <w:rFonts w:ascii="Arial" w:hAnsi="Arial" w:cs="Arial"/>
          <w:lang w:val="en-US"/>
        </w:rPr>
        <w:t>11.6</w:t>
      </w:r>
      <w:r w:rsidRPr="00483451">
        <w:rPr>
          <w:rFonts w:ascii="Arial" w:hAnsi="Arial" w:cs="Arial"/>
        </w:rPr>
        <w:t xml:space="preserve">% over the same period last year; in </w:t>
      </w:r>
      <w:r>
        <w:rPr>
          <w:rFonts w:ascii="Arial" w:hAnsi="Arial" w:cs="Arial"/>
          <w:lang w:val="en-US"/>
        </w:rPr>
        <w:t>8</w:t>
      </w:r>
      <w:r w:rsidRPr="00483451">
        <w:rPr>
          <w:rFonts w:ascii="Arial" w:hAnsi="Arial" w:cs="Arial"/>
          <w:lang w:val="en-US"/>
        </w:rPr>
        <w:t>/</w:t>
      </w:r>
      <w:r w:rsidRPr="00483451">
        <w:rPr>
          <w:rFonts w:ascii="Arial" w:hAnsi="Arial" w:cs="Arial"/>
        </w:rPr>
        <w:t xml:space="preserve">2019 reached </w:t>
      </w:r>
      <w:r>
        <w:rPr>
          <w:rFonts w:ascii="Arial" w:hAnsi="Arial" w:cs="Arial"/>
          <w:lang w:val="en-US"/>
        </w:rPr>
        <w:t>416</w:t>
      </w:r>
      <w:r w:rsidRPr="00483451">
        <w:rPr>
          <w:rFonts w:ascii="Arial" w:hAnsi="Arial" w:cs="Arial"/>
        </w:rPr>
        <w:t xml:space="preserve"> trillion VND, up </w:t>
      </w:r>
      <w:r>
        <w:rPr>
          <w:rFonts w:ascii="Arial" w:hAnsi="Arial" w:cs="Arial"/>
          <w:lang w:val="en-US"/>
        </w:rPr>
        <w:t>12</w:t>
      </w:r>
      <w:r w:rsidRPr="00483451">
        <w:rPr>
          <w:rFonts w:ascii="Arial" w:hAnsi="Arial" w:cs="Arial"/>
          <w:lang w:val="en-US"/>
        </w:rPr>
        <w:t>.5</w:t>
      </w:r>
      <w:r w:rsidRPr="00483451">
        <w:rPr>
          <w:rFonts w:ascii="Arial" w:hAnsi="Arial" w:cs="Arial"/>
        </w:rPr>
        <w:t>%.</w:t>
      </w:r>
    </w:p>
  </w:footnote>
  <w:footnote w:id="13">
    <w:p w14:paraId="2A71B0E0" w14:textId="77777777" w:rsidR="00255053" w:rsidRPr="00483451" w:rsidRDefault="00255053" w:rsidP="00BE564C">
      <w:pPr>
        <w:pStyle w:val="FootnoteText"/>
        <w:rPr>
          <w:rFonts w:ascii="Arial" w:hAnsi="Arial" w:cs="Arial"/>
          <w:lang w:val="en-US"/>
        </w:rPr>
      </w:pPr>
      <w:r w:rsidRPr="00483451">
        <w:rPr>
          <w:rStyle w:val="FootnoteReference"/>
          <w:rFonts w:ascii="Arial" w:hAnsi="Arial" w:cs="Arial"/>
        </w:rPr>
        <w:footnoteRef/>
      </w:r>
      <w:r w:rsidRPr="00483451">
        <w:rPr>
          <w:rFonts w:ascii="Arial" w:hAnsi="Arial" w:cs="Arial"/>
        </w:rPr>
        <w:t xml:space="preserve"> </w:t>
      </w:r>
      <w:r w:rsidRPr="00483451">
        <w:rPr>
          <w:rFonts w:ascii="Arial" w:hAnsi="Arial" w:cs="Arial"/>
          <w:spacing w:val="-2"/>
          <w:shd w:val="clear" w:color="auto" w:fill="FFFFFF"/>
        </w:rPr>
        <w:t xml:space="preserve">The total retail sales of consumer goods and services in </w:t>
      </w:r>
      <w:r>
        <w:rPr>
          <w:rFonts w:ascii="Arial" w:hAnsi="Arial" w:cs="Arial"/>
          <w:spacing w:val="-2"/>
          <w:shd w:val="clear" w:color="auto" w:fill="FFFFFF"/>
        </w:rPr>
        <w:t>8 months</w:t>
      </w:r>
      <w:r w:rsidRPr="00483451">
        <w:rPr>
          <w:rFonts w:ascii="Arial" w:hAnsi="Arial" w:cs="Arial"/>
          <w:spacing w:val="-2"/>
          <w:shd w:val="clear" w:color="auto" w:fill="FFFFFF"/>
        </w:rPr>
        <w:t xml:space="preserve"> of 2022 increased by </w:t>
      </w:r>
      <w:r>
        <w:rPr>
          <w:rFonts w:ascii="Arial" w:hAnsi="Arial" w:cs="Arial"/>
          <w:spacing w:val="-2"/>
          <w:shd w:val="clear" w:color="auto" w:fill="FFFFFF"/>
        </w:rPr>
        <w:t>13.9</w:t>
      </w:r>
      <w:r w:rsidRPr="00483451">
        <w:rPr>
          <w:rFonts w:ascii="Arial" w:hAnsi="Arial" w:cs="Arial"/>
          <w:spacing w:val="-2"/>
          <w:shd w:val="clear" w:color="auto" w:fill="FFFFFF"/>
        </w:rPr>
        <w:t>% over the same period in 2019.</w:t>
      </w:r>
    </w:p>
  </w:footnote>
  <w:footnote w:id="14">
    <w:p w14:paraId="1CF8446E" w14:textId="1764AA7C" w:rsidR="00255053" w:rsidRPr="002E4E33" w:rsidRDefault="00255053" w:rsidP="007058D9">
      <w:pPr>
        <w:pStyle w:val="FootnoteText"/>
        <w:ind w:left="198" w:hanging="198"/>
        <w:jc w:val="both"/>
        <w:rPr>
          <w:lang w:val="en-US"/>
        </w:rPr>
      </w:pPr>
      <w:r>
        <w:rPr>
          <w:rStyle w:val="FootnoteReference"/>
        </w:rPr>
        <w:footnoteRef/>
      </w:r>
      <w:r>
        <w:t xml:space="preserve"> </w:t>
      </w:r>
      <w:r w:rsidRPr="00C809A6">
        <w:t>August 2021 was the time of the strong outbreak of the fourth wave of the Covid-19 epidemic in Ho Chi Minh City and Southern provinces, so retail sales of goods at current prices in the 8 months of 2021 retail sales of goods in the 8 months of 2021 is only equal to the same period last year (if excluding the price factor, it decreased by 1.8%).</w:t>
      </w:r>
    </w:p>
  </w:footnote>
  <w:footnote w:id="15">
    <w:p w14:paraId="7B65F292" w14:textId="4BE24CE3" w:rsidR="00255053" w:rsidRPr="00682F50" w:rsidRDefault="00255053" w:rsidP="007058D9">
      <w:pPr>
        <w:pStyle w:val="FootnoteText"/>
        <w:ind w:left="198" w:hanging="198"/>
        <w:rPr>
          <w:lang w:val="en-US"/>
        </w:rPr>
      </w:pPr>
      <w:r>
        <w:rPr>
          <w:rStyle w:val="FootnoteReference"/>
        </w:rPr>
        <w:footnoteRef/>
      </w:r>
      <w:r>
        <w:t xml:space="preserve"> </w:t>
      </w:r>
      <w:r w:rsidRPr="00BF6717">
        <w:rPr>
          <w:bCs/>
          <w:shd w:val="clear" w:color="auto" w:fill="FFFFFF"/>
          <w:lang w:val="nl-NL"/>
        </w:rPr>
        <w:t>Revenue from accommodation and food services in August 2022 was 2.9 times higher than the same period last year.</w:t>
      </w:r>
    </w:p>
  </w:footnote>
  <w:footnote w:id="16">
    <w:p w14:paraId="1117B73D" w14:textId="59749E49" w:rsidR="00255053" w:rsidRPr="002E4E33" w:rsidRDefault="00255053" w:rsidP="007058D9">
      <w:pPr>
        <w:pStyle w:val="FootnoteText"/>
        <w:ind w:left="198" w:hanging="198"/>
        <w:rPr>
          <w:lang w:val="en-US"/>
        </w:rPr>
      </w:pPr>
      <w:r w:rsidRPr="002E4E33">
        <w:rPr>
          <w:rStyle w:val="FootnoteReference"/>
        </w:rPr>
        <w:footnoteRef/>
      </w:r>
      <w:r w:rsidRPr="002E4E33">
        <w:t xml:space="preserve"> </w:t>
      </w:r>
      <w:r w:rsidRPr="005877DD">
        <w:t>Traveling and tourism revenue in August 2022 was 65.4 times higher than the same period last year.</w:t>
      </w:r>
    </w:p>
  </w:footnote>
  <w:footnote w:id="17">
    <w:p w14:paraId="55DD5DB9" w14:textId="3B580745" w:rsidR="00255053" w:rsidRPr="009D0ABC" w:rsidRDefault="00255053" w:rsidP="000323C1">
      <w:pPr>
        <w:pStyle w:val="FootnoteText"/>
        <w:rPr>
          <w:lang w:val="en-US"/>
        </w:rPr>
      </w:pPr>
      <w:r>
        <w:rPr>
          <w:rStyle w:val="FootnoteReference"/>
        </w:rPr>
        <w:footnoteRef/>
      </w:r>
      <w:r>
        <w:t xml:space="preserve"> </w:t>
      </w:r>
      <w:r w:rsidRPr="008560F3">
        <w:t>Revenue in August was 2.1 times higher than the same period last year.</w:t>
      </w:r>
    </w:p>
  </w:footnote>
  <w:footnote w:id="18">
    <w:p w14:paraId="14D2AD45" w14:textId="3710627D" w:rsidR="00255053" w:rsidRPr="009F297E" w:rsidRDefault="00255053" w:rsidP="000323C1">
      <w:pPr>
        <w:spacing w:before="20" w:after="20"/>
        <w:ind w:left="198" w:hanging="198"/>
        <w:jc w:val="both"/>
        <w:rPr>
          <w:sz w:val="20"/>
          <w:szCs w:val="20"/>
        </w:rPr>
      </w:pPr>
      <w:r w:rsidRPr="00BC5895">
        <w:rPr>
          <w:rStyle w:val="FootnoteReference"/>
          <w:sz w:val="20"/>
          <w:szCs w:val="20"/>
        </w:rPr>
        <w:footnoteRef/>
      </w:r>
      <w:r w:rsidRPr="0052362F">
        <w:rPr>
          <w:spacing w:val="-2"/>
          <w:sz w:val="20"/>
          <w:szCs w:val="20"/>
        </w:rPr>
        <w:t xml:space="preserve"> </w:t>
      </w:r>
      <w:r w:rsidR="00E359E4" w:rsidRPr="00E359E4">
        <w:rPr>
          <w:spacing w:val="-2"/>
          <w:sz w:val="20"/>
          <w:szCs w:val="20"/>
        </w:rPr>
        <w:t>The estimated total export and import value in August 2022 were provided by the General Department of Customs on August 26, 2022. The General Statistics Office estimated the import and export value of key commodities in July 2022 based on preliminary data provided by the General Department of Customs by August 15, 2022.</w:t>
      </w:r>
    </w:p>
  </w:footnote>
  <w:footnote w:id="19">
    <w:p w14:paraId="54E21015" w14:textId="77777777" w:rsidR="00545943" w:rsidRPr="009F297E" w:rsidRDefault="00545943" w:rsidP="00545943">
      <w:pPr>
        <w:pStyle w:val="FootnoteText"/>
        <w:spacing w:before="20" w:after="20"/>
        <w:ind w:left="198" w:right="119" w:hanging="198"/>
        <w:jc w:val="both"/>
      </w:pPr>
      <w:r w:rsidRPr="00BC5895">
        <w:rPr>
          <w:rStyle w:val="FootnoteReference"/>
        </w:rPr>
        <w:footnoteRef/>
      </w:r>
      <w:r w:rsidRPr="009F297E">
        <w:t xml:space="preserve"> </w:t>
      </w:r>
      <w:r w:rsidRPr="002730D8">
        <w:t xml:space="preserve">Total import and export turnover of goods in </w:t>
      </w:r>
      <w:r>
        <w:rPr>
          <w:lang w:val="en-US"/>
        </w:rPr>
        <w:t>8 months</w:t>
      </w:r>
      <w:r w:rsidRPr="002730D8">
        <w:t xml:space="preserve"> of 2021 reached </w:t>
      </w:r>
      <w:r>
        <w:rPr>
          <w:lang w:val="en-US"/>
        </w:rPr>
        <w:t>431</w:t>
      </w:r>
      <w:r w:rsidRPr="002730D8">
        <w:t xml:space="preserve"> billion USD, up </w:t>
      </w:r>
      <w:r>
        <w:rPr>
          <w:lang w:val="en-US"/>
        </w:rPr>
        <w:t>27.9</w:t>
      </w:r>
      <w:r w:rsidRPr="002730D8">
        <w:t xml:space="preserve">% over the same period last year, of which export reached </w:t>
      </w:r>
      <w:r>
        <w:rPr>
          <w:lang w:val="en-US"/>
        </w:rPr>
        <w:t>213.7</w:t>
      </w:r>
      <w:r w:rsidRPr="002730D8">
        <w:t xml:space="preserve"> billion USD, up </w:t>
      </w:r>
      <w:r>
        <w:rPr>
          <w:lang w:val="en-US"/>
        </w:rPr>
        <w:t>21.9</w:t>
      </w:r>
      <w:r w:rsidRPr="002730D8">
        <w:t xml:space="preserve">%; imports reached </w:t>
      </w:r>
      <w:r>
        <w:rPr>
          <w:lang w:val="en-US"/>
        </w:rPr>
        <w:t>217.3</w:t>
      </w:r>
      <w:r w:rsidRPr="002730D8">
        <w:t xml:space="preserve"> billion USD, up </w:t>
      </w:r>
      <w:r>
        <w:rPr>
          <w:lang w:val="en-US"/>
        </w:rPr>
        <w:t>34.4</w:t>
      </w:r>
      <w:r w:rsidRPr="002730D8">
        <w:t>%.</w:t>
      </w:r>
    </w:p>
  </w:footnote>
  <w:footnote w:id="20">
    <w:p w14:paraId="0DEE8FEC" w14:textId="3F40EE88" w:rsidR="00BE1094" w:rsidRPr="0027200C" w:rsidRDefault="00BE1094" w:rsidP="00BE1094">
      <w:pPr>
        <w:pStyle w:val="FootnoteText"/>
        <w:rPr>
          <w:lang w:val="en-US"/>
        </w:rPr>
      </w:pPr>
      <w:r>
        <w:rPr>
          <w:rStyle w:val="FootnoteReference"/>
        </w:rPr>
        <w:footnoteRef/>
      </w:r>
      <w:r>
        <w:t xml:space="preserve"> </w:t>
      </w:r>
      <w:r w:rsidRPr="0027200C">
        <w:t xml:space="preserve">Estimated trade surplus in </w:t>
      </w:r>
      <w:r>
        <w:rPr>
          <w:lang w:val="en-US"/>
        </w:rPr>
        <w:t>July</w:t>
      </w:r>
      <w:r w:rsidRPr="0027200C">
        <w:t xml:space="preserve"> </w:t>
      </w:r>
      <w:r w:rsidR="00BB1A5C">
        <w:rPr>
          <w:lang w:val="en-US"/>
        </w:rPr>
        <w:t>wa</w:t>
      </w:r>
      <w:r w:rsidRPr="0027200C">
        <w:t xml:space="preserve">s </w:t>
      </w:r>
      <w:r>
        <w:rPr>
          <w:lang w:val="en-US"/>
        </w:rPr>
        <w:t>21</w:t>
      </w:r>
      <w:r w:rsidRPr="0027200C">
        <w:t xml:space="preserve"> </w:t>
      </w:r>
      <w:r>
        <w:rPr>
          <w:lang w:val="en-US"/>
        </w:rPr>
        <w:t>m</w:t>
      </w:r>
      <w:r w:rsidRPr="0027200C">
        <w:t>illion USD.</w:t>
      </w:r>
    </w:p>
  </w:footnote>
  <w:footnote w:id="21">
    <w:p w14:paraId="6CF28595" w14:textId="49730ACA" w:rsidR="00255053" w:rsidRDefault="00255053" w:rsidP="0008107A">
      <w:pPr>
        <w:pStyle w:val="FootnoteText"/>
        <w:ind w:left="198" w:hanging="198"/>
        <w:jc w:val="both"/>
      </w:pPr>
      <w:r w:rsidRPr="006C17B6">
        <w:rPr>
          <w:rStyle w:val="FootnoteReference"/>
        </w:rPr>
        <w:footnoteRef/>
      </w:r>
      <w:r w:rsidRPr="006C17B6">
        <w:t xml:space="preserve"> </w:t>
      </w:r>
      <w:r w:rsidR="0008107A" w:rsidRPr="0008107A">
        <w:rPr>
          <w:spacing w:val="-2"/>
        </w:rPr>
        <w:t>The growth rate of the price index of education services in August compared to the previous month of some localities: Long An increased by 69.71%; Hau Giang increased by 36.88%; Vinh Long increased by 30.6%; Quang Ninh increased by 13.42%; Hai Phong increased by 6.78%.</w:t>
      </w:r>
    </w:p>
  </w:footnote>
  <w:footnote w:id="22">
    <w:p w14:paraId="3D2D40EF" w14:textId="77777777" w:rsidR="00085D9F" w:rsidRPr="00983257" w:rsidRDefault="00085D9F" w:rsidP="00085D9F">
      <w:pPr>
        <w:pStyle w:val="FootnoteText"/>
        <w:spacing w:line="235" w:lineRule="auto"/>
        <w:ind w:left="198" w:hanging="198"/>
        <w:jc w:val="both"/>
      </w:pPr>
      <w:r w:rsidRPr="00940B8B">
        <w:rPr>
          <w:rStyle w:val="FootnoteReference"/>
        </w:rPr>
        <w:footnoteRef/>
      </w:r>
      <w:r w:rsidRPr="00940B8B">
        <w:t xml:space="preserve"> </w:t>
      </w:r>
      <w:r w:rsidRPr="005B7182">
        <w:t>Price index of rice group increased by 0.06% (Regular rice increased by 0.04%, delicious rice by 0.11% and glutinous rice by 0.17%) due to the price of fertilizers and input materials for production. At a high level. Besides, the increase in input material prices affects the prices of other processed food products (Price of instant noodles, noodles, pho and porridge increased by 0.83%; wheat flour increased by 0.48%; corn flour by 0.47%; corn by 0.37%; vermicelli by 0.37%; bread by 0.25%; instant cereal by 0.23%).</w:t>
      </w:r>
    </w:p>
  </w:footnote>
  <w:footnote w:id="23">
    <w:p w14:paraId="0C20F229" w14:textId="77777777" w:rsidR="00085D9F" w:rsidRPr="005A170C" w:rsidRDefault="00085D9F" w:rsidP="00085D9F">
      <w:pPr>
        <w:pStyle w:val="FootnoteText"/>
        <w:spacing w:line="235" w:lineRule="auto"/>
        <w:ind w:left="198" w:hanging="198"/>
        <w:jc w:val="both"/>
      </w:pPr>
      <w:r w:rsidRPr="005A170C">
        <w:rPr>
          <w:rStyle w:val="FootnoteReference"/>
        </w:rPr>
        <w:footnoteRef/>
      </w:r>
      <w:r w:rsidRPr="005A170C">
        <w:t xml:space="preserve"> </w:t>
      </w:r>
      <w:r w:rsidRPr="005B7182">
        <w:t>Pork price increased by 4.95%, causing the overall CPI to increase by 0.17 percentage points (Price of processed meat increased by 1.92%, of which roast meat and spring rolls increased by 1.99%; canned meat increased by 1.4%; meat other processing increased by 0.43%); high prices of animal feed, together with increased consumer demand during the full moon of July, made poultry meat prices increase by 0.72%; egg prices of all kinds increased by 2.68%; price of fresh seafood increased by 0.08% (Price of fish increased by 0.09%; price of other fresh seafood increased by 0.21%); the price of edible fats and other fats continued to increase by 1.66%; price of fish sauce, dipping sauce increased by 0.69%; milk, butter, cheese by 0.32%; sugar, bile by 0.31%; cakes, jams and sweets by 0.21%; tea, coffee, cocoa by 0.15%; prices of fresh, dried and processed vegetables increased by 1.18% mainly due to erratic weather affecting vegetable cultivation.</w:t>
      </w:r>
    </w:p>
  </w:footnote>
  <w:footnote w:id="24">
    <w:p w14:paraId="66F6C07F" w14:textId="6CAD1F24" w:rsidR="00085D9F" w:rsidRPr="008F2D92" w:rsidRDefault="00085D9F" w:rsidP="00085D9F">
      <w:pPr>
        <w:pStyle w:val="FootnoteText"/>
        <w:ind w:left="198" w:hanging="198"/>
        <w:jc w:val="both"/>
        <w:rPr>
          <w:lang w:val="en-US"/>
        </w:rPr>
      </w:pPr>
      <w:r w:rsidRPr="005A170C">
        <w:rPr>
          <w:rStyle w:val="FootnoteReference"/>
        </w:rPr>
        <w:footnoteRef/>
      </w:r>
      <w:r>
        <w:t xml:space="preserve"> </w:t>
      </w:r>
      <w:r w:rsidR="00B24BC3">
        <w:t>The price of raw materials for processing is high and tourism demand in the month continues to be high. In which, the food price index outside the family increased by 0.63% compared to the previous month; Out-of-home drinks increased by 0.39%, and fast food for takeaway increased by 1.53%.</w:t>
      </w:r>
    </w:p>
  </w:footnote>
  <w:footnote w:id="25">
    <w:p w14:paraId="53B686E7" w14:textId="77777777" w:rsidR="00D3459C" w:rsidRPr="00983257" w:rsidRDefault="00D3459C" w:rsidP="00D3459C">
      <w:pPr>
        <w:pStyle w:val="FootnoteText"/>
        <w:ind w:left="198" w:hanging="198"/>
        <w:jc w:val="both"/>
      </w:pPr>
      <w:r w:rsidRPr="005A170C">
        <w:rPr>
          <w:rStyle w:val="FootnoteReference"/>
        </w:rPr>
        <w:footnoteRef/>
      </w:r>
      <w:r w:rsidRPr="005A170C">
        <w:t xml:space="preserve"> </w:t>
      </w:r>
      <w:r w:rsidRPr="005B7182">
        <w:t>Mineral water price increased by 0.3% month on month; carbonated beverage prices increased by 0.05%; bottled energy drinks increased by 0.01%; alcohol increased by 0.21% and smoking increased by 0.45%.</w:t>
      </w:r>
    </w:p>
  </w:footnote>
  <w:footnote w:id="26">
    <w:p w14:paraId="196EAD71" w14:textId="77777777" w:rsidR="00ED7A8D" w:rsidRDefault="00ED7A8D" w:rsidP="00ED7A8D">
      <w:pPr>
        <w:pStyle w:val="FootnoteText"/>
        <w:ind w:left="198" w:hanging="198"/>
        <w:jc w:val="both"/>
      </w:pPr>
      <w:r>
        <w:rPr>
          <w:rStyle w:val="FootnoteReference"/>
        </w:rPr>
        <w:footnoteRef/>
      </w:r>
      <w:r>
        <w:t xml:space="preserve"> The domestic electricity price index in August 2022 is calculated based on the revenue and consumption of electricity from dateJuly 1-31, 2022, thus reflecting movements one month late compared to other commodities.</w:t>
      </w:r>
    </w:p>
  </w:footnote>
  <w:footnote w:id="27">
    <w:p w14:paraId="79E64EAC" w14:textId="77777777" w:rsidR="00C44528" w:rsidRPr="008D7017" w:rsidRDefault="00C44528" w:rsidP="00C44528">
      <w:pPr>
        <w:pStyle w:val="FootnoteText"/>
        <w:ind w:left="198" w:hanging="198"/>
        <w:jc w:val="both"/>
      </w:pPr>
      <w:r w:rsidRPr="005A170C">
        <w:rPr>
          <w:rStyle w:val="FootnoteReference"/>
        </w:rPr>
        <w:footnoteRef/>
      </w:r>
      <w:r w:rsidRPr="005A170C">
        <w:t xml:space="preserve"> </w:t>
      </w:r>
      <w:r w:rsidRPr="001104FD">
        <w:t>CPI after excluding food, fresh food, energy and goods managed by the State including health services and education.</w:t>
      </w:r>
    </w:p>
    <w:p w14:paraId="1365071C" w14:textId="77777777" w:rsidR="00C44528" w:rsidRPr="005A170C" w:rsidRDefault="00C44528" w:rsidP="00C44528">
      <w:pPr>
        <w:pStyle w:val="FootnoteText"/>
        <w:ind w:left="198" w:hanging="198"/>
        <w:jc w:val="both"/>
      </w:pPr>
    </w:p>
  </w:footnote>
  <w:footnote w:id="28">
    <w:p w14:paraId="2765CDAF" w14:textId="2160417B" w:rsidR="00255053" w:rsidRPr="007058D9" w:rsidRDefault="00255053" w:rsidP="007058D9">
      <w:pPr>
        <w:ind w:left="198" w:hanging="198"/>
        <w:jc w:val="both"/>
        <w:rPr>
          <w:spacing w:val="4"/>
          <w:sz w:val="20"/>
          <w:szCs w:val="20"/>
          <w:lang w:val="en-US"/>
        </w:rPr>
      </w:pPr>
      <w:r w:rsidRPr="007058D9">
        <w:rPr>
          <w:rStyle w:val="FootnoteReference"/>
          <w:spacing w:val="4"/>
          <w:sz w:val="20"/>
          <w:szCs w:val="20"/>
        </w:rPr>
        <w:footnoteRef/>
      </w:r>
      <w:r w:rsidRPr="007058D9">
        <w:rPr>
          <w:spacing w:val="4"/>
          <w:sz w:val="20"/>
          <w:szCs w:val="20"/>
        </w:rPr>
        <w:t xml:space="preserve"> </w:t>
      </w:r>
      <w:r w:rsidRPr="00E76639">
        <w:rPr>
          <w:rFonts w:eastAsia="Calibri"/>
          <w:spacing w:val="4"/>
          <w:sz w:val="20"/>
          <w:szCs w:val="20"/>
        </w:rPr>
        <w:t xml:space="preserve">Freight transport in </w:t>
      </w:r>
      <w:r>
        <w:rPr>
          <w:rFonts w:eastAsia="Calibri"/>
          <w:spacing w:val="4"/>
          <w:sz w:val="20"/>
          <w:szCs w:val="20"/>
          <w:lang w:val="en-US"/>
        </w:rPr>
        <w:t>the 8 months of</w:t>
      </w:r>
      <w:r w:rsidRPr="00E76639">
        <w:rPr>
          <w:rFonts w:eastAsia="Calibri"/>
          <w:spacing w:val="4"/>
          <w:sz w:val="20"/>
          <w:szCs w:val="20"/>
        </w:rPr>
        <w:t xml:space="preserve"> 2022</w:t>
      </w:r>
      <w:r>
        <w:rPr>
          <w:rFonts w:eastAsia="Calibri"/>
          <w:spacing w:val="4"/>
          <w:sz w:val="20"/>
          <w:szCs w:val="20"/>
          <w:lang w:val="en-US"/>
        </w:rPr>
        <w:t xml:space="preserve"> up</w:t>
      </w:r>
      <w:r w:rsidRPr="007058D9">
        <w:rPr>
          <w:rFonts w:eastAsia="Calibri"/>
          <w:spacing w:val="4"/>
          <w:sz w:val="20"/>
          <w:szCs w:val="20"/>
          <w:lang w:val="en-US"/>
        </w:rPr>
        <w:t xml:space="preserve"> 9</w:t>
      </w:r>
      <w:r>
        <w:rPr>
          <w:rFonts w:eastAsia="Calibri"/>
          <w:spacing w:val="4"/>
          <w:sz w:val="20"/>
          <w:szCs w:val="20"/>
          <w:lang w:val="en-US"/>
        </w:rPr>
        <w:t>.</w:t>
      </w:r>
      <w:r w:rsidRPr="007058D9">
        <w:rPr>
          <w:rFonts w:eastAsia="Calibri"/>
          <w:spacing w:val="4"/>
          <w:sz w:val="20"/>
          <w:szCs w:val="20"/>
          <w:lang w:val="en-US"/>
        </w:rPr>
        <w:t xml:space="preserve">8% </w:t>
      </w:r>
      <w:r>
        <w:rPr>
          <w:rFonts w:eastAsia="Calibri"/>
          <w:spacing w:val="4"/>
          <w:sz w:val="20"/>
          <w:szCs w:val="20"/>
          <w:lang w:val="en-US"/>
        </w:rPr>
        <w:t xml:space="preserve">in </w:t>
      </w:r>
      <w:r w:rsidRPr="00854E8D">
        <w:rPr>
          <w:rFonts w:eastAsia="Calibri"/>
          <w:spacing w:val="4"/>
          <w:sz w:val="20"/>
          <w:szCs w:val="20"/>
          <w:lang w:val="en-US"/>
        </w:rPr>
        <w:t xml:space="preserve">freight carried </w:t>
      </w:r>
      <w:r>
        <w:rPr>
          <w:rFonts w:eastAsia="Calibri"/>
          <w:spacing w:val="4"/>
          <w:sz w:val="20"/>
          <w:szCs w:val="20"/>
          <w:lang w:val="en-US"/>
        </w:rPr>
        <w:t>and up</w:t>
      </w:r>
      <w:r w:rsidRPr="007058D9">
        <w:rPr>
          <w:rFonts w:eastAsia="Calibri"/>
          <w:spacing w:val="4"/>
          <w:sz w:val="20"/>
          <w:szCs w:val="20"/>
          <w:lang w:val="en-US"/>
        </w:rPr>
        <w:t xml:space="preserve"> 20% </w:t>
      </w:r>
      <w:r>
        <w:rPr>
          <w:rFonts w:eastAsia="Calibri"/>
          <w:spacing w:val="4"/>
          <w:sz w:val="20"/>
          <w:szCs w:val="20"/>
          <w:lang w:val="en-US"/>
        </w:rPr>
        <w:t xml:space="preserve">in </w:t>
      </w:r>
      <w:r w:rsidRPr="00854E8D">
        <w:rPr>
          <w:rFonts w:eastAsia="Calibri"/>
          <w:spacing w:val="4"/>
          <w:sz w:val="20"/>
          <w:szCs w:val="20"/>
          <w:lang w:val="en-US"/>
        </w:rPr>
        <w:t>freight traffic compared to the same period</w:t>
      </w:r>
      <w:r>
        <w:rPr>
          <w:rFonts w:eastAsia="Calibri"/>
          <w:spacing w:val="4"/>
          <w:sz w:val="20"/>
          <w:szCs w:val="20"/>
          <w:lang w:val="en-US"/>
        </w:rPr>
        <w:t xml:space="preserve"> in</w:t>
      </w:r>
      <w:r w:rsidRPr="007058D9">
        <w:rPr>
          <w:rFonts w:eastAsia="Calibri"/>
          <w:spacing w:val="4"/>
          <w:sz w:val="20"/>
          <w:szCs w:val="20"/>
        </w:rPr>
        <w:t xml:space="preserve"> 2019.</w:t>
      </w:r>
    </w:p>
  </w:footnote>
  <w:footnote w:id="29">
    <w:p w14:paraId="7E34F376" w14:textId="03CEA9B1" w:rsidR="00255053" w:rsidRPr="002539C0" w:rsidRDefault="00255053" w:rsidP="00255053">
      <w:pPr>
        <w:pStyle w:val="FootnoteText"/>
        <w:ind w:left="198" w:hanging="198"/>
        <w:jc w:val="both"/>
      </w:pPr>
      <w:r w:rsidRPr="004E3B23">
        <w:rPr>
          <w:rStyle w:val="FootnoteReference"/>
        </w:rPr>
        <w:footnoteRef/>
      </w:r>
      <w:r w:rsidRPr="00CB588C">
        <w:rPr>
          <w:spacing w:val="2"/>
        </w:rPr>
        <w:t>According to the report of the Border Gate Department, the Border Guard Command, the Ministry of National Defense and the Immigration Department.</w:t>
      </w:r>
    </w:p>
  </w:footnote>
  <w:footnote w:id="30">
    <w:p w14:paraId="506CF120" w14:textId="1453C5CB" w:rsidR="00255053" w:rsidRPr="00F2371A" w:rsidRDefault="00255053" w:rsidP="00255053">
      <w:pPr>
        <w:pStyle w:val="FootnoteText"/>
        <w:ind w:left="198" w:hanging="198"/>
        <w:jc w:val="both"/>
      </w:pPr>
      <w:r w:rsidRPr="00F2371A">
        <w:rPr>
          <w:rStyle w:val="FootnoteReference"/>
        </w:rPr>
        <w:footnoteRef/>
      </w:r>
      <w:r w:rsidRPr="00CB588C">
        <w:t xml:space="preserve">The reporting period is from </w:t>
      </w:r>
      <w:r>
        <w:t>J</w:t>
      </w:r>
      <w:r>
        <w:rPr>
          <w:lang w:val="en-US"/>
        </w:rPr>
        <w:t>uly</w:t>
      </w:r>
      <w:r w:rsidRPr="00CB588C">
        <w:t xml:space="preserve"> 21, 2022 to </w:t>
      </w:r>
      <w:r>
        <w:rPr>
          <w:lang w:val="en-US"/>
        </w:rPr>
        <w:t>August</w:t>
      </w:r>
      <w:r w:rsidRPr="00CB588C">
        <w:t xml:space="preserve"> 20, 2022.</w:t>
      </w:r>
    </w:p>
  </w:footnote>
  <w:footnote w:id="31">
    <w:p w14:paraId="23808796" w14:textId="77777777" w:rsidR="00727A18" w:rsidRPr="00CF6D82" w:rsidRDefault="00727A18" w:rsidP="00727A18">
      <w:pPr>
        <w:pStyle w:val="FootnoteText"/>
        <w:spacing w:before="20" w:after="20"/>
        <w:ind w:left="198" w:hanging="198"/>
        <w:jc w:val="both"/>
      </w:pPr>
      <w:r w:rsidRPr="00344202">
        <w:rPr>
          <w:rStyle w:val="FootnoteReference"/>
        </w:rPr>
        <w:footnoteRef/>
      </w:r>
      <w:r w:rsidRPr="00344202">
        <w:t xml:space="preserve"> </w:t>
      </w:r>
      <w:r>
        <w:rPr>
          <w:lang w:val="en-US"/>
        </w:rPr>
        <w:t>From the end of December 2019 to August 27, 2022,</w:t>
      </w:r>
      <w:r>
        <w:t xml:space="preserve"> in the world, there are </w:t>
      </w:r>
      <w:r w:rsidRPr="00344202">
        <w:rPr>
          <w:lang w:val="en-US"/>
        </w:rPr>
        <w:t>605</w:t>
      </w:r>
      <w:r>
        <w:rPr>
          <w:lang w:val="en-US"/>
        </w:rPr>
        <w:t>,</w:t>
      </w:r>
      <w:r w:rsidRPr="00344202">
        <w:rPr>
          <w:lang w:val="en-US"/>
        </w:rPr>
        <w:t>189</w:t>
      </w:r>
      <w:r>
        <w:rPr>
          <w:lang w:val="en-US"/>
        </w:rPr>
        <w:t>.</w:t>
      </w:r>
      <w:r w:rsidRPr="00344202">
        <w:rPr>
          <w:lang w:val="en-US"/>
        </w:rPr>
        <w:t xml:space="preserve">8 </w:t>
      </w:r>
      <w:r>
        <w:t>thousand cases of Covid-19</w:t>
      </w:r>
      <w:r w:rsidRPr="00344202">
        <w:t xml:space="preserve"> (</w:t>
      </w:r>
      <w:r w:rsidRPr="00344202">
        <w:rPr>
          <w:lang w:val="en-US"/>
        </w:rPr>
        <w:t>6</w:t>
      </w:r>
      <w:r>
        <w:rPr>
          <w:lang w:val="en-US"/>
        </w:rPr>
        <w:t>,</w:t>
      </w:r>
      <w:r w:rsidRPr="00344202">
        <w:rPr>
          <w:lang w:val="en-US"/>
        </w:rPr>
        <w:t>486</w:t>
      </w:r>
      <w:r>
        <w:rPr>
          <w:lang w:val="en-US"/>
        </w:rPr>
        <w:t>.</w:t>
      </w:r>
      <w:r w:rsidRPr="00344202">
        <w:rPr>
          <w:lang w:val="en-US"/>
        </w:rPr>
        <w:t xml:space="preserve">2 </w:t>
      </w:r>
      <w:r>
        <w:t>thousand deaths</w:t>
      </w:r>
      <w:r w:rsidRPr="00344202">
        <w:t>).</w:t>
      </w:r>
    </w:p>
  </w:footnote>
  <w:footnote w:id="32">
    <w:p w14:paraId="3A2669D9" w14:textId="4203209D" w:rsidR="00255053" w:rsidRPr="00232635" w:rsidRDefault="00255053" w:rsidP="000A06ED">
      <w:pPr>
        <w:pStyle w:val="FootnoteText"/>
        <w:spacing w:before="20" w:after="20"/>
        <w:ind w:left="198" w:hanging="198"/>
        <w:jc w:val="both"/>
      </w:pPr>
      <w:r w:rsidRPr="00CF6D82">
        <w:rPr>
          <w:rStyle w:val="FootnoteReference"/>
        </w:rPr>
        <w:footnoteRef/>
      </w:r>
      <w:r w:rsidRPr="00CF6D82">
        <w:t xml:space="preserve"> </w:t>
      </w:r>
      <w:r w:rsidRPr="00302D1D">
        <w:t xml:space="preserve">According to a quick report from the Office of the Ministry of Public Security and the Vietnam Maritime Administration (Ministry of Transport) </w:t>
      </w:r>
      <w:r>
        <w:rPr>
          <w:lang w:val="en-US"/>
        </w:rPr>
        <w:t>on</w:t>
      </w:r>
      <w:r w:rsidRPr="00302D1D">
        <w:t xml:space="preserve"> </w:t>
      </w:r>
      <w:r>
        <w:rPr>
          <w:lang w:val="en-US"/>
        </w:rPr>
        <w:t>August 23</w:t>
      </w:r>
      <w:r w:rsidRPr="00302D1D">
        <w:t>, 2022.</w:t>
      </w:r>
    </w:p>
  </w:footnote>
  <w:footnote w:id="33">
    <w:p w14:paraId="6EB781CC" w14:textId="7E6A1F8D" w:rsidR="00255053" w:rsidRPr="001224C3" w:rsidRDefault="00255053" w:rsidP="000A06ED">
      <w:pPr>
        <w:pStyle w:val="FootnoteText"/>
        <w:jc w:val="both"/>
        <w:rPr>
          <w:spacing w:val="-2"/>
        </w:rPr>
      </w:pPr>
      <w:r w:rsidRPr="001224C3">
        <w:rPr>
          <w:rStyle w:val="FootnoteReference"/>
          <w:spacing w:val="-2"/>
        </w:rPr>
        <w:footnoteRef/>
      </w:r>
      <w:r w:rsidRPr="001224C3">
        <w:rPr>
          <w:spacing w:val="-2"/>
        </w:rPr>
        <w:t xml:space="preserve"> </w:t>
      </w:r>
      <w:r w:rsidRPr="00302D1D">
        <w:rPr>
          <w:spacing w:val="-2"/>
        </w:rPr>
        <w:t>Summary of reports from 63 Departments of Agriculture and Rural Development, from Ju</w:t>
      </w:r>
      <w:r>
        <w:rPr>
          <w:spacing w:val="-2"/>
          <w:lang w:val="en-US"/>
        </w:rPr>
        <w:t>ly</w:t>
      </w:r>
      <w:r w:rsidRPr="00302D1D">
        <w:rPr>
          <w:spacing w:val="-2"/>
        </w:rPr>
        <w:t xml:space="preserve"> 19 to </w:t>
      </w:r>
      <w:r>
        <w:rPr>
          <w:spacing w:val="-2"/>
          <w:lang w:val="en-US"/>
        </w:rPr>
        <w:t>August</w:t>
      </w:r>
      <w:r w:rsidRPr="00302D1D">
        <w:rPr>
          <w:spacing w:val="-2"/>
        </w:rPr>
        <w:t xml:space="preserve"> 18, 2022.</w:t>
      </w:r>
    </w:p>
  </w:footnote>
  <w:footnote w:id="34">
    <w:p w14:paraId="1A04AC84" w14:textId="25736766" w:rsidR="00804CE6" w:rsidRPr="00232635" w:rsidRDefault="00804CE6" w:rsidP="00804CE6">
      <w:pPr>
        <w:pStyle w:val="FootnoteText"/>
      </w:pPr>
      <w:r w:rsidRPr="001224C3">
        <w:rPr>
          <w:rStyle w:val="FootnoteReference"/>
        </w:rPr>
        <w:footnoteRef/>
      </w:r>
      <w:r w:rsidRPr="001224C3">
        <w:t xml:space="preserve"> </w:t>
      </w:r>
      <w:r w:rsidRPr="00DF1C2B">
        <w:t xml:space="preserve">According to a quick report from the Ministry of Public Security on </w:t>
      </w:r>
      <w:r>
        <w:rPr>
          <w:lang w:val="en-US"/>
        </w:rPr>
        <w:t>August</w:t>
      </w:r>
      <w:r w:rsidRPr="00DF1C2B">
        <w:t xml:space="preserve"> 23, 2022.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D10C" w14:textId="52BEC76C" w:rsidR="00255053" w:rsidRPr="00CC6FF0" w:rsidRDefault="00255053">
    <w:pPr>
      <w:pStyle w:val="Header"/>
      <w:jc w:val="center"/>
      <w:rPr>
        <w:sz w:val="26"/>
        <w:szCs w:val="26"/>
      </w:rPr>
    </w:pPr>
    <w:r w:rsidRPr="00CC6FF0">
      <w:rPr>
        <w:sz w:val="26"/>
        <w:szCs w:val="26"/>
      </w:rPr>
      <w:fldChar w:fldCharType="begin"/>
    </w:r>
    <w:r w:rsidRPr="00CC6FF0">
      <w:rPr>
        <w:sz w:val="26"/>
        <w:szCs w:val="26"/>
      </w:rPr>
      <w:instrText xml:space="preserve"> PAGE   \* MERGEFORMAT </w:instrText>
    </w:r>
    <w:r w:rsidRPr="00CC6FF0">
      <w:rPr>
        <w:sz w:val="26"/>
        <w:szCs w:val="26"/>
      </w:rPr>
      <w:fldChar w:fldCharType="separate"/>
    </w:r>
    <w:r w:rsidR="00787D88">
      <w:rPr>
        <w:noProof/>
        <w:sz w:val="26"/>
        <w:szCs w:val="26"/>
      </w:rPr>
      <w:t>27</w:t>
    </w:r>
    <w:r w:rsidRPr="00CC6FF0">
      <w:rPr>
        <w:sz w:val="26"/>
        <w:szCs w:val="26"/>
      </w:rPr>
      <w:fldChar w:fldCharType="end"/>
    </w:r>
  </w:p>
  <w:p w14:paraId="4CD3B9F0" w14:textId="77777777" w:rsidR="00255053" w:rsidRDefault="002550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B20F8"/>
    <w:multiLevelType w:val="hybridMultilevel"/>
    <w:tmpl w:val="49DCEC6A"/>
    <w:lvl w:ilvl="0" w:tplc="AC7EED9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274826EF"/>
    <w:multiLevelType w:val="hybridMultilevel"/>
    <w:tmpl w:val="BC5E17E2"/>
    <w:lvl w:ilvl="0" w:tplc="3468F536">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3CE1DEA"/>
    <w:multiLevelType w:val="hybridMultilevel"/>
    <w:tmpl w:val="AEFCAD44"/>
    <w:lvl w:ilvl="0" w:tplc="7A2C76A8">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6" w15:restartNumberingAfterBreak="0">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269970692">
    <w:abstractNumId w:val="4"/>
  </w:num>
  <w:num w:numId="2" w16cid:durableId="102580951">
    <w:abstractNumId w:val="5"/>
  </w:num>
  <w:num w:numId="3" w16cid:durableId="1133787179">
    <w:abstractNumId w:val="6"/>
  </w:num>
  <w:num w:numId="4" w16cid:durableId="1138379613">
    <w:abstractNumId w:val="2"/>
  </w:num>
  <w:num w:numId="5" w16cid:durableId="1155876894">
    <w:abstractNumId w:val="1"/>
  </w:num>
  <w:num w:numId="6" w16cid:durableId="2129606">
    <w:abstractNumId w:val="3"/>
  </w:num>
  <w:num w:numId="7" w16cid:durableId="134697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07E"/>
    <w:rsid w:val="0000040F"/>
    <w:rsid w:val="00001A61"/>
    <w:rsid w:val="00013592"/>
    <w:rsid w:val="00020D05"/>
    <w:rsid w:val="00021DE7"/>
    <w:rsid w:val="000248C0"/>
    <w:rsid w:val="00031A36"/>
    <w:rsid w:val="000323C1"/>
    <w:rsid w:val="00033AEE"/>
    <w:rsid w:val="00037D01"/>
    <w:rsid w:val="00037D93"/>
    <w:rsid w:val="000417F6"/>
    <w:rsid w:val="00050D19"/>
    <w:rsid w:val="00057AE6"/>
    <w:rsid w:val="00061663"/>
    <w:rsid w:val="00077362"/>
    <w:rsid w:val="0008107A"/>
    <w:rsid w:val="00085D9F"/>
    <w:rsid w:val="00086262"/>
    <w:rsid w:val="00087D3A"/>
    <w:rsid w:val="00093EDB"/>
    <w:rsid w:val="00096F3F"/>
    <w:rsid w:val="000A06ED"/>
    <w:rsid w:val="000A21EA"/>
    <w:rsid w:val="000A2EAA"/>
    <w:rsid w:val="000A3343"/>
    <w:rsid w:val="000A4F77"/>
    <w:rsid w:val="000A704E"/>
    <w:rsid w:val="000B05F5"/>
    <w:rsid w:val="000B5170"/>
    <w:rsid w:val="000B5CF7"/>
    <w:rsid w:val="000C054A"/>
    <w:rsid w:val="000C260B"/>
    <w:rsid w:val="000C3A64"/>
    <w:rsid w:val="000C46C1"/>
    <w:rsid w:val="000D0FC8"/>
    <w:rsid w:val="000D48FC"/>
    <w:rsid w:val="000D5623"/>
    <w:rsid w:val="000D5D60"/>
    <w:rsid w:val="000E3C8F"/>
    <w:rsid w:val="000E4D9E"/>
    <w:rsid w:val="000F5745"/>
    <w:rsid w:val="000F7FC7"/>
    <w:rsid w:val="00107E6D"/>
    <w:rsid w:val="00111385"/>
    <w:rsid w:val="00120FE9"/>
    <w:rsid w:val="001217F3"/>
    <w:rsid w:val="00122E31"/>
    <w:rsid w:val="00125003"/>
    <w:rsid w:val="00133A85"/>
    <w:rsid w:val="0013465D"/>
    <w:rsid w:val="00137DDB"/>
    <w:rsid w:val="00140352"/>
    <w:rsid w:val="00141256"/>
    <w:rsid w:val="001516C8"/>
    <w:rsid w:val="00151747"/>
    <w:rsid w:val="0015291B"/>
    <w:rsid w:val="00157F5B"/>
    <w:rsid w:val="0017258E"/>
    <w:rsid w:val="00182CBF"/>
    <w:rsid w:val="00182DB1"/>
    <w:rsid w:val="00185350"/>
    <w:rsid w:val="00190743"/>
    <w:rsid w:val="001913FC"/>
    <w:rsid w:val="00191936"/>
    <w:rsid w:val="00192F58"/>
    <w:rsid w:val="00193083"/>
    <w:rsid w:val="00193F29"/>
    <w:rsid w:val="001A4240"/>
    <w:rsid w:val="001A6D41"/>
    <w:rsid w:val="001A78E1"/>
    <w:rsid w:val="001B5F1B"/>
    <w:rsid w:val="001B7254"/>
    <w:rsid w:val="001B73A8"/>
    <w:rsid w:val="001C334C"/>
    <w:rsid w:val="001C5DB9"/>
    <w:rsid w:val="001C6311"/>
    <w:rsid w:val="001C6377"/>
    <w:rsid w:val="001D27D3"/>
    <w:rsid w:val="001D6996"/>
    <w:rsid w:val="001D7AEA"/>
    <w:rsid w:val="001E30AD"/>
    <w:rsid w:val="001E3B83"/>
    <w:rsid w:val="001F13D4"/>
    <w:rsid w:val="0020442C"/>
    <w:rsid w:val="00205DBE"/>
    <w:rsid w:val="00211E9A"/>
    <w:rsid w:val="0022159A"/>
    <w:rsid w:val="002341DD"/>
    <w:rsid w:val="002419C5"/>
    <w:rsid w:val="002429B5"/>
    <w:rsid w:val="00246A2E"/>
    <w:rsid w:val="00247A03"/>
    <w:rsid w:val="00251E02"/>
    <w:rsid w:val="00255053"/>
    <w:rsid w:val="00255934"/>
    <w:rsid w:val="00255AFA"/>
    <w:rsid w:val="00256601"/>
    <w:rsid w:val="002573BD"/>
    <w:rsid w:val="00257E2E"/>
    <w:rsid w:val="00260299"/>
    <w:rsid w:val="002612A4"/>
    <w:rsid w:val="0027496C"/>
    <w:rsid w:val="0028154C"/>
    <w:rsid w:val="002858E5"/>
    <w:rsid w:val="00290530"/>
    <w:rsid w:val="002906DE"/>
    <w:rsid w:val="00291704"/>
    <w:rsid w:val="00292DB3"/>
    <w:rsid w:val="00293829"/>
    <w:rsid w:val="00295EE1"/>
    <w:rsid w:val="002A1CB6"/>
    <w:rsid w:val="002A2060"/>
    <w:rsid w:val="002A25D9"/>
    <w:rsid w:val="002A4DBF"/>
    <w:rsid w:val="002B023C"/>
    <w:rsid w:val="002B5A2A"/>
    <w:rsid w:val="002C0107"/>
    <w:rsid w:val="002C2D80"/>
    <w:rsid w:val="002D0722"/>
    <w:rsid w:val="002D2F4A"/>
    <w:rsid w:val="002D563A"/>
    <w:rsid w:val="002D5BBC"/>
    <w:rsid w:val="002D7123"/>
    <w:rsid w:val="002E0962"/>
    <w:rsid w:val="002E0CE5"/>
    <w:rsid w:val="002F268B"/>
    <w:rsid w:val="002F75D9"/>
    <w:rsid w:val="00300C23"/>
    <w:rsid w:val="003056DC"/>
    <w:rsid w:val="00307A9C"/>
    <w:rsid w:val="00310E9D"/>
    <w:rsid w:val="0031117F"/>
    <w:rsid w:val="003118BD"/>
    <w:rsid w:val="003119AF"/>
    <w:rsid w:val="00312991"/>
    <w:rsid w:val="00312EE3"/>
    <w:rsid w:val="00317B36"/>
    <w:rsid w:val="00322A65"/>
    <w:rsid w:val="003401B3"/>
    <w:rsid w:val="00344111"/>
    <w:rsid w:val="00344202"/>
    <w:rsid w:val="003443A7"/>
    <w:rsid w:val="0034445B"/>
    <w:rsid w:val="003505F2"/>
    <w:rsid w:val="003506F0"/>
    <w:rsid w:val="003534DB"/>
    <w:rsid w:val="003538D2"/>
    <w:rsid w:val="00354388"/>
    <w:rsid w:val="00355BC2"/>
    <w:rsid w:val="0035643A"/>
    <w:rsid w:val="003626D7"/>
    <w:rsid w:val="00365315"/>
    <w:rsid w:val="003702F7"/>
    <w:rsid w:val="0037663B"/>
    <w:rsid w:val="0037726F"/>
    <w:rsid w:val="00380C82"/>
    <w:rsid w:val="00394718"/>
    <w:rsid w:val="00394AAE"/>
    <w:rsid w:val="003952D6"/>
    <w:rsid w:val="00395EF1"/>
    <w:rsid w:val="003A4785"/>
    <w:rsid w:val="003A58AF"/>
    <w:rsid w:val="003B6B96"/>
    <w:rsid w:val="003B7425"/>
    <w:rsid w:val="003B74FF"/>
    <w:rsid w:val="003C05B4"/>
    <w:rsid w:val="003C1500"/>
    <w:rsid w:val="003C1659"/>
    <w:rsid w:val="003C2635"/>
    <w:rsid w:val="003C5906"/>
    <w:rsid w:val="003C6656"/>
    <w:rsid w:val="003C7FE7"/>
    <w:rsid w:val="003D4BB0"/>
    <w:rsid w:val="003D7A3B"/>
    <w:rsid w:val="003D7FE0"/>
    <w:rsid w:val="003E2877"/>
    <w:rsid w:val="003F20F1"/>
    <w:rsid w:val="003F4455"/>
    <w:rsid w:val="003F5BD1"/>
    <w:rsid w:val="003F5FF3"/>
    <w:rsid w:val="0040029E"/>
    <w:rsid w:val="00404EEB"/>
    <w:rsid w:val="00406083"/>
    <w:rsid w:val="0040762C"/>
    <w:rsid w:val="00411529"/>
    <w:rsid w:val="0041169D"/>
    <w:rsid w:val="00421372"/>
    <w:rsid w:val="00432BB7"/>
    <w:rsid w:val="00434450"/>
    <w:rsid w:val="00441A2B"/>
    <w:rsid w:val="00464E19"/>
    <w:rsid w:val="00467228"/>
    <w:rsid w:val="0047135E"/>
    <w:rsid w:val="00473F40"/>
    <w:rsid w:val="004800FE"/>
    <w:rsid w:val="004813A9"/>
    <w:rsid w:val="004877FC"/>
    <w:rsid w:val="00487C39"/>
    <w:rsid w:val="00493EE4"/>
    <w:rsid w:val="004A523D"/>
    <w:rsid w:val="004B63F3"/>
    <w:rsid w:val="004C0A94"/>
    <w:rsid w:val="004C0BC9"/>
    <w:rsid w:val="004C146B"/>
    <w:rsid w:val="004C20AC"/>
    <w:rsid w:val="004D3141"/>
    <w:rsid w:val="004D4259"/>
    <w:rsid w:val="004D6FC9"/>
    <w:rsid w:val="004E4B4E"/>
    <w:rsid w:val="004E4BE1"/>
    <w:rsid w:val="004F0F24"/>
    <w:rsid w:val="004F1349"/>
    <w:rsid w:val="005049C3"/>
    <w:rsid w:val="0053214B"/>
    <w:rsid w:val="00540EF1"/>
    <w:rsid w:val="00542C6D"/>
    <w:rsid w:val="005435FF"/>
    <w:rsid w:val="00545943"/>
    <w:rsid w:val="00550A2C"/>
    <w:rsid w:val="0056668C"/>
    <w:rsid w:val="00571F59"/>
    <w:rsid w:val="005737A7"/>
    <w:rsid w:val="00574B3F"/>
    <w:rsid w:val="00576332"/>
    <w:rsid w:val="00576C2D"/>
    <w:rsid w:val="0058664D"/>
    <w:rsid w:val="005877DD"/>
    <w:rsid w:val="0059371D"/>
    <w:rsid w:val="005A6295"/>
    <w:rsid w:val="005B1843"/>
    <w:rsid w:val="005B5AEA"/>
    <w:rsid w:val="005C593E"/>
    <w:rsid w:val="005C7111"/>
    <w:rsid w:val="005D4E5B"/>
    <w:rsid w:val="005D5F8E"/>
    <w:rsid w:val="005D6880"/>
    <w:rsid w:val="005E03A0"/>
    <w:rsid w:val="005E0524"/>
    <w:rsid w:val="005E0526"/>
    <w:rsid w:val="005E08E8"/>
    <w:rsid w:val="005E2792"/>
    <w:rsid w:val="005E3CFF"/>
    <w:rsid w:val="005F16E8"/>
    <w:rsid w:val="005F2145"/>
    <w:rsid w:val="005F53A7"/>
    <w:rsid w:val="0060103C"/>
    <w:rsid w:val="00603E19"/>
    <w:rsid w:val="00605CB4"/>
    <w:rsid w:val="00607255"/>
    <w:rsid w:val="00610DA3"/>
    <w:rsid w:val="006125EA"/>
    <w:rsid w:val="00614D56"/>
    <w:rsid w:val="00621815"/>
    <w:rsid w:val="00622C8D"/>
    <w:rsid w:val="006233CE"/>
    <w:rsid w:val="00623BE5"/>
    <w:rsid w:val="00626021"/>
    <w:rsid w:val="00627754"/>
    <w:rsid w:val="00627A29"/>
    <w:rsid w:val="006308C2"/>
    <w:rsid w:val="0063100F"/>
    <w:rsid w:val="00632A61"/>
    <w:rsid w:val="0063426A"/>
    <w:rsid w:val="00634B59"/>
    <w:rsid w:val="00644237"/>
    <w:rsid w:val="006456AF"/>
    <w:rsid w:val="00646EC8"/>
    <w:rsid w:val="00651BF9"/>
    <w:rsid w:val="00655302"/>
    <w:rsid w:val="0065772D"/>
    <w:rsid w:val="00664CD6"/>
    <w:rsid w:val="00666406"/>
    <w:rsid w:val="006704C2"/>
    <w:rsid w:val="006714FD"/>
    <w:rsid w:val="00680CBE"/>
    <w:rsid w:val="00681C6E"/>
    <w:rsid w:val="006838D9"/>
    <w:rsid w:val="00685B20"/>
    <w:rsid w:val="006913BC"/>
    <w:rsid w:val="00697350"/>
    <w:rsid w:val="006A194D"/>
    <w:rsid w:val="006A1D88"/>
    <w:rsid w:val="006B0D3E"/>
    <w:rsid w:val="006B5B07"/>
    <w:rsid w:val="006B6C3C"/>
    <w:rsid w:val="006C0E89"/>
    <w:rsid w:val="006C17A8"/>
    <w:rsid w:val="006C38AE"/>
    <w:rsid w:val="006E157F"/>
    <w:rsid w:val="006E3557"/>
    <w:rsid w:val="006F1C41"/>
    <w:rsid w:val="006F7A9B"/>
    <w:rsid w:val="00702D83"/>
    <w:rsid w:val="00705790"/>
    <w:rsid w:val="007058D9"/>
    <w:rsid w:val="00705C44"/>
    <w:rsid w:val="00710BC3"/>
    <w:rsid w:val="00711F2C"/>
    <w:rsid w:val="00712307"/>
    <w:rsid w:val="00712A2A"/>
    <w:rsid w:val="00713857"/>
    <w:rsid w:val="00714598"/>
    <w:rsid w:val="00727A18"/>
    <w:rsid w:val="00732098"/>
    <w:rsid w:val="00734700"/>
    <w:rsid w:val="00735539"/>
    <w:rsid w:val="00735E9F"/>
    <w:rsid w:val="00736852"/>
    <w:rsid w:val="00740E1C"/>
    <w:rsid w:val="00740E8A"/>
    <w:rsid w:val="007441B8"/>
    <w:rsid w:val="00754660"/>
    <w:rsid w:val="007552A0"/>
    <w:rsid w:val="007618F9"/>
    <w:rsid w:val="00762BDE"/>
    <w:rsid w:val="00766A5A"/>
    <w:rsid w:val="00767DD3"/>
    <w:rsid w:val="00770C3F"/>
    <w:rsid w:val="00776273"/>
    <w:rsid w:val="0078055F"/>
    <w:rsid w:val="0078178F"/>
    <w:rsid w:val="0078668C"/>
    <w:rsid w:val="007872CE"/>
    <w:rsid w:val="00787D88"/>
    <w:rsid w:val="0079219B"/>
    <w:rsid w:val="007A1C3E"/>
    <w:rsid w:val="007A22CF"/>
    <w:rsid w:val="007A6155"/>
    <w:rsid w:val="007A6DAF"/>
    <w:rsid w:val="007B087D"/>
    <w:rsid w:val="007C2154"/>
    <w:rsid w:val="007C3444"/>
    <w:rsid w:val="007C3E74"/>
    <w:rsid w:val="007C52E2"/>
    <w:rsid w:val="007C6948"/>
    <w:rsid w:val="007D6562"/>
    <w:rsid w:val="007E02AB"/>
    <w:rsid w:val="007E0D8C"/>
    <w:rsid w:val="007E387E"/>
    <w:rsid w:val="007E4A6D"/>
    <w:rsid w:val="007E63D2"/>
    <w:rsid w:val="007E72F0"/>
    <w:rsid w:val="007F0A98"/>
    <w:rsid w:val="007F54A2"/>
    <w:rsid w:val="00804111"/>
    <w:rsid w:val="00804CE6"/>
    <w:rsid w:val="00806FB7"/>
    <w:rsid w:val="00812241"/>
    <w:rsid w:val="00816FC2"/>
    <w:rsid w:val="00820836"/>
    <w:rsid w:val="008212D1"/>
    <w:rsid w:val="00824025"/>
    <w:rsid w:val="008258FB"/>
    <w:rsid w:val="0083193A"/>
    <w:rsid w:val="0083303A"/>
    <w:rsid w:val="008376DA"/>
    <w:rsid w:val="00837844"/>
    <w:rsid w:val="00847742"/>
    <w:rsid w:val="00847955"/>
    <w:rsid w:val="00852260"/>
    <w:rsid w:val="00853DB7"/>
    <w:rsid w:val="00854254"/>
    <w:rsid w:val="00854E8D"/>
    <w:rsid w:val="00854FD1"/>
    <w:rsid w:val="008560F3"/>
    <w:rsid w:val="00860517"/>
    <w:rsid w:val="00860739"/>
    <w:rsid w:val="00861628"/>
    <w:rsid w:val="00863DE2"/>
    <w:rsid w:val="00877BA6"/>
    <w:rsid w:val="00877D40"/>
    <w:rsid w:val="00880376"/>
    <w:rsid w:val="008836BB"/>
    <w:rsid w:val="008862A9"/>
    <w:rsid w:val="00886B82"/>
    <w:rsid w:val="00891B20"/>
    <w:rsid w:val="008A3E60"/>
    <w:rsid w:val="008A497E"/>
    <w:rsid w:val="008A4CE9"/>
    <w:rsid w:val="008A5C4A"/>
    <w:rsid w:val="008A7DF7"/>
    <w:rsid w:val="008B69BE"/>
    <w:rsid w:val="008C1824"/>
    <w:rsid w:val="008C1D00"/>
    <w:rsid w:val="008C4876"/>
    <w:rsid w:val="008C4BC5"/>
    <w:rsid w:val="008C70FC"/>
    <w:rsid w:val="008D0551"/>
    <w:rsid w:val="008E19E5"/>
    <w:rsid w:val="008E5F80"/>
    <w:rsid w:val="008F36E2"/>
    <w:rsid w:val="008F3B0E"/>
    <w:rsid w:val="00901024"/>
    <w:rsid w:val="009050A5"/>
    <w:rsid w:val="009057D2"/>
    <w:rsid w:val="00905964"/>
    <w:rsid w:val="009134C7"/>
    <w:rsid w:val="00915A1C"/>
    <w:rsid w:val="009202AC"/>
    <w:rsid w:val="009211CE"/>
    <w:rsid w:val="009231EA"/>
    <w:rsid w:val="00932B75"/>
    <w:rsid w:val="00932FA5"/>
    <w:rsid w:val="00935233"/>
    <w:rsid w:val="009504CA"/>
    <w:rsid w:val="00954D84"/>
    <w:rsid w:val="0096360F"/>
    <w:rsid w:val="00963A7F"/>
    <w:rsid w:val="009655DA"/>
    <w:rsid w:val="00966F65"/>
    <w:rsid w:val="009703CD"/>
    <w:rsid w:val="00971B08"/>
    <w:rsid w:val="00976EC1"/>
    <w:rsid w:val="00981407"/>
    <w:rsid w:val="00986DCF"/>
    <w:rsid w:val="00991826"/>
    <w:rsid w:val="00991A4D"/>
    <w:rsid w:val="00997A26"/>
    <w:rsid w:val="009A75C9"/>
    <w:rsid w:val="009A7DF3"/>
    <w:rsid w:val="009B22AB"/>
    <w:rsid w:val="009B3925"/>
    <w:rsid w:val="009B4D50"/>
    <w:rsid w:val="009B6EA8"/>
    <w:rsid w:val="009C038B"/>
    <w:rsid w:val="009C493B"/>
    <w:rsid w:val="009C723A"/>
    <w:rsid w:val="009D2E3E"/>
    <w:rsid w:val="009D422D"/>
    <w:rsid w:val="009D4FBA"/>
    <w:rsid w:val="009D5CA9"/>
    <w:rsid w:val="009E6F8C"/>
    <w:rsid w:val="00A02538"/>
    <w:rsid w:val="00A06357"/>
    <w:rsid w:val="00A116C9"/>
    <w:rsid w:val="00A135F6"/>
    <w:rsid w:val="00A14A5A"/>
    <w:rsid w:val="00A15317"/>
    <w:rsid w:val="00A207DE"/>
    <w:rsid w:val="00A20E05"/>
    <w:rsid w:val="00A21D41"/>
    <w:rsid w:val="00A23D1C"/>
    <w:rsid w:val="00A25B18"/>
    <w:rsid w:val="00A26985"/>
    <w:rsid w:val="00A32362"/>
    <w:rsid w:val="00A377EA"/>
    <w:rsid w:val="00A443FD"/>
    <w:rsid w:val="00A4445B"/>
    <w:rsid w:val="00A50EF8"/>
    <w:rsid w:val="00A53A6F"/>
    <w:rsid w:val="00A55918"/>
    <w:rsid w:val="00A70950"/>
    <w:rsid w:val="00A7753E"/>
    <w:rsid w:val="00A77D21"/>
    <w:rsid w:val="00A81040"/>
    <w:rsid w:val="00A87CB7"/>
    <w:rsid w:val="00A9224C"/>
    <w:rsid w:val="00A92D0E"/>
    <w:rsid w:val="00AA4F93"/>
    <w:rsid w:val="00AA7329"/>
    <w:rsid w:val="00AA76D1"/>
    <w:rsid w:val="00AB02D9"/>
    <w:rsid w:val="00AB12D4"/>
    <w:rsid w:val="00AB1DDB"/>
    <w:rsid w:val="00AB4AC8"/>
    <w:rsid w:val="00AB72BA"/>
    <w:rsid w:val="00AC488F"/>
    <w:rsid w:val="00AD15CC"/>
    <w:rsid w:val="00AD2087"/>
    <w:rsid w:val="00AD311C"/>
    <w:rsid w:val="00AD34AD"/>
    <w:rsid w:val="00AE3D46"/>
    <w:rsid w:val="00AF2843"/>
    <w:rsid w:val="00AF2FB0"/>
    <w:rsid w:val="00AF650F"/>
    <w:rsid w:val="00B02019"/>
    <w:rsid w:val="00B0558A"/>
    <w:rsid w:val="00B07E1B"/>
    <w:rsid w:val="00B1297A"/>
    <w:rsid w:val="00B14CCA"/>
    <w:rsid w:val="00B165F3"/>
    <w:rsid w:val="00B22747"/>
    <w:rsid w:val="00B247FA"/>
    <w:rsid w:val="00B24BC3"/>
    <w:rsid w:val="00B26490"/>
    <w:rsid w:val="00B30D51"/>
    <w:rsid w:val="00B36210"/>
    <w:rsid w:val="00B36EBE"/>
    <w:rsid w:val="00B373F9"/>
    <w:rsid w:val="00B40627"/>
    <w:rsid w:val="00B40825"/>
    <w:rsid w:val="00B40F24"/>
    <w:rsid w:val="00B412DE"/>
    <w:rsid w:val="00B4141F"/>
    <w:rsid w:val="00B45A5F"/>
    <w:rsid w:val="00B51BA5"/>
    <w:rsid w:val="00B520B9"/>
    <w:rsid w:val="00B57D79"/>
    <w:rsid w:val="00B63AEF"/>
    <w:rsid w:val="00B6439B"/>
    <w:rsid w:val="00B6576A"/>
    <w:rsid w:val="00B724C9"/>
    <w:rsid w:val="00B819B3"/>
    <w:rsid w:val="00B81BED"/>
    <w:rsid w:val="00B90027"/>
    <w:rsid w:val="00B94722"/>
    <w:rsid w:val="00BA2EF3"/>
    <w:rsid w:val="00BA5E32"/>
    <w:rsid w:val="00BA6939"/>
    <w:rsid w:val="00BB1A5C"/>
    <w:rsid w:val="00BB2C1B"/>
    <w:rsid w:val="00BB48BC"/>
    <w:rsid w:val="00BB585A"/>
    <w:rsid w:val="00BB5E39"/>
    <w:rsid w:val="00BC5F21"/>
    <w:rsid w:val="00BC6B28"/>
    <w:rsid w:val="00BC7F81"/>
    <w:rsid w:val="00BD4A6B"/>
    <w:rsid w:val="00BD7080"/>
    <w:rsid w:val="00BD7D58"/>
    <w:rsid w:val="00BE086B"/>
    <w:rsid w:val="00BE1094"/>
    <w:rsid w:val="00BE1D1F"/>
    <w:rsid w:val="00BE4783"/>
    <w:rsid w:val="00BE564C"/>
    <w:rsid w:val="00BE744C"/>
    <w:rsid w:val="00BF1969"/>
    <w:rsid w:val="00BF29DB"/>
    <w:rsid w:val="00BF6717"/>
    <w:rsid w:val="00C0159C"/>
    <w:rsid w:val="00C04548"/>
    <w:rsid w:val="00C047B1"/>
    <w:rsid w:val="00C057B6"/>
    <w:rsid w:val="00C11301"/>
    <w:rsid w:val="00C15686"/>
    <w:rsid w:val="00C16B77"/>
    <w:rsid w:val="00C1702B"/>
    <w:rsid w:val="00C17E52"/>
    <w:rsid w:val="00C20900"/>
    <w:rsid w:val="00C2282A"/>
    <w:rsid w:val="00C24AC2"/>
    <w:rsid w:val="00C25132"/>
    <w:rsid w:val="00C27B45"/>
    <w:rsid w:val="00C441DF"/>
    <w:rsid w:val="00C44528"/>
    <w:rsid w:val="00C52AA0"/>
    <w:rsid w:val="00C570A9"/>
    <w:rsid w:val="00C60583"/>
    <w:rsid w:val="00C7065C"/>
    <w:rsid w:val="00C809A6"/>
    <w:rsid w:val="00C8167A"/>
    <w:rsid w:val="00C85205"/>
    <w:rsid w:val="00C86C74"/>
    <w:rsid w:val="00C974A6"/>
    <w:rsid w:val="00CA0F0B"/>
    <w:rsid w:val="00CA1115"/>
    <w:rsid w:val="00CA279B"/>
    <w:rsid w:val="00CA4285"/>
    <w:rsid w:val="00CA631C"/>
    <w:rsid w:val="00CB6BE2"/>
    <w:rsid w:val="00CB7034"/>
    <w:rsid w:val="00CC101F"/>
    <w:rsid w:val="00CC36C0"/>
    <w:rsid w:val="00CC401F"/>
    <w:rsid w:val="00CC4C29"/>
    <w:rsid w:val="00CC6AD3"/>
    <w:rsid w:val="00CC6FF0"/>
    <w:rsid w:val="00CE169D"/>
    <w:rsid w:val="00CE60A2"/>
    <w:rsid w:val="00CF479C"/>
    <w:rsid w:val="00CF4B01"/>
    <w:rsid w:val="00CF6A39"/>
    <w:rsid w:val="00CF77B5"/>
    <w:rsid w:val="00D11491"/>
    <w:rsid w:val="00D202DA"/>
    <w:rsid w:val="00D20AF3"/>
    <w:rsid w:val="00D243BD"/>
    <w:rsid w:val="00D27278"/>
    <w:rsid w:val="00D2735D"/>
    <w:rsid w:val="00D31E1D"/>
    <w:rsid w:val="00D31F39"/>
    <w:rsid w:val="00D3459C"/>
    <w:rsid w:val="00D44201"/>
    <w:rsid w:val="00D4586D"/>
    <w:rsid w:val="00D5048C"/>
    <w:rsid w:val="00D50979"/>
    <w:rsid w:val="00D50C62"/>
    <w:rsid w:val="00D6105F"/>
    <w:rsid w:val="00D63523"/>
    <w:rsid w:val="00D63F08"/>
    <w:rsid w:val="00D67311"/>
    <w:rsid w:val="00D72862"/>
    <w:rsid w:val="00D84342"/>
    <w:rsid w:val="00D84DA8"/>
    <w:rsid w:val="00D90886"/>
    <w:rsid w:val="00D90A44"/>
    <w:rsid w:val="00DA0235"/>
    <w:rsid w:val="00DA373A"/>
    <w:rsid w:val="00DB0AFF"/>
    <w:rsid w:val="00DB7302"/>
    <w:rsid w:val="00DC43A6"/>
    <w:rsid w:val="00DC7FBB"/>
    <w:rsid w:val="00DD2344"/>
    <w:rsid w:val="00DD554A"/>
    <w:rsid w:val="00DD7DD3"/>
    <w:rsid w:val="00DE61D3"/>
    <w:rsid w:val="00E05195"/>
    <w:rsid w:val="00E11B4A"/>
    <w:rsid w:val="00E209CA"/>
    <w:rsid w:val="00E2298A"/>
    <w:rsid w:val="00E2557B"/>
    <w:rsid w:val="00E263E7"/>
    <w:rsid w:val="00E26E04"/>
    <w:rsid w:val="00E3098B"/>
    <w:rsid w:val="00E31905"/>
    <w:rsid w:val="00E32F05"/>
    <w:rsid w:val="00E359E4"/>
    <w:rsid w:val="00E53E9B"/>
    <w:rsid w:val="00E56D20"/>
    <w:rsid w:val="00E65DB9"/>
    <w:rsid w:val="00E70FB8"/>
    <w:rsid w:val="00E76639"/>
    <w:rsid w:val="00E8607E"/>
    <w:rsid w:val="00E917D2"/>
    <w:rsid w:val="00E950BF"/>
    <w:rsid w:val="00E97F28"/>
    <w:rsid w:val="00EA29D8"/>
    <w:rsid w:val="00EA6D8E"/>
    <w:rsid w:val="00EB6A26"/>
    <w:rsid w:val="00EC190A"/>
    <w:rsid w:val="00EC4F09"/>
    <w:rsid w:val="00ED336D"/>
    <w:rsid w:val="00ED4476"/>
    <w:rsid w:val="00ED67BC"/>
    <w:rsid w:val="00ED7343"/>
    <w:rsid w:val="00ED7A8D"/>
    <w:rsid w:val="00EE47C1"/>
    <w:rsid w:val="00EF4B4A"/>
    <w:rsid w:val="00EF5BA4"/>
    <w:rsid w:val="00F034B9"/>
    <w:rsid w:val="00F07E0B"/>
    <w:rsid w:val="00F1701D"/>
    <w:rsid w:val="00F17FEE"/>
    <w:rsid w:val="00F20691"/>
    <w:rsid w:val="00F20DCB"/>
    <w:rsid w:val="00F23F54"/>
    <w:rsid w:val="00F24924"/>
    <w:rsid w:val="00F266FF"/>
    <w:rsid w:val="00F27B12"/>
    <w:rsid w:val="00F310AA"/>
    <w:rsid w:val="00F366B2"/>
    <w:rsid w:val="00F421C2"/>
    <w:rsid w:val="00F42582"/>
    <w:rsid w:val="00F4281C"/>
    <w:rsid w:val="00F45C0F"/>
    <w:rsid w:val="00F51178"/>
    <w:rsid w:val="00F61CAF"/>
    <w:rsid w:val="00F81204"/>
    <w:rsid w:val="00F82B53"/>
    <w:rsid w:val="00F84367"/>
    <w:rsid w:val="00F860BB"/>
    <w:rsid w:val="00F92949"/>
    <w:rsid w:val="00F92EF3"/>
    <w:rsid w:val="00F95172"/>
    <w:rsid w:val="00F953D8"/>
    <w:rsid w:val="00F976A5"/>
    <w:rsid w:val="00FA228D"/>
    <w:rsid w:val="00FA71A6"/>
    <w:rsid w:val="00FB05F5"/>
    <w:rsid w:val="00FB5210"/>
    <w:rsid w:val="00FB63A7"/>
    <w:rsid w:val="00FC1BFF"/>
    <w:rsid w:val="00FD461B"/>
    <w:rsid w:val="00FE2113"/>
    <w:rsid w:val="00FE3D39"/>
    <w:rsid w:val="00FE6E12"/>
    <w:rsid w:val="00FE6FB3"/>
    <w:rsid w:val="00FF30E1"/>
    <w:rsid w:val="00FF781B"/>
    <w:rsid w:val="00FF7BE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D384"/>
  <w15:docId w15:val="{4CFF2526-B7EF-449C-8B57-8EBEF1B1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07E"/>
    <w:pPr>
      <w:spacing w:after="0" w:line="240" w:lineRule="auto"/>
    </w:pPr>
    <w:rPr>
      <w:rFonts w:ascii="Times New Roman" w:eastAsia="Times New Roman" w:hAnsi="Times New Roman" w:cs="Times New Roman"/>
      <w:sz w:val="28"/>
      <w:szCs w:val="28"/>
      <w:lang w:val="vi-VN"/>
    </w:rPr>
  </w:style>
  <w:style w:type="paragraph" w:styleId="Heading1">
    <w:name w:val="heading 1"/>
    <w:basedOn w:val="Normal"/>
    <w:next w:val="Normal"/>
    <w:link w:val="Heading1Char"/>
    <w:qFormat/>
    <w:rsid w:val="00E8607E"/>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607E"/>
    <w:rPr>
      <w:rFonts w:ascii="Cambria" w:eastAsia="Times New Roman" w:hAnsi="Cambria" w:cs="Times New Roman"/>
      <w:b/>
      <w:bCs/>
      <w:kern w:val="32"/>
      <w:sz w:val="32"/>
      <w:szCs w:val="32"/>
      <w:lang w:val="vi-VN"/>
    </w:rPr>
  </w:style>
  <w:style w:type="paragraph" w:customStyle="1" w:styleId="Default">
    <w:name w:val="Default"/>
    <w:rsid w:val="00E860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1">
    <w:name w:val="Normal1"/>
    <w:basedOn w:val="Normal"/>
    <w:uiPriority w:val="99"/>
    <w:rsid w:val="00E8607E"/>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E8607E"/>
    <w:rPr>
      <w:sz w:val="24"/>
      <w:szCs w:val="24"/>
    </w:rPr>
  </w:style>
  <w:style w:type="paragraph" w:styleId="BodyText">
    <w:name w:val="Body Text"/>
    <w:basedOn w:val="Normal"/>
    <w:link w:val="BodyTextChar1"/>
    <w:uiPriority w:val="99"/>
    <w:rsid w:val="00E8607E"/>
    <w:pPr>
      <w:spacing w:after="120"/>
    </w:pPr>
    <w:rPr>
      <w:rFonts w:asciiTheme="minorHAnsi" w:eastAsiaTheme="minorHAnsi" w:hAnsiTheme="minorHAnsi" w:cstheme="minorBidi"/>
      <w:sz w:val="24"/>
      <w:szCs w:val="24"/>
      <w:lang w:val="en-US"/>
    </w:rPr>
  </w:style>
  <w:style w:type="character" w:customStyle="1" w:styleId="BodyTextChar">
    <w:name w:val="Body Text Char"/>
    <w:basedOn w:val="DefaultParagraphFont"/>
    <w:uiPriority w:val="99"/>
    <w:semiHidden/>
    <w:rsid w:val="00E8607E"/>
    <w:rPr>
      <w:rFonts w:ascii="Times New Roman" w:eastAsia="Times New Roman" w:hAnsi="Times New Roman" w:cs="Times New Roman"/>
      <w:sz w:val="28"/>
      <w:szCs w:val="28"/>
      <w:lang w:val="vi-VN"/>
    </w:rPr>
  </w:style>
  <w:style w:type="character" w:styleId="Strong">
    <w:name w:val="Strong"/>
    <w:basedOn w:val="DefaultParagraphFont"/>
    <w:qFormat/>
    <w:rsid w:val="00E8607E"/>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E8607E"/>
    <w:rPr>
      <w:rFonts w:eastAsia="Calibri"/>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E8607E"/>
    <w:rPr>
      <w:rFonts w:ascii="Times New Roman" w:eastAsia="Calibri" w:hAnsi="Times New Roman" w:cs="Times New Roman"/>
      <w:sz w:val="20"/>
      <w:szCs w:val="20"/>
      <w:lang w:val="vi-VN"/>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basedOn w:val="DefaultParagraphFont"/>
    <w:link w:val="CharChar1CharCharCharChar1CharCharCharCharCharCharCharChar"/>
    <w:uiPriority w:val="99"/>
    <w:qFormat/>
    <w:rsid w:val="00E8607E"/>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E8607E"/>
    <w:pPr>
      <w:spacing w:before="100" w:beforeAutospacing="1" w:after="100" w:afterAutospacing="1"/>
    </w:pPr>
    <w:rPr>
      <w:rFonts w:eastAsia="Calibri"/>
      <w:sz w:val="24"/>
      <w:szCs w:val="24"/>
    </w:rPr>
  </w:style>
  <w:style w:type="character" w:customStyle="1" w:styleId="normalchar">
    <w:name w:val="normal__char"/>
    <w:basedOn w:val="DefaultParagraphFont"/>
    <w:rsid w:val="00E8607E"/>
  </w:style>
  <w:style w:type="paragraph" w:styleId="Header">
    <w:name w:val="header"/>
    <w:basedOn w:val="Normal"/>
    <w:link w:val="HeaderChar"/>
    <w:uiPriority w:val="99"/>
    <w:rsid w:val="00E8607E"/>
    <w:pPr>
      <w:tabs>
        <w:tab w:val="center" w:pos="4680"/>
        <w:tab w:val="right" w:pos="9360"/>
      </w:tabs>
    </w:pPr>
  </w:style>
  <w:style w:type="character" w:customStyle="1" w:styleId="HeaderChar">
    <w:name w:val="Header Char"/>
    <w:basedOn w:val="DefaultParagraphFont"/>
    <w:link w:val="Header"/>
    <w:uiPriority w:val="99"/>
    <w:rsid w:val="00E8607E"/>
    <w:rPr>
      <w:rFonts w:ascii="Times New Roman" w:eastAsia="Times New Roman" w:hAnsi="Times New Roman" w:cs="Times New Roman"/>
      <w:sz w:val="28"/>
      <w:szCs w:val="28"/>
      <w:lang w:val="vi-VN"/>
    </w:rPr>
  </w:style>
  <w:style w:type="paragraph" w:styleId="Footer">
    <w:name w:val="footer"/>
    <w:basedOn w:val="Normal"/>
    <w:link w:val="FooterChar"/>
    <w:uiPriority w:val="99"/>
    <w:semiHidden/>
    <w:rsid w:val="00E8607E"/>
    <w:pPr>
      <w:tabs>
        <w:tab w:val="center" w:pos="4680"/>
        <w:tab w:val="right" w:pos="9360"/>
      </w:tabs>
    </w:pPr>
  </w:style>
  <w:style w:type="character" w:customStyle="1" w:styleId="FooterChar">
    <w:name w:val="Footer Char"/>
    <w:basedOn w:val="DefaultParagraphFont"/>
    <w:link w:val="Footer"/>
    <w:uiPriority w:val="99"/>
    <w:semiHidden/>
    <w:rsid w:val="00E8607E"/>
    <w:rPr>
      <w:rFonts w:ascii="Times New Roman" w:eastAsia="Times New Roman" w:hAnsi="Times New Roman" w:cs="Times New Roman"/>
      <w:sz w:val="28"/>
      <w:szCs w:val="28"/>
      <w:lang w:val="vi-VN"/>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E8607E"/>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E8607E"/>
    <w:rPr>
      <w:rFonts w:ascii="Times New Roman" w:eastAsia="Times New Roman" w:hAnsi="Times New Roman" w:cs="Times New Roman"/>
      <w:b/>
      <w:bCs/>
      <w:sz w:val="28"/>
      <w:szCs w:val="28"/>
      <w:lang w:val="nl-NL"/>
    </w:rPr>
  </w:style>
  <w:style w:type="paragraph" w:styleId="BalloonText">
    <w:name w:val="Balloon Text"/>
    <w:basedOn w:val="Normal"/>
    <w:link w:val="BalloonTextChar"/>
    <w:uiPriority w:val="99"/>
    <w:semiHidden/>
    <w:rsid w:val="00E8607E"/>
    <w:rPr>
      <w:rFonts w:ascii="Tahoma" w:hAnsi="Tahoma" w:cs="Tahoma"/>
      <w:sz w:val="16"/>
      <w:szCs w:val="16"/>
    </w:rPr>
  </w:style>
  <w:style w:type="character" w:customStyle="1" w:styleId="BalloonTextChar">
    <w:name w:val="Balloon Text Char"/>
    <w:basedOn w:val="DefaultParagraphFont"/>
    <w:link w:val="BalloonText"/>
    <w:uiPriority w:val="99"/>
    <w:semiHidden/>
    <w:rsid w:val="00E8607E"/>
    <w:rPr>
      <w:rFonts w:ascii="Tahoma" w:eastAsia="Times New Roman" w:hAnsi="Tahoma" w:cs="Tahoma"/>
      <w:sz w:val="16"/>
      <w:szCs w:val="16"/>
      <w:lang w:val="vi-VN"/>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8607E"/>
    <w:pPr>
      <w:spacing w:after="200" w:line="276" w:lineRule="auto"/>
      <w:ind w:left="720"/>
      <w:contextualSpacing/>
    </w:pPr>
    <w:rPr>
      <w:rFonts w:eastAsia="Calibri"/>
    </w:rPr>
  </w:style>
  <w:style w:type="character" w:customStyle="1" w:styleId="normalchar0">
    <w:name w:val="normalchar"/>
    <w:basedOn w:val="DefaultParagraphFont"/>
    <w:rsid w:val="00E8607E"/>
  </w:style>
  <w:style w:type="character" w:customStyle="1" w:styleId="apple-converted-space">
    <w:name w:val="apple-converted-space"/>
    <w:basedOn w:val="DefaultParagraphFont"/>
    <w:rsid w:val="00E8607E"/>
  </w:style>
  <w:style w:type="paragraph" w:styleId="Title">
    <w:name w:val="Title"/>
    <w:basedOn w:val="Normal"/>
    <w:link w:val="TitleChar"/>
    <w:qFormat/>
    <w:rsid w:val="00E8607E"/>
    <w:pPr>
      <w:jc w:val="center"/>
    </w:pPr>
    <w:rPr>
      <w:rFonts w:ascii=".VnTimeH" w:hAnsi=".VnTimeH"/>
      <w:b/>
      <w:bCs/>
      <w:szCs w:val="24"/>
    </w:rPr>
  </w:style>
  <w:style w:type="character" w:customStyle="1" w:styleId="TitleChar">
    <w:name w:val="Title Char"/>
    <w:basedOn w:val="DefaultParagraphFont"/>
    <w:link w:val="Title"/>
    <w:rsid w:val="00E8607E"/>
    <w:rPr>
      <w:rFonts w:ascii=".VnTimeH" w:eastAsia="Times New Roman" w:hAnsi=".VnTimeH" w:cs="Times New Roman"/>
      <w:b/>
      <w:bCs/>
      <w:sz w:val="28"/>
      <w:szCs w:val="24"/>
      <w:lang w:val="vi-VN"/>
    </w:rPr>
  </w:style>
  <w:style w:type="paragraph" w:customStyle="1" w:styleId="msotitlecxspmiddle">
    <w:name w:val="msotitlecxspmiddle"/>
    <w:basedOn w:val="Normal"/>
    <w:rsid w:val="00E8607E"/>
    <w:pPr>
      <w:spacing w:before="100" w:beforeAutospacing="1" w:after="100" w:afterAutospacing="1"/>
    </w:pPr>
    <w:rPr>
      <w:sz w:val="24"/>
      <w:szCs w:val="24"/>
    </w:rPr>
  </w:style>
  <w:style w:type="paragraph" w:styleId="List3">
    <w:name w:val="List 3"/>
    <w:basedOn w:val="Normal"/>
    <w:rsid w:val="00E8607E"/>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E8607E"/>
    <w:pPr>
      <w:spacing w:after="120"/>
      <w:ind w:left="360"/>
    </w:pPr>
  </w:style>
  <w:style w:type="character" w:customStyle="1" w:styleId="BodyTextIndentChar">
    <w:name w:val="Body Text Indent Char"/>
    <w:basedOn w:val="DefaultParagraphFont"/>
    <w:link w:val="BodyTextIndent"/>
    <w:uiPriority w:val="99"/>
    <w:semiHidden/>
    <w:rsid w:val="00E8607E"/>
    <w:rPr>
      <w:rFonts w:ascii="Times New Roman" w:eastAsia="Times New Roman" w:hAnsi="Times New Roman" w:cs="Times New Roman"/>
      <w:sz w:val="28"/>
      <w:szCs w:val="28"/>
      <w:lang w:val="vi-VN"/>
    </w:rPr>
  </w:style>
  <w:style w:type="paragraph" w:styleId="BodyTextIndent2">
    <w:name w:val="Body Text Indent 2"/>
    <w:basedOn w:val="Normal"/>
    <w:link w:val="BodyTextIndent2Char"/>
    <w:uiPriority w:val="99"/>
    <w:semiHidden/>
    <w:unhideWhenUsed/>
    <w:rsid w:val="00E8607E"/>
    <w:pPr>
      <w:spacing w:after="120" w:line="480" w:lineRule="auto"/>
      <w:ind w:left="360"/>
    </w:pPr>
  </w:style>
  <w:style w:type="character" w:customStyle="1" w:styleId="BodyTextIndent2Char">
    <w:name w:val="Body Text Indent 2 Char"/>
    <w:basedOn w:val="DefaultParagraphFont"/>
    <w:link w:val="BodyTextIndent2"/>
    <w:uiPriority w:val="99"/>
    <w:semiHidden/>
    <w:rsid w:val="00E8607E"/>
    <w:rPr>
      <w:rFonts w:ascii="Times New Roman" w:eastAsia="Times New Roman" w:hAnsi="Times New Roman" w:cs="Times New Roman"/>
      <w:sz w:val="28"/>
      <w:szCs w:val="28"/>
      <w:lang w:val="vi-VN"/>
    </w:rPr>
  </w:style>
  <w:style w:type="character" w:styleId="Emphasis">
    <w:name w:val="Emphasis"/>
    <w:basedOn w:val="DefaultParagraphFont"/>
    <w:uiPriority w:val="20"/>
    <w:qFormat/>
    <w:rsid w:val="00E8607E"/>
    <w:rPr>
      <w:i/>
      <w:iCs/>
    </w:rPr>
  </w:style>
  <w:style w:type="character" w:customStyle="1" w:styleId="body0020textchar">
    <w:name w:val="body_0020text__char"/>
    <w:basedOn w:val="DefaultParagraphFont"/>
    <w:rsid w:val="00E8607E"/>
    <w:rPr>
      <w:rFonts w:cs="Times New Roman"/>
    </w:rPr>
  </w:style>
  <w:style w:type="paragraph" w:styleId="EndnoteText">
    <w:name w:val="endnote text"/>
    <w:basedOn w:val="Normal"/>
    <w:link w:val="EndnoteTextChar"/>
    <w:uiPriority w:val="99"/>
    <w:semiHidden/>
    <w:unhideWhenUsed/>
    <w:rsid w:val="00E8607E"/>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E8607E"/>
    <w:rPr>
      <w:rFonts w:ascii="Calibri" w:eastAsia="Calibri" w:hAnsi="Calibri" w:cs="Times New Roman"/>
      <w:sz w:val="20"/>
      <w:szCs w:val="20"/>
      <w:lang w:val="vi-VN"/>
    </w:rPr>
  </w:style>
  <w:style w:type="character" w:styleId="EndnoteReference">
    <w:name w:val="endnote reference"/>
    <w:basedOn w:val="DefaultParagraphFont"/>
    <w:uiPriority w:val="99"/>
    <w:semiHidden/>
    <w:unhideWhenUsed/>
    <w:rsid w:val="00E8607E"/>
    <w:rPr>
      <w:vertAlign w:val="superscript"/>
    </w:rPr>
  </w:style>
  <w:style w:type="character" w:customStyle="1" w:styleId="apple-style-span">
    <w:name w:val="apple-style-span"/>
    <w:basedOn w:val="DefaultParagraphFont"/>
    <w:rsid w:val="00E8607E"/>
  </w:style>
  <w:style w:type="paragraph" w:styleId="BodyTextIndent3">
    <w:name w:val="Body Text Indent 3"/>
    <w:basedOn w:val="Normal"/>
    <w:link w:val="BodyTextIndent3Char"/>
    <w:uiPriority w:val="99"/>
    <w:semiHidden/>
    <w:unhideWhenUsed/>
    <w:rsid w:val="00E8607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8607E"/>
    <w:rPr>
      <w:rFonts w:ascii="Times New Roman" w:eastAsia="Times New Roman" w:hAnsi="Times New Roman" w:cs="Times New Roman"/>
      <w:sz w:val="16"/>
      <w:szCs w:val="16"/>
      <w:lang w:val="vi-VN"/>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E8607E"/>
    <w:rPr>
      <w:rFonts w:ascii="Times New Roman" w:eastAsia="Calibri" w:hAnsi="Times New Roman" w:cs="Times New Roman"/>
      <w:sz w:val="24"/>
      <w:szCs w:val="24"/>
      <w:lang w:val="vi-V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8607E"/>
    <w:pPr>
      <w:spacing w:after="160" w:line="240" w:lineRule="exact"/>
    </w:pPr>
    <w:rPr>
      <w:rFonts w:asciiTheme="minorHAnsi" w:eastAsiaTheme="minorHAnsi" w:hAnsiTheme="minorHAnsi" w:cstheme="minorBidi"/>
      <w:sz w:val="22"/>
      <w:szCs w:val="22"/>
      <w:vertAlign w:val="superscript"/>
      <w:lang w:val="en-US"/>
    </w:rPr>
  </w:style>
  <w:style w:type="character" w:customStyle="1" w:styleId="a21">
    <w:name w:val="a21"/>
    <w:basedOn w:val="DefaultParagraphFont"/>
    <w:rsid w:val="00E8607E"/>
    <w:rPr>
      <w:rFonts w:ascii="Arial" w:hAnsi="Arial" w:cs="Arial"/>
      <w:sz w:val="20"/>
      <w:szCs w:val="20"/>
      <w:u w:val="none"/>
      <w:effect w:val="none"/>
    </w:rPr>
  </w:style>
  <w:style w:type="paragraph" w:customStyle="1" w:styleId="Normal2">
    <w:name w:val="Normal2"/>
    <w:basedOn w:val="Normal"/>
    <w:rsid w:val="00E8607E"/>
    <w:pPr>
      <w:spacing w:before="100" w:beforeAutospacing="1" w:after="100" w:afterAutospacing="1"/>
    </w:pPr>
    <w:rPr>
      <w:rFonts w:ascii="Calibri" w:hAnsi="Calibri" w:cs="Calibri"/>
      <w:sz w:val="24"/>
      <w:szCs w:val="24"/>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8607E"/>
    <w:rPr>
      <w:rFonts w:ascii="Times New Roman" w:eastAsia="Calibri" w:hAnsi="Times New Roman" w:cs="Times New Roman"/>
      <w:sz w:val="28"/>
      <w:szCs w:val="28"/>
      <w:lang w:val="vi-VN"/>
    </w:rPr>
  </w:style>
  <w:style w:type="character" w:styleId="Hyperlink">
    <w:name w:val="Hyperlink"/>
    <w:basedOn w:val="DefaultParagraphFont"/>
    <w:uiPriority w:val="99"/>
    <w:unhideWhenUsed/>
    <w:rsid w:val="00E8607E"/>
    <w:rPr>
      <w:color w:val="0563C1" w:themeColor="hyperlink"/>
      <w:u w:val="single"/>
    </w:rPr>
  </w:style>
  <w:style w:type="character" w:styleId="CommentReference">
    <w:name w:val="annotation reference"/>
    <w:uiPriority w:val="99"/>
    <w:semiHidden/>
    <w:unhideWhenUsed/>
    <w:rsid w:val="00E8607E"/>
    <w:rPr>
      <w:sz w:val="16"/>
      <w:szCs w:val="16"/>
    </w:rPr>
  </w:style>
  <w:style w:type="paragraph" w:styleId="CommentText">
    <w:name w:val="annotation text"/>
    <w:basedOn w:val="Normal"/>
    <w:link w:val="CommentTextChar"/>
    <w:uiPriority w:val="99"/>
    <w:unhideWhenUsed/>
    <w:rsid w:val="00E8607E"/>
    <w:pPr>
      <w:spacing w:after="200" w:line="276" w:lineRule="auto"/>
    </w:pPr>
    <w:rPr>
      <w:rFonts w:ascii="Calibri" w:hAnsi="Calibri" w:cs="Calibri"/>
      <w:sz w:val="20"/>
      <w:szCs w:val="20"/>
      <w:lang w:val="en-GB"/>
    </w:rPr>
  </w:style>
  <w:style w:type="character" w:customStyle="1" w:styleId="CommentTextChar">
    <w:name w:val="Comment Text Char"/>
    <w:basedOn w:val="DefaultParagraphFont"/>
    <w:link w:val="CommentText"/>
    <w:uiPriority w:val="99"/>
    <w:rsid w:val="00E8607E"/>
    <w:rPr>
      <w:rFonts w:ascii="Calibri" w:eastAsia="Times New Roman"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E8607E"/>
    <w:pPr>
      <w:spacing w:after="0" w:line="240" w:lineRule="auto"/>
    </w:pPr>
    <w:rPr>
      <w:rFonts w:ascii="Times New Roman" w:hAnsi="Times New Roman" w:cs="Times New Roman"/>
      <w:b/>
      <w:bCs/>
      <w:lang w:val="vi-VN"/>
    </w:rPr>
  </w:style>
  <w:style w:type="character" w:customStyle="1" w:styleId="CommentSubjectChar">
    <w:name w:val="Comment Subject Char"/>
    <w:basedOn w:val="CommentTextChar"/>
    <w:link w:val="CommentSubject"/>
    <w:uiPriority w:val="99"/>
    <w:semiHidden/>
    <w:rsid w:val="00E8607E"/>
    <w:rPr>
      <w:rFonts w:ascii="Times New Roman" w:eastAsia="Times New Roman" w:hAnsi="Times New Roman" w:cs="Times New Roman"/>
      <w:b/>
      <w:bCs/>
      <w:sz w:val="20"/>
      <w:szCs w:val="20"/>
      <w:lang w:val="vi-VN"/>
    </w:rPr>
  </w:style>
  <w:style w:type="paragraph" w:styleId="Revision">
    <w:name w:val="Revision"/>
    <w:hidden/>
    <w:uiPriority w:val="99"/>
    <w:semiHidden/>
    <w:rsid w:val="00E8607E"/>
    <w:pPr>
      <w:spacing w:after="0" w:line="240" w:lineRule="auto"/>
    </w:pPr>
    <w:rPr>
      <w:rFonts w:ascii="Times New Roman" w:eastAsia="Times New Roman" w:hAnsi="Times New Roman" w:cs="Times New Roman"/>
      <w:sz w:val="28"/>
      <w:szCs w:val="28"/>
      <w:lang w:val="vi-VN"/>
    </w:rPr>
  </w:style>
  <w:style w:type="table" w:styleId="TableGrid">
    <w:name w:val="Table Grid"/>
    <w:basedOn w:val="TableNormal"/>
    <w:uiPriority w:val="39"/>
    <w:rsid w:val="00886B8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A194D"/>
    <w:rPr>
      <w:rFonts w:ascii="Times New Roman" w:hAnsi="Times New Roman"/>
      <w:color w:val="000000"/>
      <w:sz w:val="28"/>
    </w:rPr>
  </w:style>
  <w:style w:type="paragraph" w:customStyle="1" w:styleId="Normal11">
    <w:name w:val="Normal11"/>
    <w:basedOn w:val="Normal"/>
    <w:rsid w:val="006A194D"/>
    <w:pPr>
      <w:spacing w:before="100" w:beforeAutospacing="1" w:after="100" w:afterAutospacing="1"/>
    </w:pPr>
    <w:rPr>
      <w:rFonts w:ascii="Calibri" w:hAnsi="Calibri" w:cs="Calibri"/>
      <w:sz w:val="24"/>
      <w:szCs w:val="24"/>
      <w:lang w:val="en-US"/>
    </w:rPr>
  </w:style>
  <w:style w:type="character" w:customStyle="1" w:styleId="y2iqfc">
    <w:name w:val="y2iqfc"/>
    <w:basedOn w:val="DefaultParagraphFont"/>
    <w:rsid w:val="00B724C9"/>
  </w:style>
  <w:style w:type="paragraph" w:styleId="HTMLPreformatted">
    <w:name w:val="HTML Preformatted"/>
    <w:basedOn w:val="Normal"/>
    <w:link w:val="HTMLPreformattedChar"/>
    <w:uiPriority w:val="99"/>
    <w:unhideWhenUsed/>
    <w:rsid w:val="00BE5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BE564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88043">
      <w:bodyDiv w:val="1"/>
      <w:marLeft w:val="0"/>
      <w:marRight w:val="0"/>
      <w:marTop w:val="0"/>
      <w:marBottom w:val="0"/>
      <w:divBdr>
        <w:top w:val="none" w:sz="0" w:space="0" w:color="auto"/>
        <w:left w:val="none" w:sz="0" w:space="0" w:color="auto"/>
        <w:bottom w:val="none" w:sz="0" w:space="0" w:color="auto"/>
        <w:right w:val="none" w:sz="0" w:space="0" w:color="auto"/>
      </w:divBdr>
    </w:div>
    <w:div w:id="344674636">
      <w:bodyDiv w:val="1"/>
      <w:marLeft w:val="0"/>
      <w:marRight w:val="0"/>
      <w:marTop w:val="0"/>
      <w:marBottom w:val="0"/>
      <w:divBdr>
        <w:top w:val="none" w:sz="0" w:space="0" w:color="auto"/>
        <w:left w:val="none" w:sz="0" w:space="0" w:color="auto"/>
        <w:bottom w:val="none" w:sz="0" w:space="0" w:color="auto"/>
        <w:right w:val="none" w:sz="0" w:space="0" w:color="auto"/>
      </w:divBdr>
    </w:div>
    <w:div w:id="17330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5.png"/><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image" Target="media/image8.sv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7.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10.wmf"/><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3.xml"/><Relationship Id="rId22" Type="http://schemas.openxmlformats.org/officeDocument/2006/relationships/image" Target="media/image9.wmf"/><Relationship Id="rId27" Type="http://schemas.openxmlformats.org/officeDocument/2006/relationships/image" Target="media/image11.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gromonitor.vn/group/48/280/giam-sat-gi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sofs01.gso.gov.vn\tkth02\01%20Bao%20cao%20thang\2022\Thang%2008\C&#225;c%20V&#7909;\CNXD\1.%20BC%20so%20lieu%20CN%20T8-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c563f52e58be7ab9/B&#225;o%20c&#225;o%20T8/Bi&#7875;u%20&#273;&#7891;%20T8%202022.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c563f52e58be7ab9/B&#225;o%20c&#225;o%20T8/Bi&#7875;u%20&#273;&#7891;%20T8%202022.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192.168.151.102\tkth02\Phuong\4.%20B&#193;O%20C&#193;O%20&#272;TNN%20QU&#221;%201.2022%20(23-3-2022)%20(3)%20-%20Cop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192.168.151.102\tkth02\Phuong\Copy%20of%20Book1.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D:\02%20BAO%20CAO\NAM2022\THANG8.2022\Vu%20TH\Bi&#7875;u%20&#273;&#7891;%20XNK%20T8.2022.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D:\02%20BAO%20CAO\NAM2022\THANG8.2022\Vu%20TH\Bi&#7875;u%20&#273;&#7891;%20XNK%20T8.2022.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D:\GIANG\BA&#769;O%20CA&#769;O%20THA&#769;NG%20CPI\2022\Th&#225;ng%208\&#272;&#7891;%20th&#7883;.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900" b="1">
                <a:solidFill>
                  <a:schemeClr val="tx1"/>
                </a:solidFill>
                <a:latin typeface="Arial" panose="020B0604020202020204" pitchFamily="34" charset="0"/>
                <a:cs typeface="Arial" panose="020B0604020202020204" pitchFamily="34" charset="0"/>
              </a:rPr>
              <a:t>10 localities with</a:t>
            </a:r>
            <a:r>
              <a:rPr lang="en-US" sz="900" b="1" baseline="0">
                <a:solidFill>
                  <a:schemeClr val="tx1"/>
                </a:solidFill>
                <a:latin typeface="Arial" panose="020B0604020202020204" pitchFamily="34" charset="0"/>
                <a:cs typeface="Arial" panose="020B0604020202020204" pitchFamily="34" charset="0"/>
              </a:rPr>
              <a:t> hihgest IIP growth rate</a:t>
            </a:r>
            <a:endParaRPr lang="en-US" sz="900" b="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'IIP tinh'!$K$9:$K$18</c:f>
              <c:strCache>
                <c:ptCount val="10"/>
                <c:pt idx="0">
                  <c:v>Bac Giang</c:v>
                </c:pt>
                <c:pt idx="1">
                  <c:v>Lai Chau</c:v>
                </c:pt>
                <c:pt idx="2">
                  <c:v>Dak Lak</c:v>
                </c:pt>
                <c:pt idx="3">
                  <c:v>Son La</c:v>
                </c:pt>
                <c:pt idx="4">
                  <c:v>Quang Nam</c:v>
                </c:pt>
                <c:pt idx="5">
                  <c:v>Khanh Hoa</c:v>
                </c:pt>
                <c:pt idx="6">
                  <c:v>Can Tho</c:v>
                </c:pt>
                <c:pt idx="7">
                  <c:v>Vinh Long</c:v>
                </c:pt>
                <c:pt idx="8">
                  <c:v>Ha Giang</c:v>
                </c:pt>
                <c:pt idx="9">
                  <c:v>Ben Tre</c:v>
                </c:pt>
              </c:strCache>
            </c:strRef>
          </c:cat>
          <c:val>
            <c:numRef>
              <c:f>'IIP tinh'!$L$9:$L$18</c:f>
              <c:numCache>
                <c:formatCode>0.0</c:formatCode>
                <c:ptCount val="10"/>
                <c:pt idx="0">
                  <c:v>50.69</c:v>
                </c:pt>
                <c:pt idx="1">
                  <c:v>39.590000000000003</c:v>
                </c:pt>
                <c:pt idx="2">
                  <c:v>27.459999999999994</c:v>
                </c:pt>
                <c:pt idx="3">
                  <c:v>26.950000000000003</c:v>
                </c:pt>
                <c:pt idx="4">
                  <c:v>26.150000000000006</c:v>
                </c:pt>
                <c:pt idx="5">
                  <c:v>24.549999999999997</c:v>
                </c:pt>
                <c:pt idx="6">
                  <c:v>23.78</c:v>
                </c:pt>
                <c:pt idx="7">
                  <c:v>23.689999999999998</c:v>
                </c:pt>
                <c:pt idx="8">
                  <c:v>23.680000000000007</c:v>
                </c:pt>
                <c:pt idx="9">
                  <c:v>22.269999999999996</c:v>
                </c:pt>
              </c:numCache>
            </c:numRef>
          </c:val>
          <c:extLst>
            <c:ext xmlns:c16="http://schemas.microsoft.com/office/drawing/2014/chart" uri="{C3380CC4-5D6E-409C-BE32-E72D297353CC}">
              <c16:uniqueId val="{00000000-13B5-4A2B-829C-FB522C914427}"/>
            </c:ext>
          </c:extLst>
        </c:ser>
        <c:dLbls>
          <c:showLegendKey val="0"/>
          <c:showVal val="0"/>
          <c:showCatName val="0"/>
          <c:showSerName val="0"/>
          <c:showPercent val="0"/>
          <c:showBubbleSize val="0"/>
        </c:dLbls>
        <c:gapWidth val="219"/>
        <c:overlap val="-27"/>
        <c:axId val="990694144"/>
        <c:axId val="990685984"/>
      </c:barChart>
      <c:catAx>
        <c:axId val="99069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90685984"/>
        <c:crosses val="autoZero"/>
        <c:auto val="1"/>
        <c:lblAlgn val="ctr"/>
        <c:lblOffset val="100"/>
        <c:noMultiLvlLbl val="0"/>
      </c:catAx>
      <c:valAx>
        <c:axId val="99068598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99069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900" b="1">
                <a:solidFill>
                  <a:schemeClr val="tx1"/>
                </a:solidFill>
                <a:latin typeface="Arial" panose="020B0604020202020204" pitchFamily="34" charset="0"/>
                <a:cs typeface="Arial" panose="020B0604020202020204" pitchFamily="34" charset="0"/>
              </a:rPr>
              <a:t>10 localities with</a:t>
            </a:r>
            <a:r>
              <a:rPr lang="en-US" sz="900" b="1" baseline="0">
                <a:solidFill>
                  <a:schemeClr val="tx1"/>
                </a:solidFill>
                <a:latin typeface="Arial" panose="020B0604020202020204" pitchFamily="34" charset="0"/>
                <a:cs typeface="Arial" panose="020B0604020202020204" pitchFamily="34" charset="0"/>
              </a:rPr>
              <a:t> lowest IIP growth rate</a:t>
            </a:r>
            <a:endParaRPr lang="en-US" sz="900" b="1">
              <a:solidFill>
                <a:schemeClr val="tx1"/>
              </a:solidFill>
              <a:latin typeface="Arial" panose="020B0604020202020204" pitchFamily="34" charset="0"/>
              <a:cs typeface="Arial" panose="020B0604020202020204" pitchFamily="34" charset="0"/>
            </a:endParaRPr>
          </a:p>
        </c:rich>
      </c:tx>
      <c:layout>
        <c:manualLayout>
          <c:xMode val="edge"/>
          <c:yMode val="edge"/>
          <c:x val="0.14605962716198936"/>
          <c:y val="2.77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3.1073446327683617E-2"/>
          <c:y val="0.14442147856517934"/>
          <c:w val="0.96263944393885437"/>
          <c:h val="0.74171988918051912"/>
        </c:manualLayout>
      </c:layout>
      <c:barChart>
        <c:barDir val="col"/>
        <c:grouping val="clustered"/>
        <c:varyColors val="0"/>
        <c:ser>
          <c:idx val="0"/>
          <c:order val="0"/>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'IIP tinh'!$K$60:$K$71</c:f>
              <c:strCache>
                <c:ptCount val="10"/>
                <c:pt idx="0">
                  <c:v>Lao Cai</c:v>
                </c:pt>
                <c:pt idx="1">
                  <c:v>Quang Ngai</c:v>
                </c:pt>
                <c:pt idx="2">
                  <c:v>Ca Mau</c:v>
                </c:pt>
                <c:pt idx="3">
                  <c:v>Ninh Thuan</c:v>
                </c:pt>
                <c:pt idx="4">
                  <c:v>Bac Kan</c:v>
                </c:pt>
                <c:pt idx="5">
                  <c:v>Ba Ria - Vung Tau</c:v>
                </c:pt>
                <c:pt idx="6">
                  <c:v>Ninh Binh</c:v>
                </c:pt>
                <c:pt idx="7">
                  <c:v>Binh Thuan</c:v>
                </c:pt>
                <c:pt idx="8">
                  <c:v>Ha Tinh</c:v>
                </c:pt>
                <c:pt idx="9">
                  <c:v>Tra Vinh</c:v>
                </c:pt>
              </c:strCache>
            </c:strRef>
          </c:cat>
          <c:val>
            <c:numRef>
              <c:f>'IIP tinh'!$L$60:$L$71</c:f>
              <c:numCache>
                <c:formatCode>0.0</c:formatCode>
                <c:ptCount val="12"/>
                <c:pt idx="0">
                  <c:v>6.9000000000000057</c:v>
                </c:pt>
                <c:pt idx="1">
                  <c:v>6.8700000000000045</c:v>
                </c:pt>
                <c:pt idx="2">
                  <c:v>6.5999999999999943</c:v>
                </c:pt>
                <c:pt idx="3">
                  <c:v>6.3700000000000045</c:v>
                </c:pt>
                <c:pt idx="4">
                  <c:v>5.9099999999999966</c:v>
                </c:pt>
                <c:pt idx="5">
                  <c:v>3.1599999999999966</c:v>
                </c:pt>
                <c:pt idx="6">
                  <c:v>2.5600000000000023</c:v>
                </c:pt>
                <c:pt idx="7">
                  <c:v>1.6299999999999955</c:v>
                </c:pt>
                <c:pt idx="8">
                  <c:v>-15</c:v>
                </c:pt>
                <c:pt idx="9">
                  <c:v>-26.629999999999995</c:v>
                </c:pt>
              </c:numCache>
            </c:numRef>
          </c:val>
          <c:extLst>
            <c:ext xmlns:c16="http://schemas.microsoft.com/office/drawing/2014/chart" uri="{C3380CC4-5D6E-409C-BE32-E72D297353CC}">
              <c16:uniqueId val="{00000000-8E10-4587-AD91-FA66C4B49D32}"/>
            </c:ext>
          </c:extLst>
        </c:ser>
        <c:dLbls>
          <c:showLegendKey val="0"/>
          <c:showVal val="0"/>
          <c:showCatName val="0"/>
          <c:showSerName val="0"/>
          <c:showPercent val="0"/>
          <c:showBubbleSize val="0"/>
        </c:dLbls>
        <c:gapWidth val="219"/>
        <c:overlap val="-27"/>
        <c:axId val="990693056"/>
        <c:axId val="990696320"/>
      </c:barChart>
      <c:catAx>
        <c:axId val="99069305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90696320"/>
        <c:crosses val="autoZero"/>
        <c:auto val="1"/>
        <c:lblAlgn val="ctr"/>
        <c:lblOffset val="100"/>
        <c:noMultiLvlLbl val="0"/>
      </c:catAx>
      <c:valAx>
        <c:axId val="99069632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990693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7336499604216134E-2"/>
          <c:y val="0.15798351557735751"/>
          <c:w val="0.94403366245885934"/>
          <c:h val="0.56990077896375957"/>
        </c:manualLayout>
      </c:layout>
      <c:barChart>
        <c:barDir val="col"/>
        <c:grouping val="clustered"/>
        <c:varyColors val="0"/>
        <c:ser>
          <c:idx val="0"/>
          <c:order val="0"/>
          <c:tx>
            <c:strRef>
              <c:f>'[Biểu đồ T8 2022.xlsx]Ministries'!$B$2</c:f>
              <c:strCache>
                <c:ptCount val="1"/>
                <c:pt idx="0">
                  <c:v>Realized investment capital from the State budget in the 8 months of 2021</c:v>
                </c:pt>
              </c:strCache>
            </c:strRef>
          </c:tx>
          <c:spPr>
            <a:solidFill>
              <a:srgbClr val="CFB09D"/>
            </a:solidFill>
            <a:ln>
              <a:noFill/>
            </a:ln>
            <a:effectLst/>
          </c:spPr>
          <c:invertIfNegative val="0"/>
          <c:cat>
            <c:strRef>
              <c:f>'[Biểu đồ T8 2022.xlsx]Ministries'!$A$3:$A$12</c:f>
              <c:strCache>
                <c:ptCount val="10"/>
                <c:pt idx="0">
                  <c:v>Transport</c:v>
                </c:pt>
                <c:pt idx="1">
                  <c:v>Agriculture 
&amp; Rural 
Development</c:v>
                </c:pt>
                <c:pt idx="2">
                  <c:v> Natural 
Resources 
&amp; Environment</c:v>
                </c:pt>
                <c:pt idx="3">
                  <c:v>Construction</c:v>
                </c:pt>
                <c:pt idx="4">
                  <c:v>Health</c:v>
                </c:pt>
                <c:pt idx="5">
                  <c:v>Education 
&amp; Training</c:v>
                </c:pt>
                <c:pt idx="6">
                  <c:v>Culture, 
Sports 
&amp; Tourism</c:v>
                </c:pt>
                <c:pt idx="7">
                  <c:v>Industry 
&amp; Trade</c:v>
                </c:pt>
                <c:pt idx="8">
                  <c:v>Science 
&amp; Technology</c:v>
                </c:pt>
                <c:pt idx="9">
                  <c:v>Information &amp;
        Communications</c:v>
                </c:pt>
              </c:strCache>
            </c:strRef>
          </c:cat>
          <c:val>
            <c:numRef>
              <c:f>'[Biểu đồ T8 2022.xlsx]Ministries'!$B$3:$B$12</c:f>
              <c:numCache>
                <c:formatCode>0.0</c:formatCode>
                <c:ptCount val="10"/>
                <c:pt idx="0">
                  <c:v>20738.73</c:v>
                </c:pt>
                <c:pt idx="1">
                  <c:v>2158.8199999999997</c:v>
                </c:pt>
                <c:pt idx="2">
                  <c:v>602.83000000000004</c:v>
                </c:pt>
                <c:pt idx="3">
                  <c:v>398.24</c:v>
                </c:pt>
                <c:pt idx="4">
                  <c:v>1205.2</c:v>
                </c:pt>
                <c:pt idx="5">
                  <c:v>785.62000000000012</c:v>
                </c:pt>
                <c:pt idx="6">
                  <c:v>349.47999999999996</c:v>
                </c:pt>
                <c:pt idx="7">
                  <c:v>421.93999999999994</c:v>
                </c:pt>
                <c:pt idx="8">
                  <c:v>134.36000000000001</c:v>
                </c:pt>
                <c:pt idx="9">
                  <c:v>142.34540000000001</c:v>
                </c:pt>
              </c:numCache>
            </c:numRef>
          </c:val>
          <c:extLst>
            <c:ext xmlns:c16="http://schemas.microsoft.com/office/drawing/2014/chart" uri="{C3380CC4-5D6E-409C-BE32-E72D297353CC}">
              <c16:uniqueId val="{00000000-E8E2-43EC-9B02-2F4D956F093A}"/>
            </c:ext>
          </c:extLst>
        </c:ser>
        <c:ser>
          <c:idx val="1"/>
          <c:order val="1"/>
          <c:tx>
            <c:strRef>
              <c:f>'[Biểu đồ T8 2022.xlsx]Ministries'!$C$2</c:f>
              <c:strCache>
                <c:ptCount val="1"/>
                <c:pt idx="0">
                  <c:v>Realized investment capital from the State budget in the 8 months of 2022</c:v>
                </c:pt>
              </c:strCache>
            </c:strRef>
          </c:tx>
          <c:spPr>
            <a:solidFill>
              <a:srgbClr val="C84863"/>
            </a:solidFill>
            <a:ln>
              <a:noFill/>
            </a:ln>
            <a:effectLst/>
          </c:spPr>
          <c:invertIfNegative val="0"/>
          <c:dLbls>
            <c:dLbl>
              <c:idx val="4"/>
              <c:layout>
                <c:manualLayout>
                  <c:x val="4.5714280229257713E-3"/>
                  <c:y val="2.46229585240795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E2-43EC-9B02-2F4D956F093A}"/>
                </c:ext>
              </c:extLst>
            </c:dLbl>
            <c:dLbl>
              <c:idx val="5"/>
              <c:layout>
                <c:manualLayout>
                  <c:x val="6.095237363901029E-3"/>
                  <c:y val="2.4622958524080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E2-43EC-9B02-2F4D956F093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 T8 2022.xlsx]Ministries'!$A$3:$A$12</c:f>
              <c:strCache>
                <c:ptCount val="10"/>
                <c:pt idx="0">
                  <c:v>Transport</c:v>
                </c:pt>
                <c:pt idx="1">
                  <c:v>Agriculture 
&amp; Rural 
Development</c:v>
                </c:pt>
                <c:pt idx="2">
                  <c:v> Natural 
Resources 
&amp; Environment</c:v>
                </c:pt>
                <c:pt idx="3">
                  <c:v>Construction</c:v>
                </c:pt>
                <c:pt idx="4">
                  <c:v>Health</c:v>
                </c:pt>
                <c:pt idx="5">
                  <c:v>Education 
&amp; Training</c:v>
                </c:pt>
                <c:pt idx="6">
                  <c:v>Culture, 
Sports 
&amp; Tourism</c:v>
                </c:pt>
                <c:pt idx="7">
                  <c:v>Industry 
&amp; Trade</c:v>
                </c:pt>
                <c:pt idx="8">
                  <c:v>Science 
&amp; Technology</c:v>
                </c:pt>
                <c:pt idx="9">
                  <c:v>Information &amp;
        Communications</c:v>
                </c:pt>
              </c:strCache>
            </c:strRef>
          </c:cat>
          <c:val>
            <c:numRef>
              <c:f>'[Biểu đồ T8 2022.xlsx]Ministries'!$C$3:$C$12</c:f>
              <c:numCache>
                <c:formatCode>0.0</c:formatCode>
                <c:ptCount val="10"/>
                <c:pt idx="0">
                  <c:v>25891.4</c:v>
                </c:pt>
                <c:pt idx="1">
                  <c:v>2702.72</c:v>
                </c:pt>
                <c:pt idx="2">
                  <c:v>771.11</c:v>
                </c:pt>
                <c:pt idx="3">
                  <c:v>715.72</c:v>
                </c:pt>
                <c:pt idx="4">
                  <c:v>481.31</c:v>
                </c:pt>
                <c:pt idx="5">
                  <c:v>462.07600000000002</c:v>
                </c:pt>
                <c:pt idx="6">
                  <c:v>361.92999999999995</c:v>
                </c:pt>
                <c:pt idx="7">
                  <c:v>338.9</c:v>
                </c:pt>
                <c:pt idx="8">
                  <c:v>143.35999999999999</c:v>
                </c:pt>
                <c:pt idx="9">
                  <c:v>63.844999999999999</c:v>
                </c:pt>
              </c:numCache>
            </c:numRef>
          </c:val>
          <c:extLst>
            <c:ext xmlns:c16="http://schemas.microsoft.com/office/drawing/2014/chart" uri="{C3380CC4-5D6E-409C-BE32-E72D297353CC}">
              <c16:uniqueId val="{00000003-E8E2-43EC-9B02-2F4D956F093A}"/>
            </c:ext>
          </c:extLst>
        </c:ser>
        <c:dLbls>
          <c:showLegendKey val="0"/>
          <c:showVal val="0"/>
          <c:showCatName val="0"/>
          <c:showSerName val="0"/>
          <c:showPercent val="0"/>
          <c:showBubbleSize val="0"/>
        </c:dLbls>
        <c:gapWidth val="36"/>
        <c:axId val="558096976"/>
        <c:axId val="558092624"/>
      </c:barChart>
      <c:catAx>
        <c:axId val="558096976"/>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0" spcFirstLastPara="1" vertOverflow="ellipsis"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58092624"/>
        <c:crosses val="autoZero"/>
        <c:auto val="1"/>
        <c:lblAlgn val="ctr"/>
        <c:lblOffset val="100"/>
        <c:tickLblSkip val="1"/>
        <c:noMultiLvlLbl val="0"/>
      </c:catAx>
      <c:valAx>
        <c:axId val="5580926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58096976"/>
        <c:crosses val="autoZero"/>
        <c:crossBetween val="between"/>
      </c:valAx>
      <c:spPr>
        <a:noFill/>
        <a:ln>
          <a:noFill/>
        </a:ln>
        <a:effectLst/>
      </c:spPr>
    </c:plotArea>
    <c:legend>
      <c:legendPos val="b"/>
      <c:layout>
        <c:manualLayout>
          <c:xMode val="edge"/>
          <c:yMode val="edge"/>
          <c:x val="7.1077115360579923E-2"/>
          <c:y val="0.87491757149450322"/>
          <c:w val="0.80482461059888877"/>
          <c:h val="0.1000672586332230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7146005787738068E-2"/>
          <c:y val="0.12987603202472423"/>
          <c:w val="0.95552325190120468"/>
          <c:h val="0.66574137320055682"/>
        </c:manualLayout>
      </c:layout>
      <c:barChart>
        <c:barDir val="col"/>
        <c:grouping val="clustered"/>
        <c:varyColors val="0"/>
        <c:ser>
          <c:idx val="0"/>
          <c:order val="0"/>
          <c:tx>
            <c:strRef>
              <c:f>'[Biểu đồ T8 2022.xlsx]Localities'!$C$2</c:f>
              <c:strCache>
                <c:ptCount val="1"/>
                <c:pt idx="0">
                  <c:v>Realized investment capital from the State budget in the 8 months of 2021</c:v>
                </c:pt>
              </c:strCache>
            </c:strRef>
          </c:tx>
          <c:spPr>
            <a:solidFill>
              <a:srgbClr val="CFB09D"/>
            </a:solidFill>
            <a:ln>
              <a:noFill/>
            </a:ln>
            <a:effectLst/>
          </c:spPr>
          <c:invertIfNegative val="0"/>
          <c:cat>
            <c:strRef>
              <c:f>'[Biểu đồ T8 2022.xlsx]Localities'!$B$3:$B$11</c:f>
              <c:strCache>
                <c:ptCount val="9"/>
                <c:pt idx="0">
                  <c:v>Ha Noi</c:v>
                </c:pt>
                <c:pt idx="1">
                  <c:v>Ho Chi Minh 
city</c:v>
                </c:pt>
                <c:pt idx="2">
                  <c:v>Quang Ninh</c:v>
                </c:pt>
                <c:pt idx="3">
                  <c:v>Hai Phong</c:v>
                </c:pt>
                <c:pt idx="4">
                  <c:v>Thanh Hoa</c:v>
                </c:pt>
                <c:pt idx="5">
                  <c:v>Binh Dinh</c:v>
                </c:pt>
                <c:pt idx="6">
                  <c:v>Ba Ria 
- Vung Tau</c:v>
                </c:pt>
                <c:pt idx="7">
                  <c:v>Nghe An</c:v>
                </c:pt>
                <c:pt idx="8">
                  <c:v>Dong Nai</c:v>
                </c:pt>
              </c:strCache>
            </c:strRef>
          </c:cat>
          <c:val>
            <c:numRef>
              <c:f>'[Biểu đồ T8 2022.xlsx]Localities'!$C$3:$C$11</c:f>
              <c:numCache>
                <c:formatCode>0.0</c:formatCode>
                <c:ptCount val="9"/>
                <c:pt idx="0">
                  <c:v>25696.404999999999</c:v>
                </c:pt>
                <c:pt idx="1">
                  <c:v>13260.817999999999</c:v>
                </c:pt>
                <c:pt idx="2">
                  <c:v>11505.147000000001</c:v>
                </c:pt>
                <c:pt idx="3">
                  <c:v>6557.8890000000001</c:v>
                </c:pt>
                <c:pt idx="4">
                  <c:v>6474.8239999999996</c:v>
                </c:pt>
                <c:pt idx="5">
                  <c:v>4557.6360000000004</c:v>
                </c:pt>
                <c:pt idx="6">
                  <c:v>5874.7780000000002</c:v>
                </c:pt>
                <c:pt idx="7">
                  <c:v>4101.51</c:v>
                </c:pt>
                <c:pt idx="8">
                  <c:v>3299.252</c:v>
                </c:pt>
              </c:numCache>
            </c:numRef>
          </c:val>
          <c:extLst>
            <c:ext xmlns:c16="http://schemas.microsoft.com/office/drawing/2014/chart" uri="{C3380CC4-5D6E-409C-BE32-E72D297353CC}">
              <c16:uniqueId val="{00000000-08D0-45F8-BAF8-A53E2AA3DF20}"/>
            </c:ext>
          </c:extLst>
        </c:ser>
        <c:ser>
          <c:idx val="1"/>
          <c:order val="1"/>
          <c:tx>
            <c:strRef>
              <c:f>'[Biểu đồ T8 2022.xlsx]Localities'!$D$2</c:f>
              <c:strCache>
                <c:ptCount val="1"/>
                <c:pt idx="0">
                  <c:v>Realized investment capital from the State budget in the 8 months of 2022</c:v>
                </c:pt>
              </c:strCache>
            </c:strRef>
          </c:tx>
          <c:spPr>
            <a:solidFill>
              <a:srgbClr val="C84863"/>
            </a:solidFill>
            <a:ln>
              <a:noFill/>
            </a:ln>
            <a:effectLst/>
          </c:spPr>
          <c:invertIfNegative val="0"/>
          <c:dLbls>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D0-45F8-BAF8-A53E2AA3DF20}"/>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 T8 2022.xlsx]Localities'!$B$3:$B$11</c:f>
              <c:strCache>
                <c:ptCount val="9"/>
                <c:pt idx="0">
                  <c:v>Ha Noi</c:v>
                </c:pt>
                <c:pt idx="1">
                  <c:v>Ho Chi Minh 
city</c:v>
                </c:pt>
                <c:pt idx="2">
                  <c:v>Quang Ninh</c:v>
                </c:pt>
                <c:pt idx="3">
                  <c:v>Hai Phong</c:v>
                </c:pt>
                <c:pt idx="4">
                  <c:v>Thanh Hoa</c:v>
                </c:pt>
                <c:pt idx="5">
                  <c:v>Binh Dinh</c:v>
                </c:pt>
                <c:pt idx="6">
                  <c:v>Ba Ria 
- Vung Tau</c:v>
                </c:pt>
                <c:pt idx="7">
                  <c:v>Nghe An</c:v>
                </c:pt>
                <c:pt idx="8">
                  <c:v>Dong Nai</c:v>
                </c:pt>
              </c:strCache>
            </c:strRef>
          </c:cat>
          <c:val>
            <c:numRef>
              <c:f>'[Biểu đồ T8 2022.xlsx]Localities'!$D$3:$D$11</c:f>
              <c:numCache>
                <c:formatCode>0.0</c:formatCode>
                <c:ptCount val="9"/>
                <c:pt idx="0">
                  <c:v>27892.563999999998</c:v>
                </c:pt>
                <c:pt idx="1">
                  <c:v>17318.913</c:v>
                </c:pt>
                <c:pt idx="2">
                  <c:v>10451.547</c:v>
                </c:pt>
                <c:pt idx="3">
                  <c:v>8212.3209999999999</c:v>
                </c:pt>
                <c:pt idx="4">
                  <c:v>6488.3810000000003</c:v>
                </c:pt>
                <c:pt idx="5">
                  <c:v>5614.5249999999996</c:v>
                </c:pt>
                <c:pt idx="6">
                  <c:v>5614.1610000000001</c:v>
                </c:pt>
                <c:pt idx="7">
                  <c:v>5259.07</c:v>
                </c:pt>
                <c:pt idx="8">
                  <c:v>5068.085</c:v>
                </c:pt>
              </c:numCache>
            </c:numRef>
          </c:val>
          <c:extLst>
            <c:ext xmlns:c16="http://schemas.microsoft.com/office/drawing/2014/chart" uri="{C3380CC4-5D6E-409C-BE32-E72D297353CC}">
              <c16:uniqueId val="{00000002-08D0-45F8-BAF8-A53E2AA3DF20}"/>
            </c:ext>
          </c:extLst>
        </c:ser>
        <c:dLbls>
          <c:showLegendKey val="0"/>
          <c:showVal val="0"/>
          <c:showCatName val="0"/>
          <c:showSerName val="0"/>
          <c:showPercent val="0"/>
          <c:showBubbleSize val="0"/>
        </c:dLbls>
        <c:gapWidth val="63"/>
        <c:axId val="558085552"/>
        <c:axId val="558091536"/>
      </c:barChart>
      <c:catAx>
        <c:axId val="558085552"/>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58091536"/>
        <c:crosses val="autoZero"/>
        <c:auto val="1"/>
        <c:lblAlgn val="ctr"/>
        <c:lblOffset val="100"/>
        <c:noMultiLvlLbl val="0"/>
      </c:catAx>
      <c:valAx>
        <c:axId val="5580915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58085552"/>
        <c:crosses val="autoZero"/>
        <c:crossBetween val="between"/>
      </c:valAx>
      <c:spPr>
        <a:noFill/>
        <a:ln>
          <a:noFill/>
        </a:ln>
        <a:effectLst/>
      </c:spPr>
    </c:plotArea>
    <c:legend>
      <c:legendPos val="b"/>
      <c:layout>
        <c:manualLayout>
          <c:xMode val="edge"/>
          <c:yMode val="edge"/>
          <c:x val="9.8974527222558714E-2"/>
          <c:y val="0.91102933074185155"/>
          <c:w val="0.79532792856957735"/>
          <c:h val="8.694056544009981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'!$A$16</c:f>
              <c:strCache>
                <c:ptCount val="1"/>
                <c:pt idx="0">
                  <c:v>Newly registered capital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'!$B$16:$F$16</c:f>
              <c:numCache>
                <c:formatCode>0.00</c:formatCode>
                <c:ptCount val="5"/>
                <c:pt idx="0">
                  <c:v>13.481596028359998</c:v>
                </c:pt>
                <c:pt idx="1">
                  <c:v>9.1278700000000015</c:v>
                </c:pt>
                <c:pt idx="2">
                  <c:v>9.7344880199999988</c:v>
                </c:pt>
                <c:pt idx="3">
                  <c:v>11.32</c:v>
                </c:pt>
                <c:pt idx="4">
                  <c:v>6.3503575074699983</c:v>
                </c:pt>
              </c:numCache>
            </c:numRef>
          </c:val>
          <c:extLst>
            <c:ext xmlns:c16="http://schemas.microsoft.com/office/drawing/2014/chart" uri="{C3380CC4-5D6E-409C-BE32-E72D297353CC}">
              <c16:uniqueId val="{00000000-5813-40EE-86BE-37BF3FEBB490}"/>
            </c:ext>
          </c:extLst>
        </c:ser>
        <c:ser>
          <c:idx val="1"/>
          <c:order val="1"/>
          <c:tx>
            <c:strRef>
              <c:f>'04. FDI SO SANH '!$A$17</c:f>
              <c:strCache>
                <c:ptCount val="1"/>
                <c:pt idx="0">
                  <c:v>Adjust registered capital</c:v>
                </c:pt>
              </c:strCache>
            </c:strRef>
          </c:tx>
          <c:invertIfNegative val="0"/>
          <c:dLbls>
            <c:dLbl>
              <c:idx val="0"/>
              <c:tx>
                <c:rich>
                  <a:bodyPr/>
                  <a:lstStyle/>
                  <a:p>
                    <a:r>
                      <a:rPr lang="en-US"/>
                      <a:t>5.59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813-40EE-86BE-37BF3FEBB490}"/>
                </c:ext>
              </c:extLst>
            </c:dLbl>
            <c:dLbl>
              <c:idx val="3"/>
              <c:layout>
                <c:manualLayout>
                  <c:x val="7.207205843852202E-3"/>
                  <c:y val="0"/>
                </c:manualLayout>
              </c:layout>
              <c:tx>
                <c:rich>
                  <a:bodyPr/>
                  <a:lstStyle/>
                  <a:p>
                    <a:r>
                      <a:rPr lang="en-US"/>
                      <a:t>4.99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813-40EE-86BE-37BF3FEBB490}"/>
                </c:ext>
              </c:extLst>
            </c:dLbl>
            <c:dLbl>
              <c:idx val="4"/>
              <c:tx>
                <c:rich>
                  <a:bodyPr/>
                  <a:lstStyle/>
                  <a:p>
                    <a:r>
                      <a:rPr lang="en-US"/>
                      <a:t>7.51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813-40EE-86BE-37BF3FEBB49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'!$B$17:$F$17</c:f>
              <c:numCache>
                <c:formatCode>0.00</c:formatCode>
                <c:ptCount val="5"/>
                <c:pt idx="0">
                  <c:v>5.5847711325610545</c:v>
                </c:pt>
                <c:pt idx="1">
                  <c:v>3.9899400000000003</c:v>
                </c:pt>
                <c:pt idx="2">
                  <c:v>4.8748025384687512</c:v>
                </c:pt>
                <c:pt idx="3">
                  <c:v>4.9850320655865623</c:v>
                </c:pt>
                <c:pt idx="4">
                  <c:v>7.5120932238554712</c:v>
                </c:pt>
              </c:numCache>
            </c:numRef>
          </c:val>
          <c:extLst>
            <c:ext xmlns:c16="http://schemas.microsoft.com/office/drawing/2014/chart" uri="{C3380CC4-5D6E-409C-BE32-E72D297353CC}">
              <c16:uniqueId val="{00000004-5813-40EE-86BE-37BF3FEBB490}"/>
            </c:ext>
          </c:extLst>
        </c:ser>
        <c:ser>
          <c:idx val="2"/>
          <c:order val="2"/>
          <c:tx>
            <c:strRef>
              <c:f>'04. FDI SO SANH '!$A$18</c:f>
              <c:strCache>
                <c:ptCount val="1"/>
                <c:pt idx="0">
                  <c:v>Capital contribution and share purchases</c:v>
                </c:pt>
              </c:strCache>
            </c:strRef>
          </c:tx>
          <c:invertIfNegative val="0"/>
          <c:dLbls>
            <c:dLbl>
              <c:idx val="2"/>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813-40EE-86BE-37BF3FEBB490}"/>
                </c:ext>
              </c:extLst>
            </c:dLbl>
            <c:dLbl>
              <c:idx val="4"/>
              <c:tx>
                <c:rich>
                  <a:bodyPr/>
                  <a:lstStyle/>
                  <a:p>
                    <a:r>
                      <a:rPr lang="en-US"/>
                      <a:t>2.92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813-40EE-86BE-37BF3FEBB49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'!$B$18:$F$18</c:f>
              <c:numCache>
                <c:formatCode>0.00</c:formatCode>
                <c:ptCount val="5"/>
                <c:pt idx="0">
                  <c:v>5.2823022114557983</c:v>
                </c:pt>
                <c:pt idx="1">
                  <c:v>9.5099900000000002</c:v>
                </c:pt>
                <c:pt idx="2">
                  <c:v>4.9290455109316342</c:v>
                </c:pt>
                <c:pt idx="3">
                  <c:v>2.8120504657243477</c:v>
                </c:pt>
                <c:pt idx="4">
                  <c:v>2.9132771835199978</c:v>
                </c:pt>
              </c:numCache>
            </c:numRef>
          </c:val>
          <c:extLst>
            <c:ext xmlns:c16="http://schemas.microsoft.com/office/drawing/2014/chart" uri="{C3380CC4-5D6E-409C-BE32-E72D297353CC}">
              <c16:uniqueId val="{00000007-5813-40EE-86BE-37BF3FEBB490}"/>
            </c:ext>
          </c:extLst>
        </c:ser>
        <c:dLbls>
          <c:showLegendKey val="0"/>
          <c:showVal val="0"/>
          <c:showCatName val="0"/>
          <c:showSerName val="0"/>
          <c:showPercent val="0"/>
          <c:showBubbleSize val="0"/>
        </c:dLbls>
        <c:gapWidth val="150"/>
        <c:overlap val="100"/>
        <c:axId val="80794752"/>
        <c:axId val="85347712"/>
      </c:barChart>
      <c:catAx>
        <c:axId val="80794752"/>
        <c:scaling>
          <c:orientation val="minMax"/>
        </c:scaling>
        <c:delete val="0"/>
        <c:axPos val="l"/>
        <c:numFmt formatCode="General" sourceLinked="1"/>
        <c:majorTickMark val="out"/>
        <c:minorTickMark val="none"/>
        <c:tickLblPos val="nextTo"/>
        <c:crossAx val="85347712"/>
        <c:crosses val="autoZero"/>
        <c:auto val="1"/>
        <c:lblAlgn val="ctr"/>
        <c:lblOffset val="100"/>
        <c:noMultiLvlLbl val="0"/>
      </c:catAx>
      <c:valAx>
        <c:axId val="85347712"/>
        <c:scaling>
          <c:orientation val="minMax"/>
        </c:scaling>
        <c:delete val="0"/>
        <c:axPos val="b"/>
        <c:majorGridlines/>
        <c:numFmt formatCode="0.00" sourceLinked="1"/>
        <c:majorTickMark val="out"/>
        <c:minorTickMark val="none"/>
        <c:tickLblPos val="nextTo"/>
        <c:crossAx val="80794752"/>
        <c:crosses val="autoZero"/>
        <c:crossBetween val="between"/>
      </c:valAx>
    </c:plotArea>
    <c:legend>
      <c:legendPos val="b"/>
      <c:layout>
        <c:manualLayout>
          <c:xMode val="edge"/>
          <c:yMode val="edge"/>
          <c:x val="0.26099605116927954"/>
          <c:y val="0.84624927289494223"/>
          <c:w val="0.61407902390579561"/>
          <c:h val="0.12492189827622899"/>
        </c:manualLayout>
      </c:layout>
      <c:overlay val="0"/>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Sheet2!$B$4:$F$4</c:f>
              <c:numCache>
                <c:formatCode>General</c:formatCode>
                <c:ptCount val="5"/>
                <c:pt idx="0">
                  <c:v>2018</c:v>
                </c:pt>
                <c:pt idx="1">
                  <c:v>2019</c:v>
                </c:pt>
                <c:pt idx="2">
                  <c:v>2020</c:v>
                </c:pt>
                <c:pt idx="3">
                  <c:v>2021</c:v>
                </c:pt>
                <c:pt idx="4">
                  <c:v>2022</c:v>
                </c:pt>
              </c:numCache>
            </c:numRef>
          </c:cat>
          <c:val>
            <c:numRef>
              <c:f>Sheet2!$B$5:$F$5</c:f>
              <c:numCache>
                <c:formatCode>0.00</c:formatCode>
                <c:ptCount val="5"/>
                <c:pt idx="0">
                  <c:v>11.25</c:v>
                </c:pt>
                <c:pt idx="1">
                  <c:v>11.96</c:v>
                </c:pt>
                <c:pt idx="2">
                  <c:v>11.35</c:v>
                </c:pt>
                <c:pt idx="3">
                  <c:v>11.58</c:v>
                </c:pt>
                <c:pt idx="4">
                  <c:v>12.8</c:v>
                </c:pt>
              </c:numCache>
            </c:numRef>
          </c:val>
          <c:extLst>
            <c:ext xmlns:c16="http://schemas.microsoft.com/office/drawing/2014/chart" uri="{C3380CC4-5D6E-409C-BE32-E72D297353CC}">
              <c16:uniqueId val="{00000000-8DBB-490F-9FE8-7BFBBD3D41C0}"/>
            </c:ext>
          </c:extLst>
        </c:ser>
        <c:dLbls>
          <c:showLegendKey val="0"/>
          <c:showVal val="0"/>
          <c:showCatName val="0"/>
          <c:showSerName val="0"/>
          <c:showPercent val="0"/>
          <c:showBubbleSize val="0"/>
        </c:dLbls>
        <c:gapWidth val="219"/>
        <c:overlap val="-27"/>
        <c:axId val="558093168"/>
        <c:axId val="558094256"/>
      </c:barChart>
      <c:catAx>
        <c:axId val="55809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58094256"/>
        <c:crosses val="autoZero"/>
        <c:auto val="1"/>
        <c:lblAlgn val="ctr"/>
        <c:lblOffset val="100"/>
        <c:noMultiLvlLbl val="0"/>
      </c:catAx>
      <c:valAx>
        <c:axId val="5580942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5809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EN'!$B$3:$B$8</c:f>
              <c:numCache>
                <c:formatCode>0.0</c:formatCode>
                <c:ptCount val="6"/>
                <c:pt idx="0" formatCode="General">
                  <c:v>34.299999999999997</c:v>
                </c:pt>
                <c:pt idx="1">
                  <c:v>77.7</c:v>
                </c:pt>
                <c:pt idx="2" formatCode="General">
                  <c:v>16.399999999999999</c:v>
                </c:pt>
                <c:pt idx="3">
                  <c:v>23.4</c:v>
                </c:pt>
                <c:pt idx="4" formatCode="General">
                  <c:v>31.9</c:v>
                </c:pt>
                <c:pt idx="5" formatCode="General">
                  <c:v>15.5</c:v>
                </c:pt>
              </c:numCache>
            </c:numRef>
          </c:val>
          <c:extLst>
            <c:ext xmlns:c16="http://schemas.microsoft.com/office/drawing/2014/chart" uri="{C3380CC4-5D6E-409C-BE32-E72D297353CC}">
              <c16:uniqueId val="{00000000-04F3-4A3B-9847-81DCA9AC0EE6}"/>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F3-4A3B-9847-81DCA9AC0EE6}"/>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EN'!$D$3:$D$8</c:f>
              <c:numCache>
                <c:formatCode>0.0</c:formatCode>
                <c:ptCount val="6"/>
                <c:pt idx="0" formatCode="General">
                  <c:v>82.1</c:v>
                </c:pt>
                <c:pt idx="1">
                  <c:v>10</c:v>
                </c:pt>
                <c:pt idx="2" formatCode="General">
                  <c:v>43.8</c:v>
                </c:pt>
                <c:pt idx="3" formatCode="General">
                  <c:v>32.4</c:v>
                </c:pt>
                <c:pt idx="4" formatCode="General">
                  <c:v>10.3</c:v>
                </c:pt>
                <c:pt idx="5" formatCode="General">
                  <c:v>15.9</c:v>
                </c:pt>
              </c:numCache>
            </c:numRef>
          </c:val>
          <c:extLst>
            <c:ext xmlns:c16="http://schemas.microsoft.com/office/drawing/2014/chart" uri="{C3380CC4-5D6E-409C-BE32-E72D297353CC}">
              <c16:uniqueId val="{00000002-04F3-4A3B-9847-81DCA9AC0EE6}"/>
            </c:ext>
          </c:extLst>
        </c:ser>
        <c:dLbls>
          <c:showLegendKey val="0"/>
          <c:showVal val="0"/>
          <c:showCatName val="0"/>
          <c:showSerName val="0"/>
          <c:showPercent val="0"/>
          <c:showBubbleSize val="0"/>
        </c:dLbls>
        <c:gapWidth val="150"/>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800000" spcFirstLastPara="1" vertOverflow="ellipsis"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0"/>
              <c:layout>
                <c:manualLayout>
                  <c:x val="-4.3459365493263898E-3"/>
                  <c:y val="1.0178117048346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F8-49AD-8BF4-28080C3AA6DC}"/>
                </c:ext>
              </c:extLst>
            </c:dLbl>
            <c:dLbl>
              <c:idx val="2"/>
              <c:layout>
                <c:manualLayout>
                  <c:x val="-2.172968274663194E-2"/>
                  <c:y val="1.017811704834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F8-49AD-8BF4-28080C3AA6DC}"/>
                </c:ext>
              </c:extLst>
            </c:dLbl>
            <c:dLbl>
              <c:idx val="3"/>
              <c:layout>
                <c:manualLayout>
                  <c:x val="1.303780964797914E-2"/>
                  <c:y val="1.0178117048346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F8-49AD-8BF4-28080C3AA6D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EN'!$C$3:$C$8</c:f>
              <c:numCache>
                <c:formatCode>0.0%</c:formatCode>
                <c:ptCount val="6"/>
                <c:pt idx="0">
                  <c:v>2.7E-2</c:v>
                </c:pt>
                <c:pt idx="1">
                  <c:v>0.25600000000000001</c:v>
                </c:pt>
                <c:pt idx="2">
                  <c:v>0.159</c:v>
                </c:pt>
                <c:pt idx="3">
                  <c:v>0.27</c:v>
                </c:pt>
                <c:pt idx="4">
                  <c:v>0.23599999999999999</c:v>
                </c:pt>
                <c:pt idx="5">
                  <c:v>0.16600000000000001</c:v>
                </c:pt>
              </c:numCache>
            </c:numRef>
          </c:val>
          <c:extLst>
            <c:ext xmlns:c16="http://schemas.microsoft.com/office/drawing/2014/chart" uri="{C3380CC4-5D6E-409C-BE32-E72D297353CC}">
              <c16:uniqueId val="{00000003-54F8-49AD-8BF4-28080C3AA6DC}"/>
            </c:ext>
          </c:extLst>
        </c:ser>
        <c:ser>
          <c:idx val="1"/>
          <c:order val="1"/>
          <c:tx>
            <c:v>Nhập khẩu hàng hóa</c:v>
          </c:tx>
          <c:spPr>
            <a:solidFill>
              <a:srgbClr val="FFFF00"/>
            </a:solidFill>
            <a:ln w="3175">
              <a:solidFill>
                <a:schemeClr val="bg2">
                  <a:lumMod val="25000"/>
                </a:schemeClr>
              </a:solidFill>
            </a:ln>
            <a:effectLst/>
          </c:spPr>
          <c:invertIfNegative val="0"/>
          <c:dLbls>
            <c:dLbl>
              <c:idx val="0"/>
              <c:layout>
                <c:manualLayout>
                  <c:x val="0"/>
                  <c:y val="-1.0178117048346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F8-49AD-8BF4-28080C3AA6DC}"/>
                </c:ext>
              </c:extLst>
            </c:dLbl>
            <c:dLbl>
              <c:idx val="1"/>
              <c:layout>
                <c:manualLayout>
                  <c:x val="1.9555003473327243E-2"/>
                  <c:y val="0.14310152070685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F8-49AD-8BF4-28080C3AA6DC}"/>
                </c:ext>
              </c:extLst>
            </c:dLbl>
            <c:dLbl>
              <c:idx val="2"/>
              <c:layout>
                <c:manualLayout>
                  <c:x val="-8.6918730986528386E-3"/>
                  <c:y val="1.0178117048346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F8-49AD-8BF4-28080C3AA6DC}"/>
                </c:ext>
              </c:extLst>
            </c:dLbl>
            <c:dLbl>
              <c:idx val="3"/>
              <c:layout>
                <c:manualLayout>
                  <c:x val="1.303780964797922E-2"/>
                  <c:y val="1.017811704834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4F8-49AD-8BF4-28080C3AA6DC}"/>
                </c:ext>
              </c:extLst>
            </c:dLbl>
            <c:dLbl>
              <c:idx val="4"/>
              <c:layout>
                <c:manualLayout>
                  <c:x val="1.9555003473327243E-2"/>
                  <c:y val="0.199804451924425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F8-49AD-8BF4-28080C3AA6DC}"/>
                </c:ext>
              </c:extLst>
            </c:dLbl>
            <c:dLbl>
              <c:idx val="5"/>
              <c:layout>
                <c:manualLayout>
                  <c:x val="2.1729682746631899E-2"/>
                  <c:y val="5.08905852417302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4F8-49AD-8BF4-28080C3AA6D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EN'!$E$3:$E$8</c:f>
              <c:numCache>
                <c:formatCode>0.0%</c:formatCode>
                <c:ptCount val="6"/>
                <c:pt idx="0">
                  <c:v>0.13100000000000001</c:v>
                </c:pt>
                <c:pt idx="1">
                  <c:v>-3.5000000000000003E-2</c:v>
                </c:pt>
                <c:pt idx="2">
                  <c:v>0.246</c:v>
                </c:pt>
                <c:pt idx="3">
                  <c:v>0.16800000000000001</c:v>
                </c:pt>
                <c:pt idx="4">
                  <c:v>-6.9000000000000006E-2</c:v>
                </c:pt>
                <c:pt idx="5">
                  <c:v>8.6999999999999994E-2</c:v>
                </c:pt>
              </c:numCache>
            </c:numRef>
          </c:val>
          <c:extLst>
            <c:ext xmlns:c16="http://schemas.microsoft.com/office/drawing/2014/chart" uri="{C3380CC4-5D6E-409C-BE32-E72D297353CC}">
              <c16:uniqueId val="{0000000A-54F8-49AD-8BF4-28080C3AA6DC}"/>
            </c:ext>
          </c:extLst>
        </c:ser>
        <c:dLbls>
          <c:showLegendKey val="0"/>
          <c:showVal val="0"/>
          <c:showCatName val="0"/>
          <c:showSerName val="0"/>
          <c:showPercent val="0"/>
          <c:showBubbleSize val="0"/>
        </c:dLbls>
        <c:gapWidth val="100"/>
        <c:overlap val="-27"/>
        <c:axId val="464358304"/>
        <c:axId val="464351232"/>
      </c:barChart>
      <c:catAx>
        <c:axId val="46435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800000" spcFirstLastPara="1" vertOverflow="ellipsis"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547517790222758E-2"/>
          <c:y val="4.1667760279965008E-2"/>
          <c:w val="0.9164478578391837"/>
          <c:h val="0.65070137066200062"/>
        </c:manualLayout>
      </c:layout>
      <c:lineChart>
        <c:grouping val="standard"/>
        <c:varyColors val="0"/>
        <c:ser>
          <c:idx val="0"/>
          <c:order val="0"/>
          <c:tx>
            <c:strRef>
              <c:f>Sheet1!$A$4</c:f>
              <c:strCache>
                <c:ptCount val="1"/>
                <c:pt idx="0">
                  <c:v> August compared to the previous month</c:v>
                </c:pt>
              </c:strCache>
            </c:strRef>
          </c:tx>
          <c:spPr>
            <a:ln w="28575" cap="rnd">
              <a:solidFill>
                <a:schemeClr val="accent1"/>
              </a:solidFill>
              <a:round/>
            </a:ln>
            <a:effectLst/>
          </c:spPr>
          <c:marker>
            <c:symbol val="none"/>
          </c:marker>
          <c:dLbls>
            <c:dLbl>
              <c:idx val="0"/>
              <c:layout>
                <c:manualLayout>
                  <c:x val="-4.1256452411701006E-2"/>
                  <c:y val="-6.9444444444444531E-2"/>
                </c:manualLayout>
              </c:layout>
              <c:tx>
                <c:rich>
                  <a:bodyPr/>
                  <a:lstStyle/>
                  <a:p>
                    <a:fld id="{C73F1229-3661-4DA1-9102-BA91F863A630}" type="VALUE">
                      <a:rPr lang="en-US" b="1">
                        <a:solidFill>
                          <a:schemeClr val="accent1">
                            <a:lumMod val="50000"/>
                          </a:schemeClr>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099-4FFA-99FE-87324704C0AA}"/>
                </c:ext>
              </c:extLst>
            </c:dLbl>
            <c:dLbl>
              <c:idx val="1"/>
              <c:layout>
                <c:manualLayout>
                  <c:x val="-2.0628226205850503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99-4FFA-99FE-87324704C0AA}"/>
                </c:ext>
              </c:extLst>
            </c:dLbl>
            <c:dLbl>
              <c:idx val="2"/>
              <c:layout>
                <c:manualLayout>
                  <c:x val="1.8752932914409617E-2"/>
                  <c:y val="3.24074074074073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99-4FFA-99FE-87324704C0AA}"/>
                </c:ext>
              </c:extLst>
            </c:dLbl>
            <c:dLbl>
              <c:idx val="3"/>
              <c:layout>
                <c:manualLayout>
                  <c:x val="-2.2503519497291458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99-4FFA-99FE-87324704C0AA}"/>
                </c:ext>
              </c:extLst>
            </c:dLbl>
            <c:dLbl>
              <c:idx val="4"/>
              <c:layout>
                <c:manualLayout>
                  <c:x val="-2.6254106080173367E-2"/>
                  <c:y val="-5.5555555555555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99-4FFA-99FE-87324704C0A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Sheet1!$B$3:$F$3</c:f>
              <c:numCache>
                <c:formatCode>General</c:formatCode>
                <c:ptCount val="5"/>
                <c:pt idx="0">
                  <c:v>2018</c:v>
                </c:pt>
                <c:pt idx="1">
                  <c:v>2019</c:v>
                </c:pt>
                <c:pt idx="2">
                  <c:v>2020</c:v>
                </c:pt>
                <c:pt idx="3">
                  <c:v>2021</c:v>
                </c:pt>
                <c:pt idx="4">
                  <c:v>2022</c:v>
                </c:pt>
              </c:numCache>
            </c:numRef>
          </c:cat>
          <c:val>
            <c:numRef>
              <c:f>Sheet1!$B$4:$F$4</c:f>
              <c:numCache>
                <c:formatCode>0.00</c:formatCode>
                <c:ptCount val="5"/>
                <c:pt idx="0">
                  <c:v>0.45000000000000284</c:v>
                </c:pt>
                <c:pt idx="1">
                  <c:v>0.28000000000000114</c:v>
                </c:pt>
                <c:pt idx="2">
                  <c:v>7.4299999999993815E-2</c:v>
                </c:pt>
                <c:pt idx="3">
                  <c:v>0.24790000000000134</c:v>
                </c:pt>
                <c:pt idx="4" formatCode="0.000">
                  <c:v>4.9000000000063437E-3</c:v>
                </c:pt>
              </c:numCache>
            </c:numRef>
          </c:val>
          <c:smooth val="0"/>
          <c:extLst>
            <c:ext xmlns:c16="http://schemas.microsoft.com/office/drawing/2014/chart" uri="{C3380CC4-5D6E-409C-BE32-E72D297353CC}">
              <c16:uniqueId val="{00000005-D099-4FFA-99FE-87324704C0AA}"/>
            </c:ext>
          </c:extLst>
        </c:ser>
        <c:ser>
          <c:idx val="1"/>
          <c:order val="1"/>
          <c:tx>
            <c:strRef>
              <c:f>Sheet1!$A$5</c:f>
              <c:strCache>
                <c:ptCount val="1"/>
                <c:pt idx="0">
                  <c:v>Average CPI 8 months over the same period last year</c:v>
                </c:pt>
              </c:strCache>
            </c:strRef>
          </c:tx>
          <c:spPr>
            <a:ln w="28575" cap="rnd">
              <a:solidFill>
                <a:schemeClr val="accent2"/>
              </a:solidFill>
              <a:round/>
            </a:ln>
            <a:effectLst/>
          </c:spPr>
          <c:marker>
            <c:symbol val="none"/>
          </c:marker>
          <c:dLbls>
            <c:dLbl>
              <c:idx val="0"/>
              <c:layout>
                <c:manualLayout>
                  <c:x val="-5.6258798743228658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99-4FFA-99FE-87324704C0AA}"/>
                </c:ext>
              </c:extLst>
            </c:dLbl>
            <c:dLbl>
              <c:idx val="1"/>
              <c:layout>
                <c:manualLayout>
                  <c:x val="-3.9381159120260086E-2"/>
                  <c:y val="-7.4074074074074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099-4FFA-99FE-87324704C0AA}"/>
                </c:ext>
              </c:extLst>
            </c:dLbl>
            <c:dLbl>
              <c:idx val="3"/>
              <c:layout>
                <c:manualLayout>
                  <c:x val="-2.2503519497291458E-2"/>
                  <c:y val="5.092592592592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099-4FFA-99FE-87324704C0A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Sheet1!$B$3:$F$3</c:f>
              <c:numCache>
                <c:formatCode>General</c:formatCode>
                <c:ptCount val="5"/>
                <c:pt idx="0">
                  <c:v>2018</c:v>
                </c:pt>
                <c:pt idx="1">
                  <c:v>2019</c:v>
                </c:pt>
                <c:pt idx="2">
                  <c:v>2020</c:v>
                </c:pt>
                <c:pt idx="3">
                  <c:v>2021</c:v>
                </c:pt>
                <c:pt idx="4">
                  <c:v>2022</c:v>
                </c:pt>
              </c:numCache>
            </c:numRef>
          </c:cat>
          <c:val>
            <c:numRef>
              <c:f>Sheet1!$B$5:$F$5</c:f>
              <c:numCache>
                <c:formatCode>0.00</c:formatCode>
                <c:ptCount val="5"/>
                <c:pt idx="0">
                  <c:v>3.519999999999996</c:v>
                </c:pt>
                <c:pt idx="1">
                  <c:v>2.5699999999999932</c:v>
                </c:pt>
                <c:pt idx="2">
                  <c:v>3.9615722255150416</c:v>
                </c:pt>
                <c:pt idx="3">
                  <c:v>1.7865471625929956</c:v>
                </c:pt>
                <c:pt idx="4">
                  <c:v>2.583544419891723</c:v>
                </c:pt>
              </c:numCache>
            </c:numRef>
          </c:val>
          <c:smooth val="0"/>
          <c:extLst>
            <c:ext xmlns:c16="http://schemas.microsoft.com/office/drawing/2014/chart" uri="{C3380CC4-5D6E-409C-BE32-E72D297353CC}">
              <c16:uniqueId val="{00000009-D099-4FFA-99FE-87324704C0AA}"/>
            </c:ext>
          </c:extLst>
        </c:ser>
        <c:ser>
          <c:idx val="2"/>
          <c:order val="2"/>
          <c:tx>
            <c:strRef>
              <c:f>Sheet1!$A$6</c:f>
              <c:strCache>
                <c:ptCount val="1"/>
                <c:pt idx="0">
                  <c:v>August compared to December last year</c:v>
                </c:pt>
              </c:strCache>
            </c:strRef>
          </c:tx>
          <c:spPr>
            <a:ln w="28575" cap="rnd">
              <a:solidFill>
                <a:schemeClr val="accent3"/>
              </a:solidFill>
              <a:round/>
            </a:ln>
            <a:effectLst/>
          </c:spPr>
          <c:marker>
            <c:symbol val="none"/>
          </c:marker>
          <c:dLbls>
            <c:dLbl>
              <c:idx val="0"/>
              <c:layout>
                <c:manualLayout>
                  <c:x val="-5.0632918868905794E-2"/>
                  <c:y val="-2.777777777777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099-4FFA-99FE-87324704C0AA}"/>
                </c:ext>
              </c:extLst>
            </c:dLbl>
            <c:dLbl>
              <c:idx val="1"/>
              <c:layout>
                <c:manualLayout>
                  <c:x val="-3.9381159120260086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099-4FFA-99FE-87324704C0AA}"/>
                </c:ext>
              </c:extLst>
            </c:dLbl>
            <c:dLbl>
              <c:idx val="2"/>
              <c:layout>
                <c:manualLayout>
                  <c:x val="-3.5630572537378141E-2"/>
                  <c:y val="-7.4074074074074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099-4FFA-99FE-87324704C0AA}"/>
                </c:ext>
              </c:extLst>
            </c:dLbl>
            <c:dLbl>
              <c:idx val="3"/>
              <c:layout>
                <c:manualLayout>
                  <c:x val="-1.6877639622968593E-2"/>
                  <c:y val="4.6296296296296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099-4FFA-99FE-87324704C0AA}"/>
                </c:ext>
              </c:extLst>
            </c:dLbl>
            <c:dLbl>
              <c:idx val="4"/>
              <c:layout>
                <c:manualLayout>
                  <c:x val="-2.0628226205850503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099-4FFA-99FE-87324704C0A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Sheet1!$B$3:$F$3</c:f>
              <c:numCache>
                <c:formatCode>General</c:formatCode>
                <c:ptCount val="5"/>
                <c:pt idx="0">
                  <c:v>2018</c:v>
                </c:pt>
                <c:pt idx="1">
                  <c:v>2019</c:v>
                </c:pt>
                <c:pt idx="2">
                  <c:v>2020</c:v>
                </c:pt>
                <c:pt idx="3">
                  <c:v>2021</c:v>
                </c:pt>
                <c:pt idx="4">
                  <c:v>2022</c:v>
                </c:pt>
              </c:numCache>
            </c:numRef>
          </c:cat>
          <c:val>
            <c:numRef>
              <c:f>Sheet1!$B$6:$F$6</c:f>
              <c:numCache>
                <c:formatCode>0.00</c:formatCode>
                <c:ptCount val="5"/>
                <c:pt idx="0">
                  <c:v>2.5900000000000034</c:v>
                </c:pt>
                <c:pt idx="1">
                  <c:v>1.8700000000000045</c:v>
                </c:pt>
                <c:pt idx="2">
                  <c:v>-0.11770340594742379</c:v>
                </c:pt>
                <c:pt idx="3">
                  <c:v>2.5071842604600363</c:v>
                </c:pt>
                <c:pt idx="4">
                  <c:v>3.5950910433828938</c:v>
                </c:pt>
              </c:numCache>
            </c:numRef>
          </c:val>
          <c:smooth val="0"/>
          <c:extLst>
            <c:ext xmlns:c16="http://schemas.microsoft.com/office/drawing/2014/chart" uri="{C3380CC4-5D6E-409C-BE32-E72D297353CC}">
              <c16:uniqueId val="{0000000F-D099-4FFA-99FE-87324704C0AA}"/>
            </c:ext>
          </c:extLst>
        </c:ser>
        <c:ser>
          <c:idx val="3"/>
          <c:order val="3"/>
          <c:tx>
            <c:strRef>
              <c:f>Sheet1!$A$7</c:f>
              <c:strCache>
                <c:ptCount val="1"/>
                <c:pt idx="0">
                  <c:v>August compared to the same period last year</c:v>
                </c:pt>
              </c:strCache>
            </c:strRef>
          </c:tx>
          <c:spPr>
            <a:ln w="28575" cap="rnd">
              <a:solidFill>
                <a:schemeClr val="accent4"/>
              </a:solidFill>
              <a:round/>
            </a:ln>
            <a:effectLst/>
          </c:spPr>
          <c:marker>
            <c:symbol val="none"/>
          </c:marker>
          <c:dLbls>
            <c:dLbl>
              <c:idx val="0"/>
              <c:layout>
                <c:manualLayout>
                  <c:x val="-2.437881278873243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099-4FFA-99FE-87324704C0AA}"/>
                </c:ext>
              </c:extLst>
            </c:dLbl>
            <c:dLbl>
              <c:idx val="1"/>
              <c:layout>
                <c:manualLayout>
                  <c:x val="-6.8759959698579714E-17"/>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099-4FFA-99FE-87324704C0AA}"/>
                </c:ext>
              </c:extLst>
            </c:dLbl>
            <c:dLbl>
              <c:idx val="2"/>
              <c:layout>
                <c:manualLayout>
                  <c:x val="-2.8129399371614322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099-4FFA-99FE-87324704C0AA}"/>
                </c:ext>
              </c:extLst>
            </c:dLbl>
            <c:dLbl>
              <c:idx val="3"/>
              <c:layout>
                <c:manualLayout>
                  <c:x val="-1.6877639622968593E-2"/>
                  <c:y val="-8.3333333333333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099-4FFA-99FE-87324704C0AA}"/>
                </c:ext>
              </c:extLst>
            </c:dLbl>
            <c:dLbl>
              <c:idx val="4"/>
              <c:layout>
                <c:manualLayout>
                  <c:x val="-1.8752932914410923E-3"/>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099-4FFA-99FE-87324704C0A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lumMod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Sheet1!$B$3:$F$3</c:f>
              <c:numCache>
                <c:formatCode>General</c:formatCode>
                <c:ptCount val="5"/>
                <c:pt idx="0">
                  <c:v>2018</c:v>
                </c:pt>
                <c:pt idx="1">
                  <c:v>2019</c:v>
                </c:pt>
                <c:pt idx="2">
                  <c:v>2020</c:v>
                </c:pt>
                <c:pt idx="3">
                  <c:v>2021</c:v>
                </c:pt>
                <c:pt idx="4">
                  <c:v>2022</c:v>
                </c:pt>
              </c:numCache>
            </c:numRef>
          </c:cat>
          <c:val>
            <c:numRef>
              <c:f>Sheet1!$B$7:$F$7</c:f>
              <c:numCache>
                <c:formatCode>0.00</c:formatCode>
                <c:ptCount val="5"/>
                <c:pt idx="0">
                  <c:v>3.980000000000004</c:v>
                </c:pt>
                <c:pt idx="1">
                  <c:v>2.2600000000000051</c:v>
                </c:pt>
                <c:pt idx="2">
                  <c:v>3.1771543753644096</c:v>
                </c:pt>
                <c:pt idx="3">
                  <c:v>2.8199306153697563</c:v>
                </c:pt>
                <c:pt idx="4">
                  <c:v>2.8908863403781453</c:v>
                </c:pt>
              </c:numCache>
            </c:numRef>
          </c:val>
          <c:smooth val="0"/>
          <c:extLst>
            <c:ext xmlns:c16="http://schemas.microsoft.com/office/drawing/2014/chart" uri="{C3380CC4-5D6E-409C-BE32-E72D297353CC}">
              <c16:uniqueId val="{00000015-D099-4FFA-99FE-87324704C0AA}"/>
            </c:ext>
          </c:extLst>
        </c:ser>
        <c:dLbls>
          <c:showLegendKey val="0"/>
          <c:showVal val="0"/>
          <c:showCatName val="0"/>
          <c:showSerName val="0"/>
          <c:showPercent val="0"/>
          <c:showBubbleSize val="0"/>
        </c:dLbls>
        <c:smooth val="0"/>
        <c:axId val="796556336"/>
        <c:axId val="796560912"/>
      </c:lineChart>
      <c:catAx>
        <c:axId val="7965563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796560912"/>
        <c:crosses val="autoZero"/>
        <c:auto val="1"/>
        <c:lblAlgn val="ctr"/>
        <c:lblOffset val="100"/>
        <c:noMultiLvlLbl val="0"/>
      </c:catAx>
      <c:valAx>
        <c:axId val="796560912"/>
        <c:scaling>
          <c:orientation val="minMax"/>
          <c:max val="4.3"/>
          <c:min val="-0.2"/>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96556336"/>
        <c:crosses val="autoZero"/>
        <c:crossBetween val="between"/>
      </c:valAx>
      <c:spPr>
        <a:noFill/>
        <a:ln>
          <a:noFill/>
        </a:ln>
        <a:effectLst/>
      </c:spPr>
    </c:plotArea>
    <c:legend>
      <c:legendPos val="b"/>
      <c:layout>
        <c:manualLayout>
          <c:xMode val="edge"/>
          <c:yMode val="edge"/>
          <c:x val="1.8216205594621525E-2"/>
          <c:y val="0.79050825678040249"/>
          <c:w val="0.96395848720828481"/>
          <c:h val="0.186343777340332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0.04523</cdr:x>
      <cdr:y>0.11832</cdr:y>
    </cdr:from>
    <cdr:to>
      <cdr:x>0.06441</cdr:x>
      <cdr:y>0.15373</cdr:y>
    </cdr:to>
    <cdr:sp macro="" textlink="">
      <cdr:nvSpPr>
        <cdr:cNvPr id="2" name="Arrow: Right 1">
          <a:extLst xmlns:a="http://schemas.openxmlformats.org/drawingml/2006/main">
            <a:ext uri="{FF2B5EF4-FFF2-40B4-BE49-F238E27FC236}">
              <a16:creationId xmlns:a16="http://schemas.microsoft.com/office/drawing/2014/main" id="{EF60AD2D-674B-8E42-749E-2D852FE4A05B}"/>
            </a:ext>
          </a:extLst>
        </cdr:cNvPr>
        <cdr:cNvSpPr/>
      </cdr:nvSpPr>
      <cdr:spPr>
        <a:xfrm xmlns:a="http://schemas.openxmlformats.org/drawingml/2006/main" rot="16200000">
          <a:off x="259722" y="474424"/>
          <a:ext cx="138487" cy="115094"/>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0.43386</cdr:x>
      <cdr:y>0.60937</cdr:y>
    </cdr:from>
    <cdr:to>
      <cdr:x>0.45303</cdr:x>
      <cdr:y>0.64478</cdr:y>
    </cdr:to>
    <cdr:sp macro="" textlink="">
      <cdr:nvSpPr>
        <cdr:cNvPr id="3" name="Arrow: Right 2">
          <a:extLst xmlns:a="http://schemas.openxmlformats.org/drawingml/2006/main">
            <a:ext uri="{FF2B5EF4-FFF2-40B4-BE49-F238E27FC236}">
              <a16:creationId xmlns:a16="http://schemas.microsoft.com/office/drawing/2014/main" id="{4DD5F4FA-B159-FC5A-8EF7-C7FDB7D8FE56}"/>
            </a:ext>
          </a:extLst>
        </cdr:cNvPr>
        <cdr:cNvSpPr/>
      </cdr:nvSpPr>
      <cdr:spPr>
        <a:xfrm xmlns:a="http://schemas.openxmlformats.org/drawingml/2006/main" rot="5400000" flipV="1">
          <a:off x="2591772" y="2394956"/>
          <a:ext cx="138487" cy="115035"/>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0.05958</cdr:x>
      <cdr:y>0.1135</cdr:y>
    </cdr:from>
    <cdr:to>
      <cdr:x>0.15715</cdr:x>
      <cdr:y>0.17335</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357512" y="443895"/>
          <a:ext cx="585493" cy="23407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24,8%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0.44236</cdr:x>
      <cdr:y>0.5966</cdr:y>
    </cdr:from>
    <cdr:to>
      <cdr:x>0.52878</cdr:x>
      <cdr:y>0.65646</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2633165" y="1974148"/>
          <a:ext cx="514420" cy="19807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60</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1</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0.80483</cdr:x>
      <cdr:y>0.01653</cdr:y>
    </cdr:from>
    <cdr:to>
      <cdr:x>0.90425</cdr:x>
      <cdr:y>0.07183</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4829593" y="64637"/>
          <a:ext cx="596595" cy="21627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vi-VN" sz="900" b="1" i="1">
              <a:latin typeface="Arial" panose="020B0604020202020204" pitchFamily="34" charset="0"/>
              <a:cs typeface="Arial" panose="020B0604020202020204" pitchFamily="34" charset="0"/>
            </a:rPr>
            <a:t>Bill. dongs</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0.13794</cdr:x>
      <cdr:y>0.57591</cdr:y>
    </cdr:from>
    <cdr:to>
      <cdr:x>0.15712</cdr:x>
      <cdr:y>0.61132</cdr:y>
    </cdr:to>
    <cdr:sp macro="" textlink="">
      <cdr:nvSpPr>
        <cdr:cNvPr id="7" name="Arrow: Right 6">
          <a:extLst xmlns:a="http://schemas.openxmlformats.org/drawingml/2006/main">
            <a:ext uri="{FF2B5EF4-FFF2-40B4-BE49-F238E27FC236}">
              <a16:creationId xmlns:a16="http://schemas.microsoft.com/office/drawing/2014/main" id="{367BF09B-FA22-C7D2-C66A-E0670D00DC70}"/>
            </a:ext>
          </a:extLst>
        </cdr:cNvPr>
        <cdr:cNvSpPr/>
      </cdr:nvSpPr>
      <cdr:spPr>
        <a:xfrm xmlns:a="http://schemas.openxmlformats.org/drawingml/2006/main" rot="16200000">
          <a:off x="819603" y="1907186"/>
          <a:ext cx="117171" cy="11416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0.14547</cdr:x>
      <cdr:y>0.5688</cdr:y>
    </cdr:from>
    <cdr:to>
      <cdr:x>0.25892</cdr:x>
      <cdr:y>0.61904</cdr:y>
    </cdr:to>
    <cdr:sp macro="" textlink="">
      <cdr:nvSpPr>
        <cdr:cNvPr id="8" name="Rectangle 7">
          <a:extLst xmlns:a="http://schemas.openxmlformats.org/drawingml/2006/main">
            <a:ext uri="{FF2B5EF4-FFF2-40B4-BE49-F238E27FC236}">
              <a16:creationId xmlns:a16="http://schemas.microsoft.com/office/drawing/2014/main" id="{9423C7A8-0C71-D90F-762A-360C030A0411}"/>
            </a:ext>
          </a:extLst>
        </cdr:cNvPr>
        <cdr:cNvSpPr/>
      </cdr:nvSpPr>
      <cdr:spPr>
        <a:xfrm xmlns:a="http://schemas.openxmlformats.org/drawingml/2006/main">
          <a:off x="865932" y="1882158"/>
          <a:ext cx="675285" cy="16622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25,2%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0.2383</cdr:x>
      <cdr:y>0.58631</cdr:y>
    </cdr:from>
    <cdr:to>
      <cdr:x>0.25748</cdr:x>
      <cdr:y>0.62172</cdr:y>
    </cdr:to>
    <cdr:sp macro="" textlink="">
      <cdr:nvSpPr>
        <cdr:cNvPr id="9" name="Arrow: Right 8">
          <a:extLst xmlns:a="http://schemas.openxmlformats.org/drawingml/2006/main">
            <a:ext uri="{FF2B5EF4-FFF2-40B4-BE49-F238E27FC236}">
              <a16:creationId xmlns:a16="http://schemas.microsoft.com/office/drawing/2014/main" id="{AD4EF260-A097-65E5-8A96-97FA45A9D19C}"/>
            </a:ext>
          </a:extLst>
        </cdr:cNvPr>
        <cdr:cNvSpPr/>
      </cdr:nvSpPr>
      <cdr:spPr>
        <a:xfrm xmlns:a="http://schemas.openxmlformats.org/drawingml/2006/main" rot="16200000">
          <a:off x="1418311" y="2304741"/>
          <a:ext cx="138487" cy="115095"/>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0.24792</cdr:x>
      <cdr:y>0.57784</cdr:y>
    </cdr:from>
    <cdr:to>
      <cdr:x>0.33547</cdr:x>
      <cdr:y>0.62718</cdr:y>
    </cdr:to>
    <cdr:sp macro="" textlink="">
      <cdr:nvSpPr>
        <cdr:cNvPr id="10" name="Rectangle 9">
          <a:extLst xmlns:a="http://schemas.openxmlformats.org/drawingml/2006/main">
            <a:ext uri="{FF2B5EF4-FFF2-40B4-BE49-F238E27FC236}">
              <a16:creationId xmlns:a16="http://schemas.microsoft.com/office/drawing/2014/main" id="{76095232-3DD7-2AB3-7E76-C524D4752094}"/>
            </a:ext>
          </a:extLst>
        </cdr:cNvPr>
        <cdr:cNvSpPr/>
      </cdr:nvSpPr>
      <cdr:spPr>
        <a:xfrm xmlns:a="http://schemas.openxmlformats.org/drawingml/2006/main">
          <a:off x="1475742" y="1912067"/>
          <a:ext cx="521112" cy="16325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27,9%</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0.33881</cdr:x>
      <cdr:y>0.59665</cdr:y>
    </cdr:from>
    <cdr:to>
      <cdr:x>0.35799</cdr:x>
      <cdr:y>0.63206</cdr:y>
    </cdr:to>
    <cdr:sp macro="" textlink="">
      <cdr:nvSpPr>
        <cdr:cNvPr id="11" name="Arrow: Right 10">
          <a:extLst xmlns:a="http://schemas.openxmlformats.org/drawingml/2006/main">
            <a:ext uri="{FF2B5EF4-FFF2-40B4-BE49-F238E27FC236}">
              <a16:creationId xmlns:a16="http://schemas.microsoft.com/office/drawing/2014/main" id="{A4148A44-EF9C-476A-CEC9-D55CF40C92D0}"/>
            </a:ext>
          </a:extLst>
        </cdr:cNvPr>
        <cdr:cNvSpPr/>
      </cdr:nvSpPr>
      <cdr:spPr>
        <a:xfrm xmlns:a="http://schemas.openxmlformats.org/drawingml/2006/main" rot="16200000">
          <a:off x="2021422" y="2345181"/>
          <a:ext cx="138487" cy="115095"/>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0.34753</cdr:x>
      <cdr:y>0.59321</cdr:y>
    </cdr:from>
    <cdr:to>
      <cdr:x>0.43215</cdr:x>
      <cdr:y>0.64415</cdr:y>
    </cdr:to>
    <cdr:sp macro="" textlink="">
      <cdr:nvSpPr>
        <cdr:cNvPr id="12" name="Rectangle 11">
          <a:extLst xmlns:a="http://schemas.openxmlformats.org/drawingml/2006/main">
            <a:ext uri="{FF2B5EF4-FFF2-40B4-BE49-F238E27FC236}">
              <a16:creationId xmlns:a16="http://schemas.microsoft.com/office/drawing/2014/main" id="{FB76A0D4-F91A-A18B-636E-D7CCD3077604}"/>
            </a:ext>
          </a:extLst>
        </cdr:cNvPr>
        <cdr:cNvSpPr/>
      </cdr:nvSpPr>
      <cdr:spPr>
        <a:xfrm xmlns:a="http://schemas.openxmlformats.org/drawingml/2006/main">
          <a:off x="2068693" y="1962907"/>
          <a:ext cx="503691" cy="1685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79,7%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0.51799</cdr:x>
      <cdr:y>0.61343</cdr:y>
    </cdr:from>
    <cdr:to>
      <cdr:x>0.53716</cdr:x>
      <cdr:y>0.64884</cdr:y>
    </cdr:to>
    <cdr:sp macro="" textlink="">
      <cdr:nvSpPr>
        <cdr:cNvPr id="13" name="Arrow: Right 12">
          <a:extLst xmlns:a="http://schemas.openxmlformats.org/drawingml/2006/main">
            <a:ext uri="{FF2B5EF4-FFF2-40B4-BE49-F238E27FC236}">
              <a16:creationId xmlns:a16="http://schemas.microsoft.com/office/drawing/2014/main" id="{54B5FCD5-AA22-CCD3-DBCD-B3FAA696C039}"/>
            </a:ext>
          </a:extLst>
        </cdr:cNvPr>
        <cdr:cNvSpPr/>
      </cdr:nvSpPr>
      <cdr:spPr>
        <a:xfrm xmlns:a="http://schemas.openxmlformats.org/drawingml/2006/main" rot="5400000" flipV="1">
          <a:off x="3096599" y="2410836"/>
          <a:ext cx="138488" cy="115035"/>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0.52763</cdr:x>
      <cdr:y>0.60001</cdr:y>
    </cdr:from>
    <cdr:to>
      <cdr:x>0.63685</cdr:x>
      <cdr:y>0.65081</cdr:y>
    </cdr:to>
    <cdr:sp macro="" textlink="">
      <cdr:nvSpPr>
        <cdr:cNvPr id="14" name="Rectangle 13">
          <a:extLst xmlns:a="http://schemas.openxmlformats.org/drawingml/2006/main">
            <a:ext uri="{FF2B5EF4-FFF2-40B4-BE49-F238E27FC236}">
              <a16:creationId xmlns:a16="http://schemas.microsoft.com/office/drawing/2014/main" id="{FD283BBE-D359-67BE-0E3F-715C10FA54E1}"/>
            </a:ext>
          </a:extLst>
        </cdr:cNvPr>
        <cdr:cNvSpPr/>
      </cdr:nvSpPr>
      <cdr:spPr>
        <a:xfrm xmlns:a="http://schemas.openxmlformats.org/drawingml/2006/main">
          <a:off x="3140723" y="1985432"/>
          <a:ext cx="650136" cy="16809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41</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2</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0.70552</cdr:x>
      <cdr:y>0.62739</cdr:y>
    </cdr:from>
    <cdr:to>
      <cdr:x>0.72469</cdr:x>
      <cdr:y>0.6628</cdr:y>
    </cdr:to>
    <cdr:sp macro="" textlink="">
      <cdr:nvSpPr>
        <cdr:cNvPr id="15" name="Arrow: Right 14">
          <a:extLst xmlns:a="http://schemas.openxmlformats.org/drawingml/2006/main">
            <a:ext uri="{FF2B5EF4-FFF2-40B4-BE49-F238E27FC236}">
              <a16:creationId xmlns:a16="http://schemas.microsoft.com/office/drawing/2014/main" id="{4FDFFF9F-F3B4-F68C-E0B9-B14B90A21B49}"/>
            </a:ext>
          </a:extLst>
        </cdr:cNvPr>
        <cdr:cNvSpPr/>
      </cdr:nvSpPr>
      <cdr:spPr>
        <a:xfrm xmlns:a="http://schemas.openxmlformats.org/drawingml/2006/main" rot="5400000" flipV="1">
          <a:off x="5868666" y="3247394"/>
          <a:ext cx="182638" cy="159770"/>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0.71355</cdr:x>
      <cdr:y>0.61275</cdr:y>
    </cdr:from>
    <cdr:to>
      <cdr:x>0.82788</cdr:x>
      <cdr:y>0.66382</cdr:y>
    </cdr:to>
    <cdr:sp macro="" textlink="">
      <cdr:nvSpPr>
        <cdr:cNvPr id="16" name="Rectangle 15">
          <a:extLst xmlns:a="http://schemas.openxmlformats.org/drawingml/2006/main">
            <a:ext uri="{FF2B5EF4-FFF2-40B4-BE49-F238E27FC236}">
              <a16:creationId xmlns:a16="http://schemas.microsoft.com/office/drawing/2014/main" id="{7CCCF479-1A1D-C0D0-FD7B-6D17E7CDBE67}"/>
            </a:ext>
          </a:extLst>
        </cdr:cNvPr>
        <cdr:cNvSpPr/>
      </cdr:nvSpPr>
      <cdr:spPr>
        <a:xfrm xmlns:a="http://schemas.openxmlformats.org/drawingml/2006/main">
          <a:off x="4247408" y="2027594"/>
          <a:ext cx="680534" cy="16897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19</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7</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0.61145</cdr:x>
      <cdr:y>0.61169</cdr:y>
    </cdr:from>
    <cdr:to>
      <cdr:x>0.63063</cdr:x>
      <cdr:y>0.6471</cdr:y>
    </cdr:to>
    <cdr:sp macro="" textlink="">
      <cdr:nvSpPr>
        <cdr:cNvPr id="17" name="Arrow: Right 16">
          <a:extLst xmlns:a="http://schemas.openxmlformats.org/drawingml/2006/main">
            <a:ext uri="{FF2B5EF4-FFF2-40B4-BE49-F238E27FC236}">
              <a16:creationId xmlns:a16="http://schemas.microsoft.com/office/drawing/2014/main" id="{4F6842AD-DAB2-C736-4D28-6BC3E3E4305F}"/>
            </a:ext>
          </a:extLst>
        </cdr:cNvPr>
        <cdr:cNvSpPr/>
      </cdr:nvSpPr>
      <cdr:spPr>
        <a:xfrm xmlns:a="http://schemas.openxmlformats.org/drawingml/2006/main" rot="16200000">
          <a:off x="3638142" y="2025564"/>
          <a:ext cx="117172" cy="11416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0.61877</cdr:x>
      <cdr:y>0.6</cdr:y>
    </cdr:from>
    <cdr:to>
      <cdr:x>0.70281</cdr:x>
      <cdr:y>0.64637</cdr:y>
    </cdr:to>
    <cdr:sp macro="" textlink="">
      <cdr:nvSpPr>
        <cdr:cNvPr id="18" name="Rectangle 17">
          <a:extLst xmlns:a="http://schemas.openxmlformats.org/drawingml/2006/main">
            <a:ext uri="{FF2B5EF4-FFF2-40B4-BE49-F238E27FC236}">
              <a16:creationId xmlns:a16="http://schemas.microsoft.com/office/drawing/2014/main" id="{A2463DCC-BB00-A5A6-A5F7-CA69151CEA3C}"/>
            </a:ext>
          </a:extLst>
        </cdr:cNvPr>
        <cdr:cNvSpPr/>
      </cdr:nvSpPr>
      <cdr:spPr>
        <a:xfrm xmlns:a="http://schemas.openxmlformats.org/drawingml/2006/main">
          <a:off x="3683225" y="1985394"/>
          <a:ext cx="500236" cy="15343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3</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6</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0.79903</cdr:x>
      <cdr:y>0.62887</cdr:y>
    </cdr:from>
    <cdr:to>
      <cdr:x>0.81821</cdr:x>
      <cdr:y>0.66428</cdr:y>
    </cdr:to>
    <cdr:sp macro="" textlink="">
      <cdr:nvSpPr>
        <cdr:cNvPr id="19" name="Arrow: Right 18">
          <a:extLst xmlns:a="http://schemas.openxmlformats.org/drawingml/2006/main">
            <a:ext uri="{FF2B5EF4-FFF2-40B4-BE49-F238E27FC236}">
              <a16:creationId xmlns:a16="http://schemas.microsoft.com/office/drawing/2014/main" id="{AF4A49B8-C616-B51A-7CED-CCD52280201C}"/>
            </a:ext>
          </a:extLst>
        </cdr:cNvPr>
        <cdr:cNvSpPr/>
      </cdr:nvSpPr>
      <cdr:spPr>
        <a:xfrm xmlns:a="http://schemas.openxmlformats.org/drawingml/2006/main" rot="16200000">
          <a:off x="4754729" y="2082422"/>
          <a:ext cx="117172" cy="11416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0.80775</cdr:x>
      <cdr:y>0.61771</cdr:y>
    </cdr:from>
    <cdr:to>
      <cdr:x>0.90866</cdr:x>
      <cdr:y>0.66556</cdr:y>
    </cdr:to>
    <cdr:sp macro="" textlink="">
      <cdr:nvSpPr>
        <cdr:cNvPr id="20" name="Rectangle 19">
          <a:extLst xmlns:a="http://schemas.openxmlformats.org/drawingml/2006/main">
            <a:ext uri="{FF2B5EF4-FFF2-40B4-BE49-F238E27FC236}">
              <a16:creationId xmlns:a16="http://schemas.microsoft.com/office/drawing/2014/main" id="{66E072A7-B7DF-E870-23DB-0FBF2A849E00}"/>
            </a:ext>
          </a:extLst>
        </cdr:cNvPr>
        <cdr:cNvSpPr/>
      </cdr:nvSpPr>
      <cdr:spPr>
        <a:xfrm xmlns:a="http://schemas.openxmlformats.org/drawingml/2006/main">
          <a:off x="4808100" y="2044006"/>
          <a:ext cx="600716" cy="15833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6</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7</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0.89221</cdr:x>
      <cdr:y>0.63115</cdr:y>
    </cdr:from>
    <cdr:to>
      <cdr:x>0.91138</cdr:x>
      <cdr:y>0.66656</cdr:y>
    </cdr:to>
    <cdr:sp macro="" textlink="">
      <cdr:nvSpPr>
        <cdr:cNvPr id="21" name="Arrow: Right 20">
          <a:extLst xmlns:a="http://schemas.openxmlformats.org/drawingml/2006/main">
            <a:ext uri="{FF2B5EF4-FFF2-40B4-BE49-F238E27FC236}">
              <a16:creationId xmlns:a16="http://schemas.microsoft.com/office/drawing/2014/main" id="{1E87484A-DBA1-C3C1-F73C-BF1038B0975F}"/>
            </a:ext>
          </a:extLst>
        </cdr:cNvPr>
        <cdr:cNvSpPr/>
      </cdr:nvSpPr>
      <cdr:spPr>
        <a:xfrm xmlns:a="http://schemas.openxmlformats.org/drawingml/2006/main" rot="5400000" flipV="1">
          <a:off x="5342230" y="2480149"/>
          <a:ext cx="138487" cy="115035"/>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0.90233</cdr:x>
      <cdr:y>0.61942</cdr:y>
    </cdr:from>
    <cdr:to>
      <cdr:x>0.98938</cdr:x>
      <cdr:y>0.67397</cdr:y>
    </cdr:to>
    <cdr:sp macro="" textlink="">
      <cdr:nvSpPr>
        <cdr:cNvPr id="22" name="Rectangle 21">
          <a:extLst xmlns:a="http://schemas.openxmlformats.org/drawingml/2006/main">
            <a:ext uri="{FF2B5EF4-FFF2-40B4-BE49-F238E27FC236}">
              <a16:creationId xmlns:a16="http://schemas.microsoft.com/office/drawing/2014/main" id="{27CB9D63-3B4F-1042-BFE6-943F4851B2B3}"/>
            </a:ext>
          </a:extLst>
        </cdr:cNvPr>
        <cdr:cNvSpPr/>
      </cdr:nvSpPr>
      <cdr:spPr>
        <a:xfrm xmlns:a="http://schemas.openxmlformats.org/drawingml/2006/main">
          <a:off x="5371124" y="2049637"/>
          <a:ext cx="518124" cy="18052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55</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1</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0.06053</cdr:x>
      <cdr:y>0.07137</cdr:y>
    </cdr:from>
    <cdr:to>
      <cdr:x>0.07971</cdr:x>
      <cdr:y>0.10678</cdr:y>
    </cdr:to>
    <cdr:sp macro="" textlink="">
      <cdr:nvSpPr>
        <cdr:cNvPr id="2" name="Arrow: Right 1">
          <a:extLst xmlns:a="http://schemas.openxmlformats.org/drawingml/2006/main">
            <a:ext uri="{FF2B5EF4-FFF2-40B4-BE49-F238E27FC236}">
              <a16:creationId xmlns:a16="http://schemas.microsoft.com/office/drawing/2014/main" id="{EF60AD2D-674B-8E42-749E-2D852FE4A05B}"/>
            </a:ext>
          </a:extLst>
        </cdr:cNvPr>
        <cdr:cNvSpPr/>
      </cdr:nvSpPr>
      <cdr:spPr>
        <a:xfrm xmlns:a="http://schemas.openxmlformats.org/drawingml/2006/main" rot="16200000">
          <a:off x="350100" y="278471"/>
          <a:ext cx="133360"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0.70136</cdr:x>
      <cdr:y>0.56909</cdr:y>
    </cdr:from>
    <cdr:to>
      <cdr:x>0.72053</cdr:x>
      <cdr:y>0.6045</cdr:y>
    </cdr:to>
    <cdr:sp macro="" textlink="">
      <cdr:nvSpPr>
        <cdr:cNvPr id="3" name="Arrow: Right 2">
          <a:extLst xmlns:a="http://schemas.openxmlformats.org/drawingml/2006/main">
            <a:ext uri="{FF2B5EF4-FFF2-40B4-BE49-F238E27FC236}">
              <a16:creationId xmlns:a16="http://schemas.microsoft.com/office/drawing/2014/main" id="{4DD5F4FA-B159-FC5A-8EF7-C7FDB7D8FE56}"/>
            </a:ext>
          </a:extLst>
        </cdr:cNvPr>
        <cdr:cNvSpPr/>
      </cdr:nvSpPr>
      <cdr:spPr>
        <a:xfrm xmlns:a="http://schemas.openxmlformats.org/drawingml/2006/main" rot="5400000" flipV="1">
          <a:off x="4158889" y="2153011"/>
          <a:ext cx="133361" cy="113938"/>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0.07123</cdr:x>
      <cdr:y>0.06709</cdr:y>
    </cdr:from>
    <cdr:to>
      <cdr:x>0.1688</cdr:x>
      <cdr:y>0.12694</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423389" y="252670"/>
          <a:ext cx="579917" cy="22540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8</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5</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0.71257</cdr:x>
      <cdr:y>0.55831</cdr:y>
    </cdr:from>
    <cdr:to>
      <cdr:x>0.78761</cdr:x>
      <cdr:y>0.60673</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235225" y="2102693"/>
          <a:ext cx="446007" cy="18235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4</a:t>
          </a:r>
          <a:r>
            <a:rPr lang="en-US" sz="800">
              <a:solidFill>
                <a:sysClr val="windowText" lastClr="000000"/>
              </a:solidFill>
              <a:latin typeface="Arial" panose="020B0604020202020204" pitchFamily="34" charset="0"/>
              <a:cs typeface="Arial" panose="020B0604020202020204" pitchFamily="34" charset="0"/>
            </a:rPr>
            <a:t>,4%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0.17365</cdr:x>
      <cdr:y>0.30342</cdr:y>
    </cdr:from>
    <cdr:to>
      <cdr:x>0.19283</cdr:x>
      <cdr:y>0.33883</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022423" y="1152410"/>
          <a:ext cx="133360"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0.28338</cdr:x>
      <cdr:y>0.46194</cdr:y>
    </cdr:from>
    <cdr:to>
      <cdr:x>0.30255</cdr:x>
      <cdr:y>0.49735</cdr:y>
    </cdr:to>
    <cdr:sp macro="" textlink="">
      <cdr:nvSpPr>
        <cdr:cNvPr id="8" name="Arrow: Right 7">
          <a:extLst xmlns:a="http://schemas.openxmlformats.org/drawingml/2006/main">
            <a:ext uri="{FF2B5EF4-FFF2-40B4-BE49-F238E27FC236}">
              <a16:creationId xmlns:a16="http://schemas.microsoft.com/office/drawing/2014/main" id="{8BB99AF5-FCD0-994D-69B8-2CDC4BC79AA2}"/>
            </a:ext>
          </a:extLst>
        </cdr:cNvPr>
        <cdr:cNvSpPr/>
      </cdr:nvSpPr>
      <cdr:spPr>
        <a:xfrm xmlns:a="http://schemas.openxmlformats.org/drawingml/2006/main" rot="5400000" flipV="1">
          <a:off x="1674599" y="1749464"/>
          <a:ext cx="133361" cy="113938"/>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0.3934</cdr:x>
      <cdr:y>0.50622</cdr:y>
    </cdr:from>
    <cdr:to>
      <cdr:x>0.41258</cdr:x>
      <cdr:y>0.54163</cdr:y>
    </cdr:to>
    <cdr:sp macro="" textlink="">
      <cdr:nvSpPr>
        <cdr:cNvPr id="9"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2328516" y="1916193"/>
          <a:ext cx="133361"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0.49717</cdr:x>
      <cdr:y>0.54881</cdr:y>
    </cdr:from>
    <cdr:to>
      <cdr:x>0.51635</cdr:x>
      <cdr:y>0.58422</cdr:y>
    </cdr:to>
    <cdr:sp macro="" textlink="">
      <cdr:nvSpPr>
        <cdr:cNvPr id="10" name="Arrow: Right 9">
          <a:extLst xmlns:a="http://schemas.openxmlformats.org/drawingml/2006/main">
            <a:ext uri="{FF2B5EF4-FFF2-40B4-BE49-F238E27FC236}">
              <a16:creationId xmlns:a16="http://schemas.microsoft.com/office/drawing/2014/main" id="{3BF0DE3C-46C7-5AB3-6723-95C049EF2ADA}"/>
            </a:ext>
          </a:extLst>
        </cdr:cNvPr>
        <cdr:cNvSpPr/>
      </cdr:nvSpPr>
      <cdr:spPr>
        <a:xfrm xmlns:a="http://schemas.openxmlformats.org/drawingml/2006/main" rot="16200000">
          <a:off x="2945319" y="2076585"/>
          <a:ext cx="133361"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0.59915</cdr:x>
      <cdr:y>0.55917</cdr:y>
    </cdr:from>
    <cdr:to>
      <cdr:x>0.61833</cdr:x>
      <cdr:y>0.59458</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3551440" y="2115629"/>
          <a:ext cx="133360"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0.80791</cdr:x>
      <cdr:y>0.56712</cdr:y>
    </cdr:from>
    <cdr:to>
      <cdr:x>0.82709</cdr:x>
      <cdr:y>0.60253</cdr:y>
    </cdr:to>
    <cdr:sp macro="" textlink="">
      <cdr:nvSpPr>
        <cdr:cNvPr id="12" name="Arrow: Right 11">
          <a:extLst xmlns:a="http://schemas.openxmlformats.org/drawingml/2006/main">
            <a:ext uri="{FF2B5EF4-FFF2-40B4-BE49-F238E27FC236}">
              <a16:creationId xmlns:a16="http://schemas.microsoft.com/office/drawing/2014/main" id="{52837F2D-0691-7E49-F94A-A0FF8613C982}"/>
            </a:ext>
          </a:extLst>
        </cdr:cNvPr>
        <cdr:cNvSpPr/>
      </cdr:nvSpPr>
      <cdr:spPr>
        <a:xfrm xmlns:a="http://schemas.openxmlformats.org/drawingml/2006/main" rot="16200000">
          <a:off x="4792198" y="2145577"/>
          <a:ext cx="133360"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0.89625</cdr:x>
      <cdr:y>0.57367</cdr:y>
    </cdr:from>
    <cdr:to>
      <cdr:x>0.91543</cdr:x>
      <cdr:y>0.60908</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5317254" y="2170220"/>
          <a:ext cx="133360"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0.18575</cdr:x>
      <cdr:y>0.29771</cdr:y>
    </cdr:from>
    <cdr:to>
      <cdr:x>0.28332</cdr:x>
      <cdr:y>0.35756</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1103995" y="1121234"/>
          <a:ext cx="579917" cy="22540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30</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6</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0.29869</cdr:x>
      <cdr:y>0.44882</cdr:y>
    </cdr:from>
    <cdr:to>
      <cdr:x>0.39626</cdr:x>
      <cdr:y>0.50867</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1775317" y="1690355"/>
          <a:ext cx="579917" cy="22540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9</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2</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0.40298</cdr:x>
      <cdr:y>0.50205</cdr:y>
    </cdr:from>
    <cdr:to>
      <cdr:x>0.50055</cdr:x>
      <cdr:y>0.5619</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395159" y="1890815"/>
          <a:ext cx="579917" cy="22540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25</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2</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0.50651</cdr:x>
      <cdr:y>0.54183</cdr:y>
    </cdr:from>
    <cdr:to>
      <cdr:x>0.60408</cdr:x>
      <cdr:y>0.60168</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010474" y="2040632"/>
          <a:ext cx="579917" cy="22540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0</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2</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0.6101</cdr:x>
      <cdr:y>0.55736</cdr:y>
    </cdr:from>
    <cdr:to>
      <cdr:x>0.70767</cdr:x>
      <cdr:y>0.61721</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626190" y="2099124"/>
          <a:ext cx="579917" cy="22540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23,</a:t>
          </a:r>
          <a:r>
            <a:rPr lang="vi-VN" sz="800">
              <a:solidFill>
                <a:sysClr val="windowText" lastClr="000000"/>
              </a:solidFill>
              <a:latin typeface="Arial" panose="020B0604020202020204" pitchFamily="34" charset="0"/>
              <a:cs typeface="Arial" panose="020B0604020202020204" pitchFamily="34" charset="0"/>
            </a:rPr>
            <a:t>2</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0.81473</cdr:x>
      <cdr:y>0.56323</cdr:y>
    </cdr:from>
    <cdr:to>
      <cdr:x>0.9123</cdr:x>
      <cdr:y>0.62308</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842423" y="2121223"/>
          <a:ext cx="579917" cy="22540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28</a:t>
          </a:r>
          <a:r>
            <a:rPr lang="en-US" sz="800">
              <a:solidFill>
                <a:sysClr val="windowText" lastClr="000000"/>
              </a:solidFill>
              <a:latin typeface="Arial" panose="020B0604020202020204" pitchFamily="34" charset="0"/>
              <a:cs typeface="Arial" panose="020B0604020202020204" pitchFamily="34" charset="0"/>
            </a:rPr>
            <a:t>,</a:t>
          </a:r>
          <a:r>
            <a:rPr lang="vi-VN" sz="800">
              <a:solidFill>
                <a:sysClr val="windowText" lastClr="000000"/>
              </a:solidFill>
              <a:latin typeface="Arial" panose="020B0604020202020204" pitchFamily="34" charset="0"/>
              <a:cs typeface="Arial" panose="020B0604020202020204" pitchFamily="34" charset="0"/>
            </a:rPr>
            <a:t>2</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0.90243</cdr:x>
      <cdr:y>0.56909</cdr:y>
    </cdr:from>
    <cdr:to>
      <cdr:x>1</cdr:x>
      <cdr:y>0.62894</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363683" y="2143299"/>
          <a:ext cx="579917" cy="22540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vi-VN" sz="800">
              <a:solidFill>
                <a:sysClr val="windowText" lastClr="000000"/>
              </a:solidFill>
              <a:latin typeface="Arial" panose="020B0604020202020204" pitchFamily="34" charset="0"/>
              <a:cs typeface="Arial" panose="020B0604020202020204" pitchFamily="34" charset="0"/>
            </a:rPr>
            <a:t>5</a:t>
          </a:r>
          <a:r>
            <a:rPr lang="en-US" sz="800">
              <a:solidFill>
                <a:sysClr val="windowText" lastClr="000000"/>
              </a:solidFill>
              <a:latin typeface="Arial" panose="020B0604020202020204" pitchFamily="34" charset="0"/>
              <a:cs typeface="Arial" panose="020B0604020202020204" pitchFamily="34" charset="0"/>
            </a:rPr>
            <a:t>3,</a:t>
          </a:r>
          <a:r>
            <a:rPr lang="vi-VN" sz="800">
              <a:solidFill>
                <a:sysClr val="windowText" lastClr="000000"/>
              </a:solidFill>
              <a:latin typeface="Arial" panose="020B0604020202020204" pitchFamily="34" charset="0"/>
              <a:cs typeface="Arial" panose="020B0604020202020204" pitchFamily="34" charset="0"/>
            </a:rPr>
            <a:t>6</a:t>
          </a:r>
          <a:r>
            <a:rPr lang="en-US" sz="800">
              <a:solidFill>
                <a:sysClr val="windowText" lastClr="000000"/>
              </a:solidFill>
              <a:latin typeface="Arial" panose="020B0604020202020204" pitchFamily="34" charset="0"/>
              <a:cs typeface="Arial" panose="020B0604020202020204" pitchFamily="34" charset="0"/>
            </a:rPr>
            <a:t>%</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0.8701</cdr:x>
      <cdr:y>0.03151</cdr:y>
    </cdr:from>
    <cdr:to>
      <cdr:x>0.96952</cdr:x>
      <cdr:y>0.08681</cdr:y>
    </cdr:to>
    <cdr:sp macro="" textlink="">
      <cdr:nvSpPr>
        <cdr:cNvPr id="21" name="Text Box 1">
          <a:extLst xmlns:a="http://schemas.openxmlformats.org/drawingml/2006/main">
            <a:ext uri="{FF2B5EF4-FFF2-40B4-BE49-F238E27FC236}">
              <a16:creationId xmlns:a16="http://schemas.microsoft.com/office/drawing/2014/main" id="{B4C738B8-F46D-2323-6949-BB037BC9987B}"/>
            </a:ext>
          </a:extLst>
        </cdr:cNvPr>
        <cdr:cNvSpPr txBox="1"/>
      </cdr:nvSpPr>
      <cdr:spPr>
        <a:xfrm xmlns:a="http://schemas.openxmlformats.org/drawingml/2006/main">
          <a:off x="7251700" y="127000"/>
          <a:ext cx="828603" cy="22286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vi-VN" sz="900" b="1" i="1">
              <a:latin typeface="Arial" panose="020B0604020202020204" pitchFamily="34" charset="0"/>
              <a:cs typeface="Arial" panose="020B0604020202020204" pitchFamily="34" charset="0"/>
            </a:rPr>
            <a:t>Bill. dongs</a:t>
          </a:r>
          <a:endParaRPr lang="en-US" sz="900" b="1" i="1">
            <a:latin typeface="Arial" panose="020B0604020202020204" pitchFamily="34" charset="0"/>
            <a:cs typeface="Arial" panose="020B060402020202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0.58018</cdr:x>
      <cdr:y>0.05114</cdr:y>
    </cdr:from>
    <cdr:to>
      <cdr:x>0.67928</cdr:x>
      <cdr:y>0.13708</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3067050" y="155875"/>
          <a:ext cx="523879"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16.78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0.61802</cdr:x>
      <cdr:y>0.19031</cdr:y>
    </cdr:from>
    <cdr:to>
      <cdr:x>0.72072</cdr:x>
      <cdr:y>0.27625</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3267086" y="580065"/>
          <a:ext cx="542911"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19.12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0.62883</cdr:x>
      <cdr:y>0.32526</cdr:y>
    </cdr:from>
    <cdr:to>
      <cdr:x>0.72793</cdr:x>
      <cdr:y>0.4112</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3324232" y="991392"/>
          <a:ext cx="523880"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19.54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0.72072</cdr:x>
      <cdr:y>0.46367</cdr:y>
    </cdr:from>
    <cdr:to>
      <cdr:x>0.81802</cdr:x>
      <cdr:y>0.54961</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3809997" y="1413266"/>
          <a:ext cx="514364"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22.63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0.78018</cdr:x>
      <cdr:y>0.59862</cdr:y>
    </cdr:from>
    <cdr:to>
      <cdr:x>0.87748</cdr:x>
      <cdr:y>0.68456</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124325" y="1824594"/>
          <a:ext cx="514364"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24.35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66690-B2ED-4A0E-BA7B-49AEBF8DE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32</Pages>
  <Words>8866</Words>
  <Characters>50540</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Thùy Dương</dc:creator>
  <cp:keywords/>
  <dc:description/>
  <cp:lastModifiedBy>Dương Thùy</cp:lastModifiedBy>
  <cp:revision>461</cp:revision>
  <cp:lastPrinted>2022-08-26T03:08:00Z</cp:lastPrinted>
  <dcterms:created xsi:type="dcterms:W3CDTF">2022-08-30T10:04:00Z</dcterms:created>
  <dcterms:modified xsi:type="dcterms:W3CDTF">2022-09-28T08:37:00Z</dcterms:modified>
</cp:coreProperties>
</file>