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XSpec="center" w:tblpY="-2"/>
        <w:tblW w:w="10710" w:type="dxa"/>
        <w:tblLayout w:type="fixed"/>
        <w:tblLook w:val="04A0" w:firstRow="1" w:lastRow="0" w:firstColumn="1" w:lastColumn="0" w:noHBand="0" w:noVBand="1"/>
      </w:tblPr>
      <w:tblGrid>
        <w:gridCol w:w="5490"/>
        <w:gridCol w:w="5220"/>
      </w:tblGrid>
      <w:tr w:rsidR="006A6832" w14:paraId="294A9CC8" w14:textId="77777777" w:rsidTr="007577DA">
        <w:trPr>
          <w:trHeight w:val="1026"/>
        </w:trPr>
        <w:tc>
          <w:tcPr>
            <w:tcW w:w="5490" w:type="dxa"/>
          </w:tcPr>
          <w:p w14:paraId="3D866B75" w14:textId="77777777" w:rsidR="006A6832" w:rsidRDefault="006A6832" w:rsidP="007577DA">
            <w:pPr>
              <w:ind w:left="72" w:right="-115"/>
              <w:jc w:val="center"/>
              <w:rPr>
                <w:spacing w:val="-6"/>
                <w:sz w:val="24"/>
                <w:szCs w:val="24"/>
                <w:lang w:val="en-GB" w:eastAsia="en-GB"/>
              </w:rPr>
            </w:pPr>
            <w:r>
              <w:rPr>
                <w:spacing w:val="-6"/>
                <w:sz w:val="24"/>
                <w:szCs w:val="24"/>
                <w:lang w:val="en-GB" w:eastAsia="en-GB"/>
              </w:rPr>
              <w:softHyphen/>
            </w:r>
            <w:r>
              <w:rPr>
                <w:spacing w:val="-6"/>
                <w:sz w:val="24"/>
                <w:szCs w:val="24"/>
                <w:lang w:val="en-GB" w:eastAsia="en-GB"/>
              </w:rPr>
              <w:softHyphen/>
            </w:r>
            <w:r>
              <w:rPr>
                <w:spacing w:val="-6"/>
                <w:sz w:val="24"/>
                <w:szCs w:val="24"/>
                <w:lang w:val="en-GB" w:eastAsia="en-GB"/>
              </w:rPr>
              <w:softHyphen/>
            </w:r>
            <w:r>
              <w:rPr>
                <w:spacing w:val="-6"/>
                <w:sz w:val="24"/>
                <w:szCs w:val="24"/>
                <w:lang w:val="en-GB" w:eastAsia="en-GB"/>
              </w:rPr>
              <w:softHyphen/>
              <w:t>MINISTRY OF PLANNING AND INVESTMENT</w:t>
            </w:r>
          </w:p>
          <w:p w14:paraId="68D54BFB" w14:textId="77777777" w:rsidR="006A6832" w:rsidRDefault="006A6832" w:rsidP="007577DA">
            <w:pPr>
              <w:ind w:left="72" w:right="-115"/>
              <w:jc w:val="center"/>
              <w:rPr>
                <w:b/>
                <w:bCs/>
                <w:spacing w:val="-6"/>
                <w:sz w:val="24"/>
                <w:szCs w:val="24"/>
                <w:lang w:val="en-GB" w:eastAsia="en-GB"/>
              </w:rPr>
            </w:pPr>
            <w:r>
              <w:rPr>
                <w:noProof/>
              </w:rPr>
              <mc:AlternateContent>
                <mc:Choice Requires="wps">
                  <w:drawing>
                    <wp:anchor distT="4294967292" distB="4294967292" distL="114300" distR="114300" simplePos="0" relativeHeight="251664384" behindDoc="0" locked="0" layoutInCell="1" allowOverlap="1" wp14:anchorId="2E6D73EF" wp14:editId="3805520B">
                      <wp:simplePos x="0" y="0"/>
                      <wp:positionH relativeFrom="column">
                        <wp:posOffset>1145540</wp:posOffset>
                      </wp:positionH>
                      <wp:positionV relativeFrom="paragraph">
                        <wp:posOffset>203200</wp:posOffset>
                      </wp:positionV>
                      <wp:extent cx="971550" cy="0"/>
                      <wp:effectExtent l="0" t="0" r="0"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57EAAD1" id="Straight Connector 30"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0.2pt,16pt" to="166.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" strokeweight="1pt"/>
                  </w:pict>
                </mc:Fallback>
              </mc:AlternateContent>
            </w:r>
            <w:r>
              <w:rPr>
                <w:b/>
                <w:bCs/>
                <w:spacing w:val="-6"/>
                <w:sz w:val="24"/>
                <w:szCs w:val="24"/>
                <w:lang w:val="en-GB" w:eastAsia="en-GB"/>
              </w:rPr>
              <w:t>GENERAL STATISTICS OFFICE</w:t>
            </w:r>
          </w:p>
          <w:p w14:paraId="59D0CC46" w14:textId="77777777" w:rsidR="006A6832" w:rsidRDefault="006A6832" w:rsidP="007577DA">
            <w:pPr>
              <w:spacing w:before="120"/>
              <w:ind w:left="16" w:right="-18"/>
              <w:jc w:val="center"/>
              <w:rPr>
                <w:sz w:val="26"/>
                <w:szCs w:val="26"/>
                <w:lang w:val="en-GB" w:eastAsia="en-GB"/>
              </w:rPr>
            </w:pPr>
          </w:p>
          <w:p w14:paraId="132076ED" w14:textId="77777777" w:rsidR="006A6832" w:rsidRDefault="006A6832" w:rsidP="007577DA">
            <w:pPr>
              <w:spacing w:before="120"/>
              <w:ind w:left="16" w:right="-18"/>
              <w:jc w:val="center"/>
              <w:rPr>
                <w:sz w:val="26"/>
                <w:szCs w:val="26"/>
                <w:lang w:eastAsia="en-GB"/>
              </w:rPr>
            </w:pPr>
            <w:r>
              <w:rPr>
                <w:sz w:val="26"/>
                <w:szCs w:val="26"/>
                <w:lang w:val="en-GB" w:eastAsia="en-GB"/>
              </w:rPr>
              <w:t>No: 71/BC-TCT</w:t>
            </w:r>
            <w:r>
              <w:rPr>
                <w:sz w:val="26"/>
                <w:szCs w:val="26"/>
                <w:lang w:val="vi-VN" w:eastAsia="en-GB"/>
              </w:rPr>
              <w:t>K</w:t>
            </w:r>
          </w:p>
          <w:p w14:paraId="3A398F71" w14:textId="77777777" w:rsidR="006A6832" w:rsidRPr="006A6832" w:rsidRDefault="006A6832" w:rsidP="007577DA">
            <w:pPr>
              <w:spacing w:before="120"/>
              <w:ind w:left="16" w:right="-18"/>
              <w:jc w:val="center"/>
              <w:rPr>
                <w:sz w:val="26"/>
                <w:szCs w:val="26"/>
                <w:lang w:eastAsia="en-GB"/>
              </w:rPr>
            </w:pPr>
          </w:p>
        </w:tc>
        <w:tc>
          <w:tcPr>
            <w:tcW w:w="5220" w:type="dxa"/>
          </w:tcPr>
          <w:p w14:paraId="4D40BF1C" w14:textId="77777777" w:rsidR="006A6832" w:rsidRDefault="006A6832" w:rsidP="007577DA">
            <w:pPr>
              <w:rPr>
                <w:b/>
                <w:bCs/>
                <w:sz w:val="24"/>
                <w:szCs w:val="24"/>
                <w:lang w:val="en-GB" w:eastAsia="en-GB"/>
              </w:rPr>
            </w:pPr>
            <w:r>
              <w:rPr>
                <w:b/>
                <w:bCs/>
                <w:sz w:val="24"/>
                <w:szCs w:val="24"/>
                <w:lang w:val="en-GB" w:eastAsia="en-GB"/>
              </w:rPr>
              <w:t>SOCIALIST REPUBLIC OF VIET NAM</w:t>
            </w:r>
          </w:p>
          <w:p w14:paraId="47F085F0" w14:textId="77777777" w:rsidR="006A6832" w:rsidRDefault="006A6832" w:rsidP="007577DA">
            <w:pPr>
              <w:rPr>
                <w:b/>
                <w:bCs/>
                <w:sz w:val="24"/>
                <w:szCs w:val="24"/>
                <w:lang w:val="en-GB" w:eastAsia="en-GB"/>
              </w:rPr>
            </w:pPr>
            <w:r>
              <w:rPr>
                <w:noProof/>
              </w:rPr>
              <mc:AlternateContent>
                <mc:Choice Requires="wps">
                  <w:drawing>
                    <wp:anchor distT="4294967292" distB="4294967292" distL="114300" distR="114300" simplePos="0" relativeHeight="251665408" behindDoc="0" locked="0" layoutInCell="1" allowOverlap="1" wp14:anchorId="3F294F01" wp14:editId="2EC8BF7E">
                      <wp:simplePos x="0" y="0"/>
                      <wp:positionH relativeFrom="column">
                        <wp:posOffset>336550</wp:posOffset>
                      </wp:positionH>
                      <wp:positionV relativeFrom="paragraph">
                        <wp:posOffset>203200</wp:posOffset>
                      </wp:positionV>
                      <wp:extent cx="1884045"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4045"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4A8C09F" id="Straight Connector 13"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5pt,16pt" to="174.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" strokeweight="1pt"/>
                  </w:pict>
                </mc:Fallback>
              </mc:AlternateContent>
            </w:r>
            <w:r>
              <w:rPr>
                <w:b/>
                <w:bCs/>
                <w:sz w:val="24"/>
                <w:szCs w:val="24"/>
                <w:lang w:val="en-GB" w:eastAsia="en-GB"/>
              </w:rPr>
              <w:t xml:space="preserve">     Independence-Freedom-Happiness</w:t>
            </w:r>
          </w:p>
          <w:p w14:paraId="714F302F" w14:textId="77777777" w:rsidR="006A6832" w:rsidRDefault="006A6832" w:rsidP="007577DA">
            <w:pPr>
              <w:ind w:left="72"/>
              <w:jc w:val="center"/>
              <w:rPr>
                <w:i/>
                <w:iCs/>
                <w:sz w:val="26"/>
                <w:szCs w:val="26"/>
                <w:lang w:val="en-GB" w:eastAsia="en-GB"/>
              </w:rPr>
            </w:pPr>
          </w:p>
          <w:p w14:paraId="05F87FC7" w14:textId="7EB8243A" w:rsidR="006A6832" w:rsidRDefault="006A6832" w:rsidP="007577DA">
            <w:pPr>
              <w:ind w:left="72" w:right="849"/>
              <w:jc w:val="center"/>
              <w:rPr>
                <w:b/>
                <w:bCs/>
                <w:i/>
                <w:iCs/>
                <w:sz w:val="26"/>
                <w:szCs w:val="26"/>
                <w:lang w:val="en-GB" w:eastAsia="en-GB"/>
              </w:rPr>
            </w:pPr>
            <w:r>
              <w:rPr>
                <w:i/>
                <w:iCs/>
                <w:sz w:val="26"/>
                <w:szCs w:val="26"/>
                <w:lang w:val="en-GB" w:eastAsia="en-GB"/>
              </w:rPr>
              <w:t>Ha Noi, 28</w:t>
            </w:r>
            <w:r>
              <w:rPr>
                <w:i/>
                <w:iCs/>
                <w:sz w:val="26"/>
                <w:szCs w:val="26"/>
                <w:vertAlign w:val="superscript"/>
                <w:lang w:val="en-GB" w:eastAsia="en-GB"/>
              </w:rPr>
              <w:t>th</w:t>
            </w:r>
            <w:r>
              <w:rPr>
                <w:i/>
                <w:iCs/>
                <w:sz w:val="26"/>
                <w:szCs w:val="26"/>
                <w:lang w:val="en-GB" w:eastAsia="en-GB"/>
              </w:rPr>
              <w:t xml:space="preserve"> May 2024</w:t>
            </w:r>
          </w:p>
        </w:tc>
      </w:tr>
    </w:tbl>
    <w:p w14:paraId="0C632A0E" w14:textId="77777777" w:rsidR="006A6832" w:rsidRDefault="006A6832" w:rsidP="006A6832">
      <w:pPr>
        <w:jc w:val="center"/>
        <w:rPr>
          <w:b/>
          <w:bCs/>
          <w:sz w:val="34"/>
          <w:szCs w:val="34"/>
        </w:rPr>
      </w:pPr>
      <w:r w:rsidRPr="00F819D7">
        <w:rPr>
          <w:b/>
          <w:bCs/>
          <w:sz w:val="34"/>
          <w:szCs w:val="34"/>
        </w:rPr>
        <w:t xml:space="preserve">Socio-economic situation report </w:t>
      </w:r>
    </w:p>
    <w:p w14:paraId="535124D1" w14:textId="2C203AE8" w:rsidR="006A6832" w:rsidRDefault="006A6832" w:rsidP="006A6832">
      <w:pPr>
        <w:jc w:val="center"/>
        <w:rPr>
          <w:b/>
          <w:bCs/>
          <w:sz w:val="34"/>
          <w:szCs w:val="34"/>
        </w:rPr>
      </w:pPr>
      <w:r w:rsidRPr="000169D6">
        <w:rPr>
          <w:rFonts w:ascii="Arial" w:hAnsi="Arial" w:cs="Arial"/>
          <w:b/>
          <w:bCs/>
          <w:noProof/>
          <w:sz w:val="50"/>
          <w:szCs w:val="52"/>
        </w:rPr>
        <mc:AlternateContent>
          <mc:Choice Requires="wps">
            <w:drawing>
              <wp:anchor distT="0" distB="0" distL="114300" distR="114300" simplePos="0" relativeHeight="251667456" behindDoc="0" locked="0" layoutInCell="1" allowOverlap="1" wp14:anchorId="355A2577" wp14:editId="5E5C10C8">
                <wp:simplePos x="0" y="0"/>
                <wp:positionH relativeFrom="column">
                  <wp:posOffset>2078990</wp:posOffset>
                </wp:positionH>
                <wp:positionV relativeFrom="paragraph">
                  <wp:posOffset>340995</wp:posOffset>
                </wp:positionV>
                <wp:extent cx="1412875" cy="0"/>
                <wp:effectExtent l="10160" t="6985" r="5715" b="12065"/>
                <wp:wrapNone/>
                <wp:docPr id="1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713996" id="_x0000_t32" coordsize="21600,21600" o:spt="32" o:oned="t" path="m,l21600,21600e" filled="f">
                <v:path arrowok="t" fillok="f" o:connecttype="none"/>
                <o:lock v:ext="edit" shapetype="t"/>
              </v:shapetype>
              <v:shape id="AutoShape 4" o:spid="_x0000_s1026" type="#_x0000_t32" style="position:absolute;margin-left:163.7pt;margin-top:26.85pt;width:111.2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"/>
            </w:pict>
          </mc:Fallback>
        </mc:AlternateContent>
      </w:r>
      <w:r>
        <w:rPr>
          <w:b/>
          <w:bCs/>
          <w:sz w:val="34"/>
          <w:szCs w:val="34"/>
        </w:rPr>
        <w:t>April</w:t>
      </w:r>
      <w:r w:rsidRPr="00F819D7">
        <w:rPr>
          <w:b/>
          <w:bCs/>
          <w:sz w:val="34"/>
          <w:szCs w:val="34"/>
        </w:rPr>
        <w:t xml:space="preserve"> </w:t>
      </w:r>
      <w:r>
        <w:rPr>
          <w:b/>
          <w:bCs/>
          <w:sz w:val="34"/>
          <w:szCs w:val="34"/>
        </w:rPr>
        <w:t>and 5 months of 2024</w:t>
      </w:r>
    </w:p>
    <w:p w14:paraId="7DE10B96" w14:textId="77777777" w:rsidR="006A6832" w:rsidRDefault="006A6832" w:rsidP="006A6832">
      <w:pPr>
        <w:spacing w:before="60" w:after="60" w:line="264" w:lineRule="auto"/>
        <w:jc w:val="both"/>
      </w:pPr>
    </w:p>
    <w:p w14:paraId="1D6750C0" w14:textId="7B48DA44" w:rsidR="00E52C24" w:rsidRPr="00781552" w:rsidRDefault="00E52C24" w:rsidP="00781552">
      <w:pPr>
        <w:pStyle w:val="ListParagraph"/>
        <w:numPr>
          <w:ilvl w:val="0"/>
          <w:numId w:val="2"/>
        </w:numPr>
        <w:spacing w:before="60" w:after="60" w:line="264" w:lineRule="auto"/>
        <w:jc w:val="both"/>
        <w:rPr>
          <w:b/>
          <w:bCs/>
        </w:rPr>
      </w:pPr>
      <w:r w:rsidRPr="00781552">
        <w:rPr>
          <w:b/>
          <w:bCs/>
        </w:rPr>
        <w:t>Agricultural, forestry and fishery production</w:t>
      </w:r>
    </w:p>
    <w:p w14:paraId="1F91A2DB" w14:textId="77777777" w:rsidR="00E52C24" w:rsidRDefault="00E52C24" w:rsidP="00E52C24">
      <w:pPr>
        <w:tabs>
          <w:tab w:val="left" w:pos="851"/>
        </w:tabs>
        <w:spacing w:before="60" w:after="60" w:line="264" w:lineRule="auto"/>
        <w:ind w:firstLine="540"/>
        <w:jc w:val="both"/>
        <w:rPr>
          <w:b/>
          <w:bCs/>
          <w:i/>
          <w:iCs/>
        </w:rPr>
      </w:pPr>
      <w:r w:rsidRPr="008A39CC">
        <w:rPr>
          <w:i/>
          <w:iCs/>
          <w:spacing w:val="-2"/>
          <w:lang w:val="nl-NL" w:eastAsia="en-GB"/>
        </w:rPr>
        <w:t>Agricultural production in May with the main task of focusing on taking care of spring rice in the northern localities; t</w:t>
      </w:r>
      <w:r>
        <w:rPr>
          <w:i/>
          <w:iCs/>
          <w:spacing w:val="-2"/>
          <w:lang w:val="nl-NL" w:eastAsia="en-GB"/>
        </w:rPr>
        <w:t xml:space="preserve">ending, harvesting rice, </w:t>
      </w:r>
      <w:r w:rsidRPr="008A39CC">
        <w:rPr>
          <w:i/>
          <w:iCs/>
          <w:spacing w:val="-2"/>
          <w:lang w:val="nl-NL" w:eastAsia="en-GB"/>
        </w:rPr>
        <w:t xml:space="preserve">spring crops and sowing summer-autumn rice varieties in southern localities. </w:t>
      </w:r>
      <w:r w:rsidR="002A18AD" w:rsidRPr="002A18AD">
        <w:rPr>
          <w:i/>
          <w:iCs/>
          <w:spacing w:val="-2"/>
          <w:lang w:val="nl-NL" w:eastAsia="en-GB"/>
        </w:rPr>
        <w:t xml:space="preserve">Pig and poultry farming </w:t>
      </w:r>
      <w:r w:rsidRPr="008A39CC">
        <w:rPr>
          <w:i/>
          <w:iCs/>
          <w:spacing w:val="-2"/>
          <w:lang w:val="nl-NL" w:eastAsia="en-GB"/>
        </w:rPr>
        <w:t xml:space="preserve">has developed quite well, the disease on livestock and poultry was strictly controlled. Forestry production was stable, localities continue to plant new forests as planned. </w:t>
      </w:r>
      <w:r w:rsidR="002A18AD" w:rsidRPr="002A18AD">
        <w:rPr>
          <w:i/>
          <w:iCs/>
          <w:spacing w:val="-2"/>
          <w:lang w:val="nl-NL" w:eastAsia="en-GB"/>
        </w:rPr>
        <w:t>Aquaculture grew well because the application of advanced and effective farming methods. Marine fisheries exploitation achieved positive results due to relatively favorable weather.</w:t>
      </w:r>
      <w:r w:rsidRPr="008A39CC">
        <w:rPr>
          <w:i/>
          <w:iCs/>
          <w:spacing w:val="-2"/>
          <w:lang w:val="nl-NL" w:eastAsia="en-GB"/>
        </w:rPr>
        <w:t>.</w:t>
      </w:r>
      <w:r w:rsidRPr="008A39CC">
        <w:rPr>
          <w:b/>
          <w:bCs/>
          <w:i/>
          <w:iCs/>
        </w:rPr>
        <w:t xml:space="preserve"> </w:t>
      </w:r>
    </w:p>
    <w:p w14:paraId="31215B84" w14:textId="77777777" w:rsidR="00E52C24" w:rsidRPr="003D1613" w:rsidRDefault="00E52C24" w:rsidP="00E52C24">
      <w:pPr>
        <w:pStyle w:val="ListParagraph"/>
        <w:tabs>
          <w:tab w:val="left" w:pos="851"/>
        </w:tabs>
        <w:spacing w:before="60" w:after="60" w:line="264" w:lineRule="auto"/>
        <w:ind w:left="567"/>
        <w:contextualSpacing w:val="0"/>
        <w:jc w:val="both"/>
        <w:rPr>
          <w:b/>
          <w:bCs/>
          <w:i/>
          <w:iCs/>
        </w:rPr>
      </w:pPr>
      <w:r>
        <w:rPr>
          <w:b/>
          <w:bCs/>
          <w:i/>
          <w:iCs/>
        </w:rPr>
        <w:t xml:space="preserve">a) </w:t>
      </w:r>
      <w:r w:rsidRPr="003D1613">
        <w:rPr>
          <w:b/>
          <w:bCs/>
          <w:i/>
          <w:iCs/>
        </w:rPr>
        <w:t>Agriculture</w:t>
      </w:r>
    </w:p>
    <w:p w14:paraId="67C09405" w14:textId="77777777" w:rsidR="00E52C24" w:rsidRPr="0090487D" w:rsidRDefault="00E52C24" w:rsidP="00E52C24">
      <w:pPr>
        <w:spacing w:before="40" w:after="40"/>
        <w:ind w:firstLine="567"/>
        <w:jc w:val="both"/>
        <w:rPr>
          <w:i/>
          <w:lang w:val="pt-BR"/>
        </w:rPr>
      </w:pPr>
      <w:r w:rsidRPr="0090487D">
        <w:rPr>
          <w:i/>
          <w:lang w:val="pt-BR"/>
        </w:rPr>
        <w:t>Spring paddy</w:t>
      </w:r>
    </w:p>
    <w:p w14:paraId="61FB5F14" w14:textId="77777777" w:rsidR="009369BD" w:rsidRPr="009369BD" w:rsidRDefault="009369BD" w:rsidP="009369BD">
      <w:pPr>
        <w:shd w:val="clear" w:color="auto" w:fill="FFFFFF"/>
        <w:spacing w:after="120" w:line="276" w:lineRule="auto"/>
        <w:ind w:firstLine="567"/>
        <w:jc w:val="both"/>
        <w:rPr>
          <w:shd w:val="clear" w:color="auto" w:fill="FFFFFF"/>
          <w:lang w:val="nl-NL"/>
        </w:rPr>
      </w:pPr>
      <w:r w:rsidRPr="009369BD">
        <w:rPr>
          <w:shd w:val="clear" w:color="auto" w:fill="FFFFFF"/>
          <w:lang w:val="nl-NL"/>
        </w:rPr>
        <w:t>In the spring rice crop of 2024, the country cultivated 2,953.6 thousand hectares, an increase of 0.9 thousand hectares compared to the previous year's spring crop. Northern localities cultivated 1,059.4 thousand hectares, down 8.5 thousand hectares, of which the Red River Delta reached 471.3 thousand hectares, down 5.6 thousand hectares. Southern localities planted 1,894.2 thousand hectares, an increase of 9.4 thousand hectares compared to the spring crop last year, of which the Mekong Delta region reached 1,487.7 thousand hectares, an increase of 9 thousand hectares, the main reason being due to high rice prices, farmers switched from late autumn-wi</w:t>
      </w:r>
      <w:r w:rsidR="00245561">
        <w:rPr>
          <w:shd w:val="clear" w:color="auto" w:fill="FFFFFF"/>
          <w:lang w:val="nl-NL"/>
        </w:rPr>
        <w:t xml:space="preserve">nter rice areas to early </w:t>
      </w:r>
      <w:r w:rsidRPr="009369BD">
        <w:rPr>
          <w:shd w:val="clear" w:color="auto" w:fill="FFFFFF"/>
          <w:lang w:val="nl-NL"/>
        </w:rPr>
        <w:t>spring. Some localities had a high increase in planted area compared to last year's spring crop, such as Long An reaching 235.7 thousand hectares, an increase of 10.6 thousand hectares; Bac Lieu reached 45 thousand hectares, an increase of 1.8 thousand hectares.</w:t>
      </w:r>
    </w:p>
    <w:p w14:paraId="037B6540" w14:textId="77777777" w:rsidR="0005038D" w:rsidRDefault="009369BD" w:rsidP="009369BD">
      <w:pPr>
        <w:shd w:val="clear" w:color="auto" w:fill="FFFFFF"/>
        <w:spacing w:after="120" w:line="276" w:lineRule="auto"/>
        <w:ind w:firstLine="567"/>
        <w:jc w:val="both"/>
        <w:rPr>
          <w:shd w:val="clear" w:color="auto" w:fill="FFFFFF"/>
          <w:lang w:val="nl-NL"/>
        </w:rPr>
      </w:pPr>
      <w:r w:rsidRPr="009369BD">
        <w:rPr>
          <w:shd w:val="clear" w:color="auto" w:fill="FFFFFF"/>
          <w:lang w:val="nl-NL"/>
        </w:rPr>
        <w:t xml:space="preserve">As of 15/5/2024, southern localities have basically finished harvesting spring rice with an area of ​​1,885.6 thousand hectares, accounting for 99.5% of the cultivated area and equal to 100.5% of the same period last year. </w:t>
      </w:r>
      <w:r w:rsidR="000402BB">
        <w:rPr>
          <w:shd w:val="clear" w:color="auto" w:fill="FFFFFF"/>
          <w:lang w:val="nl-NL"/>
        </w:rPr>
        <w:t xml:space="preserve">Of </w:t>
      </w:r>
      <w:r w:rsidRPr="009369BD">
        <w:rPr>
          <w:shd w:val="clear" w:color="auto" w:fill="FFFFFF"/>
          <w:lang w:val="nl-NL"/>
        </w:rPr>
        <w:t>which</w:t>
      </w:r>
      <w:r w:rsidR="00AE451A">
        <w:rPr>
          <w:shd w:val="clear" w:color="auto" w:fill="FFFFFF"/>
          <w:lang w:val="nl-NL"/>
        </w:rPr>
        <w:t>,</w:t>
      </w:r>
      <w:r w:rsidRPr="009369BD">
        <w:rPr>
          <w:shd w:val="clear" w:color="auto" w:fill="FFFFFF"/>
          <w:lang w:val="nl-NL"/>
        </w:rPr>
        <w:t xml:space="preserve"> the Mekong Delta </w:t>
      </w:r>
      <w:r w:rsidRPr="009369BD">
        <w:rPr>
          <w:shd w:val="clear" w:color="auto" w:fill="FFFFFF"/>
          <w:lang w:val="nl-NL"/>
        </w:rPr>
        <w:lastRenderedPageBreak/>
        <w:t>region reached 1,487.5 thousand hectares, accounting for nearly 100% of the cultivated area. Spring rice yield was estimated at 72.3 quintal/ha, an increase of 0.1 quintal/ha compared to last year's spring crop. Some localities have increased rice productivity such as Tra Vinh increased by 6.0 quintal/hectare; Soc Trang increased by 2.0 quintal/ha; Vinh Long increased by 1.9 quintal/ha; Kien Giang increased by 0.7 quintal/ha; Tien Giang and Can Tho both increased by 0.4 quintal/ha.</w:t>
      </w:r>
    </w:p>
    <w:p w14:paraId="2FE7F9B4" w14:textId="77777777" w:rsidR="0005038D" w:rsidRPr="00920C9C" w:rsidRDefault="0005038D" w:rsidP="0005038D">
      <w:pPr>
        <w:spacing w:before="40" w:after="40" w:line="300" w:lineRule="auto"/>
        <w:ind w:firstLine="567"/>
        <w:jc w:val="both"/>
        <w:rPr>
          <w:i/>
        </w:rPr>
      </w:pPr>
      <w:bookmarkStart w:id="0" w:name="_Hlk134106570"/>
      <w:r w:rsidRPr="00920C9C">
        <w:rPr>
          <w:i/>
        </w:rPr>
        <w:t>Autumn paddy</w:t>
      </w:r>
    </w:p>
    <w:bookmarkEnd w:id="0"/>
    <w:p w14:paraId="716343BB" w14:textId="77777777" w:rsidR="00E52C24" w:rsidRPr="00F73ED4" w:rsidRDefault="00BC4708" w:rsidP="00E52C24">
      <w:pPr>
        <w:shd w:val="clear" w:color="auto" w:fill="FFFFFF"/>
        <w:spacing w:after="120" w:line="276" w:lineRule="auto"/>
        <w:ind w:firstLine="567"/>
        <w:jc w:val="both"/>
        <w:rPr>
          <w:lang w:val="sv-SE"/>
        </w:rPr>
      </w:pPr>
      <w:r w:rsidRPr="00BC4708">
        <w:rPr>
          <w:lang w:val="sv-SE"/>
        </w:rPr>
        <w:t>Along with the winter-spring rice harvest, by mid-May, southern localities had planted 1,059.4 thousand hectares of summer-autumn rice, equal to 96.1% of the same period last year, of which the Mekong Delta reached 959.7 thousand hectares, equal to 95.1%. This year's summer-autumn rice planting progress was slower than the same period last year mainly due to hot weather, lack of water and late rain. Currently, summer-autumn rice was in the tillering stage until green coagulate stage, the rice plant was growing and developing quite well. Because summer-autumn rice grows in hot conditions and high temperatures can lack water at the beginning of the season, so localities have advised farmers to choose to plant high-quality rice varieties with short growing periods and s trictly comply the sowing schedule and manage water resources well to limit the effects of drought and saltwater intrusion.</w:t>
      </w:r>
    </w:p>
    <w:p w14:paraId="082A58DE" w14:textId="77777777" w:rsidR="00BC4708" w:rsidRPr="00AE200A" w:rsidRDefault="00BC4708" w:rsidP="00BC4708">
      <w:pPr>
        <w:spacing w:before="40" w:after="40" w:line="276" w:lineRule="auto"/>
        <w:ind w:firstLine="567"/>
        <w:jc w:val="both"/>
        <w:rPr>
          <w:i/>
          <w:iCs/>
          <w:shd w:val="clear" w:color="auto" w:fill="FFFFFF"/>
        </w:rPr>
      </w:pPr>
      <w:r w:rsidRPr="00AE200A">
        <w:rPr>
          <w:i/>
          <w:iCs/>
          <w:shd w:val="clear" w:color="auto" w:fill="FFFFFF"/>
        </w:rPr>
        <w:t>Annual crops</w:t>
      </w:r>
    </w:p>
    <w:p w14:paraId="5BA000E8" w14:textId="77777777" w:rsidR="00BC4708" w:rsidRDefault="00BC4708" w:rsidP="00BC4708">
      <w:pPr>
        <w:spacing w:before="120" w:after="120" w:line="271" w:lineRule="auto"/>
        <w:ind w:firstLine="720"/>
        <w:jc w:val="both"/>
        <w:rPr>
          <w:lang w:val="de-DE"/>
        </w:rPr>
      </w:pPr>
      <w:r w:rsidRPr="00AE200A">
        <w:rPr>
          <w:lang w:val="de-DE"/>
        </w:rPr>
        <w:t>Along with rice cultivation, localities across the coun</w:t>
      </w:r>
      <w:r w:rsidR="00990FD0">
        <w:rPr>
          <w:lang w:val="de-DE"/>
        </w:rPr>
        <w:t>try are planting annual crops. Of</w:t>
      </w:r>
      <w:r w:rsidRPr="00AE200A">
        <w:rPr>
          <w:lang w:val="de-DE"/>
        </w:rPr>
        <w:t xml:space="preserve"> which, the area of </w:t>
      </w:r>
      <w:r>
        <w:rPr>
          <w:lang w:val="de-DE"/>
        </w:rPr>
        <w:t>maize</w:t>
      </w:r>
      <w:r w:rsidRPr="00AE200A">
        <w:rPr>
          <w:lang w:val="de-DE"/>
        </w:rPr>
        <w:t>, soybeans and peanuts continued to decrease over the same period last year mainly due to low economic efficiency.</w:t>
      </w:r>
    </w:p>
    <w:p w14:paraId="244FB054" w14:textId="77777777" w:rsidR="00BC4708" w:rsidRPr="008907B5" w:rsidRDefault="00BC4708" w:rsidP="00BC4708">
      <w:pPr>
        <w:spacing w:before="40" w:after="40" w:line="271" w:lineRule="auto"/>
        <w:jc w:val="center"/>
        <w:rPr>
          <w:rFonts w:ascii="Arial" w:hAnsi="Arial" w:cs="Arial"/>
          <w:sz w:val="24"/>
          <w:szCs w:val="24"/>
          <w:lang w:val="de-DE"/>
        </w:rPr>
      </w:pPr>
      <w:r>
        <w:rPr>
          <w:rFonts w:ascii="Arial" w:hAnsi="Arial" w:cs="Arial"/>
          <w:b/>
          <w:sz w:val="24"/>
          <w:szCs w:val="24"/>
          <w:lang w:val="de-DE"/>
        </w:rPr>
        <w:t>Figure</w:t>
      </w:r>
      <w:r w:rsidRPr="009F297E">
        <w:rPr>
          <w:rFonts w:ascii="Arial" w:hAnsi="Arial" w:cs="Arial"/>
          <w:b/>
          <w:sz w:val="24"/>
          <w:szCs w:val="24"/>
          <w:lang w:val="de-DE"/>
        </w:rPr>
        <w:t xml:space="preserve"> </w:t>
      </w:r>
      <w:r>
        <w:rPr>
          <w:rFonts w:ascii="Arial" w:hAnsi="Arial" w:cs="Arial"/>
          <w:b/>
          <w:sz w:val="24"/>
          <w:szCs w:val="24"/>
          <w:lang w:val="de-DE"/>
        </w:rPr>
        <w:t xml:space="preserve">1: </w:t>
      </w:r>
      <w:r w:rsidRPr="0037796E">
        <w:rPr>
          <w:rFonts w:ascii="Arial" w:hAnsi="Arial" w:cs="Arial"/>
          <w:b/>
          <w:sz w:val="24"/>
          <w:szCs w:val="24"/>
          <w:lang w:val="de-DE"/>
        </w:rPr>
        <w:t>Cultivation area of some annual crops</w:t>
      </w:r>
    </w:p>
    <w:p w14:paraId="202C5D82" w14:textId="77777777" w:rsidR="00BC4708" w:rsidRDefault="00BC4708" w:rsidP="00BC4708">
      <w:pPr>
        <w:spacing w:before="40" w:after="40" w:line="271" w:lineRule="auto"/>
        <w:jc w:val="center"/>
        <w:rPr>
          <w:rFonts w:ascii="Arial" w:hAnsi="Arial" w:cs="Arial"/>
          <w:bCs/>
          <w:i/>
          <w:iCs/>
          <w:sz w:val="24"/>
          <w:szCs w:val="24"/>
          <w:lang w:val="vi-VN"/>
        </w:rPr>
      </w:pPr>
      <w:r w:rsidRPr="00DA78D0">
        <w:rPr>
          <w:rFonts w:ascii="Arial" w:hAnsi="Arial" w:cs="Arial"/>
          <w:bCs/>
          <w:i/>
          <w:iCs/>
          <w:sz w:val="24"/>
          <w:szCs w:val="24"/>
          <w:lang w:val="vi-VN"/>
        </w:rPr>
        <w:t xml:space="preserve"> (</w:t>
      </w:r>
      <w:r>
        <w:rPr>
          <w:i/>
          <w:lang w:val="de-DE"/>
        </w:rPr>
        <w:t>As of mid 5/2024</w:t>
      </w:r>
      <w:r w:rsidRPr="00DA78D0">
        <w:rPr>
          <w:rFonts w:ascii="Arial" w:hAnsi="Arial" w:cs="Arial"/>
          <w:bCs/>
          <w:i/>
          <w:iCs/>
          <w:sz w:val="24"/>
          <w:szCs w:val="24"/>
          <w:lang w:val="vi-VN"/>
        </w:rPr>
        <w:t>)</w:t>
      </w:r>
    </w:p>
    <w:p w14:paraId="610C19A5" w14:textId="77777777" w:rsidR="00E52C24" w:rsidRPr="00F73ED4" w:rsidRDefault="00BC4708" w:rsidP="00E52C24">
      <w:pPr>
        <w:spacing w:before="40" w:after="40" w:line="271" w:lineRule="auto"/>
        <w:jc w:val="center"/>
        <w:rPr>
          <w:rFonts w:ascii="Arial" w:hAnsi="Arial" w:cs="Arial"/>
          <w:bCs/>
          <w:i/>
          <w:iCs/>
          <w:sz w:val="24"/>
          <w:lang w:val="vi-VN"/>
        </w:rPr>
      </w:pPr>
      <w:r>
        <w:rPr>
          <w:noProof/>
        </w:rPr>
        <w:lastRenderedPageBreak/>
        <w:drawing>
          <wp:inline distT="0" distB="0" distL="0" distR="0" wp14:anchorId="1FB5FAEF" wp14:editId="23685674">
            <wp:extent cx="5895975" cy="2324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95975" cy="2324100"/>
                    </a:xfrm>
                    <a:prstGeom prst="rect">
                      <a:avLst/>
                    </a:prstGeom>
                    <a:noFill/>
                    <a:ln>
                      <a:noFill/>
                    </a:ln>
                  </pic:spPr>
                </pic:pic>
              </a:graphicData>
            </a:graphic>
          </wp:inline>
        </w:drawing>
      </w:r>
    </w:p>
    <w:p w14:paraId="2840AB7B" w14:textId="77777777" w:rsidR="00E52C24" w:rsidRPr="00F73ED4" w:rsidRDefault="00E52C24" w:rsidP="00E52C24">
      <w:pPr>
        <w:spacing w:before="40" w:after="40" w:line="271" w:lineRule="auto"/>
        <w:jc w:val="center"/>
        <w:rPr>
          <w:rFonts w:ascii="Arial" w:hAnsi="Arial" w:cs="Arial"/>
          <w:bCs/>
          <w:i/>
          <w:iCs/>
          <w:sz w:val="24"/>
          <w:lang w:val="vi-VN"/>
        </w:rPr>
      </w:pPr>
    </w:p>
    <w:p w14:paraId="53FF4DAC" w14:textId="77777777" w:rsidR="00BC4708" w:rsidRDefault="00BC4708" w:rsidP="00BC4708">
      <w:pPr>
        <w:spacing w:after="40" w:line="252" w:lineRule="auto"/>
        <w:ind w:firstLine="567"/>
        <w:jc w:val="both"/>
        <w:rPr>
          <w:i/>
          <w:lang w:val="de-DE"/>
        </w:rPr>
      </w:pPr>
      <w:r>
        <w:rPr>
          <w:i/>
          <w:lang w:val="de-DE"/>
        </w:rPr>
        <w:t>Livestock</w:t>
      </w:r>
    </w:p>
    <w:p w14:paraId="04539DF9" w14:textId="77777777" w:rsidR="00BC4708" w:rsidRPr="003568F3" w:rsidRDefault="00BC4708" w:rsidP="00BC4708">
      <w:pPr>
        <w:spacing w:after="40" w:line="252" w:lineRule="auto"/>
        <w:ind w:firstLine="567"/>
        <w:jc w:val="both"/>
        <w:rPr>
          <w:lang w:val="de-DE"/>
        </w:rPr>
      </w:pPr>
      <w:r w:rsidRPr="003568F3">
        <w:rPr>
          <w:lang w:val="de-DE"/>
        </w:rPr>
        <w:t>Buffalo and cow husbandry during the month tended to decrease</w:t>
      </w:r>
      <w:r w:rsidRPr="003568F3">
        <w:rPr>
          <w:rStyle w:val="FootnoteReference"/>
          <w:lang w:val="de-DE"/>
        </w:rPr>
        <w:footnoteReference w:id="1"/>
      </w:r>
      <w:r w:rsidRPr="003568F3">
        <w:rPr>
          <w:lang w:val="de-DE"/>
        </w:rPr>
        <w:t>. The pig herd tends to increase strongly again due to household farming shifting strongly to semi-industrial production, linking with businesses; farm farming in a chain that combines biosecurity, disease safety and application of advanced technology. At the same time, disease prevention, control were good, pork prices have increased compared to the same period last year</w:t>
      </w:r>
      <w:r w:rsidR="003568F3" w:rsidRPr="003568F3">
        <w:rPr>
          <w:rStyle w:val="FootnoteReference"/>
          <w:szCs w:val="26"/>
        </w:rPr>
        <w:footnoteReference w:id="2"/>
      </w:r>
      <w:r w:rsidRPr="003568F3">
        <w:rPr>
          <w:lang w:val="de-DE"/>
        </w:rPr>
        <w:t>, so people promote pig farming. Poultry farming continues to grow due to low input costs, being able to take advantage of available food sources along with stable and increased consumer demand during holidays, bringing high economic efficiency.</w:t>
      </w:r>
    </w:p>
    <w:p w14:paraId="16E00ECF" w14:textId="77777777" w:rsidR="00BC4708" w:rsidRPr="00667ED4" w:rsidRDefault="00BC4708" w:rsidP="00BC4708">
      <w:pPr>
        <w:jc w:val="center"/>
        <w:rPr>
          <w:rFonts w:ascii="Arial" w:hAnsi="Arial" w:cs="Arial"/>
          <w:b/>
          <w:sz w:val="24"/>
          <w:szCs w:val="24"/>
        </w:rPr>
      </w:pPr>
      <w:r w:rsidRPr="00667ED4">
        <w:rPr>
          <w:rFonts w:ascii="Arial" w:hAnsi="Arial" w:cs="Arial"/>
          <w:b/>
          <w:sz w:val="24"/>
          <w:szCs w:val="24"/>
        </w:rPr>
        <w:t>Figure 2. The growth rate of the population of livestock at the</w:t>
      </w:r>
    </w:p>
    <w:p w14:paraId="2CA4DB44" w14:textId="77777777" w:rsidR="00BC4708" w:rsidRDefault="00BC4708" w:rsidP="00BC4708">
      <w:pPr>
        <w:jc w:val="center"/>
        <w:rPr>
          <w:rFonts w:ascii="Arial" w:hAnsi="Arial" w:cs="Arial"/>
          <w:b/>
          <w:sz w:val="24"/>
          <w:szCs w:val="24"/>
        </w:rPr>
      </w:pPr>
      <w:r w:rsidRPr="00667ED4">
        <w:rPr>
          <w:rFonts w:ascii="Arial" w:hAnsi="Arial" w:cs="Arial"/>
          <w:b/>
          <w:sz w:val="24"/>
          <w:szCs w:val="24"/>
        </w:rPr>
        <w:t xml:space="preserve">end of </w:t>
      </w:r>
      <w:proofErr w:type="gramStart"/>
      <w:r w:rsidRPr="00667ED4">
        <w:rPr>
          <w:rFonts w:ascii="Arial" w:hAnsi="Arial" w:cs="Arial"/>
          <w:b/>
          <w:sz w:val="24"/>
          <w:szCs w:val="24"/>
        </w:rPr>
        <w:t>April,</w:t>
      </w:r>
      <w:proofErr w:type="gramEnd"/>
      <w:r w:rsidRPr="00667ED4">
        <w:rPr>
          <w:rFonts w:ascii="Arial" w:hAnsi="Arial" w:cs="Arial"/>
          <w:b/>
          <w:sz w:val="24"/>
          <w:szCs w:val="24"/>
        </w:rPr>
        <w:t xml:space="preserve"> 202</w:t>
      </w:r>
      <w:r>
        <w:rPr>
          <w:rFonts w:ascii="Arial" w:hAnsi="Arial" w:cs="Arial"/>
          <w:b/>
          <w:sz w:val="24"/>
          <w:szCs w:val="24"/>
        </w:rPr>
        <w:t>4</w:t>
      </w:r>
      <w:r w:rsidRPr="00667ED4">
        <w:rPr>
          <w:rFonts w:ascii="Arial" w:hAnsi="Arial" w:cs="Arial"/>
          <w:b/>
          <w:sz w:val="24"/>
          <w:szCs w:val="24"/>
        </w:rPr>
        <w:t xml:space="preserve"> compared to the same time last year</w:t>
      </w:r>
    </w:p>
    <w:p w14:paraId="4B7C7ECB" w14:textId="77777777" w:rsidR="00E52C24" w:rsidRPr="00F73ED4" w:rsidRDefault="00BC4708" w:rsidP="00BC4708">
      <w:pPr>
        <w:jc w:val="center"/>
        <w:rPr>
          <w:rFonts w:ascii="Arial" w:hAnsi="Arial" w:cs="Arial"/>
          <w:b/>
          <w:sz w:val="24"/>
          <w:lang w:val="es-AR"/>
        </w:rPr>
      </w:pPr>
      <w:r>
        <w:rPr>
          <w:noProof/>
        </w:rPr>
        <w:drawing>
          <wp:inline distT="0" distB="0" distL="0" distR="0" wp14:anchorId="74C95962" wp14:editId="6B76FC1C">
            <wp:extent cx="5762625" cy="15335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1533525"/>
                    </a:xfrm>
                    <a:prstGeom prst="rect">
                      <a:avLst/>
                    </a:prstGeom>
                    <a:noFill/>
                    <a:ln>
                      <a:noFill/>
                    </a:ln>
                  </pic:spPr>
                </pic:pic>
              </a:graphicData>
            </a:graphic>
          </wp:inline>
        </w:drawing>
      </w:r>
    </w:p>
    <w:p w14:paraId="02190957" w14:textId="77777777" w:rsidR="00BC4708" w:rsidRDefault="00BC4708" w:rsidP="00BC4708">
      <w:pPr>
        <w:spacing w:before="40" w:after="40" w:line="269" w:lineRule="auto"/>
        <w:ind w:firstLine="567"/>
        <w:jc w:val="both"/>
        <w:rPr>
          <w:bCs/>
          <w:spacing w:val="-2"/>
        </w:rPr>
      </w:pPr>
      <w:r w:rsidRPr="00A26FEE">
        <w:rPr>
          <w:bCs/>
          <w:spacing w:val="-2"/>
        </w:rPr>
        <w:t xml:space="preserve">As of </w:t>
      </w:r>
      <w:r>
        <w:rPr>
          <w:bCs/>
          <w:spacing w:val="-2"/>
        </w:rPr>
        <w:t>22/5/2024</w:t>
      </w:r>
      <w:r w:rsidRPr="00A26FEE">
        <w:rPr>
          <w:bCs/>
          <w:spacing w:val="-2"/>
        </w:rPr>
        <w:t xml:space="preserve">, </w:t>
      </w:r>
      <w:r w:rsidRPr="009A6A7F">
        <w:rPr>
          <w:bCs/>
          <w:spacing w:val="-2"/>
        </w:rPr>
        <w:t xml:space="preserve">the whole country has no longer </w:t>
      </w:r>
      <w:r w:rsidRPr="009A6A7F">
        <w:rPr>
          <w:lang w:val="pt-BR"/>
        </w:rPr>
        <w:t xml:space="preserve">blue-ear disease and </w:t>
      </w:r>
      <w:r w:rsidRPr="009A6A7F">
        <w:rPr>
          <w:bCs/>
          <w:spacing w:val="-2"/>
        </w:rPr>
        <w:t>avian flu;</w:t>
      </w:r>
      <w:r w:rsidRPr="00A26FEE">
        <w:rPr>
          <w:bCs/>
          <w:spacing w:val="-2"/>
        </w:rPr>
        <w:t xml:space="preserve"> foot-and-mouth disease was still in </w:t>
      </w:r>
      <w:r>
        <w:rPr>
          <w:bCs/>
          <w:spacing w:val="-2"/>
        </w:rPr>
        <w:t>Gia Lai</w:t>
      </w:r>
      <w:r w:rsidRPr="00A26FEE">
        <w:rPr>
          <w:bCs/>
          <w:spacing w:val="-2"/>
        </w:rPr>
        <w:t xml:space="preserve">; LSD was reported in </w:t>
      </w:r>
      <w:r>
        <w:rPr>
          <w:bCs/>
          <w:spacing w:val="-2"/>
        </w:rPr>
        <w:t xml:space="preserve">Quang Binh, </w:t>
      </w:r>
      <w:r w:rsidRPr="00A26FEE">
        <w:rPr>
          <w:bCs/>
          <w:spacing w:val="-2"/>
        </w:rPr>
        <w:t xml:space="preserve">Quang </w:t>
      </w:r>
      <w:r w:rsidRPr="00A26FEE">
        <w:rPr>
          <w:bCs/>
          <w:spacing w:val="-2"/>
        </w:rPr>
        <w:lastRenderedPageBreak/>
        <w:t>Ngai</w:t>
      </w:r>
      <w:r>
        <w:rPr>
          <w:bCs/>
          <w:spacing w:val="-2"/>
        </w:rPr>
        <w:t xml:space="preserve">, Lam </w:t>
      </w:r>
      <w:proofErr w:type="gramStart"/>
      <w:r>
        <w:rPr>
          <w:bCs/>
          <w:spacing w:val="-2"/>
        </w:rPr>
        <w:t>Dong</w:t>
      </w:r>
      <w:proofErr w:type="gramEnd"/>
      <w:r w:rsidRPr="00A26FEE">
        <w:rPr>
          <w:bCs/>
          <w:spacing w:val="-2"/>
        </w:rPr>
        <w:t xml:space="preserve"> and African swine fever was reported in </w:t>
      </w:r>
      <w:r>
        <w:rPr>
          <w:bCs/>
          <w:spacing w:val="-2"/>
        </w:rPr>
        <w:t>21</w:t>
      </w:r>
      <w:r w:rsidRPr="00A26FEE">
        <w:rPr>
          <w:bCs/>
          <w:spacing w:val="-2"/>
        </w:rPr>
        <w:t xml:space="preserve"> localities for less than 21 days. </w:t>
      </w:r>
    </w:p>
    <w:p w14:paraId="14186BF9" w14:textId="77777777" w:rsidR="00781552" w:rsidRPr="005D222E" w:rsidRDefault="00781552" w:rsidP="00781552">
      <w:pPr>
        <w:tabs>
          <w:tab w:val="left" w:pos="0"/>
        </w:tabs>
        <w:spacing w:after="40" w:line="288" w:lineRule="auto"/>
        <w:ind w:firstLine="567"/>
        <w:jc w:val="both"/>
        <w:rPr>
          <w:b/>
          <w:i/>
        </w:rPr>
      </w:pPr>
      <w:r w:rsidRPr="005D222E">
        <w:rPr>
          <w:b/>
          <w:i/>
        </w:rPr>
        <w:t>b</w:t>
      </w:r>
      <w:r>
        <w:rPr>
          <w:b/>
          <w:i/>
        </w:rPr>
        <w:t>) Forestry</w:t>
      </w:r>
    </w:p>
    <w:p w14:paraId="07F2E81B" w14:textId="77777777" w:rsidR="00781552" w:rsidRDefault="00781552" w:rsidP="00781552">
      <w:pPr>
        <w:shd w:val="clear" w:color="auto" w:fill="FFFFFF"/>
        <w:spacing w:after="40" w:line="288" w:lineRule="auto"/>
        <w:ind w:firstLine="567"/>
        <w:jc w:val="both"/>
      </w:pPr>
      <w:bookmarkStart w:id="1" w:name="_Hlk134107173"/>
      <w:r w:rsidRPr="00DE65F0">
        <w:t xml:space="preserve">The area of concentrated newly planted forests nationwide in </w:t>
      </w:r>
      <w:r>
        <w:t>May 2024</w:t>
      </w:r>
      <w:r w:rsidRPr="00DE65F0">
        <w:t xml:space="preserve"> was </w:t>
      </w:r>
      <w:bookmarkStart w:id="2" w:name="_Hlk134107230"/>
      <w:bookmarkEnd w:id="1"/>
      <w:r w:rsidRPr="00320C6F">
        <w:t>estimated at 30.3 thousand hectares, an increase of 8.6% over the same period last year due to favorable weather. Some provinces have high forest planting progress: Quang Ngai doubled; Quang Tri increased by 69.7%; Nghe An increased by 8.1%. The number of scattered forest trees planted reached 6.7 million, down 3.9%</w:t>
      </w:r>
      <w:r>
        <w:rPr>
          <w:rStyle w:val="FootnoteReference"/>
        </w:rPr>
        <w:footnoteReference w:id="3"/>
      </w:r>
      <w:r w:rsidRPr="00320C6F">
        <w:t>; the output of exploited wood reached 2,263.9 thousand m3, up 9.2% due to the increasing trend of raw wood prices, people promoted the exploitation of wood to harvest age. Some localities have high progress in logging compared to the same period last year: Quang Tri increased by 56.6%; Yen Bai increased by 15.3%; Bac Kan increased by 15.1%; Thua Thien - Hue increased by 10.0%; Quang Ninh increased by 9.5%. In the first five months of 2024, the area of ​​newly planted concentrated forests is estimated at 98.2 thousand hectares, up 1.3% over the same period last year; the number of scattered forest trees planted reached 37.8 million trees, up 1.2%; the output of exploited timber reached 7,413.7 thousand m3, up 6.6%.</w:t>
      </w:r>
    </w:p>
    <w:p w14:paraId="0CBF1393" w14:textId="77777777" w:rsidR="00781552" w:rsidRPr="00DE65F0" w:rsidRDefault="00781552" w:rsidP="00781552">
      <w:pPr>
        <w:shd w:val="clear" w:color="auto" w:fill="FFFFFF"/>
        <w:spacing w:after="40" w:line="288" w:lineRule="auto"/>
        <w:ind w:firstLine="567"/>
        <w:jc w:val="both"/>
        <w:rPr>
          <w:spacing w:val="-4"/>
          <w:lang w:val="de-DE"/>
        </w:rPr>
      </w:pPr>
      <w:r w:rsidRPr="00DE65F0">
        <w:rPr>
          <w:lang w:val="de-DE"/>
        </w:rPr>
        <w:t>The damaged forest area</w:t>
      </w:r>
      <w:r w:rsidRPr="005D222E">
        <w:rPr>
          <w:rStyle w:val="FootnoteReference"/>
        </w:rPr>
        <w:footnoteReference w:id="4"/>
      </w:r>
      <w:r w:rsidRPr="00DE65F0">
        <w:rPr>
          <w:lang w:val="de-DE"/>
        </w:rPr>
        <w:t xml:space="preserve"> in the month</w:t>
      </w:r>
      <w:r>
        <w:rPr>
          <w:lang w:val="de-DE"/>
        </w:rPr>
        <w:t xml:space="preserve"> </w:t>
      </w:r>
      <w:r w:rsidRPr="00DE65F0">
        <w:rPr>
          <w:lang w:val="de-DE"/>
        </w:rPr>
        <w:t>was</w:t>
      </w:r>
      <w:r w:rsidRPr="00DE65F0">
        <w:rPr>
          <w:spacing w:val="4"/>
          <w:lang w:val="de-DE"/>
        </w:rPr>
        <w:t xml:space="preserve"> </w:t>
      </w:r>
      <w:r w:rsidRPr="00320C6F">
        <w:rPr>
          <w:spacing w:val="4"/>
          <w:lang w:val="de-DE"/>
        </w:rPr>
        <w:t>204.9 hectares, down 38.6% over the same period last year. Of which, 74.3 hectares of forest were cut do</w:t>
      </w:r>
      <w:r>
        <w:rPr>
          <w:spacing w:val="4"/>
          <w:lang w:val="de-DE"/>
        </w:rPr>
        <w:t>wn and destroyed, down</w:t>
      </w:r>
      <w:r w:rsidRPr="00320C6F">
        <w:rPr>
          <w:spacing w:val="4"/>
          <w:lang w:val="de-DE"/>
        </w:rPr>
        <w:t xml:space="preserve"> 43.9%; the burnt forest area was 130.6 hectares, down 35.1%. In the first five months of 2024, the whole country had 652.2 hectares of damaged forest, down 24.8% over the same period last year, of which 376.2 hectares were cut down and destroyed, down 24.9%; the burnt forest area was 285.1 hectares, down 24.8%.</w:t>
      </w:r>
    </w:p>
    <w:bookmarkEnd w:id="2"/>
    <w:p w14:paraId="195EB7FC" w14:textId="77777777" w:rsidR="00781552" w:rsidRPr="00722356" w:rsidRDefault="00781552" w:rsidP="00781552">
      <w:pPr>
        <w:spacing w:after="40" w:line="288" w:lineRule="auto"/>
        <w:ind w:firstLine="567"/>
        <w:jc w:val="both"/>
        <w:rPr>
          <w:b/>
          <w:bCs/>
          <w:i/>
          <w:iCs/>
          <w:lang w:val="de-DE"/>
        </w:rPr>
      </w:pPr>
      <w:r w:rsidRPr="00722356">
        <w:rPr>
          <w:b/>
          <w:bCs/>
          <w:i/>
          <w:iCs/>
          <w:lang w:val="de-DE"/>
        </w:rPr>
        <w:t xml:space="preserve">c) </w:t>
      </w:r>
      <w:r>
        <w:rPr>
          <w:b/>
          <w:bCs/>
          <w:i/>
          <w:iCs/>
          <w:lang w:val="de-DE"/>
        </w:rPr>
        <w:t>Fishery</w:t>
      </w:r>
    </w:p>
    <w:p w14:paraId="61C50042" w14:textId="77777777" w:rsidR="00781552" w:rsidRDefault="00781552" w:rsidP="00781552">
      <w:pPr>
        <w:spacing w:before="40" w:after="40" w:line="288" w:lineRule="auto"/>
        <w:ind w:right="1" w:firstLine="567"/>
        <w:jc w:val="both"/>
        <w:rPr>
          <w:lang w:val="de-DE"/>
        </w:rPr>
      </w:pPr>
      <w:bookmarkStart w:id="3" w:name="_Hlk134107280"/>
      <w:r w:rsidRPr="00073FA5">
        <w:rPr>
          <w:bCs/>
          <w:spacing w:val="-2"/>
        </w:rPr>
        <w:t xml:space="preserve">Fishery output in </w:t>
      </w:r>
      <w:proofErr w:type="gramStart"/>
      <w:r>
        <w:rPr>
          <w:bCs/>
          <w:spacing w:val="-2"/>
        </w:rPr>
        <w:t>May,</w:t>
      </w:r>
      <w:proofErr w:type="gramEnd"/>
      <w:r>
        <w:rPr>
          <w:bCs/>
          <w:spacing w:val="-2"/>
        </w:rPr>
        <w:t xml:space="preserve"> 2024</w:t>
      </w:r>
      <w:r w:rsidRPr="00073FA5">
        <w:rPr>
          <w:bCs/>
          <w:spacing w:val="-2"/>
        </w:rPr>
        <w:t xml:space="preserve"> was estimated at </w:t>
      </w:r>
      <w:bookmarkStart w:id="4" w:name="_Hlk134107302"/>
      <w:bookmarkEnd w:id="3"/>
      <w:r w:rsidRPr="00320C6F">
        <w:rPr>
          <w:lang w:val="de-DE"/>
        </w:rPr>
        <w:t xml:space="preserve">801.3 thousand tons, up 2.8% over the same period last year, including: Fish reached 573.8 thousand tons, up 2.4%; </w:t>
      </w:r>
      <w:r w:rsidRPr="00320C6F">
        <w:rPr>
          <w:lang w:val="de-DE"/>
        </w:rPr>
        <w:lastRenderedPageBreak/>
        <w:t>shrimp reached 110.9 thousand tons, up 5.8%; other aquatic products reached 116.6 thousand tons, up 1.7%.</w:t>
      </w:r>
    </w:p>
    <w:bookmarkEnd w:id="4"/>
    <w:p w14:paraId="5DA7C947" w14:textId="77777777" w:rsidR="00781552" w:rsidRDefault="00781552" w:rsidP="00781552">
      <w:pPr>
        <w:spacing w:before="60" w:after="120" w:line="288" w:lineRule="auto"/>
        <w:ind w:firstLine="567"/>
        <w:jc w:val="both"/>
        <w:rPr>
          <w:bCs/>
          <w:spacing w:val="-2"/>
        </w:rPr>
      </w:pPr>
      <w:r w:rsidRPr="00396F67">
        <w:rPr>
          <w:bCs/>
          <w:spacing w:val="-2"/>
        </w:rPr>
        <w:t xml:space="preserve">Aquaculture </w:t>
      </w:r>
      <w:r w:rsidRPr="00487239">
        <w:rPr>
          <w:bCs/>
          <w:spacing w:val="2"/>
          <w:lang w:val="pt-BR"/>
        </w:rPr>
        <w:t>production</w:t>
      </w:r>
      <w:r w:rsidRPr="00396F67">
        <w:rPr>
          <w:bCs/>
          <w:spacing w:val="-2"/>
        </w:rPr>
        <w:t xml:space="preserve"> in May was estimated at 434.8 thousand tons, up 3.5% over the same period last year, of which: Fish reached 288.1 thousand tons, up 2.4%; shrimp reached 97.1 thousand tons, up </w:t>
      </w:r>
      <w:proofErr w:type="gramStart"/>
      <w:r w:rsidRPr="00396F67">
        <w:rPr>
          <w:bCs/>
          <w:spacing w:val="-2"/>
        </w:rPr>
        <w:t>6.2%</w:t>
      </w:r>
      <w:proofErr w:type="gramEnd"/>
    </w:p>
    <w:p w14:paraId="08E198D0" w14:textId="77777777" w:rsidR="00781552" w:rsidRDefault="00781552" w:rsidP="00781552">
      <w:pPr>
        <w:spacing w:after="40" w:line="288" w:lineRule="auto"/>
        <w:ind w:firstLine="567"/>
        <w:jc w:val="both"/>
        <w:rPr>
          <w:lang w:val="de-DE"/>
        </w:rPr>
      </w:pPr>
      <w:r w:rsidRPr="00396F67">
        <w:rPr>
          <w:lang w:val="de-DE"/>
        </w:rPr>
        <w:t xml:space="preserve">Pangasius </w:t>
      </w:r>
      <w:r w:rsidRPr="00487239">
        <w:rPr>
          <w:bCs/>
          <w:spacing w:val="2"/>
          <w:lang w:val="pt-BR"/>
        </w:rPr>
        <w:t>production</w:t>
      </w:r>
      <w:r w:rsidRPr="00396F67">
        <w:rPr>
          <w:lang w:val="de-DE"/>
        </w:rPr>
        <w:t xml:space="preserve"> in the month increased compared to the same period last year because raw pangasius prices remained at a stable high level</w:t>
      </w:r>
      <w:r>
        <w:rPr>
          <w:rStyle w:val="FootnoteReference"/>
          <w:lang w:val="de-DE"/>
        </w:rPr>
        <w:footnoteReference w:id="5"/>
      </w:r>
      <w:r w:rsidRPr="00396F67">
        <w:rPr>
          <w:lang w:val="de-DE"/>
        </w:rPr>
        <w:t xml:space="preserve"> and pangasius exports were showing signs of recovery, so fish farmers and businesses adjusted farming output accordingly to meet export demand. Pangasius output in the month was estimated at 155,000 tons, up 6.5% over the same period last year.</w:t>
      </w:r>
    </w:p>
    <w:p w14:paraId="51B02C3E" w14:textId="77777777" w:rsidR="00781552" w:rsidRDefault="00781552" w:rsidP="00781552">
      <w:pPr>
        <w:spacing w:after="40" w:line="288" w:lineRule="auto"/>
        <w:ind w:firstLine="567"/>
        <w:jc w:val="both"/>
        <w:rPr>
          <w:bCs/>
          <w:spacing w:val="2"/>
          <w:lang w:val="pt-BR"/>
        </w:rPr>
      </w:pPr>
      <w:r w:rsidRPr="00487239">
        <w:rPr>
          <w:bCs/>
          <w:spacing w:val="2"/>
          <w:lang w:val="pt-BR"/>
        </w:rPr>
        <w:t xml:space="preserve">Shrimp production </w:t>
      </w:r>
      <w:r w:rsidRPr="000F22B6">
        <w:rPr>
          <w:bCs/>
          <w:spacing w:val="2"/>
          <w:lang w:val="pt-BR"/>
        </w:rPr>
        <w:t>in the month increased compared to the same period last year due to the application of an effective high-quality shrimp farming model. White-leg shrimp output is estimated at 68 thousand tons, up 8.1% over the same period last year; black tiger shrimp output is estimated at 23 thousand tons, up 3.1%.</w:t>
      </w:r>
    </w:p>
    <w:p w14:paraId="6E9E27B4" w14:textId="77777777" w:rsidR="00781552" w:rsidRDefault="00781552" w:rsidP="00781552">
      <w:pPr>
        <w:spacing w:after="40" w:line="288" w:lineRule="auto"/>
        <w:ind w:firstLine="567"/>
        <w:jc w:val="both"/>
        <w:rPr>
          <w:lang w:val="de-DE"/>
        </w:rPr>
      </w:pPr>
      <w:r w:rsidRPr="00616620">
        <w:rPr>
          <w:lang w:val="de-DE"/>
        </w:rPr>
        <w:t xml:space="preserve">The caught fishery </w:t>
      </w:r>
      <w:r w:rsidRPr="00487239">
        <w:rPr>
          <w:bCs/>
          <w:spacing w:val="2"/>
          <w:lang w:val="pt-BR"/>
        </w:rPr>
        <w:t>production</w:t>
      </w:r>
      <w:r w:rsidRPr="00616620">
        <w:rPr>
          <w:lang w:val="de-DE"/>
        </w:rPr>
        <w:t xml:space="preserve"> </w:t>
      </w:r>
      <w:r w:rsidRPr="00A87BEC">
        <w:rPr>
          <w:lang w:val="de-DE"/>
        </w:rPr>
        <w:t xml:space="preserve">in the month was estimated at </w:t>
      </w:r>
      <w:r w:rsidRPr="00513F7F">
        <w:rPr>
          <w:lang w:val="de-DE"/>
        </w:rPr>
        <w:t>366.5 thousand tons, up 1.9% over the same period last year due to favorable fishing weather, including: Fish reached 285.7 thousand tons, up 2.4%; shrimp reached 13.8 thousand tons, up 2.9%; other aquatic products reached 67 thousand tons, down 0.5%.</w:t>
      </w:r>
      <w:r w:rsidRPr="00616620">
        <w:rPr>
          <w:lang w:val="de-DE"/>
        </w:rPr>
        <w:t xml:space="preserve"> Marine fishing output wasestimated </w:t>
      </w:r>
      <w:r w:rsidRPr="00513F7F">
        <w:rPr>
          <w:lang w:val="de-DE"/>
        </w:rPr>
        <w:t>at 351.3 thousand tons, up 2.0% over the same period last year.</w:t>
      </w:r>
    </w:p>
    <w:p w14:paraId="446614C8" w14:textId="77777777" w:rsidR="00781552" w:rsidRPr="00A00632" w:rsidRDefault="00781552" w:rsidP="00781552">
      <w:pPr>
        <w:spacing w:after="40" w:line="288" w:lineRule="auto"/>
        <w:ind w:firstLine="567"/>
        <w:jc w:val="center"/>
        <w:rPr>
          <w:rFonts w:ascii="Arial" w:hAnsi="Arial" w:cs="Arial"/>
          <w:b/>
          <w:bCs/>
          <w:sz w:val="24"/>
          <w:szCs w:val="24"/>
          <w:lang w:val="de-DE"/>
        </w:rPr>
      </w:pPr>
      <w:r w:rsidRPr="00A00632">
        <w:rPr>
          <w:rFonts w:ascii="Arial" w:hAnsi="Arial" w:cs="Arial"/>
          <w:b/>
          <w:bCs/>
          <w:sz w:val="24"/>
          <w:szCs w:val="24"/>
          <w:lang w:val="de-DE"/>
        </w:rPr>
        <w:t xml:space="preserve">Figure 3. Fishery production in </w:t>
      </w:r>
      <w:r>
        <w:rPr>
          <w:rFonts w:ascii="Arial" w:hAnsi="Arial" w:cs="Arial"/>
          <w:b/>
          <w:bCs/>
          <w:sz w:val="24"/>
          <w:szCs w:val="24"/>
          <w:lang w:val="de-DE"/>
        </w:rPr>
        <w:t>5 months</w:t>
      </w:r>
      <w:r w:rsidRPr="00A00632">
        <w:rPr>
          <w:rFonts w:ascii="Arial" w:hAnsi="Arial" w:cs="Arial"/>
          <w:b/>
          <w:bCs/>
          <w:sz w:val="24"/>
          <w:szCs w:val="24"/>
          <w:lang w:val="de-DE"/>
        </w:rPr>
        <w:t xml:space="preserve"> of 202</w:t>
      </w:r>
      <w:r>
        <w:rPr>
          <w:rFonts w:ascii="Arial" w:hAnsi="Arial" w:cs="Arial"/>
          <w:b/>
          <w:bCs/>
          <w:sz w:val="24"/>
          <w:szCs w:val="24"/>
          <w:lang w:val="de-DE"/>
        </w:rPr>
        <w:t>4</w:t>
      </w:r>
    </w:p>
    <w:p w14:paraId="1B38282E" w14:textId="77777777" w:rsidR="00781552" w:rsidRDefault="00781552" w:rsidP="00781552">
      <w:pPr>
        <w:shd w:val="clear" w:color="auto" w:fill="FFFFFF"/>
        <w:tabs>
          <w:tab w:val="left" w:pos="9360"/>
        </w:tabs>
        <w:jc w:val="center"/>
        <w:rPr>
          <w:rFonts w:ascii="Arial" w:hAnsi="Arial" w:cs="Arial"/>
          <w:b/>
          <w:bCs/>
          <w:sz w:val="24"/>
          <w:szCs w:val="24"/>
          <w:lang w:val="de-DE"/>
        </w:rPr>
      </w:pPr>
      <w:r w:rsidRPr="00A00632">
        <w:rPr>
          <w:rFonts w:ascii="Arial" w:hAnsi="Arial" w:cs="Arial"/>
          <w:b/>
          <w:bCs/>
          <w:sz w:val="24"/>
          <w:szCs w:val="24"/>
          <w:lang w:val="de-DE"/>
        </w:rPr>
        <w:t>over the same period last year</w:t>
      </w:r>
    </w:p>
    <w:p w14:paraId="546A3949" w14:textId="77777777" w:rsidR="00781552" w:rsidRPr="003D1613" w:rsidRDefault="00781552" w:rsidP="00781552">
      <w:pPr>
        <w:shd w:val="clear" w:color="auto" w:fill="FFFFFF"/>
        <w:tabs>
          <w:tab w:val="left" w:pos="9360"/>
        </w:tabs>
        <w:rPr>
          <w:rFonts w:ascii="Arial" w:hAnsi="Arial" w:cs="Arial"/>
          <w:b/>
          <w:bCs/>
          <w:sz w:val="24"/>
          <w:lang w:val="de-DE"/>
        </w:rPr>
      </w:pPr>
      <w:r>
        <w:rPr>
          <w:rFonts w:ascii="Arial" w:hAnsi="Arial" w:cs="Arial"/>
          <w:b/>
          <w:bCs/>
          <w:noProof/>
          <w:sz w:val="24"/>
          <w:lang w:val="en-GB" w:eastAsia="en-GB"/>
        </w:rPr>
        <w:drawing>
          <wp:inline distT="0" distB="0" distL="0" distR="0" wp14:anchorId="7DD25076" wp14:editId="0865BA81">
            <wp:extent cx="19050" cy="28575"/>
            <wp:effectExtent l="0" t="0" r="0" b="9525"/>
            <wp:docPr id="634677043" name="Picture 634677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 cy="28575"/>
                    </a:xfrm>
                    <a:prstGeom prst="rect">
                      <a:avLst/>
                    </a:prstGeom>
                    <a:noFill/>
                    <a:ln>
                      <a:noFill/>
                    </a:ln>
                  </pic:spPr>
                </pic:pic>
              </a:graphicData>
            </a:graphic>
          </wp:inline>
        </w:drawing>
      </w:r>
    </w:p>
    <w:p w14:paraId="0A2497CA" w14:textId="77777777" w:rsidR="00781552" w:rsidRPr="003D1613" w:rsidRDefault="00781552" w:rsidP="00781552">
      <w:pPr>
        <w:shd w:val="clear" w:color="auto" w:fill="FFFFFF"/>
        <w:tabs>
          <w:tab w:val="left" w:pos="9360"/>
        </w:tabs>
        <w:rPr>
          <w:b/>
          <w:bCs/>
          <w:lang w:val="de-DE"/>
        </w:rPr>
      </w:pPr>
      <w:r>
        <w:rPr>
          <w:b/>
          <w:bCs/>
          <w:noProof/>
          <w:lang w:val="en-GB" w:eastAsia="en-GB"/>
        </w:rPr>
        <w:drawing>
          <wp:inline distT="0" distB="0" distL="0" distR="0" wp14:anchorId="41B08F40" wp14:editId="2D74606B">
            <wp:extent cx="19050" cy="28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 cy="28575"/>
                    </a:xfrm>
                    <a:prstGeom prst="rect">
                      <a:avLst/>
                    </a:prstGeom>
                    <a:noFill/>
                    <a:ln>
                      <a:noFill/>
                    </a:ln>
                  </pic:spPr>
                </pic:pic>
              </a:graphicData>
            </a:graphic>
          </wp:inline>
        </w:drawing>
      </w:r>
      <w:r w:rsidRPr="0056642D">
        <w:rPr>
          <w:snapToGrid w:val="0"/>
          <w:color w:val="000000"/>
          <w:w w:val="0"/>
          <w:sz w:val="0"/>
          <w:szCs w:val="0"/>
          <w:u w:color="000000"/>
          <w:bdr w:val="none" w:sz="0" w:space="0" w:color="000000"/>
          <w:shd w:val="clear" w:color="000000" w:fill="000000"/>
          <w:lang w:val="x-none" w:eastAsia="x-none" w:bidi="x-none"/>
        </w:rPr>
        <w:t xml:space="preserve"> </w:t>
      </w:r>
      <w:r w:rsidRPr="007D3D77">
        <w:rPr>
          <w:noProof/>
          <w:snapToGrid w:val="0"/>
          <w:color w:val="000000"/>
          <w:w w:val="0"/>
          <w:sz w:val="0"/>
          <w:szCs w:val="0"/>
          <w:u w:color="000000"/>
          <w:bdr w:val="none" w:sz="0" w:space="0" w:color="000000"/>
          <w:shd w:val="clear" w:color="000000" w:fill="000000"/>
          <w:lang w:val="en-GB" w:eastAsia="en-GB"/>
        </w:rPr>
        <w:drawing>
          <wp:inline distT="0" distB="0" distL="0" distR="0" wp14:anchorId="64A3BE5D" wp14:editId="1AD0CD30">
            <wp:extent cx="5652135" cy="1652771"/>
            <wp:effectExtent l="0" t="0" r="5715" b="5080"/>
            <wp:docPr id="5" name="Picture 5" descr="C:\Users\tvvinh\Pictures\Camera Roll\T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vvinh\Pictures\Camera Roll\TS 2.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604" t="3437" r="-67" b="3226"/>
                    <a:stretch/>
                  </pic:blipFill>
                  <pic:spPr bwMode="auto">
                    <a:xfrm>
                      <a:off x="0" y="0"/>
                      <a:ext cx="5708187" cy="1669161"/>
                    </a:xfrm>
                    <a:prstGeom prst="rect">
                      <a:avLst/>
                    </a:prstGeom>
                    <a:noFill/>
                    <a:ln>
                      <a:noFill/>
                    </a:ln>
                    <a:extLst>
                      <a:ext uri="{53640926-AAD7-44D8-BBD7-CCE9431645EC}">
                        <a14:shadowObscured xmlns:a14="http://schemas.microsoft.com/office/drawing/2010/main"/>
                      </a:ext>
                    </a:extLst>
                  </pic:spPr>
                </pic:pic>
              </a:graphicData>
            </a:graphic>
          </wp:inline>
        </w:drawing>
      </w:r>
    </w:p>
    <w:p w14:paraId="38DFD3EF" w14:textId="77777777" w:rsidR="00781552" w:rsidRDefault="00781552" w:rsidP="00781552">
      <w:pPr>
        <w:spacing w:after="120" w:line="360" w:lineRule="atLeast"/>
        <w:ind w:right="1" w:firstLine="720"/>
        <w:jc w:val="both"/>
        <w:rPr>
          <w:bCs/>
          <w:spacing w:val="-2"/>
        </w:rPr>
      </w:pPr>
      <w:bookmarkStart w:id="5" w:name="_Hlk134187656"/>
      <w:r w:rsidRPr="00616620">
        <w:rPr>
          <w:spacing w:val="4"/>
          <w:lang w:val="sv-SE"/>
        </w:rPr>
        <w:lastRenderedPageBreak/>
        <w:t xml:space="preserve">Generally, </w:t>
      </w:r>
      <w:r>
        <w:t>in 5 months of 2024</w:t>
      </w:r>
      <w:r w:rsidRPr="00616620">
        <w:t>,</w:t>
      </w:r>
      <w:r w:rsidRPr="00616620">
        <w:rPr>
          <w:bCs/>
          <w:spacing w:val="-2"/>
        </w:rPr>
        <w:t xml:space="preserve"> fishery output was estimated </w:t>
      </w:r>
      <w:bookmarkEnd w:id="5"/>
      <w:r w:rsidRPr="00916B7B">
        <w:rPr>
          <w:bCs/>
          <w:spacing w:val="-2"/>
        </w:rPr>
        <w:t>at 3,515.2 thousand tons, up 2.6% over the same period last year, including: Fish reached 2,570.1 thousand tons, up 2.4%; shrimp reached 408.5 thousand tons, up 4.3%; other aquatic products reached 536.6 thousand tons, up 2.2%.</w:t>
      </w:r>
    </w:p>
    <w:p w14:paraId="105B9A8F" w14:textId="58068B7D" w:rsidR="00781552" w:rsidRPr="00781552" w:rsidRDefault="00781552" w:rsidP="00781552">
      <w:pPr>
        <w:pStyle w:val="ListParagraph"/>
        <w:numPr>
          <w:ilvl w:val="0"/>
          <w:numId w:val="2"/>
        </w:numPr>
        <w:spacing w:after="120" w:line="360" w:lineRule="atLeast"/>
        <w:ind w:right="1"/>
        <w:jc w:val="both"/>
        <w:rPr>
          <w:b/>
          <w:spacing w:val="-2"/>
        </w:rPr>
      </w:pPr>
      <w:r w:rsidRPr="00781552">
        <w:rPr>
          <w:b/>
          <w:spacing w:val="-2"/>
        </w:rPr>
        <w:t>Industr</w:t>
      </w:r>
      <w:r w:rsidR="001D5E3A">
        <w:rPr>
          <w:b/>
          <w:spacing w:val="-2"/>
        </w:rPr>
        <w:t>ial Production</w:t>
      </w:r>
    </w:p>
    <w:p w14:paraId="3D1703AF" w14:textId="77777777" w:rsidR="00781552" w:rsidRPr="00F73ED4" w:rsidRDefault="00781552" w:rsidP="00781552">
      <w:pPr>
        <w:shd w:val="clear" w:color="auto" w:fill="FFFFFF"/>
        <w:spacing w:after="120" w:line="288" w:lineRule="auto"/>
        <w:ind w:firstLine="567"/>
        <w:jc w:val="both"/>
        <w:rPr>
          <w:i/>
          <w:iCs/>
          <w:shd w:val="clear" w:color="auto" w:fill="FFFFFF"/>
          <w:lang w:val="vi-VN"/>
        </w:rPr>
      </w:pPr>
      <w:r w:rsidRPr="00102CE9">
        <w:rPr>
          <w:i/>
          <w:lang w:val="sv-SE"/>
        </w:rPr>
        <w:t>Industrial production in May continued to maintain a more positive growth trend than the previous month. The index of industrial production in May is estimated to increase by 3.9% from the previous month and by 8.9% from the same period last year. In the first five months of 2024, the manufacturing index of the whole industry will increase by 6.8% compared to the same period last year.</w:t>
      </w:r>
      <w:r w:rsidRPr="00F73ED4">
        <w:rPr>
          <w:rStyle w:val="FootnoteReference"/>
          <w:rFonts w:eastAsiaTheme="majorEastAsia"/>
          <w:i/>
          <w:lang w:val="sv-SE"/>
        </w:rPr>
        <w:footnoteReference w:id="6"/>
      </w:r>
    </w:p>
    <w:p w14:paraId="36F518F5" w14:textId="77777777" w:rsidR="00781552" w:rsidRDefault="00781552" w:rsidP="00781552">
      <w:pPr>
        <w:widowControl w:val="0"/>
        <w:shd w:val="clear" w:color="auto" w:fill="FFFFFF"/>
        <w:tabs>
          <w:tab w:val="left" w:pos="8931"/>
        </w:tabs>
        <w:spacing w:after="120" w:line="288" w:lineRule="auto"/>
        <w:ind w:firstLine="567"/>
        <w:jc w:val="both"/>
        <w:rPr>
          <w:lang w:val="pl-PL"/>
        </w:rPr>
      </w:pPr>
      <w:r w:rsidRPr="00102CE9">
        <w:rPr>
          <w:lang w:val="pl-PL"/>
        </w:rPr>
        <w:t>The industry-wide manufacturing index (IIP) for May 2024 is estimated to increase by 3.9% month-on-month and 8.9% year-on-year. In which, compared to the same period last year, the processing and manufacturing industry increased by 10.6%; electricity production and distribution increased by 11.4%; water supply, waste and wastewater management and treatment activities increased by 7.4%; The mining sector alone decreased by 9.4%.</w:t>
      </w:r>
    </w:p>
    <w:p w14:paraId="73CB344F" w14:textId="77777777" w:rsidR="00781552" w:rsidRPr="00F73ED4" w:rsidRDefault="00781552" w:rsidP="00781552">
      <w:pPr>
        <w:widowControl w:val="0"/>
        <w:shd w:val="clear" w:color="auto" w:fill="FFFFFF"/>
        <w:tabs>
          <w:tab w:val="left" w:pos="8931"/>
        </w:tabs>
        <w:spacing w:after="120" w:line="288" w:lineRule="auto"/>
        <w:ind w:firstLine="567"/>
        <w:jc w:val="both"/>
        <w:rPr>
          <w:lang w:val="pl-PL"/>
        </w:rPr>
      </w:pPr>
      <w:r w:rsidRPr="007170FF">
        <w:rPr>
          <w:lang w:val="pl-PL"/>
        </w:rPr>
        <w:t>In the first five months of 2024, IIP is estimated to increase by 6.8% year-on-year (the same period in 2023 will decrease by 2.0%). In which, the processing and manufacturing industry will increase by 7.3% (the same period in 2023 will decrease by 2.6%), contributing 6.4 percentage points to the overall increase; the electricity production and distribution industry will increase by 12.7% (the same period in 2023 will increase by 1.2%), contributing 1.1 percentage points; water supply, waste and wastewater management and treatment activities will increase by 6.3% (the same period in 2023 will increase by 5.9%), contributing 0.1 percentage points</w:t>
      </w:r>
      <w:r w:rsidRPr="00F73ED4">
        <w:rPr>
          <w:lang w:val="pl-PL"/>
        </w:rPr>
        <w:t xml:space="preserve">; </w:t>
      </w:r>
      <w:r w:rsidRPr="007170FF">
        <w:rPr>
          <w:lang w:val="pl-PL"/>
        </w:rPr>
        <w:t>Particularly, the mining industry will decrease by 5.2% (the same period in 2023 will decrease by 2.4%), reducing 0.8 percentage points in the overall increase</w:t>
      </w:r>
      <w:r w:rsidRPr="00F73ED4">
        <w:rPr>
          <w:lang w:val="pl-PL"/>
        </w:rPr>
        <w:t>.</w:t>
      </w:r>
    </w:p>
    <w:p w14:paraId="55A2BB93" w14:textId="77777777" w:rsidR="00781552" w:rsidRDefault="00781552" w:rsidP="00781552">
      <w:pPr>
        <w:widowControl w:val="0"/>
        <w:shd w:val="clear" w:color="auto" w:fill="FFFFFF"/>
        <w:tabs>
          <w:tab w:val="left" w:pos="8931"/>
        </w:tabs>
        <w:spacing w:after="120" w:line="264" w:lineRule="auto"/>
        <w:ind w:firstLine="567"/>
        <w:jc w:val="both"/>
        <w:rPr>
          <w:lang w:val="pl-PL"/>
        </w:rPr>
      </w:pPr>
      <w:r w:rsidRPr="007170FF">
        <w:rPr>
          <w:iCs/>
          <w:lang w:val="pl-PL"/>
        </w:rPr>
        <w:t xml:space="preserve">Production indexes in the first five months of 2024 of some key tier II industries will increase compared to the same period last year: </w:t>
      </w:r>
      <w:r w:rsidRPr="00632B2F">
        <w:rPr>
          <w:iCs/>
          <w:lang w:val="pl-PL"/>
        </w:rPr>
        <w:t>Manufacture of rubber and plastics products</w:t>
      </w:r>
      <w:r>
        <w:rPr>
          <w:iCs/>
          <w:lang w:val="pl-PL"/>
        </w:rPr>
        <w:t xml:space="preserve"> increased </w:t>
      </w:r>
      <w:r w:rsidRPr="007170FF">
        <w:rPr>
          <w:iCs/>
          <w:lang w:val="pl-PL"/>
        </w:rPr>
        <w:t xml:space="preserve">by 27.4%; </w:t>
      </w:r>
      <w:r w:rsidRPr="00632B2F">
        <w:rPr>
          <w:iCs/>
          <w:lang w:val="pl-PL"/>
        </w:rPr>
        <w:t>Manufacture of electrical equipment</w:t>
      </w:r>
      <w:r>
        <w:rPr>
          <w:iCs/>
          <w:lang w:val="pl-PL"/>
        </w:rPr>
        <w:t xml:space="preserve"> </w:t>
      </w:r>
      <w:r w:rsidRPr="007170FF">
        <w:rPr>
          <w:iCs/>
          <w:lang w:val="pl-PL"/>
        </w:rPr>
        <w:t xml:space="preserve">increased by 24.0%; </w:t>
      </w:r>
      <w:r>
        <w:rPr>
          <w:iCs/>
          <w:lang w:val="pl-PL"/>
        </w:rPr>
        <w:t>m</w:t>
      </w:r>
      <w:r w:rsidRPr="00632B2F">
        <w:rPr>
          <w:iCs/>
          <w:lang w:val="pl-PL"/>
        </w:rPr>
        <w:t>anufacture of chemicals and chemical products</w:t>
      </w:r>
      <w:r w:rsidRPr="007170FF">
        <w:rPr>
          <w:iCs/>
          <w:lang w:val="pl-PL"/>
        </w:rPr>
        <w:t xml:space="preserve"> increased by 20.1%; </w:t>
      </w:r>
      <w:r>
        <w:rPr>
          <w:iCs/>
          <w:lang w:val="pl-PL"/>
        </w:rPr>
        <w:lastRenderedPageBreak/>
        <w:t>m</w:t>
      </w:r>
      <w:r w:rsidRPr="00632B2F">
        <w:rPr>
          <w:iCs/>
          <w:lang w:val="pl-PL"/>
        </w:rPr>
        <w:t>anufacture of furniture</w:t>
      </w:r>
      <w:r>
        <w:rPr>
          <w:iCs/>
          <w:lang w:val="pl-PL"/>
        </w:rPr>
        <w:t xml:space="preserve"> </w:t>
      </w:r>
      <w:r w:rsidRPr="007170FF">
        <w:rPr>
          <w:iCs/>
          <w:lang w:val="pl-PL"/>
        </w:rPr>
        <w:t xml:space="preserve">increased by 19.6%; </w:t>
      </w:r>
      <w:r w:rsidRPr="00632B2F">
        <w:rPr>
          <w:iCs/>
          <w:lang w:val="pl-PL"/>
        </w:rPr>
        <w:t>Manufacture of basic metals</w:t>
      </w:r>
      <w:r>
        <w:rPr>
          <w:iCs/>
          <w:lang w:val="pl-PL"/>
        </w:rPr>
        <w:t xml:space="preserve"> </w:t>
      </w:r>
      <w:r w:rsidRPr="007170FF">
        <w:rPr>
          <w:iCs/>
          <w:lang w:val="pl-PL"/>
        </w:rPr>
        <w:t xml:space="preserve">increased by 13.2%; </w:t>
      </w:r>
      <w:r w:rsidRPr="00470A9C">
        <w:rPr>
          <w:iCs/>
          <w:lang w:val="pl-PL"/>
        </w:rPr>
        <w:t>Manufacture of textiles</w:t>
      </w:r>
      <w:r>
        <w:rPr>
          <w:iCs/>
          <w:lang w:val="pl-PL"/>
        </w:rPr>
        <w:t xml:space="preserve"> </w:t>
      </w:r>
      <w:r w:rsidRPr="007170FF">
        <w:rPr>
          <w:iCs/>
          <w:lang w:val="pl-PL"/>
        </w:rPr>
        <w:t xml:space="preserve">and </w:t>
      </w:r>
      <w:r>
        <w:rPr>
          <w:iCs/>
          <w:lang w:val="pl-PL"/>
        </w:rPr>
        <w:t>w</w:t>
      </w:r>
      <w:r w:rsidRPr="00470A9C">
        <w:rPr>
          <w:iCs/>
          <w:lang w:val="pl-PL"/>
        </w:rPr>
        <w:t>ater supply; sewerage, waste management and remediation activities</w:t>
      </w:r>
      <w:r w:rsidRPr="007170FF">
        <w:rPr>
          <w:iCs/>
          <w:lang w:val="pl-PL"/>
        </w:rPr>
        <w:t xml:space="preserve"> increased by 12.7%.</w:t>
      </w:r>
      <w:r w:rsidRPr="00F73ED4">
        <w:rPr>
          <w:lang w:val="pl-PL"/>
        </w:rPr>
        <w:t xml:space="preserve"> </w:t>
      </w:r>
      <w:r w:rsidRPr="00632B2F">
        <w:rPr>
          <w:lang w:val="pl-PL"/>
        </w:rPr>
        <w:t xml:space="preserve">In the opposite direction, the IIP index of some industries increased lower than the general average or decreased over the same period last year: </w:t>
      </w:r>
      <w:r w:rsidRPr="00353FCC">
        <w:rPr>
          <w:lang w:val="pl-PL"/>
        </w:rPr>
        <w:t>Manufacture of computer, electronic and optical products</w:t>
      </w:r>
      <w:r w:rsidRPr="00632B2F">
        <w:rPr>
          <w:lang w:val="pl-PL"/>
        </w:rPr>
        <w:t xml:space="preserve">increased by 5.8%; </w:t>
      </w:r>
      <w:r>
        <w:rPr>
          <w:lang w:val="pl-PL"/>
        </w:rPr>
        <w:t>m</w:t>
      </w:r>
      <w:r w:rsidRPr="00353FCC">
        <w:rPr>
          <w:lang w:val="pl-PL"/>
        </w:rPr>
        <w:t>anufacture of wearing apparel</w:t>
      </w:r>
      <w:r w:rsidRPr="00632B2F">
        <w:rPr>
          <w:lang w:val="pl-PL"/>
        </w:rPr>
        <w:t xml:space="preserve"> increased by 5.4%; </w:t>
      </w:r>
      <w:r>
        <w:rPr>
          <w:lang w:val="pl-PL"/>
        </w:rPr>
        <w:t>r</w:t>
      </w:r>
      <w:r w:rsidRPr="00353FCC">
        <w:rPr>
          <w:lang w:val="pl-PL"/>
        </w:rPr>
        <w:t>epair and installation of machinery and equipment</w:t>
      </w:r>
      <w:r w:rsidRPr="00632B2F">
        <w:rPr>
          <w:lang w:val="pl-PL"/>
        </w:rPr>
        <w:t xml:space="preserve"> decreased by 11.8%; </w:t>
      </w:r>
      <w:r>
        <w:rPr>
          <w:lang w:val="pl-PL"/>
        </w:rPr>
        <w:t>e</w:t>
      </w:r>
      <w:r w:rsidRPr="00353FCC">
        <w:rPr>
          <w:lang w:val="pl-PL"/>
        </w:rPr>
        <w:t>xtraction of crude petroleum and natural gas</w:t>
      </w:r>
      <w:r w:rsidRPr="00632B2F">
        <w:rPr>
          <w:lang w:val="pl-PL"/>
        </w:rPr>
        <w:t xml:space="preserve"> decreased by 11.0%; </w:t>
      </w:r>
      <w:r>
        <w:rPr>
          <w:lang w:val="pl-PL"/>
        </w:rPr>
        <w:t>m</w:t>
      </w:r>
      <w:r w:rsidRPr="00353FCC">
        <w:rPr>
          <w:lang w:val="pl-PL"/>
        </w:rPr>
        <w:t>anufacture of other transport equipment</w:t>
      </w:r>
      <w:r w:rsidRPr="00632B2F">
        <w:rPr>
          <w:lang w:val="pl-PL"/>
        </w:rPr>
        <w:t xml:space="preserve"> decreased by 5.1%; </w:t>
      </w:r>
      <w:r>
        <w:rPr>
          <w:lang w:val="pl-PL"/>
        </w:rPr>
        <w:t>m</w:t>
      </w:r>
      <w:r w:rsidRPr="00353FCC">
        <w:rPr>
          <w:lang w:val="pl-PL"/>
        </w:rPr>
        <w:t>anufacture of other non-metallic mineral products</w:t>
      </w:r>
      <w:r w:rsidRPr="00632B2F">
        <w:rPr>
          <w:lang w:val="pl-PL"/>
        </w:rPr>
        <w:t xml:space="preserve"> decreased by 1.7%; </w:t>
      </w:r>
      <w:r>
        <w:rPr>
          <w:lang w:val="pl-PL"/>
        </w:rPr>
        <w:t>m</w:t>
      </w:r>
      <w:r w:rsidRPr="00353FCC">
        <w:rPr>
          <w:lang w:val="pl-PL"/>
        </w:rPr>
        <w:t>ining of coal and lignite</w:t>
      </w:r>
      <w:r w:rsidRPr="00632B2F">
        <w:rPr>
          <w:lang w:val="pl-PL"/>
        </w:rPr>
        <w:t xml:space="preserve"> decreased by 1.3%.</w:t>
      </w:r>
    </w:p>
    <w:p w14:paraId="5F02E06D" w14:textId="77777777" w:rsidR="00781552" w:rsidRPr="00F73ED4" w:rsidRDefault="00781552" w:rsidP="00781552">
      <w:pPr>
        <w:widowControl w:val="0"/>
        <w:shd w:val="clear" w:color="auto" w:fill="FFFFFF"/>
        <w:tabs>
          <w:tab w:val="left" w:pos="8931"/>
        </w:tabs>
        <w:spacing w:after="120" w:line="264" w:lineRule="auto"/>
        <w:ind w:firstLine="567"/>
        <w:jc w:val="center"/>
        <w:rPr>
          <w:rFonts w:ascii="Arial" w:hAnsi="Arial" w:cs="Arial"/>
          <w:b/>
          <w:sz w:val="24"/>
          <w:lang w:val="pl-PL"/>
        </w:rPr>
      </w:pPr>
      <w:r>
        <w:rPr>
          <w:rFonts w:ascii="Arial" w:hAnsi="Arial" w:cs="Arial"/>
          <w:b/>
          <w:sz w:val="24"/>
          <w:lang w:val="pl-PL"/>
        </w:rPr>
        <w:t>Table</w:t>
      </w:r>
      <w:r w:rsidRPr="00F73ED4">
        <w:rPr>
          <w:rFonts w:ascii="Arial" w:hAnsi="Arial" w:cs="Arial"/>
          <w:b/>
          <w:sz w:val="24"/>
          <w:lang w:val="pl-PL"/>
        </w:rPr>
        <w:t xml:space="preserve"> 1. </w:t>
      </w:r>
      <w:r w:rsidRPr="00353FCC">
        <w:rPr>
          <w:rFonts w:ascii="Arial" w:hAnsi="Arial" w:cs="Arial"/>
          <w:b/>
          <w:sz w:val="24"/>
          <w:lang w:val="pl-PL"/>
        </w:rPr>
        <w:t xml:space="preserve">The rate of increase/decrease in IIP index in the first 5 months of </w:t>
      </w:r>
      <w:r>
        <w:rPr>
          <w:rFonts w:ascii="Arial" w:hAnsi="Arial" w:cs="Arial"/>
          <w:b/>
          <w:sz w:val="24"/>
          <w:lang w:val="pl-PL"/>
        </w:rPr>
        <w:t xml:space="preserve">   </w:t>
      </w:r>
      <w:r w:rsidRPr="00353FCC">
        <w:rPr>
          <w:rFonts w:ascii="Arial" w:hAnsi="Arial" w:cs="Arial"/>
          <w:b/>
          <w:sz w:val="24"/>
          <w:lang w:val="pl-PL"/>
        </w:rPr>
        <w:t>2020-2024</w:t>
      </w:r>
      <w:r>
        <w:rPr>
          <w:rFonts w:ascii="Arial" w:hAnsi="Arial" w:cs="Arial"/>
          <w:b/>
          <w:sz w:val="24"/>
          <w:lang w:val="pl-PL"/>
        </w:rPr>
        <w:t xml:space="preserve"> </w:t>
      </w:r>
      <w:r w:rsidRPr="00353FCC">
        <w:rPr>
          <w:rFonts w:ascii="Arial" w:hAnsi="Arial" w:cs="Arial"/>
          <w:b/>
          <w:sz w:val="24"/>
          <w:lang w:val="pl-PL"/>
        </w:rPr>
        <w:t>compared to the same period last year of some key industries</w:t>
      </w:r>
    </w:p>
    <w:p w14:paraId="0C689044" w14:textId="77777777" w:rsidR="00781552" w:rsidRPr="00F73ED4" w:rsidRDefault="00781552" w:rsidP="00781552">
      <w:pPr>
        <w:shd w:val="clear" w:color="auto" w:fill="FFFFFF"/>
        <w:ind w:right="140"/>
        <w:jc w:val="right"/>
        <w:rPr>
          <w:rFonts w:ascii="Arial" w:hAnsi="Arial" w:cs="Arial"/>
          <w:b/>
          <w:i/>
          <w:sz w:val="20"/>
          <w:szCs w:val="20"/>
          <w:lang w:val="pl-PL"/>
        </w:rPr>
      </w:pPr>
      <w:r w:rsidRPr="00F73ED4">
        <w:rPr>
          <w:rFonts w:ascii="Arial" w:hAnsi="Arial" w:cs="Arial"/>
          <w:sz w:val="24"/>
          <w:lang w:val="pl-PL"/>
        </w:rPr>
        <w:t xml:space="preserve">                                                                                                                 </w:t>
      </w:r>
      <w:r w:rsidRPr="00F73ED4">
        <w:rPr>
          <w:rFonts w:ascii="Arial" w:hAnsi="Arial" w:cs="Arial"/>
          <w:b/>
          <w:i/>
          <w:sz w:val="20"/>
          <w:szCs w:val="20"/>
          <w:lang w:val="pl-PL"/>
        </w:rPr>
        <w:t>%</w:t>
      </w:r>
    </w:p>
    <w:p w14:paraId="22732BF0" w14:textId="77777777" w:rsidR="00781552" w:rsidRPr="00F73ED4" w:rsidRDefault="00781552" w:rsidP="00781552">
      <w:pPr>
        <w:shd w:val="clear" w:color="auto" w:fill="FFFFFF"/>
        <w:spacing w:before="40" w:after="40"/>
        <w:ind w:firstLine="567"/>
        <w:jc w:val="both"/>
        <w:rPr>
          <w:i/>
          <w:sz w:val="4"/>
          <w:lang w:val="pl-PL"/>
        </w:rPr>
      </w:pPr>
    </w:p>
    <w:tbl>
      <w:tblPr>
        <w:tblW w:w="9107" w:type="dxa"/>
        <w:jc w:val="center"/>
        <w:tblBorders>
          <w:top w:val="single" w:sz="4" w:space="0" w:color="auto"/>
        </w:tblBorders>
        <w:tblLook w:val="04A0" w:firstRow="1" w:lastRow="0" w:firstColumn="1" w:lastColumn="0" w:noHBand="0" w:noVBand="1"/>
      </w:tblPr>
      <w:tblGrid>
        <w:gridCol w:w="4555"/>
        <w:gridCol w:w="854"/>
        <w:gridCol w:w="735"/>
        <w:gridCol w:w="76"/>
        <w:gridCol w:w="1062"/>
        <w:gridCol w:w="54"/>
        <w:gridCol w:w="918"/>
        <w:gridCol w:w="853"/>
      </w:tblGrid>
      <w:tr w:rsidR="00781552" w:rsidRPr="00F73ED4" w14:paraId="6EC159A3" w14:textId="77777777" w:rsidTr="007577DA">
        <w:trPr>
          <w:trHeight w:val="733"/>
          <w:jc w:val="center"/>
        </w:trPr>
        <w:tc>
          <w:tcPr>
            <w:tcW w:w="4555" w:type="dxa"/>
            <w:tcBorders>
              <w:top w:val="single" w:sz="4" w:space="0" w:color="auto"/>
              <w:left w:val="nil"/>
              <w:bottom w:val="nil"/>
              <w:right w:val="nil"/>
            </w:tcBorders>
            <w:shd w:val="clear" w:color="auto" w:fill="FFFFFF"/>
            <w:hideMark/>
          </w:tcPr>
          <w:p w14:paraId="3769689C" w14:textId="77777777" w:rsidR="00781552" w:rsidRPr="00F73ED4" w:rsidRDefault="00781552" w:rsidP="007577DA">
            <w:pPr>
              <w:jc w:val="center"/>
              <w:rPr>
                <w:rFonts w:ascii="Arial" w:hAnsi="Arial" w:cs="Arial"/>
                <w:b/>
                <w:bCs/>
                <w:sz w:val="20"/>
                <w:szCs w:val="20"/>
              </w:rPr>
            </w:pPr>
            <w:r w:rsidRPr="00F73ED4">
              <w:rPr>
                <w:rFonts w:ascii="Arial" w:hAnsi="Arial" w:cs="Arial"/>
                <w:b/>
                <w:bCs/>
                <w:sz w:val="20"/>
                <w:szCs w:val="20"/>
              </w:rPr>
              <w:t> </w:t>
            </w:r>
          </w:p>
        </w:tc>
        <w:tc>
          <w:tcPr>
            <w:tcW w:w="854" w:type="dxa"/>
            <w:tcBorders>
              <w:top w:val="single" w:sz="4" w:space="0" w:color="auto"/>
              <w:left w:val="nil"/>
              <w:bottom w:val="single" w:sz="4" w:space="0" w:color="auto"/>
              <w:right w:val="nil"/>
            </w:tcBorders>
            <w:vAlign w:val="center"/>
            <w:hideMark/>
          </w:tcPr>
          <w:p w14:paraId="61DEFB04" w14:textId="77777777" w:rsidR="00781552" w:rsidRPr="00F73ED4" w:rsidRDefault="00781552" w:rsidP="007577DA">
            <w:pPr>
              <w:jc w:val="right"/>
              <w:rPr>
                <w:rFonts w:ascii="Arial" w:hAnsi="Arial" w:cs="Arial"/>
                <w:b/>
                <w:bCs/>
                <w:sz w:val="20"/>
                <w:szCs w:val="20"/>
              </w:rPr>
            </w:pPr>
            <w:r w:rsidRPr="00F73ED4">
              <w:rPr>
                <w:rFonts w:ascii="Arial" w:hAnsi="Arial" w:cs="Arial"/>
                <w:b/>
                <w:bCs/>
                <w:sz w:val="20"/>
                <w:szCs w:val="20"/>
              </w:rPr>
              <w:t xml:space="preserve"> 2020</w:t>
            </w:r>
          </w:p>
        </w:tc>
        <w:tc>
          <w:tcPr>
            <w:tcW w:w="811" w:type="dxa"/>
            <w:gridSpan w:val="2"/>
            <w:tcBorders>
              <w:top w:val="single" w:sz="4" w:space="0" w:color="auto"/>
              <w:left w:val="nil"/>
              <w:bottom w:val="single" w:sz="4" w:space="0" w:color="auto"/>
              <w:right w:val="nil"/>
            </w:tcBorders>
            <w:vAlign w:val="center"/>
          </w:tcPr>
          <w:p w14:paraId="4250BA32" w14:textId="77777777" w:rsidR="00781552" w:rsidRPr="00F73ED4" w:rsidRDefault="00781552" w:rsidP="007577DA">
            <w:pPr>
              <w:jc w:val="right"/>
              <w:rPr>
                <w:rFonts w:ascii="Arial" w:hAnsi="Arial" w:cs="Arial"/>
                <w:b/>
                <w:bCs/>
                <w:sz w:val="20"/>
                <w:szCs w:val="20"/>
              </w:rPr>
            </w:pPr>
            <w:r w:rsidRPr="00F73ED4">
              <w:rPr>
                <w:rFonts w:ascii="Arial" w:hAnsi="Arial" w:cs="Arial"/>
                <w:b/>
                <w:bCs/>
                <w:sz w:val="20"/>
                <w:szCs w:val="20"/>
              </w:rPr>
              <w:t>2021</w:t>
            </w:r>
          </w:p>
        </w:tc>
        <w:tc>
          <w:tcPr>
            <w:tcW w:w="1116" w:type="dxa"/>
            <w:gridSpan w:val="2"/>
            <w:tcBorders>
              <w:top w:val="single" w:sz="4" w:space="0" w:color="auto"/>
              <w:left w:val="nil"/>
              <w:bottom w:val="single" w:sz="4" w:space="0" w:color="auto"/>
              <w:right w:val="nil"/>
            </w:tcBorders>
            <w:vAlign w:val="center"/>
          </w:tcPr>
          <w:p w14:paraId="2E03DFAA" w14:textId="77777777" w:rsidR="00781552" w:rsidRPr="00F73ED4" w:rsidRDefault="00781552" w:rsidP="007577DA">
            <w:pPr>
              <w:jc w:val="right"/>
              <w:rPr>
                <w:rFonts w:ascii="Arial" w:hAnsi="Arial" w:cs="Arial"/>
                <w:b/>
                <w:bCs/>
                <w:sz w:val="20"/>
                <w:szCs w:val="20"/>
              </w:rPr>
            </w:pPr>
            <w:r w:rsidRPr="00F73ED4">
              <w:rPr>
                <w:rFonts w:ascii="Arial" w:hAnsi="Arial" w:cs="Arial"/>
                <w:b/>
                <w:bCs/>
                <w:sz w:val="20"/>
                <w:szCs w:val="20"/>
              </w:rPr>
              <w:t>2022</w:t>
            </w:r>
          </w:p>
        </w:tc>
        <w:tc>
          <w:tcPr>
            <w:tcW w:w="918" w:type="dxa"/>
            <w:tcBorders>
              <w:top w:val="single" w:sz="4" w:space="0" w:color="auto"/>
              <w:left w:val="nil"/>
              <w:bottom w:val="single" w:sz="4" w:space="0" w:color="auto"/>
              <w:right w:val="nil"/>
            </w:tcBorders>
            <w:vAlign w:val="center"/>
          </w:tcPr>
          <w:p w14:paraId="65A84BE1" w14:textId="77777777" w:rsidR="00781552" w:rsidRPr="00F73ED4" w:rsidRDefault="00781552" w:rsidP="007577DA">
            <w:pPr>
              <w:jc w:val="right"/>
              <w:rPr>
                <w:rFonts w:ascii="Arial" w:hAnsi="Arial" w:cs="Arial"/>
                <w:b/>
                <w:bCs/>
                <w:sz w:val="20"/>
                <w:szCs w:val="20"/>
              </w:rPr>
            </w:pPr>
            <w:r w:rsidRPr="00F73ED4">
              <w:rPr>
                <w:rFonts w:ascii="Arial" w:hAnsi="Arial" w:cs="Arial"/>
                <w:b/>
                <w:bCs/>
                <w:sz w:val="20"/>
                <w:szCs w:val="20"/>
              </w:rPr>
              <w:t>2023</w:t>
            </w:r>
          </w:p>
        </w:tc>
        <w:tc>
          <w:tcPr>
            <w:tcW w:w="853" w:type="dxa"/>
            <w:tcBorders>
              <w:top w:val="single" w:sz="4" w:space="0" w:color="auto"/>
              <w:left w:val="nil"/>
              <w:bottom w:val="single" w:sz="4" w:space="0" w:color="auto"/>
              <w:right w:val="nil"/>
            </w:tcBorders>
            <w:vAlign w:val="center"/>
          </w:tcPr>
          <w:p w14:paraId="0473EFC0" w14:textId="77777777" w:rsidR="00781552" w:rsidRPr="00F73ED4" w:rsidRDefault="00781552" w:rsidP="007577DA">
            <w:pPr>
              <w:jc w:val="right"/>
              <w:rPr>
                <w:rFonts w:ascii="Arial" w:hAnsi="Arial" w:cs="Arial"/>
                <w:b/>
                <w:bCs/>
                <w:sz w:val="20"/>
                <w:szCs w:val="20"/>
              </w:rPr>
            </w:pPr>
            <w:r w:rsidRPr="00F73ED4">
              <w:rPr>
                <w:rFonts w:ascii="Arial" w:hAnsi="Arial" w:cs="Arial"/>
                <w:b/>
                <w:bCs/>
                <w:sz w:val="20"/>
                <w:szCs w:val="20"/>
              </w:rPr>
              <w:t>2024</w:t>
            </w:r>
          </w:p>
        </w:tc>
      </w:tr>
      <w:tr w:rsidR="00781552" w:rsidRPr="00F73ED4" w14:paraId="41B3400C" w14:textId="77777777" w:rsidTr="007577DA">
        <w:trPr>
          <w:trHeight w:val="393"/>
          <w:jc w:val="center"/>
        </w:trPr>
        <w:tc>
          <w:tcPr>
            <w:tcW w:w="4555" w:type="dxa"/>
            <w:tcBorders>
              <w:top w:val="nil"/>
              <w:left w:val="nil"/>
              <w:bottom w:val="nil"/>
              <w:right w:val="nil"/>
            </w:tcBorders>
            <w:shd w:val="clear" w:color="auto" w:fill="FFFFFF"/>
            <w:noWrap/>
            <w:hideMark/>
          </w:tcPr>
          <w:p w14:paraId="0A98A799" w14:textId="77777777" w:rsidR="00781552" w:rsidRPr="00F73ED4" w:rsidRDefault="00781552" w:rsidP="007577DA">
            <w:pPr>
              <w:rPr>
                <w:rFonts w:ascii="Arial" w:hAnsi="Arial" w:cs="Arial"/>
                <w:sz w:val="20"/>
                <w:szCs w:val="20"/>
              </w:rPr>
            </w:pPr>
            <w:r w:rsidRPr="00353FCC">
              <w:rPr>
                <w:rFonts w:ascii="Arial" w:hAnsi="Arial" w:cs="Arial"/>
                <w:sz w:val="20"/>
                <w:szCs w:val="20"/>
              </w:rPr>
              <w:t>Mining of coal and lignite</w:t>
            </w:r>
          </w:p>
        </w:tc>
        <w:tc>
          <w:tcPr>
            <w:tcW w:w="854" w:type="dxa"/>
            <w:tcBorders>
              <w:top w:val="nil"/>
              <w:left w:val="nil"/>
              <w:bottom w:val="nil"/>
              <w:right w:val="nil"/>
            </w:tcBorders>
            <w:hideMark/>
          </w:tcPr>
          <w:p w14:paraId="1D6242EB"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4</w:t>
            </w:r>
            <w:r>
              <w:rPr>
                <w:rFonts w:ascii="Arial" w:hAnsi="Arial" w:cs="Arial"/>
                <w:sz w:val="20"/>
                <w:szCs w:val="20"/>
              </w:rPr>
              <w:t>.</w:t>
            </w:r>
            <w:r w:rsidRPr="00F73ED4">
              <w:rPr>
                <w:rFonts w:ascii="Arial" w:hAnsi="Arial" w:cs="Arial"/>
                <w:sz w:val="20"/>
                <w:szCs w:val="20"/>
              </w:rPr>
              <w:t>5</w:t>
            </w:r>
          </w:p>
        </w:tc>
        <w:tc>
          <w:tcPr>
            <w:tcW w:w="735" w:type="dxa"/>
            <w:tcBorders>
              <w:top w:val="nil"/>
              <w:left w:val="nil"/>
              <w:bottom w:val="nil"/>
              <w:right w:val="nil"/>
            </w:tcBorders>
            <w:hideMark/>
          </w:tcPr>
          <w:p w14:paraId="5DADFCE6"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-4</w:t>
            </w:r>
            <w:r>
              <w:rPr>
                <w:rFonts w:ascii="Arial" w:hAnsi="Arial" w:cs="Arial"/>
                <w:sz w:val="20"/>
                <w:szCs w:val="20"/>
              </w:rPr>
              <w:t>.</w:t>
            </w:r>
            <w:r w:rsidRPr="00F73ED4">
              <w:rPr>
                <w:rFonts w:ascii="Arial" w:hAnsi="Arial" w:cs="Arial"/>
                <w:sz w:val="20"/>
                <w:szCs w:val="20"/>
              </w:rPr>
              <w:t>5</w:t>
            </w:r>
          </w:p>
        </w:tc>
        <w:tc>
          <w:tcPr>
            <w:tcW w:w="1138" w:type="dxa"/>
            <w:gridSpan w:val="2"/>
            <w:tcBorders>
              <w:top w:val="nil"/>
              <w:left w:val="nil"/>
              <w:bottom w:val="nil"/>
              <w:right w:val="nil"/>
            </w:tcBorders>
            <w:hideMark/>
          </w:tcPr>
          <w:p w14:paraId="76CBE0FD"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11</w:t>
            </w:r>
            <w:r>
              <w:rPr>
                <w:rFonts w:ascii="Arial" w:hAnsi="Arial" w:cs="Arial"/>
                <w:sz w:val="20"/>
                <w:szCs w:val="20"/>
              </w:rPr>
              <w:t>.</w:t>
            </w:r>
            <w:r w:rsidRPr="00F73ED4">
              <w:rPr>
                <w:rFonts w:ascii="Arial" w:hAnsi="Arial" w:cs="Arial"/>
                <w:sz w:val="20"/>
                <w:szCs w:val="20"/>
              </w:rPr>
              <w:t>9</w:t>
            </w:r>
          </w:p>
        </w:tc>
        <w:tc>
          <w:tcPr>
            <w:tcW w:w="971" w:type="dxa"/>
            <w:gridSpan w:val="2"/>
            <w:tcBorders>
              <w:top w:val="nil"/>
              <w:left w:val="nil"/>
              <w:bottom w:val="nil"/>
              <w:right w:val="nil"/>
            </w:tcBorders>
            <w:hideMark/>
          </w:tcPr>
          <w:p w14:paraId="06833729"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-3</w:t>
            </w:r>
            <w:r>
              <w:rPr>
                <w:rFonts w:ascii="Arial" w:hAnsi="Arial" w:cs="Arial"/>
                <w:sz w:val="20"/>
                <w:szCs w:val="20"/>
              </w:rPr>
              <w:t>.</w:t>
            </w:r>
            <w:r w:rsidRPr="00F73ED4">
              <w:rPr>
                <w:rFonts w:ascii="Arial" w:hAnsi="Arial" w:cs="Arial"/>
                <w:sz w:val="20"/>
                <w:szCs w:val="20"/>
              </w:rPr>
              <w:t>0</w:t>
            </w:r>
          </w:p>
        </w:tc>
        <w:tc>
          <w:tcPr>
            <w:tcW w:w="853" w:type="dxa"/>
            <w:tcBorders>
              <w:top w:val="nil"/>
              <w:left w:val="nil"/>
              <w:bottom w:val="nil"/>
              <w:right w:val="nil"/>
            </w:tcBorders>
            <w:hideMark/>
          </w:tcPr>
          <w:p w14:paraId="72E7CD13"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w:t>
            </w:r>
            <w:r>
              <w:rPr>
                <w:rFonts w:ascii="Arial" w:hAnsi="Arial" w:cs="Arial"/>
                <w:sz w:val="20"/>
                <w:szCs w:val="20"/>
              </w:rPr>
              <w:t>.</w:t>
            </w:r>
            <w:r w:rsidRPr="00F73ED4">
              <w:rPr>
                <w:rFonts w:ascii="Arial" w:hAnsi="Arial" w:cs="Arial"/>
                <w:sz w:val="20"/>
                <w:szCs w:val="20"/>
              </w:rPr>
              <w:t>3</w:t>
            </w:r>
          </w:p>
        </w:tc>
      </w:tr>
      <w:tr w:rsidR="00781552" w:rsidRPr="00F73ED4" w14:paraId="40E3F49D" w14:textId="77777777" w:rsidTr="007577DA">
        <w:trPr>
          <w:trHeight w:val="393"/>
          <w:jc w:val="center"/>
        </w:trPr>
        <w:tc>
          <w:tcPr>
            <w:tcW w:w="4555" w:type="dxa"/>
            <w:tcBorders>
              <w:top w:val="nil"/>
              <w:left w:val="nil"/>
              <w:bottom w:val="nil"/>
              <w:right w:val="nil"/>
            </w:tcBorders>
            <w:shd w:val="clear" w:color="auto" w:fill="FFFFFF"/>
            <w:noWrap/>
            <w:hideMark/>
          </w:tcPr>
          <w:p w14:paraId="14ACE6CD" w14:textId="77777777" w:rsidR="00781552" w:rsidRPr="00F73ED4" w:rsidRDefault="00781552" w:rsidP="007577DA">
            <w:pPr>
              <w:rPr>
                <w:rFonts w:ascii="Arial" w:hAnsi="Arial" w:cs="Arial"/>
                <w:sz w:val="20"/>
                <w:szCs w:val="20"/>
              </w:rPr>
            </w:pPr>
            <w:r w:rsidRPr="00595F22">
              <w:rPr>
                <w:rFonts w:ascii="Arial" w:hAnsi="Arial" w:cs="Arial"/>
                <w:sz w:val="20"/>
                <w:szCs w:val="20"/>
              </w:rPr>
              <w:t>Extraction of crude petroleum and natural gas</w:t>
            </w:r>
          </w:p>
        </w:tc>
        <w:tc>
          <w:tcPr>
            <w:tcW w:w="854" w:type="dxa"/>
            <w:tcBorders>
              <w:top w:val="nil"/>
              <w:left w:val="nil"/>
              <w:bottom w:val="nil"/>
              <w:right w:val="nil"/>
            </w:tcBorders>
            <w:hideMark/>
          </w:tcPr>
          <w:p w14:paraId="481F032A"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-11</w:t>
            </w:r>
            <w:r>
              <w:rPr>
                <w:rFonts w:ascii="Arial" w:hAnsi="Arial" w:cs="Arial"/>
                <w:sz w:val="20"/>
                <w:szCs w:val="20"/>
              </w:rPr>
              <w:t>.</w:t>
            </w:r>
            <w:r w:rsidRPr="00F73ED4">
              <w:rPr>
                <w:rFonts w:ascii="Arial" w:hAnsi="Arial" w:cs="Arial"/>
                <w:sz w:val="20"/>
                <w:szCs w:val="20"/>
              </w:rPr>
              <w:t>1</w:t>
            </w:r>
          </w:p>
        </w:tc>
        <w:tc>
          <w:tcPr>
            <w:tcW w:w="735" w:type="dxa"/>
            <w:tcBorders>
              <w:top w:val="nil"/>
              <w:left w:val="nil"/>
              <w:bottom w:val="nil"/>
              <w:right w:val="nil"/>
            </w:tcBorders>
            <w:hideMark/>
          </w:tcPr>
          <w:p w14:paraId="68C9410A"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-10</w:t>
            </w:r>
            <w:r>
              <w:rPr>
                <w:rFonts w:ascii="Arial" w:hAnsi="Arial" w:cs="Arial"/>
                <w:sz w:val="20"/>
                <w:szCs w:val="20"/>
              </w:rPr>
              <w:t>.</w:t>
            </w:r>
            <w:r w:rsidRPr="00F73ED4">
              <w:rPr>
                <w:rFonts w:ascii="Arial" w:hAnsi="Arial" w:cs="Arial"/>
                <w:sz w:val="20"/>
                <w:szCs w:val="20"/>
              </w:rPr>
              <w:t>2</w:t>
            </w:r>
          </w:p>
        </w:tc>
        <w:tc>
          <w:tcPr>
            <w:tcW w:w="1138" w:type="dxa"/>
            <w:gridSpan w:val="2"/>
            <w:tcBorders>
              <w:top w:val="nil"/>
              <w:left w:val="nil"/>
              <w:bottom w:val="nil"/>
              <w:right w:val="nil"/>
            </w:tcBorders>
            <w:hideMark/>
          </w:tcPr>
          <w:p w14:paraId="0BD11439"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w:t>
            </w:r>
            <w:r>
              <w:rPr>
                <w:rFonts w:ascii="Arial" w:hAnsi="Arial" w:cs="Arial"/>
                <w:sz w:val="20"/>
                <w:szCs w:val="20"/>
              </w:rPr>
              <w:t>.</w:t>
            </w:r>
            <w:r w:rsidRPr="00F73ED4">
              <w:rPr>
                <w:rFonts w:ascii="Arial" w:hAnsi="Arial" w:cs="Arial"/>
                <w:sz w:val="20"/>
                <w:szCs w:val="20"/>
              </w:rPr>
              <w:t>1</w:t>
            </w:r>
          </w:p>
        </w:tc>
        <w:tc>
          <w:tcPr>
            <w:tcW w:w="971" w:type="dxa"/>
            <w:gridSpan w:val="2"/>
            <w:tcBorders>
              <w:top w:val="nil"/>
              <w:left w:val="nil"/>
              <w:bottom w:val="nil"/>
              <w:right w:val="nil"/>
            </w:tcBorders>
            <w:hideMark/>
          </w:tcPr>
          <w:p w14:paraId="6F017E49"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-2</w:t>
            </w:r>
            <w:r>
              <w:rPr>
                <w:rFonts w:ascii="Arial" w:hAnsi="Arial" w:cs="Arial"/>
                <w:sz w:val="20"/>
                <w:szCs w:val="20"/>
              </w:rPr>
              <w:t>.</w:t>
            </w:r>
            <w:r w:rsidRPr="00F73ED4">
              <w:rPr>
                <w:rFonts w:ascii="Arial" w:hAnsi="Arial" w:cs="Arial"/>
                <w:sz w:val="20"/>
                <w:szCs w:val="20"/>
              </w:rPr>
              <w:t>1</w:t>
            </w:r>
          </w:p>
        </w:tc>
        <w:tc>
          <w:tcPr>
            <w:tcW w:w="853" w:type="dxa"/>
            <w:tcBorders>
              <w:top w:val="nil"/>
              <w:left w:val="nil"/>
              <w:bottom w:val="nil"/>
              <w:right w:val="nil"/>
            </w:tcBorders>
            <w:hideMark/>
          </w:tcPr>
          <w:p w14:paraId="27569D79"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-11</w:t>
            </w:r>
            <w:r>
              <w:rPr>
                <w:rFonts w:ascii="Arial" w:hAnsi="Arial" w:cs="Arial"/>
                <w:sz w:val="20"/>
                <w:szCs w:val="20"/>
              </w:rPr>
              <w:t>.</w:t>
            </w:r>
            <w:r w:rsidRPr="00F73ED4">
              <w:rPr>
                <w:rFonts w:ascii="Arial" w:hAnsi="Arial" w:cs="Arial"/>
                <w:sz w:val="20"/>
                <w:szCs w:val="20"/>
              </w:rPr>
              <w:t>0</w:t>
            </w:r>
          </w:p>
        </w:tc>
      </w:tr>
      <w:tr w:rsidR="00781552" w:rsidRPr="00F73ED4" w14:paraId="352C08A4" w14:textId="77777777" w:rsidTr="007577DA">
        <w:trPr>
          <w:trHeight w:val="393"/>
          <w:jc w:val="center"/>
        </w:trPr>
        <w:tc>
          <w:tcPr>
            <w:tcW w:w="4555" w:type="dxa"/>
            <w:tcBorders>
              <w:top w:val="nil"/>
              <w:left w:val="nil"/>
              <w:bottom w:val="nil"/>
              <w:right w:val="nil"/>
            </w:tcBorders>
            <w:shd w:val="clear" w:color="auto" w:fill="FFFFFF"/>
            <w:noWrap/>
            <w:hideMark/>
          </w:tcPr>
          <w:p w14:paraId="042BF3B8" w14:textId="77777777" w:rsidR="00781552" w:rsidRPr="00F73ED4" w:rsidRDefault="00781552" w:rsidP="007577DA">
            <w:pPr>
              <w:rPr>
                <w:rFonts w:ascii="Arial" w:hAnsi="Arial" w:cs="Arial"/>
                <w:sz w:val="20"/>
                <w:szCs w:val="20"/>
              </w:rPr>
            </w:pPr>
            <w:r w:rsidRPr="00595F22">
              <w:rPr>
                <w:rFonts w:ascii="Arial" w:hAnsi="Arial" w:cs="Arial"/>
                <w:sz w:val="20"/>
                <w:szCs w:val="20"/>
              </w:rPr>
              <w:t>Manufacture of food products</w:t>
            </w:r>
          </w:p>
        </w:tc>
        <w:tc>
          <w:tcPr>
            <w:tcW w:w="854" w:type="dxa"/>
            <w:tcBorders>
              <w:top w:val="nil"/>
              <w:left w:val="nil"/>
              <w:bottom w:val="nil"/>
              <w:right w:val="nil"/>
            </w:tcBorders>
            <w:hideMark/>
          </w:tcPr>
          <w:p w14:paraId="253194AA"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3</w:t>
            </w:r>
            <w:r>
              <w:rPr>
                <w:rFonts w:ascii="Arial" w:hAnsi="Arial" w:cs="Arial"/>
                <w:sz w:val="20"/>
                <w:szCs w:val="20"/>
              </w:rPr>
              <w:t>.</w:t>
            </w:r>
            <w:r w:rsidRPr="00F73ED4">
              <w:rPr>
                <w:rFonts w:ascii="Arial" w:hAnsi="Arial" w:cs="Arial"/>
                <w:sz w:val="20"/>
                <w:szCs w:val="20"/>
              </w:rPr>
              <w:t>4</w:t>
            </w:r>
          </w:p>
        </w:tc>
        <w:tc>
          <w:tcPr>
            <w:tcW w:w="735" w:type="dxa"/>
            <w:tcBorders>
              <w:top w:val="nil"/>
              <w:left w:val="nil"/>
              <w:bottom w:val="nil"/>
              <w:right w:val="nil"/>
            </w:tcBorders>
            <w:hideMark/>
          </w:tcPr>
          <w:p w14:paraId="7A2107C9"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6</w:t>
            </w:r>
            <w:r>
              <w:rPr>
                <w:rFonts w:ascii="Arial" w:hAnsi="Arial" w:cs="Arial"/>
                <w:sz w:val="20"/>
                <w:szCs w:val="20"/>
              </w:rPr>
              <w:t>.</w:t>
            </w:r>
            <w:r w:rsidRPr="00F73ED4">
              <w:rPr>
                <w:rFonts w:ascii="Arial" w:hAnsi="Arial" w:cs="Arial"/>
                <w:sz w:val="20"/>
                <w:szCs w:val="20"/>
              </w:rPr>
              <w:t>2</w:t>
            </w:r>
          </w:p>
        </w:tc>
        <w:tc>
          <w:tcPr>
            <w:tcW w:w="1138" w:type="dxa"/>
            <w:gridSpan w:val="2"/>
            <w:tcBorders>
              <w:top w:val="nil"/>
              <w:left w:val="nil"/>
              <w:bottom w:val="nil"/>
              <w:right w:val="nil"/>
            </w:tcBorders>
            <w:hideMark/>
          </w:tcPr>
          <w:p w14:paraId="6034958A"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6</w:t>
            </w:r>
            <w:r>
              <w:rPr>
                <w:rFonts w:ascii="Arial" w:hAnsi="Arial" w:cs="Arial"/>
                <w:sz w:val="20"/>
                <w:szCs w:val="20"/>
              </w:rPr>
              <w:t>.</w:t>
            </w:r>
            <w:r w:rsidRPr="00F73ED4">
              <w:rPr>
                <w:rFonts w:ascii="Arial" w:hAnsi="Arial" w:cs="Arial"/>
                <w:sz w:val="20"/>
                <w:szCs w:val="20"/>
              </w:rPr>
              <w:t>4</w:t>
            </w:r>
          </w:p>
        </w:tc>
        <w:tc>
          <w:tcPr>
            <w:tcW w:w="971" w:type="dxa"/>
            <w:gridSpan w:val="2"/>
            <w:tcBorders>
              <w:top w:val="nil"/>
              <w:left w:val="nil"/>
              <w:bottom w:val="nil"/>
              <w:right w:val="nil"/>
            </w:tcBorders>
            <w:hideMark/>
          </w:tcPr>
          <w:p w14:paraId="5C59C225"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3</w:t>
            </w:r>
            <w:r>
              <w:rPr>
                <w:rFonts w:ascii="Arial" w:hAnsi="Arial" w:cs="Arial"/>
                <w:sz w:val="20"/>
                <w:szCs w:val="20"/>
              </w:rPr>
              <w:t>.</w:t>
            </w:r>
            <w:r w:rsidRPr="00F73ED4">
              <w:rPr>
                <w:rFonts w:ascii="Arial" w:hAnsi="Arial" w:cs="Arial"/>
                <w:sz w:val="20"/>
                <w:szCs w:val="20"/>
              </w:rPr>
              <w:t>5</w:t>
            </w:r>
          </w:p>
        </w:tc>
        <w:tc>
          <w:tcPr>
            <w:tcW w:w="853" w:type="dxa"/>
            <w:tcBorders>
              <w:top w:val="nil"/>
              <w:left w:val="nil"/>
              <w:bottom w:val="nil"/>
              <w:right w:val="nil"/>
            </w:tcBorders>
            <w:hideMark/>
          </w:tcPr>
          <w:p w14:paraId="7A79FEAC"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5</w:t>
            </w:r>
            <w:r>
              <w:rPr>
                <w:rFonts w:ascii="Arial" w:hAnsi="Arial" w:cs="Arial"/>
                <w:sz w:val="20"/>
                <w:szCs w:val="20"/>
              </w:rPr>
              <w:t>.</w:t>
            </w:r>
            <w:r w:rsidRPr="00F73ED4">
              <w:rPr>
                <w:rFonts w:ascii="Arial" w:hAnsi="Arial" w:cs="Arial"/>
                <w:sz w:val="20"/>
                <w:szCs w:val="20"/>
              </w:rPr>
              <w:t>4</w:t>
            </w:r>
          </w:p>
        </w:tc>
      </w:tr>
      <w:tr w:rsidR="00781552" w:rsidRPr="00F73ED4" w14:paraId="7C3DCE26" w14:textId="77777777" w:rsidTr="007577DA">
        <w:trPr>
          <w:trHeight w:val="393"/>
          <w:jc w:val="center"/>
        </w:trPr>
        <w:tc>
          <w:tcPr>
            <w:tcW w:w="4555" w:type="dxa"/>
            <w:tcBorders>
              <w:top w:val="nil"/>
              <w:left w:val="nil"/>
              <w:bottom w:val="nil"/>
              <w:right w:val="nil"/>
            </w:tcBorders>
            <w:shd w:val="clear" w:color="auto" w:fill="FFFFFF"/>
            <w:noWrap/>
            <w:hideMark/>
          </w:tcPr>
          <w:p w14:paraId="755454AA" w14:textId="77777777" w:rsidR="00781552" w:rsidRPr="00F73ED4" w:rsidRDefault="00781552" w:rsidP="007577DA">
            <w:pPr>
              <w:rPr>
                <w:rFonts w:ascii="Arial" w:hAnsi="Arial" w:cs="Arial"/>
                <w:sz w:val="20"/>
                <w:szCs w:val="20"/>
              </w:rPr>
            </w:pPr>
            <w:r w:rsidRPr="00595F22">
              <w:rPr>
                <w:rFonts w:ascii="Arial" w:hAnsi="Arial" w:cs="Arial"/>
                <w:sz w:val="20"/>
                <w:szCs w:val="20"/>
              </w:rPr>
              <w:t>Manufacture of textiles</w:t>
            </w:r>
          </w:p>
        </w:tc>
        <w:tc>
          <w:tcPr>
            <w:tcW w:w="854" w:type="dxa"/>
            <w:tcBorders>
              <w:top w:val="nil"/>
              <w:left w:val="nil"/>
              <w:bottom w:val="nil"/>
              <w:right w:val="nil"/>
            </w:tcBorders>
            <w:hideMark/>
          </w:tcPr>
          <w:p w14:paraId="3F40FCD6"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w:t>
            </w:r>
            <w:r>
              <w:rPr>
                <w:rFonts w:ascii="Arial" w:hAnsi="Arial" w:cs="Arial"/>
                <w:sz w:val="20"/>
                <w:szCs w:val="20"/>
              </w:rPr>
              <w:t>.</w:t>
            </w:r>
            <w:r w:rsidRPr="00F73ED4">
              <w:rPr>
                <w:rFonts w:ascii="Arial" w:hAnsi="Arial" w:cs="Arial"/>
                <w:sz w:val="20"/>
                <w:szCs w:val="20"/>
              </w:rPr>
              <w:t>5</w:t>
            </w:r>
          </w:p>
        </w:tc>
        <w:tc>
          <w:tcPr>
            <w:tcW w:w="735" w:type="dxa"/>
            <w:tcBorders>
              <w:top w:val="nil"/>
              <w:left w:val="nil"/>
              <w:bottom w:val="nil"/>
              <w:right w:val="nil"/>
            </w:tcBorders>
            <w:hideMark/>
          </w:tcPr>
          <w:p w14:paraId="3B3079FB"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7</w:t>
            </w:r>
            <w:r>
              <w:rPr>
                <w:rFonts w:ascii="Arial" w:hAnsi="Arial" w:cs="Arial"/>
                <w:sz w:val="20"/>
                <w:szCs w:val="20"/>
              </w:rPr>
              <w:t>.</w:t>
            </w:r>
            <w:r w:rsidRPr="00F73ED4">
              <w:rPr>
                <w:rFonts w:ascii="Arial" w:hAnsi="Arial" w:cs="Arial"/>
                <w:sz w:val="20"/>
                <w:szCs w:val="20"/>
              </w:rPr>
              <w:t>4</w:t>
            </w:r>
          </w:p>
        </w:tc>
        <w:tc>
          <w:tcPr>
            <w:tcW w:w="1138" w:type="dxa"/>
            <w:gridSpan w:val="2"/>
            <w:tcBorders>
              <w:top w:val="nil"/>
              <w:left w:val="nil"/>
              <w:bottom w:val="nil"/>
              <w:right w:val="nil"/>
            </w:tcBorders>
            <w:hideMark/>
          </w:tcPr>
          <w:p w14:paraId="4DC45CA9"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4</w:t>
            </w:r>
            <w:r>
              <w:rPr>
                <w:rFonts w:ascii="Arial" w:hAnsi="Arial" w:cs="Arial"/>
                <w:sz w:val="20"/>
                <w:szCs w:val="20"/>
              </w:rPr>
              <w:t>.</w:t>
            </w:r>
            <w:r w:rsidRPr="00F73ED4">
              <w:rPr>
                <w:rFonts w:ascii="Arial" w:hAnsi="Arial" w:cs="Arial"/>
                <w:sz w:val="20"/>
                <w:szCs w:val="20"/>
              </w:rPr>
              <w:t>6</w:t>
            </w:r>
          </w:p>
        </w:tc>
        <w:tc>
          <w:tcPr>
            <w:tcW w:w="971" w:type="dxa"/>
            <w:gridSpan w:val="2"/>
            <w:tcBorders>
              <w:top w:val="nil"/>
              <w:left w:val="nil"/>
              <w:bottom w:val="nil"/>
              <w:right w:val="nil"/>
            </w:tcBorders>
            <w:hideMark/>
          </w:tcPr>
          <w:p w14:paraId="0123AE5E"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-3</w:t>
            </w:r>
            <w:r>
              <w:rPr>
                <w:rFonts w:ascii="Arial" w:hAnsi="Arial" w:cs="Arial"/>
                <w:sz w:val="20"/>
                <w:szCs w:val="20"/>
              </w:rPr>
              <w:t>.</w:t>
            </w:r>
            <w:r w:rsidRPr="00F73ED4">
              <w:rPr>
                <w:rFonts w:ascii="Arial" w:hAnsi="Arial" w:cs="Arial"/>
                <w:sz w:val="20"/>
                <w:szCs w:val="20"/>
              </w:rPr>
              <w:t>8</w:t>
            </w:r>
          </w:p>
        </w:tc>
        <w:tc>
          <w:tcPr>
            <w:tcW w:w="853" w:type="dxa"/>
            <w:tcBorders>
              <w:top w:val="nil"/>
              <w:left w:val="nil"/>
              <w:bottom w:val="nil"/>
              <w:right w:val="nil"/>
            </w:tcBorders>
            <w:hideMark/>
          </w:tcPr>
          <w:p w14:paraId="50E50000"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12</w:t>
            </w:r>
            <w:r>
              <w:rPr>
                <w:rFonts w:ascii="Arial" w:hAnsi="Arial" w:cs="Arial"/>
                <w:sz w:val="20"/>
                <w:szCs w:val="20"/>
              </w:rPr>
              <w:t>.</w:t>
            </w:r>
            <w:r w:rsidRPr="00F73ED4">
              <w:rPr>
                <w:rFonts w:ascii="Arial" w:hAnsi="Arial" w:cs="Arial"/>
                <w:sz w:val="20"/>
                <w:szCs w:val="20"/>
              </w:rPr>
              <w:t>7</w:t>
            </w:r>
          </w:p>
        </w:tc>
      </w:tr>
      <w:tr w:rsidR="00781552" w:rsidRPr="00F73ED4" w14:paraId="15FC1F94" w14:textId="77777777" w:rsidTr="007577DA">
        <w:trPr>
          <w:trHeight w:val="393"/>
          <w:jc w:val="center"/>
        </w:trPr>
        <w:tc>
          <w:tcPr>
            <w:tcW w:w="4555" w:type="dxa"/>
            <w:tcBorders>
              <w:top w:val="nil"/>
              <w:left w:val="nil"/>
              <w:bottom w:val="nil"/>
              <w:right w:val="nil"/>
            </w:tcBorders>
            <w:shd w:val="clear" w:color="auto" w:fill="FFFFFF"/>
            <w:noWrap/>
            <w:hideMark/>
          </w:tcPr>
          <w:p w14:paraId="6A1A7E6A" w14:textId="77777777" w:rsidR="00781552" w:rsidRPr="00F73ED4" w:rsidRDefault="00781552" w:rsidP="007577DA">
            <w:pPr>
              <w:rPr>
                <w:rFonts w:ascii="Arial" w:hAnsi="Arial" w:cs="Arial"/>
                <w:sz w:val="20"/>
                <w:szCs w:val="20"/>
              </w:rPr>
            </w:pPr>
            <w:r w:rsidRPr="00595F22">
              <w:rPr>
                <w:rFonts w:ascii="Arial" w:hAnsi="Arial" w:cs="Arial"/>
                <w:sz w:val="20"/>
                <w:szCs w:val="20"/>
              </w:rPr>
              <w:t>Manufacture of chemicals and chemical products</w:t>
            </w:r>
          </w:p>
        </w:tc>
        <w:tc>
          <w:tcPr>
            <w:tcW w:w="854" w:type="dxa"/>
            <w:tcBorders>
              <w:top w:val="nil"/>
              <w:left w:val="nil"/>
              <w:bottom w:val="nil"/>
              <w:right w:val="nil"/>
            </w:tcBorders>
            <w:hideMark/>
          </w:tcPr>
          <w:p w14:paraId="15709708"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7</w:t>
            </w:r>
            <w:r>
              <w:rPr>
                <w:rFonts w:ascii="Arial" w:hAnsi="Arial" w:cs="Arial"/>
                <w:sz w:val="20"/>
                <w:szCs w:val="20"/>
              </w:rPr>
              <w:t>.</w:t>
            </w:r>
            <w:r w:rsidRPr="00F73ED4">
              <w:rPr>
                <w:rFonts w:ascii="Arial" w:hAnsi="Arial" w:cs="Arial"/>
                <w:sz w:val="20"/>
                <w:szCs w:val="20"/>
              </w:rPr>
              <w:t>7</w:t>
            </w:r>
          </w:p>
        </w:tc>
        <w:tc>
          <w:tcPr>
            <w:tcW w:w="735" w:type="dxa"/>
            <w:tcBorders>
              <w:top w:val="nil"/>
              <w:left w:val="nil"/>
              <w:bottom w:val="nil"/>
              <w:right w:val="nil"/>
            </w:tcBorders>
            <w:hideMark/>
          </w:tcPr>
          <w:p w14:paraId="1B5EBE50"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4</w:t>
            </w:r>
            <w:r>
              <w:rPr>
                <w:rFonts w:ascii="Arial" w:hAnsi="Arial" w:cs="Arial"/>
                <w:sz w:val="20"/>
                <w:szCs w:val="20"/>
              </w:rPr>
              <w:t>.</w:t>
            </w:r>
            <w:r w:rsidRPr="00F73ED4">
              <w:rPr>
                <w:rFonts w:ascii="Arial" w:hAnsi="Arial" w:cs="Arial"/>
                <w:sz w:val="20"/>
                <w:szCs w:val="20"/>
              </w:rPr>
              <w:t>0</w:t>
            </w:r>
          </w:p>
        </w:tc>
        <w:tc>
          <w:tcPr>
            <w:tcW w:w="1138" w:type="dxa"/>
            <w:gridSpan w:val="2"/>
            <w:tcBorders>
              <w:top w:val="nil"/>
              <w:left w:val="nil"/>
              <w:bottom w:val="nil"/>
              <w:right w:val="nil"/>
            </w:tcBorders>
            <w:hideMark/>
          </w:tcPr>
          <w:p w14:paraId="1CB7C394"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3</w:t>
            </w:r>
            <w:r>
              <w:rPr>
                <w:rFonts w:ascii="Arial" w:hAnsi="Arial" w:cs="Arial"/>
                <w:sz w:val="20"/>
                <w:szCs w:val="20"/>
              </w:rPr>
              <w:t>.</w:t>
            </w:r>
            <w:r w:rsidRPr="00F73ED4">
              <w:rPr>
                <w:rFonts w:ascii="Arial" w:hAnsi="Arial" w:cs="Arial"/>
                <w:sz w:val="20"/>
                <w:szCs w:val="20"/>
              </w:rPr>
              <w:t>5</w:t>
            </w:r>
          </w:p>
        </w:tc>
        <w:tc>
          <w:tcPr>
            <w:tcW w:w="971" w:type="dxa"/>
            <w:gridSpan w:val="2"/>
            <w:tcBorders>
              <w:top w:val="nil"/>
              <w:left w:val="nil"/>
              <w:bottom w:val="nil"/>
              <w:right w:val="nil"/>
            </w:tcBorders>
            <w:hideMark/>
          </w:tcPr>
          <w:p w14:paraId="50D6C74D"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3</w:t>
            </w:r>
            <w:r>
              <w:rPr>
                <w:rFonts w:ascii="Arial" w:hAnsi="Arial" w:cs="Arial"/>
                <w:sz w:val="20"/>
                <w:szCs w:val="20"/>
              </w:rPr>
              <w:t>.</w:t>
            </w:r>
            <w:r w:rsidRPr="00F73ED4">
              <w:rPr>
                <w:rFonts w:ascii="Arial" w:hAnsi="Arial" w:cs="Arial"/>
                <w:sz w:val="20"/>
                <w:szCs w:val="20"/>
              </w:rPr>
              <w:t>5</w:t>
            </w:r>
          </w:p>
        </w:tc>
        <w:tc>
          <w:tcPr>
            <w:tcW w:w="853" w:type="dxa"/>
            <w:tcBorders>
              <w:top w:val="nil"/>
              <w:left w:val="nil"/>
              <w:bottom w:val="nil"/>
              <w:right w:val="nil"/>
            </w:tcBorders>
            <w:hideMark/>
          </w:tcPr>
          <w:p w14:paraId="5AA8BA33"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20</w:t>
            </w:r>
            <w:r>
              <w:rPr>
                <w:rFonts w:ascii="Arial" w:hAnsi="Arial" w:cs="Arial"/>
                <w:sz w:val="20"/>
                <w:szCs w:val="20"/>
              </w:rPr>
              <w:t>.</w:t>
            </w:r>
            <w:r w:rsidRPr="00F73ED4">
              <w:rPr>
                <w:rFonts w:ascii="Arial" w:hAnsi="Arial" w:cs="Arial"/>
                <w:sz w:val="20"/>
                <w:szCs w:val="20"/>
              </w:rPr>
              <w:t>1</w:t>
            </w:r>
          </w:p>
        </w:tc>
      </w:tr>
      <w:tr w:rsidR="00781552" w:rsidRPr="00F73ED4" w14:paraId="3318A682" w14:textId="77777777" w:rsidTr="007577DA">
        <w:trPr>
          <w:trHeight w:val="393"/>
          <w:jc w:val="center"/>
        </w:trPr>
        <w:tc>
          <w:tcPr>
            <w:tcW w:w="4555" w:type="dxa"/>
            <w:tcBorders>
              <w:top w:val="nil"/>
              <w:left w:val="nil"/>
              <w:bottom w:val="nil"/>
              <w:right w:val="nil"/>
            </w:tcBorders>
            <w:shd w:val="clear" w:color="auto" w:fill="FFFFFF"/>
            <w:noWrap/>
            <w:hideMark/>
          </w:tcPr>
          <w:p w14:paraId="04543D92" w14:textId="77777777" w:rsidR="00781552" w:rsidRPr="00F73ED4" w:rsidRDefault="00781552" w:rsidP="007577DA">
            <w:pPr>
              <w:rPr>
                <w:rFonts w:ascii="Arial" w:hAnsi="Arial" w:cs="Arial"/>
                <w:sz w:val="20"/>
                <w:szCs w:val="20"/>
              </w:rPr>
            </w:pPr>
            <w:r w:rsidRPr="00595F22">
              <w:rPr>
                <w:rFonts w:ascii="Arial" w:hAnsi="Arial" w:cs="Arial"/>
                <w:sz w:val="20"/>
                <w:szCs w:val="20"/>
              </w:rPr>
              <w:t>Manufacture of rubber and plastics products</w:t>
            </w:r>
          </w:p>
        </w:tc>
        <w:tc>
          <w:tcPr>
            <w:tcW w:w="854" w:type="dxa"/>
            <w:tcBorders>
              <w:top w:val="nil"/>
              <w:left w:val="nil"/>
              <w:bottom w:val="nil"/>
              <w:right w:val="nil"/>
            </w:tcBorders>
            <w:hideMark/>
          </w:tcPr>
          <w:p w14:paraId="2ECAC47C"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w:t>
            </w:r>
            <w:r>
              <w:rPr>
                <w:rFonts w:ascii="Arial" w:hAnsi="Arial" w:cs="Arial"/>
                <w:sz w:val="20"/>
                <w:szCs w:val="20"/>
              </w:rPr>
              <w:t>.</w:t>
            </w:r>
            <w:r w:rsidRPr="00F73ED4">
              <w:rPr>
                <w:rFonts w:ascii="Arial" w:hAnsi="Arial" w:cs="Arial"/>
                <w:sz w:val="20"/>
                <w:szCs w:val="20"/>
              </w:rPr>
              <w:t>3</w:t>
            </w:r>
          </w:p>
        </w:tc>
        <w:tc>
          <w:tcPr>
            <w:tcW w:w="735" w:type="dxa"/>
            <w:tcBorders>
              <w:top w:val="nil"/>
              <w:left w:val="nil"/>
              <w:bottom w:val="nil"/>
              <w:right w:val="nil"/>
            </w:tcBorders>
            <w:hideMark/>
          </w:tcPr>
          <w:p w14:paraId="33E09699"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10</w:t>
            </w:r>
            <w:r>
              <w:rPr>
                <w:rFonts w:ascii="Arial" w:hAnsi="Arial" w:cs="Arial"/>
                <w:sz w:val="20"/>
                <w:szCs w:val="20"/>
              </w:rPr>
              <w:t>.</w:t>
            </w:r>
            <w:r w:rsidRPr="00F73ED4">
              <w:rPr>
                <w:rFonts w:ascii="Arial" w:hAnsi="Arial" w:cs="Arial"/>
                <w:sz w:val="20"/>
                <w:szCs w:val="20"/>
              </w:rPr>
              <w:t>8</w:t>
            </w:r>
          </w:p>
        </w:tc>
        <w:tc>
          <w:tcPr>
            <w:tcW w:w="1138" w:type="dxa"/>
            <w:gridSpan w:val="2"/>
            <w:tcBorders>
              <w:top w:val="nil"/>
              <w:left w:val="nil"/>
              <w:bottom w:val="nil"/>
              <w:right w:val="nil"/>
            </w:tcBorders>
            <w:hideMark/>
          </w:tcPr>
          <w:p w14:paraId="49FE4559"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-12</w:t>
            </w:r>
            <w:r>
              <w:rPr>
                <w:rFonts w:ascii="Arial" w:hAnsi="Arial" w:cs="Arial"/>
                <w:sz w:val="20"/>
                <w:szCs w:val="20"/>
              </w:rPr>
              <w:t>.</w:t>
            </w:r>
            <w:r w:rsidRPr="00F73ED4">
              <w:rPr>
                <w:rFonts w:ascii="Arial" w:hAnsi="Arial" w:cs="Arial"/>
                <w:sz w:val="20"/>
                <w:szCs w:val="20"/>
              </w:rPr>
              <w:t>3</w:t>
            </w:r>
          </w:p>
        </w:tc>
        <w:tc>
          <w:tcPr>
            <w:tcW w:w="971" w:type="dxa"/>
            <w:gridSpan w:val="2"/>
            <w:tcBorders>
              <w:top w:val="nil"/>
              <w:left w:val="nil"/>
              <w:bottom w:val="nil"/>
              <w:right w:val="nil"/>
            </w:tcBorders>
            <w:hideMark/>
          </w:tcPr>
          <w:p w14:paraId="3AB73209"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6</w:t>
            </w:r>
            <w:r>
              <w:rPr>
                <w:rFonts w:ascii="Arial" w:hAnsi="Arial" w:cs="Arial"/>
                <w:sz w:val="20"/>
                <w:szCs w:val="20"/>
              </w:rPr>
              <w:t>.</w:t>
            </w:r>
            <w:r w:rsidRPr="00F73ED4">
              <w:rPr>
                <w:rFonts w:ascii="Arial" w:hAnsi="Arial" w:cs="Arial"/>
                <w:sz w:val="20"/>
                <w:szCs w:val="20"/>
              </w:rPr>
              <w:t>8</w:t>
            </w:r>
          </w:p>
        </w:tc>
        <w:tc>
          <w:tcPr>
            <w:tcW w:w="853" w:type="dxa"/>
            <w:tcBorders>
              <w:top w:val="nil"/>
              <w:left w:val="nil"/>
              <w:bottom w:val="nil"/>
              <w:right w:val="nil"/>
            </w:tcBorders>
            <w:hideMark/>
          </w:tcPr>
          <w:p w14:paraId="210760C8"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27</w:t>
            </w:r>
            <w:r>
              <w:rPr>
                <w:rFonts w:ascii="Arial" w:hAnsi="Arial" w:cs="Arial"/>
                <w:sz w:val="20"/>
                <w:szCs w:val="20"/>
              </w:rPr>
              <w:t>.</w:t>
            </w:r>
            <w:r w:rsidRPr="00F73ED4">
              <w:rPr>
                <w:rFonts w:ascii="Arial" w:hAnsi="Arial" w:cs="Arial"/>
                <w:sz w:val="20"/>
                <w:szCs w:val="20"/>
              </w:rPr>
              <w:t>4</w:t>
            </w:r>
          </w:p>
        </w:tc>
      </w:tr>
      <w:tr w:rsidR="00781552" w:rsidRPr="00F73ED4" w14:paraId="56BFEF20" w14:textId="77777777" w:rsidTr="007577DA">
        <w:trPr>
          <w:trHeight w:val="393"/>
          <w:jc w:val="center"/>
        </w:trPr>
        <w:tc>
          <w:tcPr>
            <w:tcW w:w="4555" w:type="dxa"/>
            <w:tcBorders>
              <w:top w:val="nil"/>
              <w:left w:val="nil"/>
              <w:bottom w:val="nil"/>
              <w:right w:val="nil"/>
            </w:tcBorders>
            <w:shd w:val="clear" w:color="auto" w:fill="FFFFFF"/>
            <w:noWrap/>
            <w:hideMark/>
          </w:tcPr>
          <w:p w14:paraId="53B89880" w14:textId="77777777" w:rsidR="00781552" w:rsidRPr="00F73ED4" w:rsidRDefault="00781552" w:rsidP="007577DA">
            <w:pPr>
              <w:rPr>
                <w:rFonts w:ascii="Arial" w:hAnsi="Arial" w:cs="Arial"/>
                <w:sz w:val="20"/>
                <w:szCs w:val="20"/>
              </w:rPr>
            </w:pPr>
            <w:r w:rsidRPr="00595F22">
              <w:rPr>
                <w:rFonts w:ascii="Arial" w:hAnsi="Arial" w:cs="Arial"/>
                <w:sz w:val="20"/>
                <w:szCs w:val="20"/>
              </w:rPr>
              <w:t>Manufacture of other non-metallic mineral products</w:t>
            </w:r>
          </w:p>
        </w:tc>
        <w:tc>
          <w:tcPr>
            <w:tcW w:w="854" w:type="dxa"/>
            <w:tcBorders>
              <w:top w:val="nil"/>
              <w:left w:val="nil"/>
              <w:bottom w:val="nil"/>
              <w:right w:val="nil"/>
            </w:tcBorders>
            <w:hideMark/>
          </w:tcPr>
          <w:p w14:paraId="6BBF4715"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0</w:t>
            </w:r>
            <w:r>
              <w:rPr>
                <w:rFonts w:ascii="Arial" w:hAnsi="Arial" w:cs="Arial"/>
                <w:sz w:val="20"/>
                <w:szCs w:val="20"/>
              </w:rPr>
              <w:t>.</w:t>
            </w:r>
            <w:r w:rsidRPr="00F73ED4">
              <w:rPr>
                <w:rFonts w:ascii="Arial" w:hAnsi="Arial" w:cs="Arial"/>
                <w:sz w:val="20"/>
                <w:szCs w:val="20"/>
              </w:rPr>
              <w:t>8</w:t>
            </w:r>
          </w:p>
        </w:tc>
        <w:tc>
          <w:tcPr>
            <w:tcW w:w="735" w:type="dxa"/>
            <w:tcBorders>
              <w:top w:val="nil"/>
              <w:left w:val="nil"/>
              <w:bottom w:val="nil"/>
              <w:right w:val="nil"/>
            </w:tcBorders>
            <w:hideMark/>
          </w:tcPr>
          <w:p w14:paraId="2416CFA4"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7</w:t>
            </w:r>
            <w:r>
              <w:rPr>
                <w:rFonts w:ascii="Arial" w:hAnsi="Arial" w:cs="Arial"/>
                <w:sz w:val="20"/>
                <w:szCs w:val="20"/>
              </w:rPr>
              <w:t>.</w:t>
            </w:r>
            <w:r w:rsidRPr="00F73ED4">
              <w:rPr>
                <w:rFonts w:ascii="Arial" w:hAnsi="Arial" w:cs="Arial"/>
                <w:sz w:val="20"/>
                <w:szCs w:val="20"/>
              </w:rPr>
              <w:t>1</w:t>
            </w:r>
          </w:p>
        </w:tc>
        <w:tc>
          <w:tcPr>
            <w:tcW w:w="1138" w:type="dxa"/>
            <w:gridSpan w:val="2"/>
            <w:tcBorders>
              <w:top w:val="nil"/>
              <w:left w:val="nil"/>
              <w:bottom w:val="nil"/>
              <w:right w:val="nil"/>
            </w:tcBorders>
            <w:hideMark/>
          </w:tcPr>
          <w:p w14:paraId="1A288658"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6</w:t>
            </w:r>
            <w:r>
              <w:rPr>
                <w:rFonts w:ascii="Arial" w:hAnsi="Arial" w:cs="Arial"/>
                <w:sz w:val="20"/>
                <w:szCs w:val="20"/>
              </w:rPr>
              <w:t>.</w:t>
            </w:r>
            <w:r w:rsidRPr="00F73ED4">
              <w:rPr>
                <w:rFonts w:ascii="Arial" w:hAnsi="Arial" w:cs="Arial"/>
                <w:sz w:val="20"/>
                <w:szCs w:val="20"/>
              </w:rPr>
              <w:t>3</w:t>
            </w:r>
          </w:p>
        </w:tc>
        <w:tc>
          <w:tcPr>
            <w:tcW w:w="971" w:type="dxa"/>
            <w:gridSpan w:val="2"/>
            <w:tcBorders>
              <w:top w:val="nil"/>
              <w:left w:val="nil"/>
              <w:bottom w:val="nil"/>
              <w:right w:val="nil"/>
            </w:tcBorders>
            <w:hideMark/>
          </w:tcPr>
          <w:p w14:paraId="1FB6A78D"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-5</w:t>
            </w:r>
            <w:r>
              <w:rPr>
                <w:rFonts w:ascii="Arial" w:hAnsi="Arial" w:cs="Arial"/>
                <w:sz w:val="20"/>
                <w:szCs w:val="20"/>
              </w:rPr>
              <w:t>.</w:t>
            </w:r>
            <w:r w:rsidRPr="00F73ED4">
              <w:rPr>
                <w:rFonts w:ascii="Arial" w:hAnsi="Arial" w:cs="Arial"/>
                <w:sz w:val="20"/>
                <w:szCs w:val="20"/>
              </w:rPr>
              <w:t>0</w:t>
            </w:r>
          </w:p>
        </w:tc>
        <w:tc>
          <w:tcPr>
            <w:tcW w:w="853" w:type="dxa"/>
            <w:tcBorders>
              <w:top w:val="nil"/>
              <w:left w:val="nil"/>
              <w:bottom w:val="nil"/>
              <w:right w:val="nil"/>
            </w:tcBorders>
            <w:hideMark/>
          </w:tcPr>
          <w:p w14:paraId="3D468DEF"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w:t>
            </w:r>
            <w:r>
              <w:rPr>
                <w:rFonts w:ascii="Arial" w:hAnsi="Arial" w:cs="Arial"/>
                <w:sz w:val="20"/>
                <w:szCs w:val="20"/>
              </w:rPr>
              <w:t>.</w:t>
            </w:r>
            <w:r w:rsidRPr="00F73ED4">
              <w:rPr>
                <w:rFonts w:ascii="Arial" w:hAnsi="Arial" w:cs="Arial"/>
                <w:sz w:val="20"/>
                <w:szCs w:val="20"/>
              </w:rPr>
              <w:t>7</w:t>
            </w:r>
          </w:p>
        </w:tc>
      </w:tr>
      <w:tr w:rsidR="00781552" w:rsidRPr="00F73ED4" w14:paraId="1A4DA997" w14:textId="77777777" w:rsidTr="007577DA">
        <w:trPr>
          <w:trHeight w:val="393"/>
          <w:jc w:val="center"/>
        </w:trPr>
        <w:tc>
          <w:tcPr>
            <w:tcW w:w="4555" w:type="dxa"/>
            <w:tcBorders>
              <w:top w:val="nil"/>
              <w:left w:val="nil"/>
              <w:bottom w:val="nil"/>
              <w:right w:val="nil"/>
            </w:tcBorders>
            <w:shd w:val="clear" w:color="auto" w:fill="FFFFFF"/>
            <w:noWrap/>
            <w:hideMark/>
          </w:tcPr>
          <w:p w14:paraId="1C458EA5" w14:textId="77777777" w:rsidR="00781552" w:rsidRPr="00F73ED4" w:rsidRDefault="00781552" w:rsidP="007577DA">
            <w:pPr>
              <w:rPr>
                <w:rFonts w:ascii="Arial" w:hAnsi="Arial" w:cs="Arial"/>
                <w:sz w:val="20"/>
                <w:szCs w:val="20"/>
              </w:rPr>
            </w:pPr>
            <w:r w:rsidRPr="00595F22">
              <w:rPr>
                <w:rFonts w:ascii="Arial" w:hAnsi="Arial" w:cs="Arial"/>
                <w:sz w:val="20"/>
                <w:szCs w:val="20"/>
              </w:rPr>
              <w:t>Manufacture of basic metals</w:t>
            </w:r>
          </w:p>
        </w:tc>
        <w:tc>
          <w:tcPr>
            <w:tcW w:w="854" w:type="dxa"/>
            <w:tcBorders>
              <w:top w:val="nil"/>
              <w:left w:val="nil"/>
              <w:bottom w:val="nil"/>
              <w:right w:val="nil"/>
            </w:tcBorders>
            <w:hideMark/>
          </w:tcPr>
          <w:p w14:paraId="337E189F"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-2</w:t>
            </w:r>
            <w:r>
              <w:rPr>
                <w:rFonts w:ascii="Arial" w:hAnsi="Arial" w:cs="Arial"/>
                <w:sz w:val="20"/>
                <w:szCs w:val="20"/>
              </w:rPr>
              <w:t>.</w:t>
            </w:r>
            <w:r w:rsidRPr="00F73ED4">
              <w:rPr>
                <w:rFonts w:ascii="Arial" w:hAnsi="Arial" w:cs="Arial"/>
                <w:sz w:val="20"/>
                <w:szCs w:val="20"/>
              </w:rPr>
              <w:t>3</w:t>
            </w:r>
          </w:p>
        </w:tc>
        <w:tc>
          <w:tcPr>
            <w:tcW w:w="735" w:type="dxa"/>
            <w:tcBorders>
              <w:top w:val="nil"/>
              <w:left w:val="nil"/>
              <w:bottom w:val="nil"/>
              <w:right w:val="nil"/>
            </w:tcBorders>
            <w:hideMark/>
          </w:tcPr>
          <w:p w14:paraId="07836CF3"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37</w:t>
            </w:r>
            <w:r>
              <w:rPr>
                <w:rFonts w:ascii="Arial" w:hAnsi="Arial" w:cs="Arial"/>
                <w:sz w:val="20"/>
                <w:szCs w:val="20"/>
              </w:rPr>
              <w:t>.</w:t>
            </w:r>
            <w:r w:rsidRPr="00F73ED4">
              <w:rPr>
                <w:rFonts w:ascii="Arial" w:hAnsi="Arial" w:cs="Arial"/>
                <w:sz w:val="20"/>
                <w:szCs w:val="20"/>
              </w:rPr>
              <w:t>7</w:t>
            </w:r>
          </w:p>
        </w:tc>
        <w:tc>
          <w:tcPr>
            <w:tcW w:w="1138" w:type="dxa"/>
            <w:gridSpan w:val="2"/>
            <w:tcBorders>
              <w:top w:val="nil"/>
              <w:left w:val="nil"/>
              <w:bottom w:val="nil"/>
              <w:right w:val="nil"/>
            </w:tcBorders>
            <w:hideMark/>
          </w:tcPr>
          <w:p w14:paraId="57F749F1"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3</w:t>
            </w:r>
            <w:r>
              <w:rPr>
                <w:rFonts w:ascii="Arial" w:hAnsi="Arial" w:cs="Arial"/>
                <w:sz w:val="20"/>
                <w:szCs w:val="20"/>
              </w:rPr>
              <w:t>.</w:t>
            </w:r>
            <w:r w:rsidRPr="00F73ED4">
              <w:rPr>
                <w:rFonts w:ascii="Arial" w:hAnsi="Arial" w:cs="Arial"/>
                <w:sz w:val="20"/>
                <w:szCs w:val="20"/>
              </w:rPr>
              <w:t>1</w:t>
            </w:r>
          </w:p>
        </w:tc>
        <w:tc>
          <w:tcPr>
            <w:tcW w:w="971" w:type="dxa"/>
            <w:gridSpan w:val="2"/>
            <w:tcBorders>
              <w:top w:val="nil"/>
              <w:left w:val="nil"/>
              <w:bottom w:val="nil"/>
              <w:right w:val="nil"/>
            </w:tcBorders>
            <w:hideMark/>
          </w:tcPr>
          <w:p w14:paraId="44DC8E13"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-6</w:t>
            </w:r>
            <w:r>
              <w:rPr>
                <w:rFonts w:ascii="Arial" w:hAnsi="Arial" w:cs="Arial"/>
                <w:sz w:val="20"/>
                <w:szCs w:val="20"/>
              </w:rPr>
              <w:t>.</w:t>
            </w:r>
            <w:r w:rsidRPr="00F73ED4">
              <w:rPr>
                <w:rFonts w:ascii="Arial" w:hAnsi="Arial" w:cs="Arial"/>
                <w:sz w:val="20"/>
                <w:szCs w:val="20"/>
              </w:rPr>
              <w:t>1</w:t>
            </w:r>
          </w:p>
        </w:tc>
        <w:tc>
          <w:tcPr>
            <w:tcW w:w="853" w:type="dxa"/>
            <w:tcBorders>
              <w:top w:val="nil"/>
              <w:left w:val="nil"/>
              <w:bottom w:val="nil"/>
              <w:right w:val="nil"/>
            </w:tcBorders>
            <w:hideMark/>
          </w:tcPr>
          <w:p w14:paraId="5C433B7A"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13</w:t>
            </w:r>
            <w:r>
              <w:rPr>
                <w:rFonts w:ascii="Arial" w:hAnsi="Arial" w:cs="Arial"/>
                <w:sz w:val="20"/>
                <w:szCs w:val="20"/>
              </w:rPr>
              <w:t>.</w:t>
            </w:r>
            <w:r w:rsidRPr="00F73ED4">
              <w:rPr>
                <w:rFonts w:ascii="Arial" w:hAnsi="Arial" w:cs="Arial"/>
                <w:sz w:val="20"/>
                <w:szCs w:val="20"/>
              </w:rPr>
              <w:t>2</w:t>
            </w:r>
          </w:p>
        </w:tc>
      </w:tr>
      <w:tr w:rsidR="00781552" w:rsidRPr="00F73ED4" w14:paraId="2D8EF1C7" w14:textId="77777777" w:rsidTr="007577DA">
        <w:trPr>
          <w:trHeight w:val="393"/>
          <w:jc w:val="center"/>
        </w:trPr>
        <w:tc>
          <w:tcPr>
            <w:tcW w:w="4555" w:type="dxa"/>
            <w:tcBorders>
              <w:top w:val="nil"/>
              <w:left w:val="nil"/>
              <w:bottom w:val="nil"/>
              <w:right w:val="nil"/>
            </w:tcBorders>
            <w:shd w:val="clear" w:color="auto" w:fill="FFFFFF"/>
            <w:noWrap/>
            <w:hideMark/>
          </w:tcPr>
          <w:p w14:paraId="306FB968" w14:textId="77777777" w:rsidR="00781552" w:rsidRPr="00F73ED4" w:rsidRDefault="00781552" w:rsidP="007577DA">
            <w:pPr>
              <w:rPr>
                <w:rFonts w:ascii="Arial" w:hAnsi="Arial" w:cs="Arial"/>
                <w:sz w:val="20"/>
                <w:szCs w:val="20"/>
              </w:rPr>
            </w:pPr>
            <w:r w:rsidRPr="00595F22">
              <w:rPr>
                <w:rFonts w:ascii="Arial" w:hAnsi="Arial" w:cs="Arial"/>
                <w:sz w:val="20"/>
                <w:szCs w:val="20"/>
              </w:rPr>
              <w:t>Manufacture of computer, electronic and optical products</w:t>
            </w:r>
          </w:p>
        </w:tc>
        <w:tc>
          <w:tcPr>
            <w:tcW w:w="854" w:type="dxa"/>
            <w:tcBorders>
              <w:top w:val="nil"/>
              <w:left w:val="nil"/>
              <w:bottom w:val="nil"/>
              <w:right w:val="nil"/>
            </w:tcBorders>
            <w:hideMark/>
          </w:tcPr>
          <w:p w14:paraId="4928A36C"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7</w:t>
            </w:r>
            <w:r>
              <w:rPr>
                <w:rFonts w:ascii="Arial" w:hAnsi="Arial" w:cs="Arial"/>
                <w:sz w:val="20"/>
                <w:szCs w:val="20"/>
              </w:rPr>
              <w:t>.</w:t>
            </w:r>
            <w:r w:rsidRPr="00F73ED4">
              <w:rPr>
                <w:rFonts w:ascii="Arial" w:hAnsi="Arial" w:cs="Arial"/>
                <w:sz w:val="20"/>
                <w:szCs w:val="20"/>
              </w:rPr>
              <w:t>4</w:t>
            </w:r>
          </w:p>
        </w:tc>
        <w:tc>
          <w:tcPr>
            <w:tcW w:w="735" w:type="dxa"/>
            <w:tcBorders>
              <w:top w:val="nil"/>
              <w:left w:val="nil"/>
              <w:bottom w:val="nil"/>
              <w:right w:val="nil"/>
            </w:tcBorders>
            <w:hideMark/>
          </w:tcPr>
          <w:p w14:paraId="37123B81"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15</w:t>
            </w:r>
            <w:r>
              <w:rPr>
                <w:rFonts w:ascii="Arial" w:hAnsi="Arial" w:cs="Arial"/>
                <w:sz w:val="20"/>
                <w:szCs w:val="20"/>
              </w:rPr>
              <w:t>.</w:t>
            </w:r>
            <w:r w:rsidRPr="00F73ED4">
              <w:rPr>
                <w:rFonts w:ascii="Arial" w:hAnsi="Arial" w:cs="Arial"/>
                <w:sz w:val="20"/>
                <w:szCs w:val="20"/>
              </w:rPr>
              <w:t>4</w:t>
            </w:r>
          </w:p>
        </w:tc>
        <w:tc>
          <w:tcPr>
            <w:tcW w:w="1138" w:type="dxa"/>
            <w:gridSpan w:val="2"/>
            <w:tcBorders>
              <w:top w:val="nil"/>
              <w:left w:val="nil"/>
              <w:bottom w:val="nil"/>
              <w:right w:val="nil"/>
            </w:tcBorders>
            <w:hideMark/>
          </w:tcPr>
          <w:p w14:paraId="51819276"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11</w:t>
            </w:r>
            <w:r>
              <w:rPr>
                <w:rFonts w:ascii="Arial" w:hAnsi="Arial" w:cs="Arial"/>
                <w:sz w:val="20"/>
                <w:szCs w:val="20"/>
              </w:rPr>
              <w:t>.</w:t>
            </w:r>
            <w:r w:rsidRPr="00F73ED4">
              <w:rPr>
                <w:rFonts w:ascii="Arial" w:hAnsi="Arial" w:cs="Arial"/>
                <w:sz w:val="20"/>
                <w:szCs w:val="20"/>
              </w:rPr>
              <w:t>0</w:t>
            </w:r>
          </w:p>
        </w:tc>
        <w:tc>
          <w:tcPr>
            <w:tcW w:w="971" w:type="dxa"/>
            <w:gridSpan w:val="2"/>
            <w:tcBorders>
              <w:top w:val="nil"/>
              <w:left w:val="nil"/>
              <w:bottom w:val="nil"/>
              <w:right w:val="nil"/>
            </w:tcBorders>
            <w:hideMark/>
          </w:tcPr>
          <w:p w14:paraId="72DCA775"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-5</w:t>
            </w:r>
            <w:r>
              <w:rPr>
                <w:rFonts w:ascii="Arial" w:hAnsi="Arial" w:cs="Arial"/>
                <w:sz w:val="20"/>
                <w:szCs w:val="20"/>
              </w:rPr>
              <w:t>.</w:t>
            </w:r>
            <w:r w:rsidRPr="00F73ED4">
              <w:rPr>
                <w:rFonts w:ascii="Arial" w:hAnsi="Arial" w:cs="Arial"/>
                <w:sz w:val="20"/>
                <w:szCs w:val="20"/>
              </w:rPr>
              <w:t>3</w:t>
            </w:r>
          </w:p>
        </w:tc>
        <w:tc>
          <w:tcPr>
            <w:tcW w:w="853" w:type="dxa"/>
            <w:tcBorders>
              <w:top w:val="nil"/>
              <w:left w:val="nil"/>
              <w:bottom w:val="nil"/>
              <w:right w:val="nil"/>
            </w:tcBorders>
            <w:hideMark/>
          </w:tcPr>
          <w:p w14:paraId="1611379B"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5</w:t>
            </w:r>
            <w:r>
              <w:rPr>
                <w:rFonts w:ascii="Arial" w:hAnsi="Arial" w:cs="Arial"/>
                <w:sz w:val="20"/>
                <w:szCs w:val="20"/>
              </w:rPr>
              <w:t>.</w:t>
            </w:r>
            <w:r w:rsidRPr="00F73ED4">
              <w:rPr>
                <w:rFonts w:ascii="Arial" w:hAnsi="Arial" w:cs="Arial"/>
                <w:sz w:val="20"/>
                <w:szCs w:val="20"/>
              </w:rPr>
              <w:t>8</w:t>
            </w:r>
          </w:p>
        </w:tc>
      </w:tr>
      <w:tr w:rsidR="00781552" w:rsidRPr="00F73ED4" w14:paraId="75585BAA" w14:textId="77777777" w:rsidTr="007577DA">
        <w:trPr>
          <w:trHeight w:val="393"/>
          <w:jc w:val="center"/>
        </w:trPr>
        <w:tc>
          <w:tcPr>
            <w:tcW w:w="4555" w:type="dxa"/>
            <w:tcBorders>
              <w:top w:val="nil"/>
              <w:left w:val="nil"/>
              <w:bottom w:val="nil"/>
              <w:right w:val="nil"/>
            </w:tcBorders>
            <w:shd w:val="clear" w:color="auto" w:fill="FFFFFF"/>
            <w:noWrap/>
            <w:hideMark/>
          </w:tcPr>
          <w:p w14:paraId="5FDE292C" w14:textId="77777777" w:rsidR="00781552" w:rsidRPr="00F73ED4" w:rsidRDefault="00781552" w:rsidP="007577DA">
            <w:pPr>
              <w:rPr>
                <w:rFonts w:ascii="Arial" w:hAnsi="Arial" w:cs="Arial"/>
                <w:sz w:val="20"/>
                <w:szCs w:val="20"/>
              </w:rPr>
            </w:pPr>
            <w:r w:rsidRPr="00595F22">
              <w:rPr>
                <w:rFonts w:ascii="Arial" w:hAnsi="Arial" w:cs="Arial"/>
                <w:sz w:val="20"/>
                <w:szCs w:val="20"/>
              </w:rPr>
              <w:t>Manufacture of electrical equipment</w:t>
            </w:r>
          </w:p>
        </w:tc>
        <w:tc>
          <w:tcPr>
            <w:tcW w:w="854" w:type="dxa"/>
            <w:tcBorders>
              <w:top w:val="nil"/>
              <w:left w:val="nil"/>
              <w:bottom w:val="nil"/>
              <w:right w:val="nil"/>
            </w:tcBorders>
            <w:hideMark/>
          </w:tcPr>
          <w:p w14:paraId="68DE5A91"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-6</w:t>
            </w:r>
            <w:r>
              <w:rPr>
                <w:rFonts w:ascii="Arial" w:hAnsi="Arial" w:cs="Arial"/>
                <w:sz w:val="20"/>
                <w:szCs w:val="20"/>
              </w:rPr>
              <w:t>.</w:t>
            </w:r>
            <w:r w:rsidRPr="00F73ED4">
              <w:rPr>
                <w:rFonts w:ascii="Arial" w:hAnsi="Arial" w:cs="Arial"/>
                <w:sz w:val="20"/>
                <w:szCs w:val="20"/>
              </w:rPr>
              <w:t>0</w:t>
            </w:r>
          </w:p>
        </w:tc>
        <w:tc>
          <w:tcPr>
            <w:tcW w:w="735" w:type="dxa"/>
            <w:tcBorders>
              <w:top w:val="nil"/>
              <w:left w:val="nil"/>
              <w:bottom w:val="nil"/>
              <w:right w:val="nil"/>
            </w:tcBorders>
            <w:hideMark/>
          </w:tcPr>
          <w:p w14:paraId="354567DC"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13</w:t>
            </w:r>
            <w:r>
              <w:rPr>
                <w:rFonts w:ascii="Arial" w:hAnsi="Arial" w:cs="Arial"/>
                <w:sz w:val="20"/>
                <w:szCs w:val="20"/>
              </w:rPr>
              <w:t>.</w:t>
            </w:r>
            <w:r w:rsidRPr="00F73ED4">
              <w:rPr>
                <w:rFonts w:ascii="Arial" w:hAnsi="Arial" w:cs="Arial"/>
                <w:sz w:val="20"/>
                <w:szCs w:val="20"/>
              </w:rPr>
              <w:t>5</w:t>
            </w:r>
          </w:p>
        </w:tc>
        <w:tc>
          <w:tcPr>
            <w:tcW w:w="1138" w:type="dxa"/>
            <w:gridSpan w:val="2"/>
            <w:tcBorders>
              <w:top w:val="nil"/>
              <w:left w:val="nil"/>
              <w:bottom w:val="nil"/>
              <w:right w:val="nil"/>
            </w:tcBorders>
            <w:hideMark/>
          </w:tcPr>
          <w:p w14:paraId="42AE2E13"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22</w:t>
            </w:r>
            <w:r>
              <w:rPr>
                <w:rFonts w:ascii="Arial" w:hAnsi="Arial" w:cs="Arial"/>
                <w:sz w:val="20"/>
                <w:szCs w:val="20"/>
              </w:rPr>
              <w:t>.</w:t>
            </w:r>
            <w:r w:rsidRPr="00F73ED4">
              <w:rPr>
                <w:rFonts w:ascii="Arial" w:hAnsi="Arial" w:cs="Arial"/>
                <w:sz w:val="20"/>
                <w:szCs w:val="20"/>
              </w:rPr>
              <w:t>3</w:t>
            </w:r>
          </w:p>
        </w:tc>
        <w:tc>
          <w:tcPr>
            <w:tcW w:w="971" w:type="dxa"/>
            <w:gridSpan w:val="2"/>
            <w:tcBorders>
              <w:top w:val="nil"/>
              <w:left w:val="nil"/>
              <w:bottom w:val="nil"/>
              <w:right w:val="nil"/>
            </w:tcBorders>
            <w:hideMark/>
          </w:tcPr>
          <w:p w14:paraId="2F2A6FDC"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w:t>
            </w:r>
            <w:r>
              <w:rPr>
                <w:rFonts w:ascii="Arial" w:hAnsi="Arial" w:cs="Arial"/>
                <w:sz w:val="20"/>
                <w:szCs w:val="20"/>
              </w:rPr>
              <w:t>.</w:t>
            </w:r>
            <w:r w:rsidRPr="00F73ED4">
              <w:rPr>
                <w:rFonts w:ascii="Arial" w:hAnsi="Arial" w:cs="Arial"/>
                <w:sz w:val="20"/>
                <w:szCs w:val="20"/>
              </w:rPr>
              <w:t>7</w:t>
            </w:r>
          </w:p>
        </w:tc>
        <w:tc>
          <w:tcPr>
            <w:tcW w:w="853" w:type="dxa"/>
            <w:tcBorders>
              <w:top w:val="nil"/>
              <w:left w:val="nil"/>
              <w:bottom w:val="nil"/>
              <w:right w:val="nil"/>
            </w:tcBorders>
            <w:hideMark/>
          </w:tcPr>
          <w:p w14:paraId="0A12266A"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24</w:t>
            </w:r>
            <w:r>
              <w:rPr>
                <w:rFonts w:ascii="Arial" w:hAnsi="Arial" w:cs="Arial"/>
                <w:sz w:val="20"/>
                <w:szCs w:val="20"/>
              </w:rPr>
              <w:t>.</w:t>
            </w:r>
            <w:r w:rsidRPr="00F73ED4">
              <w:rPr>
                <w:rFonts w:ascii="Arial" w:hAnsi="Arial" w:cs="Arial"/>
                <w:sz w:val="20"/>
                <w:szCs w:val="20"/>
              </w:rPr>
              <w:t>0</w:t>
            </w:r>
          </w:p>
        </w:tc>
      </w:tr>
      <w:tr w:rsidR="00781552" w:rsidRPr="00F73ED4" w14:paraId="4C8477F7" w14:textId="77777777" w:rsidTr="007577DA">
        <w:trPr>
          <w:trHeight w:val="393"/>
          <w:jc w:val="center"/>
        </w:trPr>
        <w:tc>
          <w:tcPr>
            <w:tcW w:w="4555" w:type="dxa"/>
            <w:tcBorders>
              <w:top w:val="nil"/>
              <w:left w:val="nil"/>
              <w:bottom w:val="nil"/>
              <w:right w:val="nil"/>
            </w:tcBorders>
            <w:shd w:val="clear" w:color="auto" w:fill="FFFFFF"/>
            <w:noWrap/>
            <w:hideMark/>
          </w:tcPr>
          <w:p w14:paraId="59C17A93" w14:textId="77777777" w:rsidR="00781552" w:rsidRPr="00F73ED4" w:rsidRDefault="00781552" w:rsidP="007577DA">
            <w:pPr>
              <w:rPr>
                <w:rFonts w:ascii="Arial" w:hAnsi="Arial" w:cs="Arial"/>
                <w:sz w:val="20"/>
                <w:szCs w:val="20"/>
              </w:rPr>
            </w:pPr>
            <w:r w:rsidRPr="00595F22">
              <w:rPr>
                <w:rFonts w:ascii="Arial" w:hAnsi="Arial" w:cs="Arial"/>
                <w:sz w:val="20"/>
                <w:szCs w:val="20"/>
              </w:rPr>
              <w:t>Manufacture of other transport equipment</w:t>
            </w:r>
          </w:p>
        </w:tc>
        <w:tc>
          <w:tcPr>
            <w:tcW w:w="854" w:type="dxa"/>
            <w:tcBorders>
              <w:top w:val="nil"/>
              <w:left w:val="nil"/>
              <w:bottom w:val="nil"/>
              <w:right w:val="nil"/>
            </w:tcBorders>
            <w:hideMark/>
          </w:tcPr>
          <w:p w14:paraId="6E882FF1"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-14</w:t>
            </w:r>
            <w:r>
              <w:rPr>
                <w:rFonts w:ascii="Arial" w:hAnsi="Arial" w:cs="Arial"/>
                <w:sz w:val="20"/>
                <w:szCs w:val="20"/>
              </w:rPr>
              <w:t>.</w:t>
            </w:r>
            <w:r w:rsidRPr="00F73ED4">
              <w:rPr>
                <w:rFonts w:ascii="Arial" w:hAnsi="Arial" w:cs="Arial"/>
                <w:sz w:val="20"/>
                <w:szCs w:val="20"/>
              </w:rPr>
              <w:t>9</w:t>
            </w:r>
          </w:p>
        </w:tc>
        <w:tc>
          <w:tcPr>
            <w:tcW w:w="735" w:type="dxa"/>
            <w:tcBorders>
              <w:top w:val="nil"/>
              <w:left w:val="nil"/>
              <w:bottom w:val="nil"/>
              <w:right w:val="nil"/>
            </w:tcBorders>
            <w:hideMark/>
          </w:tcPr>
          <w:p w14:paraId="79A428E2"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13</w:t>
            </w:r>
            <w:r>
              <w:rPr>
                <w:rFonts w:ascii="Arial" w:hAnsi="Arial" w:cs="Arial"/>
                <w:sz w:val="20"/>
                <w:szCs w:val="20"/>
              </w:rPr>
              <w:t>.</w:t>
            </w:r>
            <w:r w:rsidRPr="00F73ED4">
              <w:rPr>
                <w:rFonts w:ascii="Arial" w:hAnsi="Arial" w:cs="Arial"/>
                <w:sz w:val="20"/>
                <w:szCs w:val="20"/>
              </w:rPr>
              <w:t>6</w:t>
            </w:r>
          </w:p>
        </w:tc>
        <w:tc>
          <w:tcPr>
            <w:tcW w:w="1138" w:type="dxa"/>
            <w:gridSpan w:val="2"/>
            <w:tcBorders>
              <w:top w:val="nil"/>
              <w:left w:val="nil"/>
              <w:bottom w:val="nil"/>
              <w:right w:val="nil"/>
            </w:tcBorders>
            <w:hideMark/>
          </w:tcPr>
          <w:p w14:paraId="29C15B84"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2</w:t>
            </w:r>
            <w:r>
              <w:rPr>
                <w:rFonts w:ascii="Arial" w:hAnsi="Arial" w:cs="Arial"/>
                <w:sz w:val="20"/>
                <w:szCs w:val="20"/>
              </w:rPr>
              <w:t>.</w:t>
            </w:r>
            <w:r w:rsidRPr="00F73ED4">
              <w:rPr>
                <w:rFonts w:ascii="Arial" w:hAnsi="Arial" w:cs="Arial"/>
                <w:sz w:val="20"/>
                <w:szCs w:val="20"/>
              </w:rPr>
              <w:t>6</w:t>
            </w:r>
          </w:p>
        </w:tc>
        <w:tc>
          <w:tcPr>
            <w:tcW w:w="971" w:type="dxa"/>
            <w:gridSpan w:val="2"/>
            <w:tcBorders>
              <w:top w:val="nil"/>
              <w:left w:val="nil"/>
              <w:bottom w:val="nil"/>
              <w:right w:val="nil"/>
            </w:tcBorders>
            <w:hideMark/>
          </w:tcPr>
          <w:p w14:paraId="79E0A2B4"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-5</w:t>
            </w:r>
            <w:r>
              <w:rPr>
                <w:rFonts w:ascii="Arial" w:hAnsi="Arial" w:cs="Arial"/>
                <w:sz w:val="20"/>
                <w:szCs w:val="20"/>
              </w:rPr>
              <w:t>.</w:t>
            </w:r>
            <w:r w:rsidRPr="00F73ED4">
              <w:rPr>
                <w:rFonts w:ascii="Arial" w:hAnsi="Arial" w:cs="Arial"/>
                <w:sz w:val="20"/>
                <w:szCs w:val="20"/>
              </w:rPr>
              <w:t>6</w:t>
            </w:r>
          </w:p>
        </w:tc>
        <w:tc>
          <w:tcPr>
            <w:tcW w:w="853" w:type="dxa"/>
            <w:tcBorders>
              <w:top w:val="nil"/>
              <w:left w:val="nil"/>
              <w:bottom w:val="nil"/>
              <w:right w:val="nil"/>
            </w:tcBorders>
            <w:hideMark/>
          </w:tcPr>
          <w:p w14:paraId="39CEC5BB"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-5</w:t>
            </w:r>
            <w:r>
              <w:rPr>
                <w:rFonts w:ascii="Arial" w:hAnsi="Arial" w:cs="Arial"/>
                <w:sz w:val="20"/>
                <w:szCs w:val="20"/>
              </w:rPr>
              <w:t>.</w:t>
            </w:r>
            <w:r w:rsidRPr="00F73ED4">
              <w:rPr>
                <w:rFonts w:ascii="Arial" w:hAnsi="Arial" w:cs="Arial"/>
                <w:sz w:val="20"/>
                <w:szCs w:val="20"/>
              </w:rPr>
              <w:t>1</w:t>
            </w:r>
          </w:p>
        </w:tc>
      </w:tr>
      <w:tr w:rsidR="00781552" w:rsidRPr="00F73ED4" w14:paraId="3E7B6044" w14:textId="77777777" w:rsidTr="007577DA">
        <w:trPr>
          <w:trHeight w:val="393"/>
          <w:jc w:val="center"/>
        </w:trPr>
        <w:tc>
          <w:tcPr>
            <w:tcW w:w="4555" w:type="dxa"/>
            <w:tcBorders>
              <w:top w:val="nil"/>
              <w:left w:val="nil"/>
              <w:bottom w:val="nil"/>
              <w:right w:val="nil"/>
            </w:tcBorders>
            <w:shd w:val="clear" w:color="auto" w:fill="FFFFFF"/>
            <w:noWrap/>
            <w:hideMark/>
          </w:tcPr>
          <w:p w14:paraId="10FB2130" w14:textId="77777777" w:rsidR="00781552" w:rsidRPr="00F73ED4" w:rsidRDefault="00781552" w:rsidP="007577DA">
            <w:pPr>
              <w:rPr>
                <w:rFonts w:ascii="Arial" w:hAnsi="Arial" w:cs="Arial"/>
                <w:sz w:val="20"/>
                <w:szCs w:val="20"/>
              </w:rPr>
            </w:pPr>
            <w:r w:rsidRPr="00595F22">
              <w:rPr>
                <w:rFonts w:ascii="Arial" w:hAnsi="Arial" w:cs="Arial"/>
                <w:sz w:val="20"/>
                <w:szCs w:val="20"/>
              </w:rPr>
              <w:t>Manufacture of furniture</w:t>
            </w:r>
          </w:p>
        </w:tc>
        <w:tc>
          <w:tcPr>
            <w:tcW w:w="854" w:type="dxa"/>
            <w:tcBorders>
              <w:top w:val="nil"/>
              <w:left w:val="nil"/>
              <w:bottom w:val="nil"/>
              <w:right w:val="nil"/>
            </w:tcBorders>
            <w:hideMark/>
          </w:tcPr>
          <w:p w14:paraId="0D34FBD8"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0</w:t>
            </w:r>
            <w:r>
              <w:rPr>
                <w:rFonts w:ascii="Arial" w:hAnsi="Arial" w:cs="Arial"/>
                <w:sz w:val="20"/>
                <w:szCs w:val="20"/>
              </w:rPr>
              <w:t>.</w:t>
            </w:r>
            <w:r w:rsidRPr="00F73ED4">
              <w:rPr>
                <w:rFonts w:ascii="Arial" w:hAnsi="Arial" w:cs="Arial"/>
                <w:sz w:val="20"/>
                <w:szCs w:val="20"/>
              </w:rPr>
              <w:t>1</w:t>
            </w:r>
          </w:p>
        </w:tc>
        <w:tc>
          <w:tcPr>
            <w:tcW w:w="735" w:type="dxa"/>
            <w:tcBorders>
              <w:top w:val="nil"/>
              <w:left w:val="nil"/>
              <w:bottom w:val="nil"/>
              <w:right w:val="nil"/>
            </w:tcBorders>
            <w:hideMark/>
          </w:tcPr>
          <w:p w14:paraId="44AE32EF"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17</w:t>
            </w:r>
            <w:r>
              <w:rPr>
                <w:rFonts w:ascii="Arial" w:hAnsi="Arial" w:cs="Arial"/>
                <w:sz w:val="20"/>
                <w:szCs w:val="20"/>
              </w:rPr>
              <w:t>.</w:t>
            </w:r>
            <w:r w:rsidRPr="00F73ED4">
              <w:rPr>
                <w:rFonts w:ascii="Arial" w:hAnsi="Arial" w:cs="Arial"/>
                <w:sz w:val="20"/>
                <w:szCs w:val="20"/>
              </w:rPr>
              <w:t>1</w:t>
            </w:r>
          </w:p>
        </w:tc>
        <w:tc>
          <w:tcPr>
            <w:tcW w:w="1138" w:type="dxa"/>
            <w:gridSpan w:val="2"/>
            <w:tcBorders>
              <w:top w:val="nil"/>
              <w:left w:val="nil"/>
              <w:bottom w:val="nil"/>
              <w:right w:val="nil"/>
            </w:tcBorders>
            <w:hideMark/>
          </w:tcPr>
          <w:p w14:paraId="69E4CDC5"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4</w:t>
            </w:r>
            <w:r>
              <w:rPr>
                <w:rFonts w:ascii="Arial" w:hAnsi="Arial" w:cs="Arial"/>
                <w:sz w:val="20"/>
                <w:szCs w:val="20"/>
              </w:rPr>
              <w:t>.</w:t>
            </w:r>
            <w:r w:rsidRPr="00F73ED4">
              <w:rPr>
                <w:rFonts w:ascii="Arial" w:hAnsi="Arial" w:cs="Arial"/>
                <w:sz w:val="20"/>
                <w:szCs w:val="20"/>
              </w:rPr>
              <w:t>7</w:t>
            </w:r>
          </w:p>
        </w:tc>
        <w:tc>
          <w:tcPr>
            <w:tcW w:w="971" w:type="dxa"/>
            <w:gridSpan w:val="2"/>
            <w:tcBorders>
              <w:top w:val="nil"/>
              <w:left w:val="nil"/>
              <w:bottom w:val="nil"/>
              <w:right w:val="nil"/>
            </w:tcBorders>
            <w:hideMark/>
          </w:tcPr>
          <w:p w14:paraId="09B6DB55"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-3</w:t>
            </w:r>
            <w:r>
              <w:rPr>
                <w:rFonts w:ascii="Arial" w:hAnsi="Arial" w:cs="Arial"/>
                <w:sz w:val="20"/>
                <w:szCs w:val="20"/>
              </w:rPr>
              <w:t>.</w:t>
            </w:r>
            <w:r w:rsidRPr="00F73ED4">
              <w:rPr>
                <w:rFonts w:ascii="Arial" w:hAnsi="Arial" w:cs="Arial"/>
                <w:sz w:val="20"/>
                <w:szCs w:val="20"/>
              </w:rPr>
              <w:t>7</w:t>
            </w:r>
          </w:p>
        </w:tc>
        <w:tc>
          <w:tcPr>
            <w:tcW w:w="853" w:type="dxa"/>
            <w:tcBorders>
              <w:top w:val="nil"/>
              <w:left w:val="nil"/>
              <w:bottom w:val="nil"/>
              <w:right w:val="nil"/>
            </w:tcBorders>
            <w:hideMark/>
          </w:tcPr>
          <w:p w14:paraId="4708FA69"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19</w:t>
            </w:r>
            <w:r>
              <w:rPr>
                <w:rFonts w:ascii="Arial" w:hAnsi="Arial" w:cs="Arial"/>
                <w:sz w:val="20"/>
                <w:szCs w:val="20"/>
              </w:rPr>
              <w:t>.</w:t>
            </w:r>
            <w:r w:rsidRPr="00F73ED4">
              <w:rPr>
                <w:rFonts w:ascii="Arial" w:hAnsi="Arial" w:cs="Arial"/>
                <w:sz w:val="20"/>
                <w:szCs w:val="20"/>
              </w:rPr>
              <w:t>6</w:t>
            </w:r>
          </w:p>
        </w:tc>
      </w:tr>
      <w:tr w:rsidR="00781552" w:rsidRPr="00F73ED4" w14:paraId="35D7E600" w14:textId="77777777" w:rsidTr="007577DA">
        <w:trPr>
          <w:trHeight w:val="393"/>
          <w:jc w:val="center"/>
        </w:trPr>
        <w:tc>
          <w:tcPr>
            <w:tcW w:w="4555" w:type="dxa"/>
            <w:tcBorders>
              <w:top w:val="nil"/>
              <w:left w:val="nil"/>
              <w:bottom w:val="nil"/>
              <w:right w:val="nil"/>
            </w:tcBorders>
            <w:shd w:val="clear" w:color="auto" w:fill="FFFFFF"/>
            <w:noWrap/>
            <w:hideMark/>
          </w:tcPr>
          <w:p w14:paraId="1E28ED8B" w14:textId="77777777" w:rsidR="00781552" w:rsidRPr="00F73ED4" w:rsidRDefault="00781552" w:rsidP="007577DA">
            <w:pPr>
              <w:rPr>
                <w:rFonts w:ascii="Arial" w:hAnsi="Arial" w:cs="Arial"/>
                <w:sz w:val="20"/>
                <w:szCs w:val="20"/>
              </w:rPr>
            </w:pPr>
            <w:r w:rsidRPr="00595F22">
              <w:rPr>
                <w:rFonts w:ascii="Arial" w:hAnsi="Arial" w:cs="Arial"/>
                <w:sz w:val="20"/>
                <w:szCs w:val="20"/>
              </w:rPr>
              <w:t>Repair and installation of machinery and equipment</w:t>
            </w:r>
          </w:p>
        </w:tc>
        <w:tc>
          <w:tcPr>
            <w:tcW w:w="854" w:type="dxa"/>
            <w:tcBorders>
              <w:top w:val="nil"/>
              <w:left w:val="nil"/>
              <w:bottom w:val="nil"/>
              <w:right w:val="nil"/>
            </w:tcBorders>
            <w:hideMark/>
          </w:tcPr>
          <w:p w14:paraId="232DA2FF"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-13</w:t>
            </w:r>
            <w:r>
              <w:rPr>
                <w:rFonts w:ascii="Arial" w:hAnsi="Arial" w:cs="Arial"/>
                <w:sz w:val="20"/>
                <w:szCs w:val="20"/>
              </w:rPr>
              <w:t>.</w:t>
            </w:r>
            <w:r w:rsidRPr="00F73ED4">
              <w:rPr>
                <w:rFonts w:ascii="Arial" w:hAnsi="Arial" w:cs="Arial"/>
                <w:sz w:val="20"/>
                <w:szCs w:val="20"/>
              </w:rPr>
              <w:t>0</w:t>
            </w:r>
          </w:p>
        </w:tc>
        <w:tc>
          <w:tcPr>
            <w:tcW w:w="735" w:type="dxa"/>
            <w:tcBorders>
              <w:top w:val="nil"/>
              <w:left w:val="nil"/>
              <w:bottom w:val="nil"/>
              <w:right w:val="nil"/>
            </w:tcBorders>
            <w:hideMark/>
          </w:tcPr>
          <w:p w14:paraId="28D2DEA4"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-0</w:t>
            </w:r>
            <w:r>
              <w:rPr>
                <w:rFonts w:ascii="Arial" w:hAnsi="Arial" w:cs="Arial"/>
                <w:sz w:val="20"/>
                <w:szCs w:val="20"/>
              </w:rPr>
              <w:t>.</w:t>
            </w:r>
            <w:r w:rsidRPr="00F73ED4">
              <w:rPr>
                <w:rFonts w:ascii="Arial" w:hAnsi="Arial" w:cs="Arial"/>
                <w:sz w:val="20"/>
                <w:szCs w:val="20"/>
              </w:rPr>
              <w:t>2</w:t>
            </w:r>
          </w:p>
        </w:tc>
        <w:tc>
          <w:tcPr>
            <w:tcW w:w="1138" w:type="dxa"/>
            <w:gridSpan w:val="2"/>
            <w:tcBorders>
              <w:top w:val="nil"/>
              <w:left w:val="nil"/>
              <w:bottom w:val="nil"/>
              <w:right w:val="nil"/>
            </w:tcBorders>
            <w:hideMark/>
          </w:tcPr>
          <w:p w14:paraId="3CB3F06D"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-10</w:t>
            </w:r>
            <w:r>
              <w:rPr>
                <w:rFonts w:ascii="Arial" w:hAnsi="Arial" w:cs="Arial"/>
                <w:sz w:val="20"/>
                <w:szCs w:val="20"/>
              </w:rPr>
              <w:t>.</w:t>
            </w:r>
            <w:r w:rsidRPr="00F73ED4">
              <w:rPr>
                <w:rFonts w:ascii="Arial" w:hAnsi="Arial" w:cs="Arial"/>
                <w:sz w:val="20"/>
                <w:szCs w:val="20"/>
              </w:rPr>
              <w:t>6</w:t>
            </w:r>
          </w:p>
        </w:tc>
        <w:tc>
          <w:tcPr>
            <w:tcW w:w="971" w:type="dxa"/>
            <w:gridSpan w:val="2"/>
            <w:tcBorders>
              <w:top w:val="nil"/>
              <w:left w:val="nil"/>
              <w:bottom w:val="nil"/>
              <w:right w:val="nil"/>
            </w:tcBorders>
            <w:hideMark/>
          </w:tcPr>
          <w:p w14:paraId="5E1B5DF0"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9</w:t>
            </w:r>
            <w:r>
              <w:rPr>
                <w:rFonts w:ascii="Arial" w:hAnsi="Arial" w:cs="Arial"/>
                <w:sz w:val="20"/>
                <w:szCs w:val="20"/>
              </w:rPr>
              <w:t>.</w:t>
            </w:r>
            <w:r w:rsidRPr="00F73ED4">
              <w:rPr>
                <w:rFonts w:ascii="Arial" w:hAnsi="Arial" w:cs="Arial"/>
                <w:sz w:val="20"/>
                <w:szCs w:val="20"/>
              </w:rPr>
              <w:t>1</w:t>
            </w:r>
          </w:p>
        </w:tc>
        <w:tc>
          <w:tcPr>
            <w:tcW w:w="853" w:type="dxa"/>
            <w:tcBorders>
              <w:top w:val="nil"/>
              <w:left w:val="nil"/>
              <w:bottom w:val="nil"/>
              <w:right w:val="nil"/>
            </w:tcBorders>
            <w:hideMark/>
          </w:tcPr>
          <w:p w14:paraId="5AEF9FF2"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-11</w:t>
            </w:r>
            <w:r>
              <w:rPr>
                <w:rFonts w:ascii="Arial" w:hAnsi="Arial" w:cs="Arial"/>
                <w:sz w:val="20"/>
                <w:szCs w:val="20"/>
              </w:rPr>
              <w:t>.</w:t>
            </w:r>
            <w:r w:rsidRPr="00F73ED4">
              <w:rPr>
                <w:rFonts w:ascii="Arial" w:hAnsi="Arial" w:cs="Arial"/>
                <w:sz w:val="20"/>
                <w:szCs w:val="20"/>
              </w:rPr>
              <w:t>8</w:t>
            </w:r>
          </w:p>
        </w:tc>
      </w:tr>
      <w:tr w:rsidR="00781552" w:rsidRPr="00F73ED4" w14:paraId="32CA74DB" w14:textId="77777777" w:rsidTr="007577DA">
        <w:trPr>
          <w:trHeight w:val="324"/>
          <w:jc w:val="center"/>
        </w:trPr>
        <w:tc>
          <w:tcPr>
            <w:tcW w:w="4555" w:type="dxa"/>
            <w:tcBorders>
              <w:top w:val="nil"/>
              <w:left w:val="nil"/>
              <w:bottom w:val="single" w:sz="4" w:space="0" w:color="auto"/>
              <w:right w:val="nil"/>
            </w:tcBorders>
            <w:shd w:val="clear" w:color="auto" w:fill="FFFFFF"/>
            <w:noWrap/>
          </w:tcPr>
          <w:p w14:paraId="369F54BC" w14:textId="77777777" w:rsidR="00781552" w:rsidRPr="00F73ED4" w:rsidRDefault="00781552" w:rsidP="007577DA">
            <w:pPr>
              <w:rPr>
                <w:rFonts w:ascii="Arial" w:hAnsi="Arial" w:cs="Arial"/>
                <w:sz w:val="20"/>
                <w:szCs w:val="20"/>
              </w:rPr>
            </w:pPr>
            <w:r w:rsidRPr="00595F22">
              <w:rPr>
                <w:rFonts w:ascii="Arial" w:hAnsi="Arial" w:cs="Arial"/>
                <w:sz w:val="20"/>
                <w:szCs w:val="20"/>
              </w:rPr>
              <w:t>Water supply; sewerage, waste management and remediation activities</w:t>
            </w:r>
          </w:p>
        </w:tc>
        <w:tc>
          <w:tcPr>
            <w:tcW w:w="854" w:type="dxa"/>
            <w:tcBorders>
              <w:top w:val="nil"/>
              <w:left w:val="nil"/>
              <w:bottom w:val="single" w:sz="4" w:space="0" w:color="auto"/>
              <w:right w:val="nil"/>
            </w:tcBorders>
          </w:tcPr>
          <w:p w14:paraId="198275C2"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2</w:t>
            </w:r>
            <w:r>
              <w:rPr>
                <w:rFonts w:ascii="Arial" w:hAnsi="Arial" w:cs="Arial"/>
                <w:sz w:val="20"/>
                <w:szCs w:val="20"/>
              </w:rPr>
              <w:t>.</w:t>
            </w:r>
            <w:r w:rsidRPr="00F73ED4">
              <w:rPr>
                <w:rFonts w:ascii="Arial" w:hAnsi="Arial" w:cs="Arial"/>
                <w:sz w:val="20"/>
                <w:szCs w:val="20"/>
              </w:rPr>
              <w:t>1</w:t>
            </w:r>
          </w:p>
        </w:tc>
        <w:tc>
          <w:tcPr>
            <w:tcW w:w="735" w:type="dxa"/>
            <w:tcBorders>
              <w:top w:val="nil"/>
              <w:left w:val="nil"/>
              <w:bottom w:val="single" w:sz="4" w:space="0" w:color="auto"/>
              <w:right w:val="nil"/>
            </w:tcBorders>
          </w:tcPr>
          <w:p w14:paraId="3CEC5590"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8</w:t>
            </w:r>
            <w:r>
              <w:rPr>
                <w:rFonts w:ascii="Arial" w:hAnsi="Arial" w:cs="Arial"/>
                <w:sz w:val="20"/>
                <w:szCs w:val="20"/>
              </w:rPr>
              <w:t>.</w:t>
            </w:r>
            <w:r w:rsidRPr="00F73ED4">
              <w:rPr>
                <w:rFonts w:ascii="Arial" w:hAnsi="Arial" w:cs="Arial"/>
                <w:sz w:val="20"/>
                <w:szCs w:val="20"/>
              </w:rPr>
              <w:t>7</w:t>
            </w:r>
          </w:p>
        </w:tc>
        <w:tc>
          <w:tcPr>
            <w:tcW w:w="1138" w:type="dxa"/>
            <w:gridSpan w:val="2"/>
            <w:tcBorders>
              <w:top w:val="nil"/>
              <w:left w:val="nil"/>
              <w:bottom w:val="single" w:sz="4" w:space="0" w:color="auto"/>
              <w:right w:val="nil"/>
            </w:tcBorders>
          </w:tcPr>
          <w:p w14:paraId="519B5718"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6</w:t>
            </w:r>
            <w:r>
              <w:rPr>
                <w:rFonts w:ascii="Arial" w:hAnsi="Arial" w:cs="Arial"/>
                <w:sz w:val="20"/>
                <w:szCs w:val="20"/>
              </w:rPr>
              <w:t>.</w:t>
            </w:r>
            <w:r w:rsidRPr="00F73ED4">
              <w:rPr>
                <w:rFonts w:ascii="Arial" w:hAnsi="Arial" w:cs="Arial"/>
                <w:sz w:val="20"/>
                <w:szCs w:val="20"/>
              </w:rPr>
              <w:t>0</w:t>
            </w:r>
          </w:p>
        </w:tc>
        <w:tc>
          <w:tcPr>
            <w:tcW w:w="971" w:type="dxa"/>
            <w:gridSpan w:val="2"/>
            <w:tcBorders>
              <w:top w:val="nil"/>
              <w:left w:val="nil"/>
              <w:bottom w:val="single" w:sz="4" w:space="0" w:color="auto"/>
              <w:right w:val="nil"/>
            </w:tcBorders>
          </w:tcPr>
          <w:p w14:paraId="4F690F21"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w:t>
            </w:r>
            <w:r>
              <w:rPr>
                <w:rFonts w:ascii="Arial" w:hAnsi="Arial" w:cs="Arial"/>
                <w:sz w:val="20"/>
                <w:szCs w:val="20"/>
              </w:rPr>
              <w:t>.</w:t>
            </w:r>
            <w:r w:rsidRPr="00F73ED4">
              <w:rPr>
                <w:rFonts w:ascii="Arial" w:hAnsi="Arial" w:cs="Arial"/>
                <w:sz w:val="20"/>
                <w:szCs w:val="20"/>
              </w:rPr>
              <w:t>2</w:t>
            </w:r>
          </w:p>
        </w:tc>
        <w:tc>
          <w:tcPr>
            <w:tcW w:w="853" w:type="dxa"/>
            <w:tcBorders>
              <w:top w:val="nil"/>
              <w:left w:val="nil"/>
              <w:bottom w:val="single" w:sz="4" w:space="0" w:color="auto"/>
              <w:right w:val="nil"/>
            </w:tcBorders>
          </w:tcPr>
          <w:p w14:paraId="0C7655E9" w14:textId="77777777" w:rsidR="00781552" w:rsidRPr="00F73ED4" w:rsidRDefault="00781552" w:rsidP="007577DA">
            <w:pPr>
              <w:jc w:val="right"/>
              <w:rPr>
                <w:rFonts w:ascii="Arial" w:hAnsi="Arial" w:cs="Arial"/>
                <w:sz w:val="20"/>
                <w:szCs w:val="20"/>
              </w:rPr>
            </w:pPr>
            <w:r w:rsidRPr="00F73ED4">
              <w:rPr>
                <w:rFonts w:ascii="Arial" w:hAnsi="Arial" w:cs="Arial"/>
                <w:sz w:val="20"/>
                <w:szCs w:val="20"/>
              </w:rPr>
              <w:t>12</w:t>
            </w:r>
            <w:r>
              <w:rPr>
                <w:rFonts w:ascii="Arial" w:hAnsi="Arial" w:cs="Arial"/>
                <w:sz w:val="20"/>
                <w:szCs w:val="20"/>
              </w:rPr>
              <w:t>.</w:t>
            </w:r>
            <w:r w:rsidRPr="00F73ED4">
              <w:rPr>
                <w:rFonts w:ascii="Arial" w:hAnsi="Arial" w:cs="Arial"/>
                <w:sz w:val="20"/>
                <w:szCs w:val="20"/>
              </w:rPr>
              <w:t>7</w:t>
            </w:r>
          </w:p>
        </w:tc>
      </w:tr>
    </w:tbl>
    <w:p w14:paraId="1BF1CBA7" w14:textId="77777777" w:rsidR="00781552" w:rsidRPr="00F73ED4" w:rsidRDefault="00781552" w:rsidP="00781552">
      <w:pPr>
        <w:shd w:val="clear" w:color="auto" w:fill="FFFFFF"/>
        <w:spacing w:before="40" w:after="40" w:line="283" w:lineRule="auto"/>
        <w:ind w:firstLine="567"/>
        <w:jc w:val="both"/>
        <w:rPr>
          <w:i/>
          <w:sz w:val="10"/>
          <w:szCs w:val="10"/>
          <w:lang w:val="pl-PL"/>
        </w:rPr>
      </w:pPr>
    </w:p>
    <w:p w14:paraId="261E9432" w14:textId="77777777" w:rsidR="00781552" w:rsidRDefault="00781552" w:rsidP="00781552">
      <w:pPr>
        <w:shd w:val="clear" w:color="auto" w:fill="FFFFFF"/>
        <w:spacing w:before="60" w:after="60" w:line="276" w:lineRule="auto"/>
        <w:ind w:firstLine="567"/>
        <w:jc w:val="both"/>
        <w:rPr>
          <w:lang w:val="pl-PL"/>
        </w:rPr>
      </w:pPr>
      <w:r w:rsidRPr="00595F22">
        <w:rPr>
          <w:iCs/>
          <w:lang w:val="pl-PL"/>
        </w:rPr>
        <w:t xml:space="preserve">The index of industrial production in the first five months of 2024 compared to the same period last year increased in 55 localities and decreased in 8 localities across the country. Some localities have achieved a relatively high increase in IIP due to the processing and manufacturing industry; electricity production and </w:t>
      </w:r>
      <w:r w:rsidRPr="00595F22">
        <w:rPr>
          <w:iCs/>
          <w:lang w:val="pl-PL"/>
        </w:rPr>
        <w:lastRenderedPageBreak/>
        <w:t>distribution industry increased</w:t>
      </w:r>
      <w:r w:rsidRPr="00F73ED4">
        <w:rPr>
          <w:rStyle w:val="FootnoteReference"/>
          <w:rFonts w:eastAsiaTheme="majorEastAsia"/>
          <w:lang w:val="pl-PL"/>
        </w:rPr>
        <w:footnoteReference w:id="7"/>
      </w:r>
      <w:r w:rsidRPr="00F73ED4">
        <w:rPr>
          <w:lang w:val="pl-PL"/>
        </w:rPr>
        <w:t xml:space="preserve">. </w:t>
      </w:r>
      <w:r w:rsidRPr="00595F22">
        <w:rPr>
          <w:lang w:val="pl-PL"/>
        </w:rPr>
        <w:t>In the opposite direction, some localities have low or decreased IIP due to low or decrease in the processing and manufacturing industry and the electricity production and distribution industry</w:t>
      </w:r>
      <w:r w:rsidRPr="00595F22">
        <w:rPr>
          <w:rStyle w:val="FootnoteReference"/>
          <w:rFonts w:eastAsiaTheme="majorEastAsia"/>
          <w:lang w:val="pl-PL"/>
        </w:rPr>
        <w:t xml:space="preserve"> </w:t>
      </w:r>
      <w:r w:rsidRPr="00F73ED4">
        <w:rPr>
          <w:rStyle w:val="FootnoteReference"/>
          <w:rFonts w:eastAsiaTheme="majorEastAsia"/>
          <w:lang w:val="pl-PL"/>
        </w:rPr>
        <w:footnoteReference w:id="8"/>
      </w:r>
      <w:r w:rsidRPr="00F73ED4">
        <w:rPr>
          <w:lang w:val="pl-PL"/>
        </w:rPr>
        <w:t xml:space="preserve">.   </w:t>
      </w:r>
    </w:p>
    <w:p w14:paraId="23B60F75" w14:textId="77777777" w:rsidR="00781552" w:rsidRDefault="00781552" w:rsidP="00781552">
      <w:pPr>
        <w:shd w:val="clear" w:color="auto" w:fill="FFFFFF"/>
        <w:spacing w:before="60" w:after="60" w:line="276" w:lineRule="auto"/>
        <w:ind w:firstLine="567"/>
        <w:jc w:val="both"/>
        <w:rPr>
          <w:lang w:val="pl-PL"/>
        </w:rPr>
      </w:pPr>
    </w:p>
    <w:p w14:paraId="1A139565" w14:textId="77777777" w:rsidR="00781552" w:rsidRDefault="00781552" w:rsidP="00781552">
      <w:pPr>
        <w:shd w:val="clear" w:color="auto" w:fill="FFFFFF"/>
        <w:spacing w:before="60" w:after="60" w:line="276" w:lineRule="auto"/>
        <w:ind w:firstLine="567"/>
        <w:jc w:val="both"/>
        <w:rPr>
          <w:lang w:val="pl-PL"/>
        </w:rPr>
      </w:pPr>
    </w:p>
    <w:p w14:paraId="3293B8EB" w14:textId="77777777" w:rsidR="00781552" w:rsidRDefault="00781552" w:rsidP="00781552">
      <w:pPr>
        <w:shd w:val="clear" w:color="auto" w:fill="FFFFFF"/>
        <w:spacing w:before="60" w:after="60" w:line="276" w:lineRule="auto"/>
        <w:ind w:firstLine="567"/>
        <w:jc w:val="both"/>
        <w:rPr>
          <w:lang w:val="pl-PL"/>
        </w:rPr>
      </w:pPr>
    </w:p>
    <w:p w14:paraId="2A9411E9" w14:textId="77777777" w:rsidR="00781552" w:rsidRPr="00F73ED4" w:rsidRDefault="00781552" w:rsidP="00781552">
      <w:pPr>
        <w:shd w:val="clear" w:color="auto" w:fill="FFFFFF"/>
        <w:spacing w:before="60" w:after="60" w:line="276" w:lineRule="auto"/>
        <w:ind w:firstLine="567"/>
        <w:jc w:val="both"/>
        <w:rPr>
          <w:rFonts w:ascii="Arial" w:hAnsi="Arial" w:cs="Arial"/>
          <w:b/>
          <w:bCs/>
          <w:sz w:val="24"/>
          <w:szCs w:val="24"/>
          <w:lang w:val="pl-PL"/>
        </w:rPr>
      </w:pPr>
    </w:p>
    <w:p w14:paraId="7E28036C" w14:textId="77777777" w:rsidR="00781552" w:rsidRPr="00595F22" w:rsidRDefault="00781552" w:rsidP="00781552">
      <w:pPr>
        <w:shd w:val="clear" w:color="auto" w:fill="FFFFFF"/>
        <w:spacing w:before="240" w:after="240"/>
        <w:jc w:val="center"/>
        <w:rPr>
          <w:rFonts w:ascii="Arial" w:hAnsi="Arial" w:cs="Arial"/>
          <w:b/>
          <w:bCs/>
          <w:sz w:val="24"/>
          <w:szCs w:val="24"/>
          <w:lang w:val="pl-PL"/>
        </w:rPr>
      </w:pPr>
      <w:r w:rsidRPr="00595F22">
        <w:rPr>
          <w:rFonts w:ascii="Arial" w:hAnsi="Arial" w:cs="Arial"/>
          <w:b/>
          <w:bCs/>
          <w:sz w:val="24"/>
          <w:szCs w:val="24"/>
          <w:lang w:val="pl-PL"/>
        </w:rPr>
        <w:t>Figure 4. IIP increase/decrease rate in the first 5 months of 2024</w:t>
      </w:r>
      <w:r>
        <w:rPr>
          <w:rFonts w:ascii="Arial" w:hAnsi="Arial" w:cs="Arial"/>
          <w:b/>
          <w:bCs/>
          <w:sz w:val="24"/>
          <w:szCs w:val="24"/>
          <w:lang w:val="pl-PL"/>
        </w:rPr>
        <w:t xml:space="preserve"> </w:t>
      </w:r>
      <w:r w:rsidRPr="00595F22">
        <w:rPr>
          <w:rFonts w:ascii="Arial" w:hAnsi="Arial" w:cs="Arial"/>
          <w:b/>
          <w:bCs/>
          <w:sz w:val="24"/>
          <w:szCs w:val="24"/>
          <w:lang w:val="pl-PL"/>
        </w:rPr>
        <w:t xml:space="preserve">compared to the same period last year of some localities (%)  </w:t>
      </w:r>
    </w:p>
    <w:tbl>
      <w:tblPr>
        <w:tblStyle w:val="TableGrid"/>
        <w:tblW w:w="90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4564"/>
      </w:tblGrid>
      <w:tr w:rsidR="00781552" w14:paraId="09E88CDB" w14:textId="77777777" w:rsidTr="007577DA">
        <w:trPr>
          <w:jc w:val="center"/>
        </w:trPr>
        <w:tc>
          <w:tcPr>
            <w:tcW w:w="4758" w:type="dxa"/>
            <w:vAlign w:val="center"/>
          </w:tcPr>
          <w:p w14:paraId="60184E74" w14:textId="77777777" w:rsidR="00781552" w:rsidRDefault="00781552" w:rsidP="007577DA">
            <w:pPr>
              <w:jc w:val="center"/>
            </w:pPr>
            <w:r w:rsidRPr="00595F22">
              <w:rPr>
                <w:rFonts w:ascii="Arial" w:hAnsi="Arial" w:cs="Arial"/>
                <w:b/>
                <w:bCs/>
                <w:sz w:val="18"/>
                <w:szCs w:val="18"/>
                <w:lang w:val="pl-PL"/>
              </w:rPr>
              <w:t>10 localities with the highest increase in IIP</w:t>
            </w:r>
          </w:p>
        </w:tc>
        <w:tc>
          <w:tcPr>
            <w:tcW w:w="4309" w:type="dxa"/>
            <w:vAlign w:val="center"/>
          </w:tcPr>
          <w:p w14:paraId="1F869AAC" w14:textId="77777777" w:rsidR="00781552" w:rsidRPr="00054A0B" w:rsidRDefault="00781552" w:rsidP="007577DA">
            <w:pPr>
              <w:jc w:val="center"/>
              <w:rPr>
                <w:rFonts w:ascii="Arial" w:hAnsi="Arial" w:cs="Arial"/>
                <w:b/>
                <w:bCs/>
                <w:iCs/>
                <w:sz w:val="18"/>
                <w:szCs w:val="18"/>
                <w:lang w:val="pl-PL"/>
              </w:rPr>
            </w:pPr>
            <w:r w:rsidRPr="00595F22">
              <w:rPr>
                <w:rFonts w:ascii="Arial" w:hAnsi="Arial" w:cs="Arial"/>
                <w:b/>
                <w:bCs/>
                <w:iCs/>
                <w:sz w:val="18"/>
                <w:szCs w:val="18"/>
                <w:lang w:val="pl-PL"/>
              </w:rPr>
              <w:t>10 localities with the lowest decrease/increase IIP</w:t>
            </w:r>
          </w:p>
        </w:tc>
      </w:tr>
      <w:tr w:rsidR="00781552" w14:paraId="47AF106B" w14:textId="77777777" w:rsidTr="007577DA">
        <w:trPr>
          <w:jc w:val="center"/>
        </w:trPr>
        <w:tc>
          <w:tcPr>
            <w:tcW w:w="4758" w:type="dxa"/>
          </w:tcPr>
          <w:p w14:paraId="39707544" w14:textId="77777777" w:rsidR="00781552" w:rsidRDefault="00781552" w:rsidP="007577DA">
            <w:r>
              <w:rPr>
                <w:noProof/>
                <w14:ligatures w14:val="standardContextual"/>
              </w:rPr>
              <w:drawing>
                <wp:inline distT="0" distB="0" distL="0" distR="0" wp14:anchorId="7C337BD3" wp14:editId="1B9CFD6B">
                  <wp:extent cx="2976563" cy="1638300"/>
                  <wp:effectExtent l="0" t="0" r="0" b="0"/>
                  <wp:docPr id="209152247" name="Picture 1" descr="A graph with blue bar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52247" name="Picture 1" descr="A graph with blue bars and numbers&#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2986977" cy="1644032"/>
                          </a:xfrm>
                          <a:prstGeom prst="rect">
                            <a:avLst/>
                          </a:prstGeom>
                        </pic:spPr>
                      </pic:pic>
                    </a:graphicData>
                  </a:graphic>
                </wp:inline>
              </w:drawing>
            </w:r>
          </w:p>
        </w:tc>
        <w:tc>
          <w:tcPr>
            <w:tcW w:w="4309" w:type="dxa"/>
          </w:tcPr>
          <w:p w14:paraId="2A4F8506" w14:textId="77777777" w:rsidR="00781552" w:rsidRDefault="00781552" w:rsidP="007577DA">
            <w:r>
              <w:rPr>
                <w:noProof/>
                <w14:ligatures w14:val="standardContextual"/>
              </w:rPr>
              <w:drawing>
                <wp:inline distT="0" distB="0" distL="0" distR="0" wp14:anchorId="64B2C0A5" wp14:editId="3895762C">
                  <wp:extent cx="2825115" cy="1581150"/>
                  <wp:effectExtent l="0" t="0" r="0" b="0"/>
                  <wp:docPr id="999234107" name="Picture 2" descr="A graph with 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234107" name="Picture 2" descr="A graph with red square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836230" cy="1587371"/>
                          </a:xfrm>
                          <a:prstGeom prst="rect">
                            <a:avLst/>
                          </a:prstGeom>
                        </pic:spPr>
                      </pic:pic>
                    </a:graphicData>
                  </a:graphic>
                </wp:inline>
              </w:drawing>
            </w:r>
          </w:p>
        </w:tc>
      </w:tr>
    </w:tbl>
    <w:p w14:paraId="2215BF86" w14:textId="77777777" w:rsidR="00781552" w:rsidRPr="00F73ED4" w:rsidRDefault="00781552" w:rsidP="00781552">
      <w:pPr>
        <w:shd w:val="clear" w:color="auto" w:fill="FFFFFF"/>
        <w:spacing w:after="240"/>
        <w:jc w:val="center"/>
        <w:rPr>
          <w:i/>
          <w:sz w:val="2"/>
          <w:szCs w:val="10"/>
          <w:lang w:val="pl-PL"/>
        </w:rPr>
      </w:pPr>
    </w:p>
    <w:p w14:paraId="37614BAD" w14:textId="77777777" w:rsidR="00781552" w:rsidRPr="00075F96" w:rsidRDefault="00781552" w:rsidP="00781552">
      <w:pPr>
        <w:spacing w:after="120" w:line="283" w:lineRule="auto"/>
        <w:ind w:firstLine="567"/>
        <w:jc w:val="both"/>
        <w:rPr>
          <w:iCs/>
          <w:lang w:val="pl-PL"/>
        </w:rPr>
      </w:pPr>
      <w:r w:rsidRPr="00075F96">
        <w:rPr>
          <w:iCs/>
          <w:lang w:val="pl-PL"/>
        </w:rPr>
        <w:t xml:space="preserve">Some key industrial products in the first five months of 2024 will increase compared to the same period last year: </w:t>
      </w:r>
      <w:r w:rsidRPr="006F7A5B">
        <w:rPr>
          <w:iCs/>
          <w:lang w:val="pl-PL"/>
        </w:rPr>
        <w:t>Steel bars and corners</w:t>
      </w:r>
      <w:r>
        <w:rPr>
          <w:iCs/>
          <w:lang w:val="pl-PL"/>
        </w:rPr>
        <w:t xml:space="preserve"> increased </w:t>
      </w:r>
      <w:r w:rsidRPr="00075F96">
        <w:rPr>
          <w:iCs/>
          <w:lang w:val="pl-PL"/>
        </w:rPr>
        <w:t xml:space="preserve">by 33.8%; </w:t>
      </w:r>
      <w:r w:rsidRPr="006F7A5B">
        <w:rPr>
          <w:iCs/>
          <w:lang w:val="pl-PL"/>
        </w:rPr>
        <w:t>Textile fabric from natural yarn</w:t>
      </w:r>
      <w:r>
        <w:rPr>
          <w:iCs/>
          <w:lang w:val="pl-PL"/>
        </w:rPr>
        <w:t xml:space="preserve"> </w:t>
      </w:r>
      <w:r w:rsidRPr="00075F96">
        <w:rPr>
          <w:iCs/>
          <w:lang w:val="pl-PL"/>
        </w:rPr>
        <w:t xml:space="preserve">increased by 20.2%; </w:t>
      </w:r>
      <w:r>
        <w:rPr>
          <w:iCs/>
          <w:lang w:val="pl-PL"/>
        </w:rPr>
        <w:t>l</w:t>
      </w:r>
      <w:r w:rsidRPr="006F7A5B">
        <w:rPr>
          <w:iCs/>
          <w:lang w:val="pl-PL"/>
        </w:rPr>
        <w:t>aminated steel</w:t>
      </w:r>
      <w:r w:rsidRPr="00075F96">
        <w:rPr>
          <w:iCs/>
          <w:lang w:val="pl-PL"/>
        </w:rPr>
        <w:t xml:space="preserve"> increased by 18.0%; </w:t>
      </w:r>
      <w:r>
        <w:rPr>
          <w:iCs/>
          <w:lang w:val="pl-PL"/>
        </w:rPr>
        <w:t>u</w:t>
      </w:r>
      <w:r w:rsidRPr="006F7A5B">
        <w:rPr>
          <w:iCs/>
          <w:lang w:val="pl-PL"/>
        </w:rPr>
        <w:t>rea fertilizer</w:t>
      </w:r>
      <w:r w:rsidRPr="00075F96">
        <w:rPr>
          <w:iCs/>
          <w:lang w:val="pl-PL"/>
        </w:rPr>
        <w:t xml:space="preserve"> increased by 14.6%; </w:t>
      </w:r>
      <w:r w:rsidRPr="006F7A5B">
        <w:rPr>
          <w:iCs/>
          <w:lang w:val="pl-PL"/>
        </w:rPr>
        <w:t>N.P.K mixed fertilizer</w:t>
      </w:r>
      <w:r>
        <w:rPr>
          <w:iCs/>
          <w:lang w:val="pl-PL"/>
        </w:rPr>
        <w:t xml:space="preserve"> </w:t>
      </w:r>
      <w:r w:rsidRPr="00075F96">
        <w:rPr>
          <w:iCs/>
          <w:lang w:val="pl-PL"/>
        </w:rPr>
        <w:t xml:space="preserve">increased by 12.6%. In the opposite direction, some products decreased compared to the same period last year: </w:t>
      </w:r>
      <w:r w:rsidRPr="006F7A5B">
        <w:rPr>
          <w:iCs/>
          <w:lang w:val="pl-PL"/>
        </w:rPr>
        <w:t>Liquidized gas (LPG)</w:t>
      </w:r>
      <w:r w:rsidRPr="00075F96">
        <w:rPr>
          <w:iCs/>
          <w:lang w:val="pl-PL"/>
        </w:rPr>
        <w:t xml:space="preserve"> decreased by 21.2%; </w:t>
      </w:r>
      <w:r w:rsidRPr="006F7A5B">
        <w:rPr>
          <w:iCs/>
          <w:lang w:val="pl-PL"/>
        </w:rPr>
        <w:t xml:space="preserve">Natural gas (in the form </w:t>
      </w:r>
      <w:r w:rsidRPr="006F7A5B">
        <w:rPr>
          <w:iCs/>
          <w:lang w:val="pl-PL"/>
        </w:rPr>
        <w:lastRenderedPageBreak/>
        <w:t>of air)</w:t>
      </w:r>
      <w:r>
        <w:rPr>
          <w:iCs/>
          <w:lang w:val="pl-PL"/>
        </w:rPr>
        <w:t xml:space="preserve"> </w:t>
      </w:r>
      <w:r w:rsidRPr="00075F96">
        <w:rPr>
          <w:iCs/>
          <w:lang w:val="pl-PL"/>
        </w:rPr>
        <w:t xml:space="preserve">fell 15.6%; television decreased by 10.4%; </w:t>
      </w:r>
      <w:r>
        <w:rPr>
          <w:iCs/>
          <w:lang w:val="pl-PL"/>
        </w:rPr>
        <w:t>e</w:t>
      </w:r>
      <w:r w:rsidRPr="006F7A5B">
        <w:rPr>
          <w:iCs/>
          <w:lang w:val="pl-PL"/>
        </w:rPr>
        <w:t>xtracted crude oil</w:t>
      </w:r>
      <w:r w:rsidRPr="00075F96">
        <w:rPr>
          <w:iCs/>
          <w:lang w:val="pl-PL"/>
        </w:rPr>
        <w:t xml:space="preserve"> decreased by 5.6%; </w:t>
      </w:r>
      <w:r>
        <w:rPr>
          <w:iCs/>
          <w:lang w:val="pl-PL"/>
        </w:rPr>
        <w:t>c</w:t>
      </w:r>
      <w:r w:rsidRPr="006F7A5B">
        <w:rPr>
          <w:iCs/>
          <w:lang w:val="pl-PL"/>
        </w:rPr>
        <w:t>rude steel, iron</w:t>
      </w:r>
      <w:r>
        <w:rPr>
          <w:iCs/>
          <w:lang w:val="pl-PL"/>
        </w:rPr>
        <w:t xml:space="preserve"> </w:t>
      </w:r>
      <w:r w:rsidRPr="00075F96">
        <w:rPr>
          <w:iCs/>
          <w:lang w:val="pl-PL"/>
        </w:rPr>
        <w:t>fell 5.2%.</w:t>
      </w:r>
    </w:p>
    <w:p w14:paraId="2AA0F714" w14:textId="77777777" w:rsidR="00781552" w:rsidRDefault="00781552" w:rsidP="00781552">
      <w:pPr>
        <w:spacing w:after="120" w:line="283" w:lineRule="auto"/>
        <w:ind w:firstLine="567"/>
        <w:jc w:val="both"/>
        <w:rPr>
          <w:spacing w:val="-2"/>
          <w:lang w:val="pl-PL"/>
        </w:rPr>
      </w:pPr>
      <w:r w:rsidRPr="006F7A5B">
        <w:rPr>
          <w:iCs/>
          <w:spacing w:val="-2"/>
          <w:lang w:val="pl-PL"/>
        </w:rPr>
        <w:t>The number of employees working in industrial enterprises as of May 1, 2024 will increase by 1.0% compared to the same time last month and increase by 3.2% compared to the same time last year. In which, the labor force of State-owned enterprises increased by 0.1% over the previous month and decreased by 0.3% over the same period last year; non-state enterprises increased by 0.7% and increased by 0.5%; foreign-invested enterprises increased by 1.3% and increased by 4.4%</w:t>
      </w:r>
      <w:r w:rsidRPr="00F73ED4">
        <w:rPr>
          <w:spacing w:val="-2"/>
          <w:lang w:val="pl-PL"/>
        </w:rPr>
        <w:t xml:space="preserve">. </w:t>
      </w:r>
      <w:r w:rsidRPr="006F7A5B">
        <w:rPr>
          <w:spacing w:val="-2"/>
          <w:lang w:val="pl-PL"/>
        </w:rPr>
        <w:t>By sector, the number of employees working in mining enterprises increased by 0.1% over the same period last month and decreased by 0.1% over the same period last year; processing and manufacturing increased by 1.1% and increased by 3.4%; the production and distribution of electricity, gas, hot water, steam and air conditioning remained unchanged and increased by 0.4%; Water supply, waste and wastewater management and treatment activities increased by 0.1% and increased by 1.2%.</w:t>
      </w:r>
    </w:p>
    <w:p w14:paraId="2DBC719B" w14:textId="107FDA41" w:rsidR="001D5E3A" w:rsidRPr="00227BB5" w:rsidRDefault="001D5E3A" w:rsidP="001D5E3A">
      <w:pPr>
        <w:spacing w:after="40" w:line="300" w:lineRule="auto"/>
        <w:ind w:firstLine="567"/>
        <w:jc w:val="both"/>
        <w:rPr>
          <w:lang w:val="it-IT"/>
        </w:rPr>
      </w:pPr>
      <w:r>
        <w:rPr>
          <w:b/>
          <w:bCs/>
          <w:lang w:val="pl-PL"/>
        </w:rPr>
        <w:t>3</w:t>
      </w:r>
      <w:r w:rsidRPr="00227BB5">
        <w:rPr>
          <w:b/>
          <w:bCs/>
          <w:lang w:val="pl-PL"/>
        </w:rPr>
        <w:t>. Enterprise activities</w:t>
      </w:r>
    </w:p>
    <w:p w14:paraId="315F135D" w14:textId="77777777" w:rsidR="001D5E3A" w:rsidRPr="00227BB5" w:rsidRDefault="001D5E3A" w:rsidP="001D5E3A">
      <w:pPr>
        <w:spacing w:after="40" w:line="300" w:lineRule="auto"/>
        <w:ind w:firstLine="567"/>
        <w:jc w:val="both"/>
        <w:rPr>
          <w:i/>
          <w:lang w:val="it-IT"/>
        </w:rPr>
      </w:pPr>
      <w:r w:rsidRPr="00227BB5">
        <w:rPr>
          <w:b/>
          <w:bCs/>
          <w:i/>
          <w:lang w:val="pl-PL"/>
        </w:rPr>
        <w:t>a)</w:t>
      </w:r>
      <w:r w:rsidRPr="00227BB5">
        <w:rPr>
          <w:b/>
          <w:bCs/>
          <w:i/>
          <w:lang w:val="it-IT"/>
        </w:rPr>
        <w:t xml:space="preserve"> </w:t>
      </w:r>
      <w:r w:rsidRPr="00227BB5">
        <w:rPr>
          <w:b/>
          <w:i/>
          <w:lang w:val="it-IT"/>
        </w:rPr>
        <w:t xml:space="preserve">Enterprise registration status </w:t>
      </w:r>
      <w:r w:rsidRPr="00227BB5">
        <w:rPr>
          <w:bCs/>
          <w:i/>
          <w:vertAlign w:val="superscript"/>
        </w:rPr>
        <w:footnoteReference w:id="9"/>
      </w:r>
    </w:p>
    <w:p w14:paraId="27769846" w14:textId="77777777" w:rsidR="001D5E3A" w:rsidRPr="00227BB5" w:rsidRDefault="001D5E3A" w:rsidP="001D5E3A">
      <w:pPr>
        <w:spacing w:after="40" w:line="300" w:lineRule="auto"/>
        <w:ind w:firstLine="567"/>
        <w:jc w:val="both"/>
        <w:rPr>
          <w:lang w:val="it-IT"/>
        </w:rPr>
      </w:pPr>
      <w:r w:rsidRPr="00227BB5">
        <w:rPr>
          <w:lang w:val="it-IT"/>
        </w:rPr>
        <w:t xml:space="preserve">In </w:t>
      </w:r>
      <w:r>
        <w:rPr>
          <w:lang w:val="it-IT"/>
        </w:rPr>
        <w:t>May</w:t>
      </w:r>
      <w:r w:rsidRPr="00227BB5">
        <w:rPr>
          <w:lang w:val="it-IT"/>
        </w:rPr>
        <w:t xml:space="preserve">, the whole country had </w:t>
      </w:r>
      <w:r>
        <w:rPr>
          <w:lang w:val="it-IT"/>
        </w:rPr>
        <w:t>over 13.2</w:t>
      </w:r>
      <w:r w:rsidRPr="00227BB5">
        <w:rPr>
          <w:lang w:val="it-IT"/>
        </w:rPr>
        <w:t xml:space="preserve"> thousand newly established enterprises with registered capital was </w:t>
      </w:r>
      <w:r>
        <w:rPr>
          <w:lang w:val="it-IT"/>
        </w:rPr>
        <w:t>93.2</w:t>
      </w:r>
      <w:r w:rsidRPr="00227BB5">
        <w:rPr>
          <w:lang w:val="it-IT"/>
        </w:rPr>
        <w:t xml:space="preserve"> trillion VND and a total number of registered employees of </w:t>
      </w:r>
      <w:r>
        <w:rPr>
          <w:lang w:val="it-IT"/>
        </w:rPr>
        <w:t>nearly 72.6</w:t>
      </w:r>
      <w:r w:rsidRPr="00227BB5">
        <w:rPr>
          <w:lang w:val="it-IT"/>
        </w:rPr>
        <w:t xml:space="preserve"> </w:t>
      </w:r>
      <w:r>
        <w:rPr>
          <w:lang w:val="it-IT"/>
        </w:rPr>
        <w:t>thousand employees, a de</w:t>
      </w:r>
      <w:r w:rsidRPr="00227BB5">
        <w:rPr>
          <w:lang w:val="it-IT"/>
        </w:rPr>
        <w:t xml:space="preserve">crease of </w:t>
      </w:r>
      <w:r>
        <w:rPr>
          <w:lang w:val="it-IT"/>
        </w:rPr>
        <w:t>13.7</w:t>
      </w:r>
      <w:r w:rsidRPr="00227BB5">
        <w:rPr>
          <w:lang w:val="it-IT"/>
        </w:rPr>
        <w:t>% in the number of enterprises, a</w:t>
      </w:r>
      <w:r>
        <w:rPr>
          <w:lang w:val="it-IT"/>
        </w:rPr>
        <w:t xml:space="preserve"> de</w:t>
      </w:r>
      <w:r w:rsidRPr="00227BB5">
        <w:rPr>
          <w:lang w:val="it-IT"/>
        </w:rPr>
        <w:t xml:space="preserve">crease of </w:t>
      </w:r>
      <w:r>
        <w:rPr>
          <w:lang w:val="it-IT"/>
        </w:rPr>
        <w:t>47</w:t>
      </w:r>
      <w:r w:rsidRPr="00227BB5">
        <w:rPr>
          <w:lang w:val="it-IT"/>
        </w:rPr>
        <w:t xml:space="preserve">% </w:t>
      </w:r>
      <w:r>
        <w:rPr>
          <w:lang w:val="it-IT"/>
        </w:rPr>
        <w:t>in registered capital and a</w:t>
      </w:r>
      <w:r w:rsidRPr="00227BB5">
        <w:rPr>
          <w:lang w:val="it-IT"/>
        </w:rPr>
        <w:t xml:space="preserve"> </w:t>
      </w:r>
      <w:r>
        <w:rPr>
          <w:lang w:val="it-IT"/>
        </w:rPr>
        <w:t>de</w:t>
      </w:r>
      <w:r w:rsidRPr="00227BB5">
        <w:rPr>
          <w:lang w:val="it-IT"/>
        </w:rPr>
        <w:t xml:space="preserve">crease of </w:t>
      </w:r>
      <w:r>
        <w:rPr>
          <w:lang w:val="it-IT"/>
        </w:rPr>
        <w:t>23.6</w:t>
      </w:r>
      <w:r w:rsidRPr="00227BB5">
        <w:rPr>
          <w:lang w:val="it-IT"/>
        </w:rPr>
        <w:t xml:space="preserve">% in the number of employees compared to </w:t>
      </w:r>
      <w:r>
        <w:rPr>
          <w:lang w:val="it-IT"/>
        </w:rPr>
        <w:t>April</w:t>
      </w:r>
      <w:r w:rsidRPr="00227BB5">
        <w:rPr>
          <w:lang w:val="it-IT"/>
        </w:rPr>
        <w:t xml:space="preserve"> 2024. Compared to the same period last year, </w:t>
      </w:r>
      <w:r>
        <w:rPr>
          <w:lang w:val="it-IT"/>
        </w:rPr>
        <w:t>up</w:t>
      </w:r>
      <w:r w:rsidRPr="00227BB5">
        <w:rPr>
          <w:lang w:val="it-IT"/>
        </w:rPr>
        <w:t xml:space="preserve"> of </w:t>
      </w:r>
      <w:r>
        <w:rPr>
          <w:lang w:val="it-IT"/>
        </w:rPr>
        <w:t>9.2</w:t>
      </w:r>
      <w:r w:rsidRPr="00227BB5">
        <w:rPr>
          <w:lang w:val="it-IT"/>
        </w:rPr>
        <w:t xml:space="preserve">% in the number of enterprises, </w:t>
      </w:r>
      <w:r>
        <w:rPr>
          <w:lang w:val="it-IT"/>
        </w:rPr>
        <w:t>down 10.1</w:t>
      </w:r>
      <w:r w:rsidRPr="00227BB5">
        <w:rPr>
          <w:lang w:val="it-IT"/>
        </w:rPr>
        <w:t xml:space="preserve">% in registered capital and </w:t>
      </w:r>
      <w:r>
        <w:rPr>
          <w:lang w:val="it-IT"/>
        </w:rPr>
        <w:t>down 2.7</w:t>
      </w:r>
      <w:r w:rsidRPr="00227BB5">
        <w:rPr>
          <w:lang w:val="it-IT"/>
        </w:rPr>
        <w:t xml:space="preserve">% in the number of employees. The average registered capital of a newly established enterprise in the month reached </w:t>
      </w:r>
      <w:r>
        <w:rPr>
          <w:lang w:val="it-IT"/>
        </w:rPr>
        <w:t>7.1</w:t>
      </w:r>
      <w:r w:rsidRPr="00227BB5">
        <w:rPr>
          <w:lang w:val="it-IT"/>
        </w:rPr>
        <w:t xml:space="preserve"> </w:t>
      </w:r>
      <w:r>
        <w:rPr>
          <w:lang w:val="it-IT"/>
        </w:rPr>
        <w:t>billion VND, a de</w:t>
      </w:r>
      <w:r w:rsidRPr="00227BB5">
        <w:rPr>
          <w:lang w:val="it-IT"/>
        </w:rPr>
        <w:t xml:space="preserve">crease of </w:t>
      </w:r>
      <w:r>
        <w:rPr>
          <w:lang w:val="it-IT"/>
        </w:rPr>
        <w:t>38.5</w:t>
      </w:r>
      <w:r w:rsidRPr="00227BB5">
        <w:rPr>
          <w:lang w:val="it-IT"/>
        </w:rPr>
        <w:t xml:space="preserve">% compared to the </w:t>
      </w:r>
      <w:r>
        <w:rPr>
          <w:lang w:val="it-IT"/>
        </w:rPr>
        <w:t>last</w:t>
      </w:r>
      <w:r w:rsidRPr="00227BB5">
        <w:rPr>
          <w:lang w:val="it-IT"/>
        </w:rPr>
        <w:t xml:space="preserve"> month and </w:t>
      </w:r>
      <w:r>
        <w:rPr>
          <w:lang w:val="it-IT"/>
        </w:rPr>
        <w:t>down 17.7</w:t>
      </w:r>
      <w:r w:rsidRPr="00227BB5">
        <w:rPr>
          <w:lang w:val="it-IT"/>
        </w:rPr>
        <w:t xml:space="preserve">% </w:t>
      </w:r>
      <w:r>
        <w:rPr>
          <w:lang w:val="it-IT"/>
        </w:rPr>
        <w:t>compared to</w:t>
      </w:r>
      <w:r w:rsidRPr="00227BB5">
        <w:rPr>
          <w:lang w:val="it-IT"/>
        </w:rPr>
        <w:t xml:space="preserve"> the same period </w:t>
      </w:r>
      <w:r>
        <w:rPr>
          <w:lang w:val="it-IT"/>
        </w:rPr>
        <w:t>last year</w:t>
      </w:r>
      <w:r w:rsidRPr="00227BB5">
        <w:rPr>
          <w:lang w:val="it-IT"/>
        </w:rPr>
        <w:t xml:space="preserve">. </w:t>
      </w:r>
      <w:r>
        <w:rPr>
          <w:lang w:val="it-IT"/>
        </w:rPr>
        <w:t>Besides</w:t>
      </w:r>
      <w:r w:rsidRPr="00227BB5">
        <w:rPr>
          <w:lang w:val="it-IT"/>
        </w:rPr>
        <w:t xml:space="preserve">, </w:t>
      </w:r>
      <w:r>
        <w:rPr>
          <w:lang w:val="it-IT"/>
        </w:rPr>
        <w:t>there were</w:t>
      </w:r>
      <w:r w:rsidRPr="00227BB5">
        <w:rPr>
          <w:lang w:val="it-IT"/>
        </w:rPr>
        <w:t xml:space="preserve"> </w:t>
      </w:r>
      <w:r>
        <w:rPr>
          <w:lang w:val="it-IT"/>
        </w:rPr>
        <w:t>6,749</w:t>
      </w:r>
      <w:r w:rsidRPr="00227BB5">
        <w:rPr>
          <w:lang w:val="it-IT"/>
        </w:rPr>
        <w:t xml:space="preserve"> re-operated</w:t>
      </w:r>
      <w:r>
        <w:rPr>
          <w:lang w:val="it-IT"/>
        </w:rPr>
        <w:t xml:space="preserve"> </w:t>
      </w:r>
      <w:r w:rsidRPr="00227BB5">
        <w:rPr>
          <w:lang w:val="it-IT"/>
        </w:rPr>
        <w:t>enterprises</w:t>
      </w:r>
      <w:r>
        <w:rPr>
          <w:lang w:val="it-IT"/>
        </w:rPr>
        <w:t xml:space="preserve"> in the whole country</w:t>
      </w:r>
      <w:r w:rsidRPr="00227BB5">
        <w:rPr>
          <w:lang w:val="it-IT"/>
        </w:rPr>
        <w:t xml:space="preserve">, </w:t>
      </w:r>
      <w:r>
        <w:rPr>
          <w:lang w:val="it-IT"/>
        </w:rPr>
        <w:t>a decrease of</w:t>
      </w:r>
      <w:r w:rsidRPr="00227BB5">
        <w:rPr>
          <w:lang w:val="it-IT"/>
        </w:rPr>
        <w:t xml:space="preserve"> </w:t>
      </w:r>
      <w:r>
        <w:rPr>
          <w:lang w:val="it-IT"/>
        </w:rPr>
        <w:t>18.8</w:t>
      </w:r>
      <w:r w:rsidRPr="00227BB5">
        <w:rPr>
          <w:lang w:val="it-IT"/>
        </w:rPr>
        <w:t xml:space="preserve">% compared to the previous month and </w:t>
      </w:r>
      <w:r>
        <w:rPr>
          <w:lang w:val="it-IT"/>
        </w:rPr>
        <w:t>up 13.4</w:t>
      </w:r>
      <w:r w:rsidRPr="00227BB5">
        <w:rPr>
          <w:lang w:val="it-IT"/>
        </w:rPr>
        <w:t xml:space="preserve">% compared to the same period </w:t>
      </w:r>
      <w:r>
        <w:rPr>
          <w:lang w:val="it-IT"/>
        </w:rPr>
        <w:t>of</w:t>
      </w:r>
      <w:r w:rsidRPr="00227BB5">
        <w:rPr>
          <w:lang w:val="it-IT"/>
        </w:rPr>
        <w:t xml:space="preserve"> 2023.</w:t>
      </w:r>
    </w:p>
    <w:p w14:paraId="0BBC85D5" w14:textId="77777777" w:rsidR="001D5E3A" w:rsidRPr="00227BB5" w:rsidRDefault="001D5E3A" w:rsidP="001D5E3A">
      <w:pPr>
        <w:spacing w:after="40" w:line="300" w:lineRule="auto"/>
        <w:ind w:firstLine="567"/>
        <w:jc w:val="both"/>
      </w:pPr>
      <w:r>
        <w:t>Generally, i</w:t>
      </w:r>
      <w:r w:rsidRPr="00227BB5">
        <w:t xml:space="preserve">n the first </w:t>
      </w:r>
      <w:r>
        <w:t>five months</w:t>
      </w:r>
      <w:r w:rsidRPr="00227BB5">
        <w:t xml:space="preserve"> of 2024, the</w:t>
      </w:r>
      <w:r>
        <w:t xml:space="preserve"> whole</w:t>
      </w:r>
      <w:r w:rsidRPr="00227BB5">
        <w:t xml:space="preserve"> country had </w:t>
      </w:r>
      <w:r>
        <w:t>64.8</w:t>
      </w:r>
      <w:r w:rsidRPr="00227BB5">
        <w:rPr>
          <w:lang w:val="it-IT"/>
        </w:rPr>
        <w:t xml:space="preserve"> </w:t>
      </w:r>
      <w:r w:rsidRPr="00227BB5">
        <w:t>thousand newly registered enterprises with a total registered capital of</w:t>
      </w:r>
      <w:r w:rsidRPr="00227BB5">
        <w:rPr>
          <w:lang w:val="it-IT"/>
        </w:rPr>
        <w:t xml:space="preserve"> </w:t>
      </w:r>
      <w:r>
        <w:rPr>
          <w:lang w:val="it-IT"/>
        </w:rPr>
        <w:t>more than 601.2</w:t>
      </w:r>
      <w:r w:rsidRPr="00227BB5">
        <w:rPr>
          <w:lang w:val="it-IT"/>
        </w:rPr>
        <w:t xml:space="preserve"> </w:t>
      </w:r>
      <w:r w:rsidRPr="00227BB5">
        <w:t xml:space="preserve">trillion </w:t>
      </w:r>
      <w:r w:rsidRPr="00227BB5">
        <w:lastRenderedPageBreak/>
        <w:t xml:space="preserve">VND and </w:t>
      </w:r>
      <w:r>
        <w:t>a</w:t>
      </w:r>
      <w:r w:rsidRPr="00227BB5">
        <w:t xml:space="preserve"> total number of registered employees was </w:t>
      </w:r>
      <w:r>
        <w:t>426.4</w:t>
      </w:r>
      <w:r w:rsidRPr="00227BB5">
        <w:rPr>
          <w:lang w:val="it-IT"/>
        </w:rPr>
        <w:t xml:space="preserve"> </w:t>
      </w:r>
      <w:r w:rsidRPr="00227BB5">
        <w:t xml:space="preserve">thousand employees, </w:t>
      </w:r>
      <w:r>
        <w:t>up</w:t>
      </w:r>
      <w:r w:rsidRPr="00227BB5">
        <w:t xml:space="preserve"> </w:t>
      </w:r>
      <w:r>
        <w:rPr>
          <w:lang w:val="it-IT"/>
        </w:rPr>
        <w:t>4.5</w:t>
      </w:r>
      <w:r w:rsidRPr="00227BB5">
        <w:rPr>
          <w:lang w:val="it-IT"/>
        </w:rPr>
        <w:t xml:space="preserve">% </w:t>
      </w:r>
      <w:r w:rsidRPr="00227BB5">
        <w:t xml:space="preserve">in the number of enterprises, </w:t>
      </w:r>
      <w:r>
        <w:t>up</w:t>
      </w:r>
      <w:r w:rsidRPr="00227BB5">
        <w:t xml:space="preserve"> </w:t>
      </w:r>
      <w:r>
        <w:rPr>
          <w:lang w:val="it-IT"/>
        </w:rPr>
        <w:t>5.7</w:t>
      </w:r>
      <w:r w:rsidRPr="00227BB5">
        <w:rPr>
          <w:lang w:val="it-IT"/>
        </w:rPr>
        <w:t xml:space="preserve">% </w:t>
      </w:r>
      <w:r w:rsidRPr="00227BB5">
        <w:t xml:space="preserve">in registered capital and </w:t>
      </w:r>
      <w:r>
        <w:t>up</w:t>
      </w:r>
      <w:r w:rsidRPr="00227BB5">
        <w:rPr>
          <w:lang w:val="it-IT"/>
        </w:rPr>
        <w:t xml:space="preserve"> </w:t>
      </w:r>
      <w:r>
        <w:rPr>
          <w:lang w:val="it-IT"/>
        </w:rPr>
        <w:t>5</w:t>
      </w:r>
      <w:r w:rsidRPr="00227BB5">
        <w:rPr>
          <w:lang w:val="it-IT"/>
        </w:rPr>
        <w:t xml:space="preserve">% </w:t>
      </w:r>
      <w:r w:rsidRPr="00227BB5">
        <w:t xml:space="preserve">in the number of employees compared to the same period last year. The average registered capital of a newly established enterprise in the first </w:t>
      </w:r>
      <w:r>
        <w:t>five</w:t>
      </w:r>
      <w:r w:rsidRPr="00227BB5">
        <w:t xml:space="preserve"> months </w:t>
      </w:r>
      <w:r w:rsidRPr="00451594">
        <w:t>of 2024 achieved</w:t>
      </w:r>
      <w:r w:rsidRPr="00451594">
        <w:rPr>
          <w:lang w:val="it-IT"/>
        </w:rPr>
        <w:t xml:space="preserve"> 9.</w:t>
      </w:r>
      <w:r>
        <w:rPr>
          <w:lang w:val="it-IT"/>
        </w:rPr>
        <w:t>3</w:t>
      </w:r>
      <w:r w:rsidRPr="00451594">
        <w:rPr>
          <w:lang w:val="it-IT"/>
        </w:rPr>
        <w:t xml:space="preserve"> </w:t>
      </w:r>
      <w:r w:rsidRPr="00451594">
        <w:t xml:space="preserve">billion VND, up </w:t>
      </w:r>
      <w:r>
        <w:t>1.2</w:t>
      </w:r>
      <w:r w:rsidRPr="00451594">
        <w:rPr>
          <w:lang w:val="it-IT"/>
        </w:rPr>
        <w:t xml:space="preserve">% </w:t>
      </w:r>
      <w:r w:rsidRPr="00451594">
        <w:t xml:space="preserve">compared to the same period in </w:t>
      </w:r>
      <w:r w:rsidRPr="00451594">
        <w:rPr>
          <w:lang w:val="it-IT"/>
        </w:rPr>
        <w:t xml:space="preserve">2023. </w:t>
      </w:r>
      <w:r w:rsidRPr="00451594">
        <w:t xml:space="preserve">If including </w:t>
      </w:r>
      <w:r>
        <w:rPr>
          <w:lang w:val="it-IT"/>
        </w:rPr>
        <w:t>666.9</w:t>
      </w:r>
      <w:r w:rsidRPr="00451594">
        <w:rPr>
          <w:lang w:val="it-IT"/>
        </w:rPr>
        <w:t xml:space="preserve"> </w:t>
      </w:r>
      <w:r w:rsidRPr="00451594">
        <w:t>trillion VND of the additionally registered capital of</w:t>
      </w:r>
      <w:r w:rsidRPr="00451594">
        <w:rPr>
          <w:lang w:val="it-IT"/>
        </w:rPr>
        <w:t xml:space="preserve"> </w:t>
      </w:r>
      <w:r>
        <w:rPr>
          <w:lang w:val="it-IT"/>
        </w:rPr>
        <w:t>18,567</w:t>
      </w:r>
      <w:r w:rsidRPr="00451594">
        <w:t xml:space="preserve"> thousand enterprises that recorded an upward adjustment of capital, the total number of captial that added more to the economy in the first </w:t>
      </w:r>
      <w:r>
        <w:t>five</w:t>
      </w:r>
      <w:r w:rsidRPr="00451594">
        <w:t xml:space="preserve"> of 2024 was </w:t>
      </w:r>
      <w:r>
        <w:t>1,268.1</w:t>
      </w:r>
      <w:r w:rsidRPr="00451594">
        <w:t xml:space="preserve"> trillion VND, a decrease of </w:t>
      </w:r>
      <w:r>
        <w:rPr>
          <w:lang w:val="it-IT"/>
        </w:rPr>
        <w:t>9</w:t>
      </w:r>
      <w:r w:rsidRPr="00451594">
        <w:rPr>
          <w:lang w:val="it-IT"/>
        </w:rPr>
        <w:t xml:space="preserve">% </w:t>
      </w:r>
      <w:r w:rsidRPr="00451594">
        <w:t xml:space="preserve">compared to the same period last year. Besides, there were </w:t>
      </w:r>
      <w:r>
        <w:t>nearly 34.1</w:t>
      </w:r>
      <w:r w:rsidRPr="00451594">
        <w:rPr>
          <w:lang w:val="it-IT"/>
        </w:rPr>
        <w:t xml:space="preserve"> </w:t>
      </w:r>
      <w:r w:rsidRPr="00451594">
        <w:t xml:space="preserve">thousand re-operated enterprises (up </w:t>
      </w:r>
      <w:r>
        <w:t>3.3</w:t>
      </w:r>
      <w:r w:rsidRPr="00451594">
        <w:rPr>
          <w:lang w:val="it-IT"/>
        </w:rPr>
        <w:t xml:space="preserve">% </w:t>
      </w:r>
      <w:r w:rsidRPr="00451594">
        <w:t>compared</w:t>
      </w:r>
      <w:r w:rsidRPr="00227BB5">
        <w:t xml:space="preserve"> to the same period </w:t>
      </w:r>
      <w:r>
        <w:t>of</w:t>
      </w:r>
      <w:r w:rsidRPr="00227BB5">
        <w:rPr>
          <w:lang w:val="it-IT"/>
        </w:rPr>
        <w:t xml:space="preserve"> 2023), </w:t>
      </w:r>
      <w:r w:rsidRPr="00227BB5">
        <w:t xml:space="preserve">bringing the total number of </w:t>
      </w:r>
      <w:proofErr w:type="gramStart"/>
      <w:r w:rsidRPr="00227BB5">
        <w:t>newly-established</w:t>
      </w:r>
      <w:proofErr w:type="gramEnd"/>
      <w:r w:rsidRPr="00227BB5">
        <w:t xml:space="preserve"> enterprises and re-operated enterprises in the first </w:t>
      </w:r>
      <w:r>
        <w:t>five</w:t>
      </w:r>
      <w:r w:rsidRPr="00227BB5">
        <w:t xml:space="preserve"> months of 2024 to </w:t>
      </w:r>
      <w:r>
        <w:t>over 98.8</w:t>
      </w:r>
      <w:r w:rsidRPr="00227BB5">
        <w:rPr>
          <w:lang w:val="it-IT"/>
        </w:rPr>
        <w:t xml:space="preserve"> </w:t>
      </w:r>
      <w:r w:rsidRPr="00227BB5">
        <w:t xml:space="preserve">thousand enterprises, up </w:t>
      </w:r>
      <w:r>
        <w:t>4.1</w:t>
      </w:r>
      <w:r w:rsidRPr="00227BB5">
        <w:rPr>
          <w:lang w:val="it-IT"/>
        </w:rPr>
        <w:t xml:space="preserve">% </w:t>
      </w:r>
      <w:r w:rsidRPr="00227BB5">
        <w:t xml:space="preserve">compared to the same period last year. The average each month had </w:t>
      </w:r>
      <w:r>
        <w:rPr>
          <w:lang w:val="it-IT"/>
        </w:rPr>
        <w:t>19.8</w:t>
      </w:r>
      <w:r w:rsidRPr="00227BB5">
        <w:rPr>
          <w:lang w:val="it-IT"/>
        </w:rPr>
        <w:t xml:space="preserve"> </w:t>
      </w:r>
      <w:r w:rsidRPr="00227BB5">
        <w:t>thousand newly established and re-operated enterprises</w:t>
      </w:r>
      <w:r w:rsidRPr="00227BB5">
        <w:rPr>
          <w:lang w:val="it-IT"/>
        </w:rPr>
        <w:t>.</w:t>
      </w:r>
    </w:p>
    <w:p w14:paraId="5A66EC08" w14:textId="77777777" w:rsidR="001D5E3A" w:rsidRPr="00227BB5" w:rsidRDefault="001D5E3A" w:rsidP="001D5E3A">
      <w:pPr>
        <w:spacing w:after="40" w:line="300" w:lineRule="auto"/>
        <w:ind w:firstLine="567"/>
        <w:jc w:val="both"/>
        <w:rPr>
          <w:lang w:val="it-IT"/>
        </w:rPr>
      </w:pPr>
      <w:r w:rsidRPr="00227BB5">
        <w:t>By economic sector</w:t>
      </w:r>
      <w:r>
        <w:t>,</w:t>
      </w:r>
      <w:r w:rsidRPr="00227BB5">
        <w:t xml:space="preserve"> in </w:t>
      </w:r>
      <w:r>
        <w:t>the first five</w:t>
      </w:r>
      <w:r w:rsidRPr="00227BB5">
        <w:t xml:space="preserve"> month</w:t>
      </w:r>
      <w:r>
        <w:t>s this year,</w:t>
      </w:r>
      <w:r w:rsidRPr="00227BB5">
        <w:t xml:space="preserve"> there were </w:t>
      </w:r>
      <w:r>
        <w:rPr>
          <w:lang w:val="it-IT"/>
        </w:rPr>
        <w:t>630</w:t>
      </w:r>
      <w:r w:rsidRPr="00227BB5">
        <w:rPr>
          <w:lang w:val="it-IT"/>
        </w:rPr>
        <w:t xml:space="preserve"> </w:t>
      </w:r>
      <w:proofErr w:type="gramStart"/>
      <w:r w:rsidRPr="00227BB5">
        <w:t>newly-established</w:t>
      </w:r>
      <w:proofErr w:type="gramEnd"/>
      <w:r w:rsidRPr="00227BB5">
        <w:t xml:space="preserve"> enterprises in the agricultural, forestry, and fishery sectors, an increase of</w:t>
      </w:r>
      <w:r w:rsidRPr="00227BB5">
        <w:rPr>
          <w:lang w:val="it-IT"/>
        </w:rPr>
        <w:t xml:space="preserve"> </w:t>
      </w:r>
      <w:r>
        <w:rPr>
          <w:lang w:val="it-IT"/>
        </w:rPr>
        <w:t>1.1</w:t>
      </w:r>
      <w:r w:rsidRPr="00227BB5">
        <w:rPr>
          <w:lang w:val="it-IT"/>
        </w:rPr>
        <w:t xml:space="preserve">% </w:t>
      </w:r>
      <w:r w:rsidRPr="00227BB5">
        <w:t xml:space="preserve">compared to the same period last year; </w:t>
      </w:r>
      <w:r>
        <w:rPr>
          <w:lang w:val="it-IT"/>
        </w:rPr>
        <w:t>15.4</w:t>
      </w:r>
      <w:r w:rsidRPr="00227BB5">
        <w:rPr>
          <w:lang w:val="it-IT"/>
        </w:rPr>
        <w:t xml:space="preserve"> </w:t>
      </w:r>
      <w:r w:rsidRPr="00227BB5">
        <w:t>thousand enterprises in the industrial and construction sectors, an increase of</w:t>
      </w:r>
      <w:r w:rsidRPr="00227BB5">
        <w:rPr>
          <w:lang w:val="it-IT"/>
        </w:rPr>
        <w:t xml:space="preserve"> </w:t>
      </w:r>
      <w:r>
        <w:rPr>
          <w:lang w:val="it-IT"/>
        </w:rPr>
        <w:t>4.2</w:t>
      </w:r>
      <w:r w:rsidRPr="00227BB5">
        <w:rPr>
          <w:lang w:val="it-IT"/>
        </w:rPr>
        <w:t xml:space="preserve">%; </w:t>
      </w:r>
      <w:r>
        <w:rPr>
          <w:lang w:val="it-IT"/>
        </w:rPr>
        <w:t>48.7</w:t>
      </w:r>
      <w:r w:rsidRPr="00227BB5">
        <w:rPr>
          <w:lang w:val="it-IT"/>
        </w:rPr>
        <w:t xml:space="preserve"> </w:t>
      </w:r>
      <w:r w:rsidRPr="00227BB5">
        <w:t xml:space="preserve">thousand enterprises in the service sector, an increase of </w:t>
      </w:r>
      <w:r>
        <w:rPr>
          <w:lang w:val="it-IT"/>
        </w:rPr>
        <w:t>4.6</w:t>
      </w:r>
      <w:r w:rsidRPr="00227BB5">
        <w:rPr>
          <w:lang w:val="it-IT"/>
        </w:rPr>
        <w:t>%.</w:t>
      </w:r>
    </w:p>
    <w:p w14:paraId="3979DCD4" w14:textId="77777777" w:rsidR="001D5E3A" w:rsidRPr="00227BB5" w:rsidRDefault="001D5E3A" w:rsidP="001D5E3A">
      <w:pPr>
        <w:spacing w:before="120" w:after="40" w:line="288" w:lineRule="auto"/>
        <w:jc w:val="center"/>
        <w:rPr>
          <w:noProof/>
          <w:lang w:val="it-IT" w:eastAsia="en-GB"/>
        </w:rPr>
      </w:pPr>
      <w:r w:rsidRPr="00227BB5">
        <w:rPr>
          <w:rFonts w:ascii="Arial" w:hAnsi="Arial" w:cs="Arial"/>
          <w:b/>
          <w:lang w:val="it-IT"/>
        </w:rPr>
        <w:t>Figure</w:t>
      </w:r>
      <w:r w:rsidRPr="00227BB5">
        <w:rPr>
          <w:rFonts w:ascii="Arial" w:hAnsi="Arial" w:cs="Arial"/>
          <w:b/>
          <w:sz w:val="24"/>
          <w:szCs w:val="24"/>
          <w:lang w:val="it-IT"/>
        </w:rPr>
        <w:t xml:space="preserve"> 6. </w:t>
      </w:r>
      <w:r w:rsidRPr="00227BB5">
        <w:rPr>
          <w:rFonts w:ascii="Arial" w:hAnsi="Arial" w:cs="Arial"/>
          <w:b/>
          <w:lang w:val="it-IT"/>
        </w:rPr>
        <w:t>Enterprise registration situation</w:t>
      </w:r>
    </w:p>
    <w:p w14:paraId="13197667" w14:textId="77777777" w:rsidR="001D5E3A" w:rsidRPr="00227BB5" w:rsidRDefault="001D5E3A" w:rsidP="001D5E3A">
      <w:pPr>
        <w:spacing w:before="120" w:after="40" w:line="288" w:lineRule="auto"/>
        <w:jc w:val="center"/>
        <w:rPr>
          <w:rFonts w:ascii="Arial" w:hAnsi="Arial" w:cs="Arial"/>
          <w:b/>
          <w:sz w:val="24"/>
          <w:szCs w:val="24"/>
          <w:lang w:val="it-IT"/>
        </w:rPr>
      </w:pPr>
      <w:r w:rsidRPr="001B60D5">
        <w:rPr>
          <w:rFonts w:ascii="Arial" w:hAnsi="Arial" w:cs="Arial"/>
          <w:b/>
          <w:noProof/>
          <w:sz w:val="24"/>
          <w:szCs w:val="24"/>
          <w:lang w:eastAsia="en-GB"/>
        </w:rPr>
        <w:lastRenderedPageBreak/>
        <w:drawing>
          <wp:inline distT="0" distB="0" distL="0" distR="0" wp14:anchorId="531218CC" wp14:editId="49614239">
            <wp:extent cx="5760085" cy="3018094"/>
            <wp:effectExtent l="0" t="0" r="0" b="0"/>
            <wp:docPr id="1993413494" name="Picture 1993413494" descr="C:\Users\dtphong\Downloads\DN.2_Doanh nghiep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tphong\Downloads\DN.2_Doanh nghiep copy.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085" cy="3018094"/>
                    </a:xfrm>
                    <a:prstGeom prst="rect">
                      <a:avLst/>
                    </a:prstGeom>
                    <a:noFill/>
                    <a:ln>
                      <a:noFill/>
                    </a:ln>
                  </pic:spPr>
                </pic:pic>
              </a:graphicData>
            </a:graphic>
          </wp:inline>
        </w:drawing>
      </w:r>
    </w:p>
    <w:p w14:paraId="52E00889" w14:textId="77777777" w:rsidR="001D5E3A" w:rsidRPr="00227BB5" w:rsidRDefault="001D5E3A" w:rsidP="001D5E3A">
      <w:pPr>
        <w:spacing w:before="40" w:after="40" w:line="283" w:lineRule="auto"/>
        <w:ind w:firstLine="567"/>
        <w:jc w:val="both"/>
        <w:rPr>
          <w:lang w:val="it-IT"/>
        </w:rPr>
      </w:pPr>
      <w:r w:rsidRPr="00227BB5">
        <w:t xml:space="preserve">Also in </w:t>
      </w:r>
      <w:r>
        <w:t>May</w:t>
      </w:r>
      <w:r w:rsidRPr="00227BB5">
        <w:t xml:space="preserve">, </w:t>
      </w:r>
      <w:r>
        <w:rPr>
          <w:lang w:val="it-IT"/>
        </w:rPr>
        <w:t>5,303</w:t>
      </w:r>
      <w:r w:rsidRPr="00227BB5">
        <w:rPr>
          <w:lang w:val="it-IT"/>
        </w:rPr>
        <w:t xml:space="preserve"> </w:t>
      </w:r>
      <w:r w:rsidRPr="00227BB5">
        <w:t xml:space="preserve">enterprises ceased for a certain time, </w:t>
      </w:r>
      <w:r>
        <w:t>down 30.4</w:t>
      </w:r>
      <w:r w:rsidRPr="00227BB5">
        <w:rPr>
          <w:lang w:val="it-IT"/>
        </w:rPr>
        <w:t xml:space="preserve">% </w:t>
      </w:r>
      <w:r w:rsidRPr="00227BB5">
        <w:t xml:space="preserve">compared to the previous month and </w:t>
      </w:r>
      <w:r>
        <w:t>down 1.1</w:t>
      </w:r>
      <w:r w:rsidRPr="00227BB5">
        <w:rPr>
          <w:lang w:val="it-IT"/>
        </w:rPr>
        <w:t xml:space="preserve">% </w:t>
      </w:r>
      <w:r w:rsidRPr="00227BB5">
        <w:t>over the same period in 2023</w:t>
      </w:r>
      <w:r w:rsidRPr="00227BB5">
        <w:rPr>
          <w:lang w:val="it-IT"/>
        </w:rPr>
        <w:t>; 4,</w:t>
      </w:r>
      <w:r>
        <w:rPr>
          <w:lang w:val="it-IT"/>
        </w:rPr>
        <w:t>550</w:t>
      </w:r>
      <w:r w:rsidRPr="00227BB5">
        <w:rPr>
          <w:lang w:val="it-IT"/>
        </w:rPr>
        <w:t xml:space="preserve"> </w:t>
      </w:r>
      <w:r w:rsidRPr="00227BB5">
        <w:t>enterprises temporarily ceased and awa</w:t>
      </w:r>
      <w:r>
        <w:t>ited dissolution procedures, a dec</w:t>
      </w:r>
      <w:r w:rsidRPr="00227BB5">
        <w:t>crease of</w:t>
      </w:r>
      <w:r w:rsidRPr="00227BB5">
        <w:rPr>
          <w:lang w:val="it-IT"/>
        </w:rPr>
        <w:t xml:space="preserve"> </w:t>
      </w:r>
      <w:r>
        <w:rPr>
          <w:lang w:val="it-IT"/>
        </w:rPr>
        <w:t>2.3</w:t>
      </w:r>
      <w:r w:rsidRPr="00227BB5">
        <w:rPr>
          <w:lang w:val="it-IT"/>
        </w:rPr>
        <w:t xml:space="preserve">% </w:t>
      </w:r>
      <w:r>
        <w:t>and a</w:t>
      </w:r>
      <w:r w:rsidRPr="00227BB5">
        <w:t xml:space="preserve"> </w:t>
      </w:r>
      <w:r>
        <w:t>dec</w:t>
      </w:r>
      <w:r w:rsidRPr="00227BB5">
        <w:t>crease of</w:t>
      </w:r>
      <w:r w:rsidRPr="00227BB5">
        <w:rPr>
          <w:lang w:val="it-IT"/>
        </w:rPr>
        <w:t xml:space="preserve"> </w:t>
      </w:r>
      <w:r>
        <w:rPr>
          <w:lang w:val="it-IT"/>
        </w:rPr>
        <w:t>3.5</w:t>
      </w:r>
      <w:r w:rsidRPr="00227BB5">
        <w:rPr>
          <w:lang w:val="it-IT"/>
        </w:rPr>
        <w:t>%; 1,</w:t>
      </w:r>
      <w:r>
        <w:rPr>
          <w:lang w:val="it-IT"/>
        </w:rPr>
        <w:t>538</w:t>
      </w:r>
      <w:r w:rsidRPr="00227BB5">
        <w:rPr>
          <w:lang w:val="it-IT"/>
        </w:rPr>
        <w:t xml:space="preserve"> </w:t>
      </w:r>
      <w:r w:rsidRPr="00227BB5">
        <w:t xml:space="preserve">enterprises completed dissolution procedures, </w:t>
      </w:r>
      <w:r>
        <w:t>up 14.4</w:t>
      </w:r>
      <w:r w:rsidRPr="00227BB5">
        <w:rPr>
          <w:lang w:val="it-IT"/>
        </w:rPr>
        <w:t xml:space="preserve">% and </w:t>
      </w:r>
      <w:r>
        <w:rPr>
          <w:lang w:val="it-IT"/>
        </w:rPr>
        <w:t>up 25.8%</w:t>
      </w:r>
      <w:r w:rsidRPr="00227BB5">
        <w:rPr>
          <w:lang w:val="it-IT"/>
        </w:rPr>
        <w:t xml:space="preserve">. </w:t>
      </w:r>
    </w:p>
    <w:p w14:paraId="77B455AB" w14:textId="77777777" w:rsidR="001D5E3A" w:rsidRDefault="001D5E3A" w:rsidP="001D5E3A">
      <w:pPr>
        <w:spacing w:before="40" w:after="40" w:line="283" w:lineRule="auto"/>
        <w:ind w:firstLine="567"/>
        <w:jc w:val="both"/>
        <w:rPr>
          <w:lang w:val="it-IT"/>
        </w:rPr>
      </w:pPr>
      <w:r w:rsidRPr="00227BB5">
        <w:t xml:space="preserve">In the first </w:t>
      </w:r>
      <w:r>
        <w:t>five</w:t>
      </w:r>
      <w:r w:rsidRPr="00227BB5">
        <w:t xml:space="preserve"> months of 202</w:t>
      </w:r>
      <w:r>
        <w:t>4</w:t>
      </w:r>
      <w:r w:rsidRPr="00227BB5">
        <w:t xml:space="preserve">, </w:t>
      </w:r>
      <w:r>
        <w:t xml:space="preserve">the number of </w:t>
      </w:r>
      <w:r>
        <w:rPr>
          <w:lang w:val="it-IT"/>
        </w:rPr>
        <w:t xml:space="preserve">enterprises </w:t>
      </w:r>
      <w:r w:rsidRPr="00227BB5">
        <w:t>temporarily ceased for a certain time</w:t>
      </w:r>
      <w:r>
        <w:rPr>
          <w:lang w:val="it-IT"/>
        </w:rPr>
        <w:t xml:space="preserve"> was 66.1</w:t>
      </w:r>
      <w:r w:rsidRPr="00227BB5">
        <w:rPr>
          <w:lang w:val="it-IT"/>
        </w:rPr>
        <w:t xml:space="preserve"> </w:t>
      </w:r>
      <w:r w:rsidRPr="00227BB5">
        <w:t xml:space="preserve">thousand enterprises, an increase of </w:t>
      </w:r>
      <w:r>
        <w:rPr>
          <w:lang w:val="it-IT"/>
        </w:rPr>
        <w:t>19.7</w:t>
      </w:r>
      <w:r w:rsidRPr="00227BB5">
        <w:rPr>
          <w:lang w:val="it-IT"/>
        </w:rPr>
        <w:t xml:space="preserve">% </w:t>
      </w:r>
      <w:r w:rsidRPr="00227BB5">
        <w:t xml:space="preserve">compared to the same period last year; </w:t>
      </w:r>
      <w:r>
        <w:t>23.3</w:t>
      </w:r>
      <w:r w:rsidRPr="00227BB5">
        <w:rPr>
          <w:lang w:val="it-IT"/>
        </w:rPr>
        <w:t xml:space="preserve"> </w:t>
      </w:r>
      <w:r w:rsidRPr="00227BB5">
        <w:t xml:space="preserve">thousand enterprises temporarily ceased and awaited dissolution procedures, </w:t>
      </w:r>
      <w:r>
        <w:t>down</w:t>
      </w:r>
      <w:r w:rsidRPr="00227BB5">
        <w:rPr>
          <w:lang w:val="it-IT"/>
        </w:rPr>
        <w:t xml:space="preserve"> </w:t>
      </w:r>
      <w:r>
        <w:rPr>
          <w:lang w:val="it-IT"/>
        </w:rPr>
        <w:t>8.8</w:t>
      </w:r>
      <w:r w:rsidRPr="00227BB5">
        <w:rPr>
          <w:lang w:val="it-IT"/>
        </w:rPr>
        <w:t xml:space="preserve">%; </w:t>
      </w:r>
      <w:r>
        <w:rPr>
          <w:lang w:val="it-IT"/>
        </w:rPr>
        <w:t>nearly 8</w:t>
      </w:r>
      <w:r w:rsidRPr="00227BB5">
        <w:rPr>
          <w:lang w:val="it-IT"/>
        </w:rPr>
        <w:t xml:space="preserve"> </w:t>
      </w:r>
      <w:r w:rsidRPr="00227BB5">
        <w:t xml:space="preserve">thousand enterprises completed dissolution procedures, up </w:t>
      </w:r>
      <w:r>
        <w:rPr>
          <w:lang w:val="it-IT"/>
        </w:rPr>
        <w:t>8.4</w:t>
      </w:r>
      <w:r w:rsidRPr="00227BB5">
        <w:rPr>
          <w:lang w:val="it-IT"/>
        </w:rPr>
        <w:t xml:space="preserve">%. </w:t>
      </w:r>
      <w:r w:rsidRPr="00227BB5">
        <w:t xml:space="preserve">On average, </w:t>
      </w:r>
      <w:r>
        <w:rPr>
          <w:lang w:val="it-IT"/>
        </w:rPr>
        <w:t>nearly 19.5</w:t>
      </w:r>
      <w:r w:rsidRPr="00227BB5">
        <w:rPr>
          <w:lang w:val="it-IT"/>
        </w:rPr>
        <w:t xml:space="preserve"> </w:t>
      </w:r>
      <w:r w:rsidRPr="00227BB5">
        <w:t>thousand enterprises withdraw from the market each month</w:t>
      </w:r>
      <w:r w:rsidRPr="00227BB5">
        <w:rPr>
          <w:lang w:val="it-IT"/>
        </w:rPr>
        <w:t>.</w:t>
      </w:r>
    </w:p>
    <w:p w14:paraId="5C478285" w14:textId="77777777" w:rsidR="001D5E3A" w:rsidRPr="00227BB5" w:rsidRDefault="001D5E3A" w:rsidP="001D5E3A">
      <w:pPr>
        <w:tabs>
          <w:tab w:val="left" w:pos="6810"/>
        </w:tabs>
        <w:spacing w:before="40" w:after="40" w:line="278" w:lineRule="auto"/>
        <w:ind w:firstLine="567"/>
        <w:jc w:val="center"/>
        <w:rPr>
          <w:rFonts w:ascii="Arial" w:hAnsi="Arial" w:cs="Arial"/>
          <w:b/>
          <w:sz w:val="24"/>
          <w:szCs w:val="20"/>
          <w:lang w:val="it-IT"/>
        </w:rPr>
      </w:pPr>
      <w:r w:rsidRPr="00227BB5">
        <w:rPr>
          <w:rFonts w:ascii="Arial" w:hAnsi="Arial" w:cs="Arial"/>
          <w:b/>
          <w:sz w:val="24"/>
          <w:szCs w:val="20"/>
          <w:lang w:val="it-IT"/>
        </w:rPr>
        <w:t xml:space="preserve">Table 3: Number of newly registered enterprises and  completed dissolution procedures in </w:t>
      </w:r>
      <w:r>
        <w:rPr>
          <w:rFonts w:ascii="Arial" w:hAnsi="Arial" w:cs="Arial"/>
          <w:b/>
          <w:sz w:val="24"/>
          <w:szCs w:val="20"/>
          <w:lang w:val="it-IT"/>
        </w:rPr>
        <w:t>the first five</w:t>
      </w:r>
      <w:r w:rsidRPr="00227BB5">
        <w:rPr>
          <w:rFonts w:ascii="Arial" w:hAnsi="Arial" w:cs="Arial"/>
          <w:b/>
          <w:sz w:val="24"/>
          <w:szCs w:val="20"/>
          <w:lang w:val="it-IT"/>
        </w:rPr>
        <w:t xml:space="preserve"> months</w:t>
      </w:r>
      <w:r>
        <w:rPr>
          <w:rFonts w:ascii="Arial" w:hAnsi="Arial" w:cs="Arial"/>
          <w:b/>
          <w:sz w:val="24"/>
          <w:szCs w:val="20"/>
          <w:lang w:val="it-IT"/>
        </w:rPr>
        <w:t xml:space="preserve"> of</w:t>
      </w:r>
      <w:r w:rsidRPr="00227BB5">
        <w:rPr>
          <w:rFonts w:ascii="Arial" w:hAnsi="Arial" w:cs="Arial"/>
          <w:b/>
          <w:sz w:val="24"/>
          <w:szCs w:val="20"/>
          <w:lang w:val="it-IT"/>
        </w:rPr>
        <w:t xml:space="preserve"> 202</w:t>
      </w:r>
      <w:r>
        <w:rPr>
          <w:rFonts w:ascii="Arial" w:hAnsi="Arial" w:cs="Arial"/>
          <w:b/>
          <w:sz w:val="24"/>
          <w:szCs w:val="20"/>
          <w:lang w:val="it-IT"/>
        </w:rPr>
        <w:t>4</w:t>
      </w:r>
      <w:r w:rsidRPr="00227BB5">
        <w:rPr>
          <w:rFonts w:ascii="Arial" w:hAnsi="Arial" w:cs="Arial"/>
          <w:b/>
          <w:sz w:val="24"/>
          <w:szCs w:val="20"/>
          <w:lang w:val="it-IT"/>
        </w:rPr>
        <w:t xml:space="preserve">  by kinds of activity</w:t>
      </w:r>
    </w:p>
    <w:p w14:paraId="3E671CD5" w14:textId="77777777" w:rsidR="001D5E3A" w:rsidRPr="00227BB5" w:rsidRDefault="001D5E3A" w:rsidP="001D5E3A">
      <w:pPr>
        <w:tabs>
          <w:tab w:val="left" w:pos="6810"/>
        </w:tabs>
        <w:spacing w:before="40" w:after="40" w:line="278" w:lineRule="auto"/>
        <w:ind w:firstLine="567"/>
        <w:jc w:val="center"/>
        <w:rPr>
          <w:rFonts w:ascii="Arial" w:hAnsi="Arial" w:cs="Arial"/>
          <w:b/>
          <w:sz w:val="4"/>
          <w:szCs w:val="20"/>
          <w:lang w:val="it-IT"/>
        </w:rPr>
      </w:pPr>
    </w:p>
    <w:tbl>
      <w:tblPr>
        <w:tblW w:w="9322" w:type="dxa"/>
        <w:jc w:val="center"/>
        <w:tblLayout w:type="fixed"/>
        <w:tblLook w:val="04A0" w:firstRow="1" w:lastRow="0" w:firstColumn="1" w:lastColumn="0" w:noHBand="0" w:noVBand="1"/>
      </w:tblPr>
      <w:tblGrid>
        <w:gridCol w:w="3943"/>
        <w:gridCol w:w="1566"/>
        <w:gridCol w:w="1178"/>
        <w:gridCol w:w="1506"/>
        <w:gridCol w:w="1129"/>
      </w:tblGrid>
      <w:tr w:rsidR="001D5E3A" w:rsidRPr="00227BB5" w14:paraId="54F6A8B7" w14:textId="77777777" w:rsidTr="007577DA">
        <w:trPr>
          <w:cantSplit/>
          <w:jc w:val="center"/>
        </w:trPr>
        <w:tc>
          <w:tcPr>
            <w:tcW w:w="3943" w:type="dxa"/>
            <w:vMerge w:val="restart"/>
            <w:tcBorders>
              <w:top w:val="single" w:sz="4" w:space="0" w:color="auto"/>
            </w:tcBorders>
            <w:shd w:val="clear" w:color="auto" w:fill="auto"/>
            <w:noWrap/>
            <w:vAlign w:val="bottom"/>
            <w:hideMark/>
          </w:tcPr>
          <w:p w14:paraId="14C9DC2B" w14:textId="77777777" w:rsidR="001D5E3A" w:rsidRPr="00227BB5" w:rsidRDefault="001D5E3A" w:rsidP="007577DA">
            <w:pPr>
              <w:jc w:val="center"/>
              <w:rPr>
                <w:rFonts w:ascii="Arial" w:hAnsi="Arial" w:cs="Arial"/>
                <w:sz w:val="20"/>
                <w:szCs w:val="20"/>
                <w:lang w:val="it-IT"/>
              </w:rPr>
            </w:pPr>
            <w:r w:rsidRPr="00227BB5">
              <w:rPr>
                <w:rFonts w:ascii="Arial" w:hAnsi="Arial" w:cs="Arial"/>
                <w:sz w:val="20"/>
                <w:szCs w:val="20"/>
                <w:lang w:val="it-IT"/>
              </w:rPr>
              <w:t> </w:t>
            </w:r>
          </w:p>
        </w:tc>
        <w:tc>
          <w:tcPr>
            <w:tcW w:w="2744" w:type="dxa"/>
            <w:gridSpan w:val="2"/>
            <w:tcBorders>
              <w:top w:val="single" w:sz="4" w:space="0" w:color="auto"/>
              <w:bottom w:val="single" w:sz="4" w:space="0" w:color="auto"/>
            </w:tcBorders>
            <w:shd w:val="clear" w:color="auto" w:fill="auto"/>
            <w:vAlign w:val="center"/>
            <w:hideMark/>
          </w:tcPr>
          <w:p w14:paraId="1F10075C" w14:textId="77777777" w:rsidR="001D5E3A" w:rsidRPr="00227BB5" w:rsidRDefault="001D5E3A" w:rsidP="007577DA">
            <w:pPr>
              <w:spacing w:before="40" w:after="40"/>
              <w:jc w:val="center"/>
              <w:rPr>
                <w:rFonts w:ascii="Arial" w:hAnsi="Arial" w:cs="Arial"/>
                <w:bCs/>
                <w:sz w:val="18"/>
                <w:szCs w:val="18"/>
                <w:lang w:val="it-IT"/>
              </w:rPr>
            </w:pPr>
            <w:r w:rsidRPr="00227BB5">
              <w:rPr>
                <w:rFonts w:ascii="Arial" w:hAnsi="Arial" w:cs="Arial"/>
                <w:bCs/>
                <w:color w:val="000000"/>
                <w:sz w:val="18"/>
                <w:szCs w:val="18"/>
              </w:rPr>
              <w:t>Number of enterprises (Enterprise)</w:t>
            </w:r>
          </w:p>
        </w:tc>
        <w:tc>
          <w:tcPr>
            <w:tcW w:w="2635" w:type="dxa"/>
            <w:gridSpan w:val="2"/>
            <w:tcBorders>
              <w:top w:val="single" w:sz="4" w:space="0" w:color="auto"/>
              <w:bottom w:val="single" w:sz="4" w:space="0" w:color="auto"/>
            </w:tcBorders>
            <w:shd w:val="clear" w:color="auto" w:fill="auto"/>
            <w:vAlign w:val="center"/>
            <w:hideMark/>
          </w:tcPr>
          <w:p w14:paraId="44F70E91" w14:textId="77777777" w:rsidR="001D5E3A" w:rsidRPr="00227BB5" w:rsidRDefault="001D5E3A" w:rsidP="007577DA">
            <w:pPr>
              <w:spacing w:before="40" w:after="40"/>
              <w:jc w:val="center"/>
              <w:rPr>
                <w:rFonts w:ascii="Arial" w:hAnsi="Arial" w:cs="Arial"/>
                <w:bCs/>
                <w:sz w:val="18"/>
                <w:szCs w:val="18"/>
                <w:lang w:val="it-IT"/>
              </w:rPr>
            </w:pPr>
            <w:r w:rsidRPr="00227BB5">
              <w:rPr>
                <w:rFonts w:ascii="Arial" w:hAnsi="Arial" w:cs="Arial"/>
                <w:bCs/>
                <w:color w:val="000000"/>
                <w:sz w:val="18"/>
                <w:szCs w:val="18"/>
              </w:rPr>
              <w:t>Growth rate</w:t>
            </w:r>
            <w:r>
              <w:rPr>
                <w:rFonts w:ascii="Arial" w:hAnsi="Arial" w:cs="Arial"/>
                <w:bCs/>
                <w:color w:val="000000"/>
                <w:sz w:val="18"/>
                <w:szCs w:val="18"/>
              </w:rPr>
              <w:t xml:space="preserve"> </w:t>
            </w:r>
            <w:r w:rsidRPr="00227BB5">
              <w:rPr>
                <w:rFonts w:ascii="Arial" w:hAnsi="Arial" w:cs="Arial"/>
                <w:bCs/>
                <w:color w:val="000000"/>
                <w:sz w:val="18"/>
                <w:szCs w:val="18"/>
              </w:rPr>
              <w:t>over the same period last year (%)</w:t>
            </w:r>
          </w:p>
        </w:tc>
      </w:tr>
      <w:tr w:rsidR="001D5E3A" w:rsidRPr="00227BB5" w14:paraId="1F16EB6E" w14:textId="77777777" w:rsidTr="007577DA">
        <w:trPr>
          <w:cantSplit/>
          <w:trHeight w:val="664"/>
          <w:jc w:val="center"/>
        </w:trPr>
        <w:tc>
          <w:tcPr>
            <w:tcW w:w="3943" w:type="dxa"/>
            <w:vMerge/>
            <w:vAlign w:val="center"/>
            <w:hideMark/>
          </w:tcPr>
          <w:p w14:paraId="15B35EBB" w14:textId="77777777" w:rsidR="001D5E3A" w:rsidRPr="00227BB5" w:rsidRDefault="001D5E3A" w:rsidP="007577DA">
            <w:pPr>
              <w:rPr>
                <w:rFonts w:ascii="Arial" w:hAnsi="Arial" w:cs="Arial"/>
                <w:sz w:val="20"/>
                <w:szCs w:val="20"/>
                <w:lang w:val="it-IT"/>
              </w:rPr>
            </w:pPr>
          </w:p>
        </w:tc>
        <w:tc>
          <w:tcPr>
            <w:tcW w:w="1566" w:type="dxa"/>
            <w:tcBorders>
              <w:top w:val="single" w:sz="4" w:space="0" w:color="auto"/>
              <w:bottom w:val="single" w:sz="4" w:space="0" w:color="auto"/>
            </w:tcBorders>
            <w:shd w:val="clear" w:color="auto" w:fill="auto"/>
            <w:vAlign w:val="center"/>
            <w:hideMark/>
          </w:tcPr>
          <w:p w14:paraId="1D45F524" w14:textId="77777777" w:rsidR="001D5E3A" w:rsidRPr="00227BB5" w:rsidRDefault="001D5E3A" w:rsidP="007577DA">
            <w:pPr>
              <w:spacing w:before="60" w:after="60"/>
              <w:jc w:val="center"/>
              <w:rPr>
                <w:rFonts w:ascii="Arial" w:hAnsi="Arial" w:cs="Arial"/>
                <w:bCs/>
                <w:sz w:val="18"/>
                <w:szCs w:val="18"/>
              </w:rPr>
            </w:pPr>
            <w:r w:rsidRPr="00227BB5">
              <w:rPr>
                <w:rFonts w:ascii="Arial" w:hAnsi="Arial" w:cs="Arial"/>
                <w:bCs/>
                <w:color w:val="000000"/>
                <w:sz w:val="18"/>
                <w:szCs w:val="18"/>
              </w:rPr>
              <w:t>Newly registered</w:t>
            </w:r>
          </w:p>
        </w:tc>
        <w:tc>
          <w:tcPr>
            <w:tcW w:w="1178" w:type="dxa"/>
            <w:tcBorders>
              <w:top w:val="single" w:sz="4" w:space="0" w:color="auto"/>
              <w:bottom w:val="single" w:sz="4" w:space="0" w:color="auto"/>
            </w:tcBorders>
            <w:shd w:val="clear" w:color="auto" w:fill="auto"/>
            <w:vAlign w:val="center"/>
            <w:hideMark/>
          </w:tcPr>
          <w:p w14:paraId="1FDA2B50" w14:textId="77777777" w:rsidR="001D5E3A" w:rsidRPr="00940A46" w:rsidRDefault="001D5E3A" w:rsidP="007577DA">
            <w:pPr>
              <w:spacing w:before="60" w:after="60"/>
              <w:jc w:val="center"/>
              <w:rPr>
                <w:rFonts w:ascii="Arial" w:hAnsi="Arial" w:cs="Arial"/>
                <w:bCs/>
                <w:color w:val="000000"/>
                <w:sz w:val="18"/>
                <w:szCs w:val="18"/>
              </w:rPr>
            </w:pPr>
            <w:r w:rsidRPr="00227BB5">
              <w:rPr>
                <w:rFonts w:ascii="Arial" w:hAnsi="Arial" w:cs="Arial"/>
                <w:bCs/>
                <w:color w:val="000000"/>
                <w:sz w:val="18"/>
                <w:szCs w:val="18"/>
              </w:rPr>
              <w:t>Dissolution</w:t>
            </w:r>
          </w:p>
        </w:tc>
        <w:tc>
          <w:tcPr>
            <w:tcW w:w="1506" w:type="dxa"/>
            <w:tcBorders>
              <w:top w:val="single" w:sz="4" w:space="0" w:color="auto"/>
              <w:bottom w:val="single" w:sz="4" w:space="0" w:color="auto"/>
            </w:tcBorders>
            <w:shd w:val="clear" w:color="auto" w:fill="auto"/>
            <w:vAlign w:val="center"/>
            <w:hideMark/>
          </w:tcPr>
          <w:p w14:paraId="0FBC6F9C" w14:textId="77777777" w:rsidR="001D5E3A" w:rsidRPr="00227BB5" w:rsidRDefault="001D5E3A" w:rsidP="007577DA">
            <w:pPr>
              <w:spacing w:before="60" w:after="60"/>
              <w:jc w:val="center"/>
              <w:rPr>
                <w:rFonts w:ascii="Arial" w:hAnsi="Arial" w:cs="Arial"/>
                <w:bCs/>
                <w:sz w:val="18"/>
                <w:szCs w:val="18"/>
              </w:rPr>
            </w:pPr>
            <w:r w:rsidRPr="00227BB5">
              <w:rPr>
                <w:rFonts w:ascii="Arial" w:hAnsi="Arial" w:cs="Arial"/>
                <w:bCs/>
                <w:color w:val="000000"/>
                <w:sz w:val="18"/>
                <w:szCs w:val="18"/>
              </w:rPr>
              <w:t>Newly registered</w:t>
            </w:r>
          </w:p>
        </w:tc>
        <w:tc>
          <w:tcPr>
            <w:tcW w:w="1129" w:type="dxa"/>
            <w:tcBorders>
              <w:top w:val="single" w:sz="4" w:space="0" w:color="auto"/>
              <w:bottom w:val="single" w:sz="4" w:space="0" w:color="auto"/>
            </w:tcBorders>
            <w:shd w:val="clear" w:color="auto" w:fill="auto"/>
            <w:vAlign w:val="center"/>
            <w:hideMark/>
          </w:tcPr>
          <w:p w14:paraId="4B127B74" w14:textId="77777777" w:rsidR="001D5E3A" w:rsidRPr="00940A46" w:rsidRDefault="001D5E3A" w:rsidP="007577DA">
            <w:pPr>
              <w:spacing w:before="60" w:after="60"/>
              <w:jc w:val="center"/>
              <w:rPr>
                <w:rFonts w:ascii="Arial" w:hAnsi="Arial" w:cs="Arial"/>
                <w:bCs/>
                <w:color w:val="000000"/>
                <w:sz w:val="18"/>
                <w:szCs w:val="18"/>
              </w:rPr>
            </w:pPr>
            <w:r w:rsidRPr="00227BB5">
              <w:rPr>
                <w:rFonts w:ascii="Arial" w:hAnsi="Arial" w:cs="Arial"/>
                <w:bCs/>
                <w:color w:val="000000"/>
                <w:sz w:val="18"/>
                <w:szCs w:val="18"/>
              </w:rPr>
              <w:t>Dissolution</w:t>
            </w:r>
          </w:p>
        </w:tc>
      </w:tr>
      <w:tr w:rsidR="001D5E3A" w:rsidRPr="00227BB5" w14:paraId="2B6C3F78" w14:textId="77777777" w:rsidTr="007577DA">
        <w:trPr>
          <w:cantSplit/>
          <w:jc w:val="center"/>
        </w:trPr>
        <w:tc>
          <w:tcPr>
            <w:tcW w:w="3943" w:type="dxa"/>
            <w:shd w:val="clear" w:color="auto" w:fill="auto"/>
            <w:noWrap/>
            <w:vAlign w:val="bottom"/>
            <w:hideMark/>
          </w:tcPr>
          <w:p w14:paraId="4D52B014" w14:textId="77777777" w:rsidR="001D5E3A" w:rsidRPr="00227BB5" w:rsidRDefault="001D5E3A" w:rsidP="007577DA">
            <w:pPr>
              <w:spacing w:before="120" w:after="40"/>
              <w:rPr>
                <w:rFonts w:ascii="Arial" w:hAnsi="Arial" w:cs="Arial"/>
                <w:sz w:val="20"/>
                <w:szCs w:val="20"/>
              </w:rPr>
            </w:pPr>
            <w:r w:rsidRPr="00227BB5">
              <w:rPr>
                <w:rFonts w:ascii="Arial" w:hAnsi="Arial" w:cs="Arial"/>
                <w:color w:val="000000"/>
                <w:sz w:val="20"/>
                <w:szCs w:val="20"/>
              </w:rPr>
              <w:t>Wholesale and retail trade; repair of motor vehicles and motorcycles</w:t>
            </w:r>
          </w:p>
        </w:tc>
        <w:tc>
          <w:tcPr>
            <w:tcW w:w="1566" w:type="dxa"/>
            <w:tcBorders>
              <w:top w:val="single" w:sz="4" w:space="0" w:color="auto"/>
            </w:tcBorders>
            <w:shd w:val="clear" w:color="auto" w:fill="auto"/>
            <w:noWrap/>
            <w:vAlign w:val="bottom"/>
          </w:tcPr>
          <w:p w14:paraId="7839D64A" w14:textId="77777777" w:rsidR="001D5E3A" w:rsidRPr="00227BB5" w:rsidRDefault="001D5E3A" w:rsidP="007577DA">
            <w:pPr>
              <w:spacing w:before="120" w:after="40"/>
              <w:ind w:right="176"/>
              <w:jc w:val="right"/>
              <w:rPr>
                <w:rFonts w:ascii="Arial" w:hAnsi="Arial" w:cs="Arial"/>
                <w:sz w:val="20"/>
                <w:szCs w:val="20"/>
              </w:rPr>
            </w:pPr>
            <w:r>
              <w:rPr>
                <w:rFonts w:ascii="Arial" w:hAnsi="Arial" w:cs="Arial"/>
                <w:sz w:val="20"/>
                <w:szCs w:val="20"/>
              </w:rPr>
              <w:t>26,117</w:t>
            </w:r>
          </w:p>
        </w:tc>
        <w:tc>
          <w:tcPr>
            <w:tcW w:w="1178" w:type="dxa"/>
            <w:tcBorders>
              <w:top w:val="single" w:sz="4" w:space="0" w:color="auto"/>
            </w:tcBorders>
            <w:shd w:val="clear" w:color="auto" w:fill="auto"/>
            <w:noWrap/>
            <w:vAlign w:val="bottom"/>
          </w:tcPr>
          <w:p w14:paraId="5DDECBB8" w14:textId="77777777" w:rsidR="001D5E3A" w:rsidRPr="00227BB5" w:rsidRDefault="001D5E3A" w:rsidP="007577DA">
            <w:pPr>
              <w:spacing w:before="120" w:after="40"/>
              <w:ind w:right="176"/>
              <w:jc w:val="right"/>
              <w:rPr>
                <w:rFonts w:ascii="Arial" w:hAnsi="Arial" w:cs="Arial"/>
                <w:sz w:val="20"/>
                <w:szCs w:val="20"/>
              </w:rPr>
            </w:pPr>
            <w:r>
              <w:rPr>
                <w:rFonts w:ascii="Arial" w:hAnsi="Arial" w:cs="Arial"/>
                <w:sz w:val="20"/>
                <w:szCs w:val="20"/>
              </w:rPr>
              <w:t>3,101</w:t>
            </w:r>
          </w:p>
        </w:tc>
        <w:tc>
          <w:tcPr>
            <w:tcW w:w="1506" w:type="dxa"/>
            <w:tcBorders>
              <w:top w:val="single" w:sz="4" w:space="0" w:color="auto"/>
            </w:tcBorders>
            <w:shd w:val="clear" w:color="auto" w:fill="auto"/>
            <w:noWrap/>
            <w:vAlign w:val="bottom"/>
          </w:tcPr>
          <w:p w14:paraId="473A2EFB" w14:textId="77777777" w:rsidR="001D5E3A" w:rsidRPr="00227BB5" w:rsidRDefault="001D5E3A" w:rsidP="007577DA">
            <w:pPr>
              <w:spacing w:before="120" w:after="40"/>
              <w:ind w:right="316"/>
              <w:jc w:val="right"/>
              <w:rPr>
                <w:rFonts w:ascii="Arial" w:hAnsi="Arial" w:cs="Arial"/>
                <w:sz w:val="20"/>
                <w:szCs w:val="20"/>
              </w:rPr>
            </w:pPr>
            <w:r>
              <w:rPr>
                <w:rFonts w:ascii="Arial" w:hAnsi="Arial" w:cs="Arial"/>
                <w:sz w:val="20"/>
                <w:szCs w:val="20"/>
              </w:rPr>
              <w:t>11.2</w:t>
            </w:r>
          </w:p>
        </w:tc>
        <w:tc>
          <w:tcPr>
            <w:tcW w:w="1129" w:type="dxa"/>
            <w:tcBorders>
              <w:top w:val="single" w:sz="4" w:space="0" w:color="auto"/>
            </w:tcBorders>
            <w:shd w:val="clear" w:color="auto" w:fill="auto"/>
            <w:noWrap/>
            <w:vAlign w:val="bottom"/>
          </w:tcPr>
          <w:p w14:paraId="1E29248F" w14:textId="77777777" w:rsidR="001D5E3A" w:rsidRPr="00227BB5" w:rsidRDefault="001D5E3A" w:rsidP="007577DA">
            <w:pPr>
              <w:spacing w:before="120" w:after="40"/>
              <w:ind w:right="176"/>
              <w:jc w:val="right"/>
              <w:rPr>
                <w:rFonts w:ascii="Arial" w:hAnsi="Arial" w:cs="Arial"/>
                <w:sz w:val="20"/>
                <w:szCs w:val="20"/>
              </w:rPr>
            </w:pPr>
            <w:r>
              <w:rPr>
                <w:rFonts w:ascii="Arial" w:hAnsi="Arial" w:cs="Arial"/>
                <w:sz w:val="20"/>
                <w:szCs w:val="20"/>
              </w:rPr>
              <w:t>44.0</w:t>
            </w:r>
          </w:p>
        </w:tc>
      </w:tr>
      <w:tr w:rsidR="001D5E3A" w:rsidRPr="00227BB5" w14:paraId="6296B4CA" w14:textId="77777777" w:rsidTr="007577DA">
        <w:trPr>
          <w:cantSplit/>
          <w:jc w:val="center"/>
        </w:trPr>
        <w:tc>
          <w:tcPr>
            <w:tcW w:w="3943" w:type="dxa"/>
            <w:shd w:val="clear" w:color="auto" w:fill="auto"/>
            <w:noWrap/>
            <w:vAlign w:val="bottom"/>
            <w:hideMark/>
          </w:tcPr>
          <w:p w14:paraId="72CB96F0" w14:textId="77777777" w:rsidR="001D5E3A" w:rsidRPr="00227BB5" w:rsidRDefault="001D5E3A" w:rsidP="007577DA">
            <w:pPr>
              <w:spacing w:before="120" w:after="40"/>
              <w:rPr>
                <w:rFonts w:ascii="Arial" w:hAnsi="Arial" w:cs="Arial"/>
                <w:sz w:val="20"/>
                <w:szCs w:val="20"/>
              </w:rPr>
            </w:pPr>
            <w:r w:rsidRPr="00227BB5">
              <w:rPr>
                <w:rFonts w:ascii="Arial" w:hAnsi="Arial" w:cs="Arial"/>
                <w:color w:val="000000"/>
                <w:sz w:val="20"/>
                <w:szCs w:val="20"/>
              </w:rPr>
              <w:t>Manufacturing</w:t>
            </w:r>
          </w:p>
        </w:tc>
        <w:tc>
          <w:tcPr>
            <w:tcW w:w="1566" w:type="dxa"/>
            <w:shd w:val="clear" w:color="auto" w:fill="auto"/>
            <w:noWrap/>
            <w:vAlign w:val="bottom"/>
          </w:tcPr>
          <w:p w14:paraId="076A65CF" w14:textId="77777777" w:rsidR="001D5E3A" w:rsidRPr="00227BB5" w:rsidRDefault="001D5E3A" w:rsidP="007577DA">
            <w:pPr>
              <w:spacing w:before="120" w:after="40"/>
              <w:ind w:right="176"/>
              <w:jc w:val="right"/>
              <w:rPr>
                <w:rFonts w:ascii="Arial" w:hAnsi="Arial" w:cs="Arial"/>
                <w:sz w:val="20"/>
                <w:szCs w:val="20"/>
              </w:rPr>
            </w:pPr>
            <w:r>
              <w:rPr>
                <w:rFonts w:ascii="Arial" w:hAnsi="Arial" w:cs="Arial"/>
                <w:sz w:val="20"/>
                <w:szCs w:val="20"/>
              </w:rPr>
              <w:t>7,816</w:t>
            </w:r>
          </w:p>
        </w:tc>
        <w:tc>
          <w:tcPr>
            <w:tcW w:w="1178" w:type="dxa"/>
            <w:shd w:val="clear" w:color="auto" w:fill="auto"/>
            <w:noWrap/>
            <w:vAlign w:val="bottom"/>
          </w:tcPr>
          <w:p w14:paraId="17D069FA" w14:textId="77777777" w:rsidR="001D5E3A" w:rsidRPr="00227BB5" w:rsidRDefault="001D5E3A" w:rsidP="007577DA">
            <w:pPr>
              <w:spacing w:before="120" w:after="40"/>
              <w:ind w:right="176"/>
              <w:jc w:val="right"/>
              <w:rPr>
                <w:rFonts w:ascii="Arial" w:hAnsi="Arial" w:cs="Arial"/>
                <w:sz w:val="20"/>
                <w:szCs w:val="20"/>
              </w:rPr>
            </w:pPr>
            <w:r>
              <w:rPr>
                <w:rFonts w:ascii="Arial" w:hAnsi="Arial" w:cs="Arial"/>
                <w:sz w:val="20"/>
                <w:szCs w:val="20"/>
              </w:rPr>
              <w:t>861</w:t>
            </w:r>
          </w:p>
        </w:tc>
        <w:tc>
          <w:tcPr>
            <w:tcW w:w="1506" w:type="dxa"/>
            <w:shd w:val="clear" w:color="auto" w:fill="auto"/>
            <w:noWrap/>
            <w:vAlign w:val="bottom"/>
          </w:tcPr>
          <w:p w14:paraId="317E6301" w14:textId="77777777" w:rsidR="001D5E3A" w:rsidRPr="00227BB5" w:rsidRDefault="001D5E3A" w:rsidP="007577DA">
            <w:pPr>
              <w:spacing w:before="120" w:after="40"/>
              <w:ind w:right="316"/>
              <w:jc w:val="right"/>
              <w:rPr>
                <w:rFonts w:ascii="Arial" w:hAnsi="Arial" w:cs="Arial"/>
                <w:sz w:val="20"/>
                <w:szCs w:val="20"/>
              </w:rPr>
            </w:pPr>
            <w:r>
              <w:rPr>
                <w:rFonts w:ascii="Arial" w:hAnsi="Arial" w:cs="Arial"/>
                <w:sz w:val="20"/>
                <w:szCs w:val="20"/>
              </w:rPr>
              <w:t>6.2</w:t>
            </w:r>
          </w:p>
        </w:tc>
        <w:tc>
          <w:tcPr>
            <w:tcW w:w="1129" w:type="dxa"/>
            <w:shd w:val="clear" w:color="auto" w:fill="auto"/>
            <w:noWrap/>
            <w:vAlign w:val="bottom"/>
          </w:tcPr>
          <w:p w14:paraId="58A8E644" w14:textId="77777777" w:rsidR="001D5E3A" w:rsidRPr="00227BB5" w:rsidRDefault="001D5E3A" w:rsidP="007577DA">
            <w:pPr>
              <w:spacing w:before="120" w:after="40"/>
              <w:ind w:right="176"/>
              <w:jc w:val="right"/>
              <w:rPr>
                <w:rFonts w:ascii="Arial" w:hAnsi="Arial" w:cs="Arial"/>
                <w:sz w:val="20"/>
                <w:szCs w:val="20"/>
              </w:rPr>
            </w:pPr>
            <w:r>
              <w:rPr>
                <w:rFonts w:ascii="Arial" w:hAnsi="Arial" w:cs="Arial"/>
                <w:sz w:val="20"/>
                <w:szCs w:val="20"/>
              </w:rPr>
              <w:t>29.5</w:t>
            </w:r>
          </w:p>
        </w:tc>
      </w:tr>
      <w:tr w:rsidR="001D5E3A" w:rsidRPr="00227BB5" w14:paraId="6E3ED80C" w14:textId="77777777" w:rsidTr="007577DA">
        <w:trPr>
          <w:cantSplit/>
          <w:jc w:val="center"/>
        </w:trPr>
        <w:tc>
          <w:tcPr>
            <w:tcW w:w="3943" w:type="dxa"/>
            <w:shd w:val="clear" w:color="auto" w:fill="auto"/>
            <w:noWrap/>
            <w:vAlign w:val="bottom"/>
            <w:hideMark/>
          </w:tcPr>
          <w:p w14:paraId="4AA28D69" w14:textId="77777777" w:rsidR="001D5E3A" w:rsidRPr="00227BB5" w:rsidRDefault="001D5E3A" w:rsidP="007577DA">
            <w:pPr>
              <w:spacing w:before="120" w:after="40"/>
              <w:rPr>
                <w:rFonts w:ascii="Arial" w:hAnsi="Arial" w:cs="Arial"/>
                <w:sz w:val="20"/>
                <w:szCs w:val="20"/>
              </w:rPr>
            </w:pPr>
            <w:r w:rsidRPr="00227BB5">
              <w:rPr>
                <w:rFonts w:ascii="Arial" w:hAnsi="Arial" w:cs="Arial"/>
                <w:color w:val="000000"/>
                <w:sz w:val="20"/>
                <w:szCs w:val="20"/>
              </w:rPr>
              <w:t>Construction</w:t>
            </w:r>
          </w:p>
        </w:tc>
        <w:tc>
          <w:tcPr>
            <w:tcW w:w="1566" w:type="dxa"/>
            <w:shd w:val="clear" w:color="auto" w:fill="auto"/>
            <w:noWrap/>
            <w:vAlign w:val="bottom"/>
          </w:tcPr>
          <w:p w14:paraId="5917E1CA" w14:textId="77777777" w:rsidR="001D5E3A" w:rsidRPr="00227BB5" w:rsidRDefault="001D5E3A" w:rsidP="007577DA">
            <w:pPr>
              <w:spacing w:before="120" w:after="40"/>
              <w:ind w:right="176"/>
              <w:jc w:val="right"/>
              <w:rPr>
                <w:rFonts w:ascii="Arial" w:hAnsi="Arial" w:cs="Arial"/>
                <w:sz w:val="20"/>
                <w:szCs w:val="20"/>
              </w:rPr>
            </w:pPr>
            <w:r>
              <w:rPr>
                <w:rFonts w:ascii="Arial" w:hAnsi="Arial" w:cs="Arial"/>
                <w:sz w:val="20"/>
                <w:szCs w:val="20"/>
              </w:rPr>
              <w:t>6,887</w:t>
            </w:r>
          </w:p>
        </w:tc>
        <w:tc>
          <w:tcPr>
            <w:tcW w:w="1178" w:type="dxa"/>
            <w:shd w:val="clear" w:color="auto" w:fill="auto"/>
            <w:noWrap/>
            <w:vAlign w:val="bottom"/>
          </w:tcPr>
          <w:p w14:paraId="043DEAC3" w14:textId="77777777" w:rsidR="001D5E3A" w:rsidRPr="00227BB5" w:rsidRDefault="001D5E3A" w:rsidP="007577DA">
            <w:pPr>
              <w:spacing w:before="120" w:after="40"/>
              <w:ind w:right="176"/>
              <w:jc w:val="right"/>
              <w:rPr>
                <w:rFonts w:ascii="Arial" w:hAnsi="Arial" w:cs="Arial"/>
                <w:sz w:val="20"/>
                <w:szCs w:val="20"/>
              </w:rPr>
            </w:pPr>
            <w:r>
              <w:rPr>
                <w:rFonts w:ascii="Arial" w:hAnsi="Arial" w:cs="Arial"/>
                <w:sz w:val="20"/>
                <w:szCs w:val="20"/>
              </w:rPr>
              <w:t>601</w:t>
            </w:r>
          </w:p>
        </w:tc>
        <w:tc>
          <w:tcPr>
            <w:tcW w:w="1506" w:type="dxa"/>
            <w:shd w:val="clear" w:color="auto" w:fill="auto"/>
            <w:noWrap/>
            <w:vAlign w:val="bottom"/>
          </w:tcPr>
          <w:p w14:paraId="5663EF4A" w14:textId="77777777" w:rsidR="001D5E3A" w:rsidRPr="00227BB5" w:rsidRDefault="001D5E3A" w:rsidP="007577DA">
            <w:pPr>
              <w:spacing w:before="120" w:after="40"/>
              <w:ind w:right="316"/>
              <w:jc w:val="right"/>
              <w:rPr>
                <w:rFonts w:ascii="Arial" w:hAnsi="Arial" w:cs="Arial"/>
                <w:sz w:val="20"/>
                <w:szCs w:val="20"/>
              </w:rPr>
            </w:pPr>
            <w:r>
              <w:rPr>
                <w:rFonts w:ascii="Arial" w:hAnsi="Arial" w:cs="Arial"/>
                <w:sz w:val="20"/>
                <w:szCs w:val="20"/>
              </w:rPr>
              <w:t>2.1</w:t>
            </w:r>
          </w:p>
        </w:tc>
        <w:tc>
          <w:tcPr>
            <w:tcW w:w="1129" w:type="dxa"/>
            <w:shd w:val="clear" w:color="auto" w:fill="auto"/>
            <w:noWrap/>
            <w:vAlign w:val="bottom"/>
          </w:tcPr>
          <w:p w14:paraId="52DFC96A" w14:textId="77777777" w:rsidR="001D5E3A" w:rsidRPr="00227BB5" w:rsidRDefault="001D5E3A" w:rsidP="007577DA">
            <w:pPr>
              <w:spacing w:before="120" w:after="40"/>
              <w:ind w:right="176"/>
              <w:jc w:val="right"/>
              <w:rPr>
                <w:rFonts w:ascii="Arial" w:hAnsi="Arial" w:cs="Arial"/>
                <w:sz w:val="20"/>
                <w:szCs w:val="20"/>
              </w:rPr>
            </w:pPr>
            <w:r>
              <w:rPr>
                <w:rFonts w:ascii="Arial" w:hAnsi="Arial" w:cs="Arial"/>
                <w:sz w:val="20"/>
                <w:szCs w:val="20"/>
              </w:rPr>
              <w:t>21.9</w:t>
            </w:r>
          </w:p>
        </w:tc>
      </w:tr>
      <w:tr w:rsidR="001D5E3A" w:rsidRPr="00227BB5" w14:paraId="03C5D050" w14:textId="77777777" w:rsidTr="007577DA">
        <w:trPr>
          <w:cantSplit/>
          <w:jc w:val="center"/>
        </w:trPr>
        <w:tc>
          <w:tcPr>
            <w:tcW w:w="3943" w:type="dxa"/>
            <w:shd w:val="clear" w:color="auto" w:fill="auto"/>
            <w:noWrap/>
            <w:vAlign w:val="bottom"/>
            <w:hideMark/>
          </w:tcPr>
          <w:p w14:paraId="7BF33DD1" w14:textId="77777777" w:rsidR="001D5E3A" w:rsidRPr="00227BB5" w:rsidRDefault="001D5E3A" w:rsidP="007577DA">
            <w:pPr>
              <w:spacing w:before="120" w:after="40"/>
              <w:rPr>
                <w:rFonts w:ascii="Arial" w:hAnsi="Arial" w:cs="Arial"/>
                <w:sz w:val="20"/>
                <w:szCs w:val="20"/>
              </w:rPr>
            </w:pPr>
            <w:r w:rsidRPr="00227BB5">
              <w:rPr>
                <w:rFonts w:ascii="Arial" w:hAnsi="Arial" w:cs="Arial"/>
                <w:color w:val="000000"/>
                <w:sz w:val="20"/>
                <w:szCs w:val="20"/>
              </w:rPr>
              <w:t>Real estate business</w:t>
            </w:r>
          </w:p>
        </w:tc>
        <w:tc>
          <w:tcPr>
            <w:tcW w:w="1566" w:type="dxa"/>
            <w:shd w:val="clear" w:color="auto" w:fill="auto"/>
            <w:noWrap/>
            <w:vAlign w:val="bottom"/>
          </w:tcPr>
          <w:p w14:paraId="3D9765B3" w14:textId="77777777" w:rsidR="001D5E3A" w:rsidRPr="00227BB5" w:rsidRDefault="001D5E3A" w:rsidP="007577DA">
            <w:pPr>
              <w:spacing w:before="120" w:after="40"/>
              <w:ind w:right="176"/>
              <w:jc w:val="right"/>
              <w:rPr>
                <w:rFonts w:ascii="Arial" w:hAnsi="Arial" w:cs="Arial"/>
                <w:sz w:val="20"/>
                <w:szCs w:val="20"/>
              </w:rPr>
            </w:pPr>
            <w:r>
              <w:rPr>
                <w:rFonts w:ascii="Arial" w:hAnsi="Arial" w:cs="Arial"/>
                <w:sz w:val="20"/>
                <w:szCs w:val="20"/>
              </w:rPr>
              <w:t>1,782</w:t>
            </w:r>
          </w:p>
        </w:tc>
        <w:tc>
          <w:tcPr>
            <w:tcW w:w="1178" w:type="dxa"/>
            <w:shd w:val="clear" w:color="auto" w:fill="auto"/>
            <w:noWrap/>
            <w:vAlign w:val="bottom"/>
          </w:tcPr>
          <w:p w14:paraId="742557B8" w14:textId="77777777" w:rsidR="001D5E3A" w:rsidRPr="00227BB5" w:rsidRDefault="001D5E3A" w:rsidP="007577DA">
            <w:pPr>
              <w:spacing w:before="120" w:after="40"/>
              <w:ind w:right="176"/>
              <w:jc w:val="right"/>
              <w:rPr>
                <w:rFonts w:ascii="Arial" w:hAnsi="Arial" w:cs="Arial"/>
                <w:sz w:val="20"/>
                <w:szCs w:val="20"/>
              </w:rPr>
            </w:pPr>
            <w:r>
              <w:rPr>
                <w:rFonts w:ascii="Arial" w:hAnsi="Arial" w:cs="Arial"/>
                <w:sz w:val="20"/>
                <w:szCs w:val="20"/>
              </w:rPr>
              <w:t>489</w:t>
            </w:r>
          </w:p>
        </w:tc>
        <w:tc>
          <w:tcPr>
            <w:tcW w:w="1506" w:type="dxa"/>
            <w:shd w:val="clear" w:color="auto" w:fill="auto"/>
            <w:noWrap/>
            <w:vAlign w:val="bottom"/>
          </w:tcPr>
          <w:p w14:paraId="57A329ED" w14:textId="77777777" w:rsidR="001D5E3A" w:rsidRPr="00227BB5" w:rsidRDefault="001D5E3A" w:rsidP="007577DA">
            <w:pPr>
              <w:spacing w:before="120" w:after="40"/>
              <w:ind w:right="316"/>
              <w:jc w:val="right"/>
              <w:rPr>
                <w:rFonts w:ascii="Arial" w:hAnsi="Arial" w:cs="Arial"/>
                <w:sz w:val="20"/>
                <w:szCs w:val="20"/>
              </w:rPr>
            </w:pPr>
            <w:r>
              <w:rPr>
                <w:rFonts w:ascii="Arial" w:hAnsi="Arial" w:cs="Arial"/>
                <w:sz w:val="20"/>
                <w:szCs w:val="20"/>
              </w:rPr>
              <w:t>2.2</w:t>
            </w:r>
          </w:p>
        </w:tc>
        <w:tc>
          <w:tcPr>
            <w:tcW w:w="1129" w:type="dxa"/>
            <w:shd w:val="clear" w:color="auto" w:fill="auto"/>
            <w:noWrap/>
            <w:vAlign w:val="bottom"/>
          </w:tcPr>
          <w:p w14:paraId="298C3B25" w14:textId="77777777" w:rsidR="001D5E3A" w:rsidRPr="00227BB5" w:rsidRDefault="001D5E3A" w:rsidP="007577DA">
            <w:pPr>
              <w:spacing w:before="120" w:after="40"/>
              <w:ind w:right="176"/>
              <w:jc w:val="right"/>
              <w:rPr>
                <w:rFonts w:ascii="Arial" w:hAnsi="Arial" w:cs="Arial"/>
                <w:sz w:val="20"/>
                <w:szCs w:val="20"/>
              </w:rPr>
            </w:pPr>
            <w:r>
              <w:rPr>
                <w:rFonts w:ascii="Arial" w:hAnsi="Arial" w:cs="Arial"/>
                <w:sz w:val="20"/>
                <w:szCs w:val="20"/>
              </w:rPr>
              <w:t>7.2</w:t>
            </w:r>
          </w:p>
        </w:tc>
      </w:tr>
      <w:tr w:rsidR="001D5E3A" w:rsidRPr="00227BB5" w14:paraId="74BB7B16" w14:textId="77777777" w:rsidTr="007577DA">
        <w:trPr>
          <w:cantSplit/>
          <w:jc w:val="center"/>
        </w:trPr>
        <w:tc>
          <w:tcPr>
            <w:tcW w:w="3943" w:type="dxa"/>
            <w:shd w:val="clear" w:color="auto" w:fill="auto"/>
            <w:noWrap/>
            <w:vAlign w:val="bottom"/>
            <w:hideMark/>
          </w:tcPr>
          <w:p w14:paraId="56D546AE" w14:textId="77777777" w:rsidR="001D5E3A" w:rsidRPr="00227BB5" w:rsidRDefault="001D5E3A" w:rsidP="007577DA">
            <w:pPr>
              <w:spacing w:before="120" w:after="40"/>
              <w:rPr>
                <w:rFonts w:ascii="Arial" w:hAnsi="Arial" w:cs="Arial"/>
                <w:sz w:val="20"/>
                <w:szCs w:val="20"/>
              </w:rPr>
            </w:pPr>
            <w:r w:rsidRPr="00227BB5">
              <w:rPr>
                <w:rFonts w:ascii="Arial" w:hAnsi="Arial" w:cs="Arial"/>
                <w:color w:val="000000"/>
                <w:sz w:val="20"/>
                <w:szCs w:val="20"/>
              </w:rPr>
              <w:lastRenderedPageBreak/>
              <w:t>Transportation and storage</w:t>
            </w:r>
          </w:p>
        </w:tc>
        <w:tc>
          <w:tcPr>
            <w:tcW w:w="1566" w:type="dxa"/>
            <w:shd w:val="clear" w:color="auto" w:fill="auto"/>
            <w:noWrap/>
            <w:vAlign w:val="bottom"/>
          </w:tcPr>
          <w:p w14:paraId="4F057533" w14:textId="77777777" w:rsidR="001D5E3A" w:rsidRPr="00227BB5" w:rsidRDefault="001D5E3A" w:rsidP="007577DA">
            <w:pPr>
              <w:spacing w:before="120" w:after="40"/>
              <w:ind w:right="176"/>
              <w:jc w:val="right"/>
              <w:rPr>
                <w:rFonts w:ascii="Arial" w:hAnsi="Arial" w:cs="Arial"/>
                <w:sz w:val="20"/>
                <w:szCs w:val="20"/>
              </w:rPr>
            </w:pPr>
            <w:r>
              <w:rPr>
                <w:rFonts w:ascii="Arial" w:hAnsi="Arial" w:cs="Arial"/>
                <w:sz w:val="20"/>
                <w:szCs w:val="20"/>
              </w:rPr>
              <w:t>3,376</w:t>
            </w:r>
          </w:p>
        </w:tc>
        <w:tc>
          <w:tcPr>
            <w:tcW w:w="1178" w:type="dxa"/>
            <w:shd w:val="clear" w:color="auto" w:fill="auto"/>
            <w:noWrap/>
            <w:vAlign w:val="bottom"/>
          </w:tcPr>
          <w:p w14:paraId="1F6E0643" w14:textId="77777777" w:rsidR="001D5E3A" w:rsidRPr="00227BB5" w:rsidRDefault="001D5E3A" w:rsidP="007577DA">
            <w:pPr>
              <w:spacing w:before="120" w:after="40"/>
              <w:ind w:right="176"/>
              <w:jc w:val="right"/>
              <w:rPr>
                <w:rFonts w:ascii="Arial" w:hAnsi="Arial" w:cs="Arial"/>
                <w:sz w:val="20"/>
                <w:szCs w:val="20"/>
              </w:rPr>
            </w:pPr>
            <w:r>
              <w:rPr>
                <w:rFonts w:ascii="Arial" w:hAnsi="Arial" w:cs="Arial"/>
                <w:sz w:val="20"/>
                <w:szCs w:val="20"/>
              </w:rPr>
              <w:t>302</w:t>
            </w:r>
          </w:p>
        </w:tc>
        <w:tc>
          <w:tcPr>
            <w:tcW w:w="1506" w:type="dxa"/>
            <w:shd w:val="clear" w:color="auto" w:fill="auto"/>
            <w:noWrap/>
            <w:vAlign w:val="bottom"/>
          </w:tcPr>
          <w:p w14:paraId="5AF2FEEC" w14:textId="77777777" w:rsidR="001D5E3A" w:rsidRPr="00227BB5" w:rsidRDefault="001D5E3A" w:rsidP="007577DA">
            <w:pPr>
              <w:spacing w:before="120" w:after="40"/>
              <w:ind w:right="316"/>
              <w:jc w:val="right"/>
              <w:rPr>
                <w:rFonts w:ascii="Arial" w:hAnsi="Arial" w:cs="Arial"/>
                <w:sz w:val="20"/>
                <w:szCs w:val="20"/>
              </w:rPr>
            </w:pPr>
            <w:r>
              <w:rPr>
                <w:rFonts w:ascii="Arial" w:hAnsi="Arial" w:cs="Arial"/>
                <w:sz w:val="20"/>
                <w:szCs w:val="20"/>
              </w:rPr>
              <w:t>20.8</w:t>
            </w:r>
          </w:p>
        </w:tc>
        <w:tc>
          <w:tcPr>
            <w:tcW w:w="1129" w:type="dxa"/>
            <w:shd w:val="clear" w:color="auto" w:fill="auto"/>
            <w:noWrap/>
            <w:vAlign w:val="bottom"/>
          </w:tcPr>
          <w:p w14:paraId="372A819F" w14:textId="77777777" w:rsidR="001D5E3A" w:rsidRPr="00227BB5" w:rsidRDefault="001D5E3A" w:rsidP="007577DA">
            <w:pPr>
              <w:spacing w:before="120" w:after="40"/>
              <w:ind w:right="176"/>
              <w:jc w:val="right"/>
              <w:rPr>
                <w:rFonts w:ascii="Arial" w:hAnsi="Arial" w:cs="Arial"/>
                <w:sz w:val="20"/>
                <w:szCs w:val="20"/>
              </w:rPr>
            </w:pPr>
            <w:r>
              <w:rPr>
                <w:rFonts w:ascii="Arial" w:hAnsi="Arial" w:cs="Arial"/>
                <w:sz w:val="20"/>
                <w:szCs w:val="20"/>
              </w:rPr>
              <w:t>23.8</w:t>
            </w:r>
          </w:p>
        </w:tc>
      </w:tr>
      <w:tr w:rsidR="001D5E3A" w:rsidRPr="00227BB5" w14:paraId="2D9F088E" w14:textId="77777777" w:rsidTr="007577DA">
        <w:trPr>
          <w:cantSplit/>
          <w:jc w:val="center"/>
        </w:trPr>
        <w:tc>
          <w:tcPr>
            <w:tcW w:w="3943" w:type="dxa"/>
            <w:shd w:val="clear" w:color="auto" w:fill="auto"/>
            <w:noWrap/>
            <w:vAlign w:val="bottom"/>
            <w:hideMark/>
          </w:tcPr>
          <w:p w14:paraId="576E0263" w14:textId="77777777" w:rsidR="001D5E3A" w:rsidRPr="00227BB5" w:rsidRDefault="001D5E3A" w:rsidP="007577DA">
            <w:pPr>
              <w:spacing w:before="120" w:after="40"/>
              <w:rPr>
                <w:rFonts w:ascii="Arial" w:hAnsi="Arial" w:cs="Arial"/>
                <w:sz w:val="20"/>
                <w:szCs w:val="20"/>
              </w:rPr>
            </w:pPr>
            <w:r w:rsidRPr="00227BB5">
              <w:rPr>
                <w:rFonts w:ascii="Arial" w:hAnsi="Arial" w:cs="Arial"/>
                <w:color w:val="000000"/>
                <w:sz w:val="20"/>
                <w:szCs w:val="20"/>
              </w:rPr>
              <w:t>Accommodation and catering service</w:t>
            </w:r>
          </w:p>
        </w:tc>
        <w:tc>
          <w:tcPr>
            <w:tcW w:w="1566" w:type="dxa"/>
            <w:shd w:val="clear" w:color="auto" w:fill="auto"/>
            <w:noWrap/>
            <w:vAlign w:val="bottom"/>
          </w:tcPr>
          <w:p w14:paraId="325E727F" w14:textId="77777777" w:rsidR="001D5E3A" w:rsidRPr="00227BB5" w:rsidRDefault="001D5E3A" w:rsidP="007577DA">
            <w:pPr>
              <w:spacing w:before="120" w:after="40"/>
              <w:ind w:right="176"/>
              <w:jc w:val="right"/>
              <w:rPr>
                <w:rFonts w:ascii="Arial" w:hAnsi="Arial" w:cs="Arial"/>
                <w:sz w:val="20"/>
                <w:szCs w:val="20"/>
              </w:rPr>
            </w:pPr>
            <w:r>
              <w:rPr>
                <w:rFonts w:ascii="Arial" w:hAnsi="Arial" w:cs="Arial"/>
                <w:sz w:val="20"/>
                <w:szCs w:val="20"/>
              </w:rPr>
              <w:t>2,426</w:t>
            </w:r>
          </w:p>
        </w:tc>
        <w:tc>
          <w:tcPr>
            <w:tcW w:w="1178" w:type="dxa"/>
            <w:shd w:val="clear" w:color="auto" w:fill="auto"/>
            <w:noWrap/>
            <w:vAlign w:val="bottom"/>
          </w:tcPr>
          <w:p w14:paraId="6C5B4681" w14:textId="77777777" w:rsidR="001D5E3A" w:rsidRPr="00227BB5" w:rsidRDefault="001D5E3A" w:rsidP="007577DA">
            <w:pPr>
              <w:spacing w:before="120" w:after="40"/>
              <w:ind w:right="176"/>
              <w:jc w:val="right"/>
              <w:rPr>
                <w:rFonts w:ascii="Arial" w:hAnsi="Arial" w:cs="Arial"/>
                <w:sz w:val="20"/>
                <w:szCs w:val="20"/>
              </w:rPr>
            </w:pPr>
            <w:r>
              <w:rPr>
                <w:rFonts w:ascii="Arial" w:hAnsi="Arial" w:cs="Arial"/>
                <w:sz w:val="20"/>
                <w:szCs w:val="20"/>
              </w:rPr>
              <w:t>362</w:t>
            </w:r>
          </w:p>
        </w:tc>
        <w:tc>
          <w:tcPr>
            <w:tcW w:w="1506" w:type="dxa"/>
            <w:shd w:val="clear" w:color="auto" w:fill="auto"/>
            <w:noWrap/>
            <w:vAlign w:val="bottom"/>
          </w:tcPr>
          <w:p w14:paraId="04ACB0F0" w14:textId="77777777" w:rsidR="001D5E3A" w:rsidRPr="00227BB5" w:rsidRDefault="001D5E3A" w:rsidP="007577DA">
            <w:pPr>
              <w:spacing w:before="120" w:after="40"/>
              <w:ind w:right="316"/>
              <w:jc w:val="right"/>
              <w:rPr>
                <w:rFonts w:ascii="Arial" w:hAnsi="Arial" w:cs="Arial"/>
                <w:sz w:val="20"/>
                <w:szCs w:val="20"/>
              </w:rPr>
            </w:pPr>
            <w:r>
              <w:rPr>
                <w:rFonts w:ascii="Arial" w:hAnsi="Arial" w:cs="Arial"/>
                <w:sz w:val="20"/>
                <w:szCs w:val="20"/>
              </w:rPr>
              <w:t>-15.1</w:t>
            </w:r>
          </w:p>
        </w:tc>
        <w:tc>
          <w:tcPr>
            <w:tcW w:w="1129" w:type="dxa"/>
            <w:shd w:val="clear" w:color="auto" w:fill="auto"/>
            <w:noWrap/>
            <w:vAlign w:val="bottom"/>
          </w:tcPr>
          <w:p w14:paraId="700C9438" w14:textId="77777777" w:rsidR="001D5E3A" w:rsidRPr="00227BB5" w:rsidRDefault="001D5E3A" w:rsidP="007577DA">
            <w:pPr>
              <w:spacing w:before="120" w:after="40"/>
              <w:ind w:right="176"/>
              <w:jc w:val="right"/>
              <w:rPr>
                <w:rFonts w:ascii="Arial" w:hAnsi="Arial" w:cs="Arial"/>
                <w:sz w:val="20"/>
                <w:szCs w:val="20"/>
              </w:rPr>
            </w:pPr>
            <w:r>
              <w:rPr>
                <w:rFonts w:ascii="Arial" w:hAnsi="Arial" w:cs="Arial"/>
                <w:sz w:val="20"/>
                <w:szCs w:val="20"/>
              </w:rPr>
              <w:t>12.8</w:t>
            </w:r>
          </w:p>
        </w:tc>
      </w:tr>
      <w:tr w:rsidR="001D5E3A" w:rsidRPr="00227BB5" w14:paraId="466F3BF7" w14:textId="77777777" w:rsidTr="007577DA">
        <w:trPr>
          <w:cantSplit/>
          <w:jc w:val="center"/>
        </w:trPr>
        <w:tc>
          <w:tcPr>
            <w:tcW w:w="3943" w:type="dxa"/>
            <w:tcBorders>
              <w:bottom w:val="single" w:sz="4" w:space="0" w:color="auto"/>
            </w:tcBorders>
            <w:shd w:val="clear" w:color="auto" w:fill="auto"/>
            <w:noWrap/>
            <w:vAlign w:val="bottom"/>
          </w:tcPr>
          <w:p w14:paraId="4917EBC1" w14:textId="77777777" w:rsidR="001D5E3A" w:rsidRPr="00227BB5" w:rsidRDefault="001D5E3A" w:rsidP="007577DA">
            <w:pPr>
              <w:spacing w:before="120" w:after="40"/>
              <w:rPr>
                <w:rFonts w:ascii="Arial" w:hAnsi="Arial" w:cs="Arial"/>
                <w:sz w:val="20"/>
                <w:szCs w:val="20"/>
              </w:rPr>
            </w:pPr>
            <w:r w:rsidRPr="00227BB5">
              <w:rPr>
                <w:rFonts w:ascii="Arial" w:hAnsi="Arial" w:cs="Arial"/>
                <w:color w:val="000000"/>
                <w:sz w:val="20"/>
                <w:szCs w:val="20"/>
              </w:rPr>
              <w:t>Production and distribution of electricity, water, gas</w:t>
            </w:r>
          </w:p>
        </w:tc>
        <w:tc>
          <w:tcPr>
            <w:tcW w:w="1566" w:type="dxa"/>
            <w:tcBorders>
              <w:bottom w:val="single" w:sz="4" w:space="0" w:color="auto"/>
            </w:tcBorders>
            <w:shd w:val="clear" w:color="auto" w:fill="auto"/>
            <w:noWrap/>
            <w:vAlign w:val="bottom"/>
          </w:tcPr>
          <w:p w14:paraId="35BC1F7C" w14:textId="77777777" w:rsidR="001D5E3A" w:rsidRPr="00227BB5" w:rsidRDefault="001D5E3A" w:rsidP="007577DA">
            <w:pPr>
              <w:spacing w:before="120" w:after="40"/>
              <w:ind w:right="176"/>
              <w:jc w:val="right"/>
              <w:rPr>
                <w:rFonts w:ascii="Arial" w:hAnsi="Arial" w:cs="Arial"/>
                <w:sz w:val="20"/>
                <w:szCs w:val="20"/>
              </w:rPr>
            </w:pPr>
            <w:r>
              <w:rPr>
                <w:rFonts w:ascii="Arial" w:hAnsi="Arial" w:cs="Arial"/>
                <w:sz w:val="20"/>
                <w:szCs w:val="20"/>
              </w:rPr>
              <w:t>465</w:t>
            </w:r>
          </w:p>
        </w:tc>
        <w:tc>
          <w:tcPr>
            <w:tcW w:w="1178" w:type="dxa"/>
            <w:tcBorders>
              <w:bottom w:val="single" w:sz="4" w:space="0" w:color="auto"/>
            </w:tcBorders>
            <w:shd w:val="clear" w:color="auto" w:fill="auto"/>
            <w:noWrap/>
            <w:vAlign w:val="bottom"/>
          </w:tcPr>
          <w:p w14:paraId="0D109FC2" w14:textId="77777777" w:rsidR="001D5E3A" w:rsidRPr="00227BB5" w:rsidRDefault="001D5E3A" w:rsidP="007577DA">
            <w:pPr>
              <w:spacing w:before="120" w:after="40"/>
              <w:ind w:right="176"/>
              <w:jc w:val="right"/>
              <w:rPr>
                <w:rFonts w:ascii="Arial" w:hAnsi="Arial" w:cs="Arial"/>
                <w:sz w:val="20"/>
                <w:szCs w:val="20"/>
              </w:rPr>
            </w:pPr>
            <w:r>
              <w:rPr>
                <w:rFonts w:ascii="Arial" w:hAnsi="Arial" w:cs="Arial"/>
                <w:sz w:val="20"/>
                <w:szCs w:val="20"/>
              </w:rPr>
              <w:t>91</w:t>
            </w:r>
          </w:p>
        </w:tc>
        <w:tc>
          <w:tcPr>
            <w:tcW w:w="1506" w:type="dxa"/>
            <w:tcBorders>
              <w:bottom w:val="single" w:sz="4" w:space="0" w:color="auto"/>
            </w:tcBorders>
            <w:shd w:val="clear" w:color="auto" w:fill="auto"/>
            <w:noWrap/>
            <w:vAlign w:val="bottom"/>
          </w:tcPr>
          <w:p w14:paraId="51CD826F" w14:textId="77777777" w:rsidR="001D5E3A" w:rsidRPr="00227BB5" w:rsidRDefault="001D5E3A" w:rsidP="007577DA">
            <w:pPr>
              <w:spacing w:before="120" w:after="40"/>
              <w:ind w:right="316"/>
              <w:jc w:val="right"/>
              <w:rPr>
                <w:rFonts w:ascii="Arial" w:hAnsi="Arial" w:cs="Arial"/>
                <w:sz w:val="20"/>
                <w:szCs w:val="20"/>
              </w:rPr>
            </w:pPr>
            <w:r>
              <w:rPr>
                <w:rFonts w:ascii="Arial" w:hAnsi="Arial" w:cs="Arial"/>
                <w:sz w:val="20"/>
                <w:szCs w:val="20"/>
              </w:rPr>
              <w:t>9.4</w:t>
            </w:r>
          </w:p>
        </w:tc>
        <w:tc>
          <w:tcPr>
            <w:tcW w:w="1129" w:type="dxa"/>
            <w:tcBorders>
              <w:bottom w:val="single" w:sz="4" w:space="0" w:color="auto"/>
            </w:tcBorders>
            <w:shd w:val="clear" w:color="auto" w:fill="auto"/>
            <w:noWrap/>
            <w:vAlign w:val="bottom"/>
          </w:tcPr>
          <w:p w14:paraId="5411B590" w14:textId="77777777" w:rsidR="001D5E3A" w:rsidRPr="00227BB5" w:rsidRDefault="001D5E3A" w:rsidP="007577DA">
            <w:pPr>
              <w:spacing w:before="120" w:after="40"/>
              <w:ind w:right="176"/>
              <w:jc w:val="right"/>
              <w:rPr>
                <w:rFonts w:ascii="Arial" w:hAnsi="Arial" w:cs="Arial"/>
                <w:sz w:val="20"/>
                <w:szCs w:val="20"/>
              </w:rPr>
            </w:pPr>
            <w:r>
              <w:rPr>
                <w:rFonts w:ascii="Arial" w:hAnsi="Arial" w:cs="Arial"/>
                <w:sz w:val="20"/>
                <w:szCs w:val="20"/>
              </w:rPr>
              <w:t>-24.8</w:t>
            </w:r>
          </w:p>
        </w:tc>
      </w:tr>
    </w:tbl>
    <w:p w14:paraId="6D721AFB" w14:textId="77777777" w:rsidR="001D5E3A" w:rsidRPr="00F73ED4" w:rsidRDefault="001D5E3A" w:rsidP="001D5E3A">
      <w:pPr>
        <w:spacing w:before="120" w:after="120" w:line="276" w:lineRule="auto"/>
        <w:ind w:firstLine="567"/>
        <w:rPr>
          <w:b/>
          <w:bCs/>
          <w:lang w:val="af-ZA"/>
        </w:rPr>
      </w:pPr>
      <w:r w:rsidRPr="00F73ED4">
        <w:rPr>
          <w:b/>
          <w:bCs/>
          <w:lang w:val="af-ZA"/>
        </w:rPr>
        <w:t>4. Investment</w:t>
      </w:r>
    </w:p>
    <w:p w14:paraId="4D820678" w14:textId="77777777" w:rsidR="001D5E3A" w:rsidRPr="00F73ED4" w:rsidRDefault="001D5E3A" w:rsidP="001D5E3A">
      <w:pPr>
        <w:spacing w:after="120" w:line="276" w:lineRule="auto"/>
        <w:ind w:firstLine="567"/>
        <w:jc w:val="both"/>
        <w:rPr>
          <w:bCs/>
          <w:i/>
          <w:lang w:val="it-IT"/>
        </w:rPr>
      </w:pPr>
      <w:r w:rsidRPr="00F73ED4">
        <w:rPr>
          <w:i/>
          <w:lang w:val="it-IT"/>
        </w:rPr>
        <w:t xml:space="preserve">Investment capital from the State budget in May 2024 is </w:t>
      </w:r>
      <w:r w:rsidRPr="00F73ED4">
        <w:rPr>
          <w:i/>
          <w:lang w:val="nl-NL"/>
        </w:rPr>
        <w:t xml:space="preserve">focused on promoting implementation </w:t>
      </w:r>
      <w:r w:rsidRPr="00F73ED4">
        <w:rPr>
          <w:bCs/>
          <w:i/>
          <w:lang w:val="nl-NL"/>
        </w:rPr>
        <w:t xml:space="preserve">by ministries, branches and localities. </w:t>
      </w:r>
      <w:r w:rsidRPr="00F73ED4">
        <w:rPr>
          <w:i/>
          <w:lang w:val="nl-NL"/>
        </w:rPr>
        <w:t>Overall</w:t>
      </w:r>
      <w:r w:rsidRPr="00F73ED4">
        <w:rPr>
          <w:i/>
          <w:lang w:val="it-IT"/>
        </w:rPr>
        <w:t xml:space="preserve">, in the first five months of 2024, realized investment capital from the State budget is estimated to reach 26.6% of the year's plan, up 5.0% over the same period last year. Foreign direct investment (FDI) implemented in Vietnam in the first five months of 2024 is estimated to reach 8.25 billion USD, up 7.8% over the same period last year </w:t>
      </w:r>
      <w:r w:rsidRPr="00F73ED4">
        <w:rPr>
          <w:i/>
          <w:iCs/>
          <w:lang w:val="de-DE"/>
        </w:rPr>
        <w:t>.</w:t>
      </w:r>
    </w:p>
    <w:p w14:paraId="103F0A08" w14:textId="77777777" w:rsidR="001D5E3A" w:rsidRPr="00F73ED4" w:rsidRDefault="001D5E3A" w:rsidP="001D5E3A">
      <w:pPr>
        <w:spacing w:after="120" w:line="276" w:lineRule="auto"/>
        <w:ind w:firstLine="567"/>
        <w:jc w:val="both"/>
        <w:rPr>
          <w:lang w:val="af-ZA"/>
        </w:rPr>
      </w:pPr>
      <w:r w:rsidRPr="00F73ED4">
        <w:rPr>
          <w:lang w:val="af-ZA"/>
        </w:rPr>
        <w:t>Implemented investment capital from the State budget in May 2024 is estimated to reach 48.2 trillion VND, up 3.1% over the same period last year, including: Centrally managed capital reached 8.6 trillion VND, up 0.5%; Locally managed capital reached 39.6 trillion VND, an increase of 3.7%. Overall, in the first five months of 2024, realized investment capital from the State budget is estimated to reach 190.6 trillion VND, equal to 26.6% of the year's plan and up 5.0% over the same period last year (same period in 2023 equals 24.8% and increases by 21.5%). Specifically:</w:t>
      </w:r>
    </w:p>
    <w:p w14:paraId="5D707F9D" w14:textId="77777777" w:rsidR="001D5E3A" w:rsidRPr="00F73ED4" w:rsidRDefault="001D5E3A" w:rsidP="001D5E3A">
      <w:pPr>
        <w:spacing w:after="120" w:line="276" w:lineRule="auto"/>
        <w:ind w:firstLine="567"/>
        <w:jc w:val="both"/>
        <w:rPr>
          <w:lang w:val="af-ZA"/>
        </w:rPr>
      </w:pPr>
      <w:r w:rsidRPr="00F73ED4">
        <w:rPr>
          <w:bCs/>
          <w:iCs/>
          <w:lang w:val="af-ZA"/>
        </w:rPr>
        <w:t xml:space="preserve">- </w:t>
      </w:r>
      <w:r w:rsidRPr="00F73ED4">
        <w:rPr>
          <w:lang w:val="af-ZA"/>
        </w:rPr>
        <w:t>Implemented investment capital managed by the Central Government is estimated at 32.5 trillion VND, equal to 29.3% of the year's plan and down 2.6% over the same period last year. Of which, the Ministry of Transport reached 20.3 trillion VND, down 19.1%; Ministry of Agriculture and Rural Development reached more than 3.0 trillion VND, an increase of 37%; Ministry of Education and Training reached 287.7 billion VND, down 1.1%; Ministry of Health reached 247.4 billion VND, down 1.5%; Ministry of Natural Resources and Environment reached 193.3 billion VND, down 34.8%; The Ministry of Industry and Trade reached 187.8 billion VND, an increase of 9.3%.</w:t>
      </w:r>
    </w:p>
    <w:p w14:paraId="3FDC9868" w14:textId="77777777" w:rsidR="001D5E3A" w:rsidRPr="00F73ED4" w:rsidRDefault="001D5E3A" w:rsidP="001D5E3A">
      <w:pPr>
        <w:spacing w:after="120" w:line="276" w:lineRule="auto"/>
        <w:ind w:firstLine="567"/>
        <w:jc w:val="both"/>
        <w:rPr>
          <w:bCs/>
          <w:iCs/>
          <w:lang w:val="af-ZA"/>
        </w:rPr>
      </w:pPr>
      <w:r w:rsidRPr="00F73ED4">
        <w:rPr>
          <w:bCs/>
          <w:iCs/>
          <w:lang w:val="af-ZA"/>
        </w:rPr>
        <w:t>- Locally managed investment capital is estimated at 158.1 trillion VND, equal to 26.1% of the year's plan and up 6.7% over the same period last year, of which:</w:t>
      </w:r>
    </w:p>
    <w:p w14:paraId="0CCF969D" w14:textId="77777777" w:rsidR="001D5E3A" w:rsidRPr="00F73ED4" w:rsidRDefault="001D5E3A" w:rsidP="001D5E3A">
      <w:pPr>
        <w:spacing w:after="120" w:line="276" w:lineRule="auto"/>
        <w:ind w:firstLine="567"/>
        <w:jc w:val="both"/>
        <w:rPr>
          <w:bCs/>
          <w:iCs/>
          <w:lang w:val="af-ZA"/>
        </w:rPr>
      </w:pPr>
      <w:r w:rsidRPr="00F73ED4">
        <w:rPr>
          <w:bCs/>
          <w:iCs/>
          <w:lang w:val="af-ZA"/>
        </w:rPr>
        <w:t>Provincial state budget capital reaches nearly 106.0 trillion VND, equal to 24.6% and up 6.1% over the same period in 2023;</w:t>
      </w:r>
    </w:p>
    <w:p w14:paraId="12D1CDCB" w14:textId="77777777" w:rsidR="001D5E3A" w:rsidRPr="00F73ED4" w:rsidRDefault="001D5E3A" w:rsidP="001D5E3A">
      <w:pPr>
        <w:pStyle w:val="ListParagraph"/>
        <w:spacing w:after="120"/>
        <w:ind w:left="0" w:firstLine="567"/>
        <w:contextualSpacing w:val="0"/>
        <w:jc w:val="both"/>
        <w:rPr>
          <w:bCs/>
          <w:iCs/>
          <w:lang w:val="af-ZA"/>
        </w:rPr>
      </w:pPr>
      <w:r w:rsidRPr="00F73ED4">
        <w:rPr>
          <w:bCs/>
          <w:iCs/>
          <w:lang w:val="af-ZA"/>
        </w:rPr>
        <w:lastRenderedPageBreak/>
        <w:t>State budget capital at district level reached 44.9 tr</w:t>
      </w:r>
      <w:r>
        <w:rPr>
          <w:bCs/>
          <w:iCs/>
          <w:lang w:val="af-ZA"/>
        </w:rPr>
        <w:t xml:space="preserve">illion VND, equal to 29.3% and </w:t>
      </w:r>
      <w:r w:rsidRPr="00F73ED4">
        <w:rPr>
          <w:bCs/>
          <w:iCs/>
          <w:lang w:val="af-ZA"/>
        </w:rPr>
        <w:t>increased 8%;</w:t>
      </w:r>
    </w:p>
    <w:p w14:paraId="15D0A689" w14:textId="77777777" w:rsidR="001D5E3A" w:rsidRPr="00F73ED4" w:rsidRDefault="001D5E3A" w:rsidP="001D5E3A">
      <w:pPr>
        <w:pStyle w:val="ListParagraph"/>
        <w:spacing w:after="120"/>
        <w:ind w:left="0" w:firstLine="567"/>
        <w:contextualSpacing w:val="0"/>
        <w:jc w:val="both"/>
        <w:rPr>
          <w:rFonts w:eastAsia="Times New Roman"/>
          <w:bCs/>
          <w:iCs/>
          <w:lang w:val="af-ZA"/>
        </w:rPr>
      </w:pPr>
      <w:r w:rsidRPr="00F73ED4">
        <w:rPr>
          <w:rFonts w:eastAsia="Times New Roman"/>
          <w:bCs/>
          <w:iCs/>
          <w:lang w:val="af-ZA"/>
        </w:rPr>
        <w:t>State budget capital at commune level reached 7.2 trillion VND, equal to 34</w:t>
      </w:r>
      <w:r>
        <w:rPr>
          <w:rFonts w:eastAsia="Times New Roman"/>
          <w:bCs/>
          <w:iCs/>
          <w:lang w:val="af-ZA"/>
        </w:rPr>
        <w:t xml:space="preserve">.5% and </w:t>
      </w:r>
      <w:r w:rsidRPr="00F73ED4">
        <w:rPr>
          <w:rFonts w:eastAsia="Times New Roman"/>
          <w:bCs/>
          <w:iCs/>
          <w:lang w:val="af-ZA"/>
        </w:rPr>
        <w:t>increased by 7.1%.</w:t>
      </w:r>
    </w:p>
    <w:p w14:paraId="00919BAF" w14:textId="77777777" w:rsidR="001D5E3A" w:rsidRPr="00F73ED4" w:rsidRDefault="001D5E3A" w:rsidP="001D5E3A">
      <w:pPr>
        <w:spacing w:after="120" w:line="276" w:lineRule="auto"/>
        <w:ind w:firstLine="567"/>
        <w:jc w:val="both"/>
        <w:rPr>
          <w:rFonts w:ascii="Arial" w:hAnsi="Arial" w:cs="Arial"/>
          <w:b/>
          <w:bCs/>
          <w:sz w:val="24"/>
          <w:szCs w:val="24"/>
          <w:lang w:val="af-ZA"/>
        </w:rPr>
      </w:pPr>
      <w:r w:rsidRPr="00F73ED4">
        <w:rPr>
          <w:bCs/>
          <w:iCs/>
          <w:lang w:val="af-ZA"/>
        </w:rPr>
        <w:t>Investment capital implemented from the State budget in the first five months of 2024 of a number of provinces and centrally run cities is as follows:</w:t>
      </w:r>
    </w:p>
    <w:p w14:paraId="6D0E27BE" w14:textId="77777777" w:rsidR="001D5E3A" w:rsidRPr="00F73ED4" w:rsidRDefault="001D5E3A" w:rsidP="001D5E3A">
      <w:pPr>
        <w:spacing w:line="276" w:lineRule="auto"/>
        <w:jc w:val="center"/>
        <w:rPr>
          <w:rFonts w:ascii="Arial" w:hAnsi="Arial" w:cs="Arial"/>
          <w:b/>
          <w:bCs/>
          <w:sz w:val="24"/>
          <w:szCs w:val="24"/>
          <w:lang w:val="af-ZA"/>
        </w:rPr>
      </w:pPr>
      <w:r w:rsidRPr="00F73ED4">
        <w:rPr>
          <w:rFonts w:ascii="Arial" w:hAnsi="Arial" w:cs="Arial"/>
          <w:b/>
          <w:bCs/>
          <w:sz w:val="24"/>
          <w:szCs w:val="24"/>
          <w:lang w:val="af-ZA"/>
        </w:rPr>
        <w:t>Figure 6. Investment capital made from the State budget</w:t>
      </w:r>
    </w:p>
    <w:p w14:paraId="53179371" w14:textId="77777777" w:rsidR="001D5E3A" w:rsidRDefault="001D5E3A" w:rsidP="001D5E3A">
      <w:pPr>
        <w:spacing w:line="276" w:lineRule="auto"/>
        <w:jc w:val="center"/>
        <w:rPr>
          <w:rFonts w:ascii="Arial" w:hAnsi="Arial" w:cs="Arial"/>
          <w:b/>
          <w:bCs/>
          <w:sz w:val="24"/>
          <w:szCs w:val="24"/>
          <w:lang w:val="de-DE"/>
        </w:rPr>
      </w:pPr>
      <w:r w:rsidRPr="00F73ED4">
        <w:rPr>
          <w:rFonts w:ascii="Arial" w:hAnsi="Arial" w:cs="Arial"/>
          <w:b/>
          <w:bCs/>
          <w:sz w:val="24"/>
          <w:szCs w:val="24"/>
          <w:lang w:val="af-ZA"/>
        </w:rPr>
        <w:t>of some localities</w:t>
      </w:r>
      <w:r>
        <w:rPr>
          <w:rFonts w:ascii="Arial" w:hAnsi="Arial" w:cs="Arial"/>
          <w:b/>
          <w:bCs/>
          <w:sz w:val="24"/>
          <w:szCs w:val="24"/>
          <w:lang w:val="af-ZA"/>
        </w:rPr>
        <w:t xml:space="preserve"> (</w:t>
      </w:r>
      <w:r w:rsidRPr="00F73ED4">
        <w:rPr>
          <w:rFonts w:ascii="Arial" w:hAnsi="Arial" w:cs="Arial"/>
          <w:b/>
          <w:bCs/>
          <w:sz w:val="24"/>
          <w:szCs w:val="24"/>
          <w:lang w:val="de-DE"/>
        </w:rPr>
        <w:t xml:space="preserve">Billion </w:t>
      </w:r>
      <w:r>
        <w:rPr>
          <w:rFonts w:ascii="Arial" w:hAnsi="Arial" w:cs="Arial"/>
          <w:b/>
          <w:bCs/>
          <w:sz w:val="24"/>
          <w:szCs w:val="24"/>
          <w:lang w:val="de-DE"/>
        </w:rPr>
        <w:t>dong</w:t>
      </w:r>
      <w:r w:rsidRPr="00F73ED4">
        <w:rPr>
          <w:rFonts w:ascii="Arial" w:hAnsi="Arial" w:cs="Arial"/>
          <w:b/>
          <w:bCs/>
          <w:sz w:val="24"/>
          <w:szCs w:val="24"/>
          <w:lang w:val="de-DE"/>
        </w:rPr>
        <w:t>)</w:t>
      </w:r>
    </w:p>
    <w:p w14:paraId="4A803F53" w14:textId="77777777" w:rsidR="001D5E3A" w:rsidRDefault="001D5E3A" w:rsidP="001D5E3A">
      <w:pPr>
        <w:spacing w:line="276" w:lineRule="auto"/>
        <w:jc w:val="center"/>
        <w:rPr>
          <w:rFonts w:ascii="Arial" w:hAnsi="Arial" w:cs="Arial"/>
          <w:b/>
          <w:bCs/>
          <w:sz w:val="24"/>
          <w:szCs w:val="24"/>
          <w:lang w:val="af-ZA"/>
        </w:rPr>
      </w:pPr>
    </w:p>
    <w:p w14:paraId="350A34DC" w14:textId="77777777" w:rsidR="001D5E3A" w:rsidRDefault="001D5E3A" w:rsidP="001D5E3A">
      <w:pPr>
        <w:spacing w:line="276" w:lineRule="auto"/>
        <w:jc w:val="center"/>
        <w:rPr>
          <w:rFonts w:ascii="Arial" w:hAnsi="Arial" w:cs="Arial"/>
          <w:b/>
          <w:bCs/>
          <w:sz w:val="24"/>
          <w:szCs w:val="24"/>
          <w:lang w:val="af-ZA"/>
        </w:rPr>
      </w:pPr>
      <w:r>
        <w:rPr>
          <w:noProof/>
        </w:rPr>
        <w:drawing>
          <wp:inline distT="0" distB="0" distL="0" distR="0" wp14:anchorId="550F60D2" wp14:editId="4A022FF4">
            <wp:extent cx="5943600" cy="3629025"/>
            <wp:effectExtent l="0" t="0" r="0" b="9525"/>
            <wp:docPr id="882019795" name="Chart 882019795">
              <a:extLst xmlns:a="http://schemas.openxmlformats.org/drawingml/2006/main">
                <a:ext uri="{FF2B5EF4-FFF2-40B4-BE49-F238E27FC236}">
                  <a16:creationId xmlns:a16="http://schemas.microsoft.com/office/drawing/2014/main" id="{EE42F345-6161-4C82-9435-1CFA3A5BC0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39AB05D" w14:textId="77777777" w:rsidR="001D5E3A" w:rsidRDefault="001D5E3A" w:rsidP="001D5E3A">
      <w:pPr>
        <w:spacing w:line="276" w:lineRule="auto"/>
        <w:jc w:val="center"/>
        <w:rPr>
          <w:rFonts w:ascii="Arial" w:hAnsi="Arial" w:cs="Arial"/>
          <w:b/>
          <w:bCs/>
          <w:sz w:val="24"/>
          <w:szCs w:val="24"/>
          <w:lang w:val="af-ZA"/>
        </w:rPr>
      </w:pPr>
    </w:p>
    <w:p w14:paraId="406CD4D3" w14:textId="77777777" w:rsidR="001D5E3A" w:rsidRDefault="001D5E3A" w:rsidP="001D5E3A">
      <w:pPr>
        <w:spacing w:line="276" w:lineRule="auto"/>
        <w:jc w:val="center"/>
        <w:rPr>
          <w:rFonts w:ascii="Arial" w:hAnsi="Arial" w:cs="Arial"/>
          <w:b/>
          <w:bCs/>
          <w:sz w:val="24"/>
          <w:szCs w:val="24"/>
          <w:lang w:val="af-ZA"/>
        </w:rPr>
      </w:pPr>
    </w:p>
    <w:p w14:paraId="2A2D71DA" w14:textId="77777777" w:rsidR="001D5E3A" w:rsidRDefault="001D5E3A" w:rsidP="001D5E3A">
      <w:pPr>
        <w:spacing w:line="276" w:lineRule="auto"/>
        <w:jc w:val="center"/>
        <w:rPr>
          <w:rFonts w:ascii="Arial" w:hAnsi="Arial" w:cs="Arial"/>
          <w:b/>
          <w:bCs/>
          <w:sz w:val="24"/>
          <w:szCs w:val="24"/>
          <w:lang w:val="af-ZA"/>
        </w:rPr>
      </w:pPr>
    </w:p>
    <w:p w14:paraId="2C7591D0" w14:textId="77777777" w:rsidR="001D5E3A" w:rsidRPr="00F73ED4" w:rsidRDefault="001D5E3A" w:rsidP="001D5E3A">
      <w:pPr>
        <w:ind w:firstLine="720"/>
        <w:jc w:val="both"/>
        <w:rPr>
          <w:rFonts w:ascii="Arial" w:hAnsi="Arial" w:cs="Arial"/>
          <w:b/>
          <w:bCs/>
          <w:sz w:val="24"/>
          <w:szCs w:val="24"/>
          <w:lang w:val="de-DE"/>
        </w:rPr>
      </w:pPr>
      <w:r w:rsidRPr="00F73ED4">
        <w:rPr>
          <w:i/>
          <w:iCs/>
          <w:lang w:val="de-DE"/>
        </w:rPr>
        <w:t>Total foreign investment capital registered in Vietnam</w:t>
      </w:r>
      <w:r w:rsidRPr="00F73ED4">
        <w:rPr>
          <w:rStyle w:val="FootnoteReference"/>
          <w:i/>
          <w:iCs/>
          <w:lang w:val="de-DE"/>
        </w:rPr>
        <w:footnoteReference w:id="10"/>
      </w:r>
      <w:r w:rsidRPr="00F73ED4">
        <w:rPr>
          <w:i/>
          <w:iCs/>
          <w:lang w:val="de-DE"/>
        </w:rPr>
        <w:t xml:space="preserve"> </w:t>
      </w:r>
      <w:r w:rsidRPr="00F73ED4">
        <w:rPr>
          <w:iCs/>
          <w:lang w:val="de-DE"/>
        </w:rPr>
        <w:t>As of May 20, 2024, including: Newly registered capital, adjusted registered capital and value of capital contributions and share purchases by foreign investors reached nearly 11.07 billion USD, an increase of 2.0%. compared to the same period last year.</w:t>
      </w:r>
    </w:p>
    <w:p w14:paraId="35679555" w14:textId="77777777" w:rsidR="001D5E3A" w:rsidRPr="00F73ED4" w:rsidRDefault="001D5E3A" w:rsidP="001D5E3A">
      <w:pPr>
        <w:jc w:val="both"/>
        <w:rPr>
          <w:rFonts w:ascii="Arial" w:hAnsi="Arial" w:cs="Arial"/>
          <w:b/>
          <w:bCs/>
          <w:sz w:val="24"/>
          <w:szCs w:val="24"/>
          <w:lang w:val="de-DE"/>
        </w:rPr>
      </w:pPr>
    </w:p>
    <w:p w14:paraId="61D89D44" w14:textId="77777777" w:rsidR="001D5E3A" w:rsidRPr="00F73ED4" w:rsidRDefault="001D5E3A" w:rsidP="001D5E3A">
      <w:pPr>
        <w:jc w:val="center"/>
        <w:rPr>
          <w:rFonts w:ascii="Arial" w:hAnsi="Arial" w:cs="Arial"/>
          <w:b/>
          <w:bCs/>
          <w:sz w:val="24"/>
          <w:szCs w:val="24"/>
          <w:lang w:val="de-DE"/>
        </w:rPr>
      </w:pPr>
    </w:p>
    <w:p w14:paraId="4E162D2B" w14:textId="77777777" w:rsidR="001D5E3A" w:rsidRPr="00F73ED4" w:rsidRDefault="001D5E3A" w:rsidP="001D5E3A">
      <w:pPr>
        <w:jc w:val="center"/>
        <w:rPr>
          <w:rFonts w:ascii="Arial" w:hAnsi="Arial" w:cs="Arial"/>
          <w:b/>
          <w:bCs/>
          <w:sz w:val="24"/>
          <w:szCs w:val="24"/>
          <w:lang w:val="de-DE"/>
        </w:rPr>
      </w:pPr>
      <w:r w:rsidRPr="00F73ED4">
        <w:rPr>
          <w:rFonts w:ascii="Arial" w:hAnsi="Arial" w:cs="Arial"/>
          <w:b/>
          <w:bCs/>
          <w:sz w:val="24"/>
          <w:szCs w:val="24"/>
          <w:lang w:val="de-DE"/>
        </w:rPr>
        <w:lastRenderedPageBreak/>
        <w:t xml:space="preserve">Figure 7. Foreign investment capital registered in Vietnam </w:t>
      </w:r>
      <w:r w:rsidRPr="00F73ED4">
        <w:rPr>
          <w:rFonts w:ascii="Arial" w:hAnsi="Arial" w:cs="Arial"/>
          <w:b/>
          <w:bCs/>
          <w:sz w:val="24"/>
          <w:szCs w:val="24"/>
          <w:lang w:val="de-DE"/>
        </w:rPr>
        <w:br/>
        <w:t>as of May 20, 2020-2024 (Billion USD)</w:t>
      </w:r>
    </w:p>
    <w:p w14:paraId="43CFA0F0" w14:textId="77777777" w:rsidR="001D5E3A" w:rsidRDefault="001D5E3A" w:rsidP="001D5E3A">
      <w:pPr>
        <w:jc w:val="center"/>
        <w:rPr>
          <w:rFonts w:ascii="Arial" w:hAnsi="Arial" w:cs="Arial"/>
          <w:b/>
          <w:bCs/>
          <w:sz w:val="24"/>
          <w:szCs w:val="24"/>
          <w:lang w:val="de-DE"/>
        </w:rPr>
      </w:pPr>
    </w:p>
    <w:p w14:paraId="0F5DFA9F" w14:textId="77777777" w:rsidR="001D5E3A" w:rsidRDefault="001D5E3A" w:rsidP="001D5E3A">
      <w:pPr>
        <w:jc w:val="center"/>
        <w:rPr>
          <w:rFonts w:ascii="Arial" w:hAnsi="Arial" w:cs="Arial"/>
          <w:b/>
          <w:bCs/>
          <w:sz w:val="24"/>
          <w:szCs w:val="24"/>
          <w:lang w:val="de-DE"/>
        </w:rPr>
      </w:pPr>
    </w:p>
    <w:p w14:paraId="23645AAA" w14:textId="77777777" w:rsidR="001D5E3A" w:rsidRDefault="001D5E3A" w:rsidP="001D5E3A">
      <w:pPr>
        <w:jc w:val="center"/>
        <w:rPr>
          <w:rFonts w:ascii="Arial" w:hAnsi="Arial" w:cs="Arial"/>
          <w:b/>
          <w:bCs/>
          <w:sz w:val="24"/>
          <w:szCs w:val="24"/>
          <w:lang w:val="de-DE"/>
        </w:rPr>
      </w:pPr>
    </w:p>
    <w:p w14:paraId="5BF6E860" w14:textId="77777777" w:rsidR="001D5E3A" w:rsidRDefault="001D5E3A" w:rsidP="001D5E3A">
      <w:pPr>
        <w:jc w:val="center"/>
        <w:rPr>
          <w:rFonts w:ascii="Arial" w:hAnsi="Arial" w:cs="Arial"/>
          <w:b/>
          <w:bCs/>
          <w:sz w:val="24"/>
          <w:szCs w:val="24"/>
          <w:lang w:val="de-DE"/>
        </w:rPr>
      </w:pPr>
    </w:p>
    <w:p w14:paraId="2A3D82B1" w14:textId="77777777" w:rsidR="001D5E3A" w:rsidRDefault="001D5E3A" w:rsidP="001D5E3A">
      <w:pPr>
        <w:jc w:val="center"/>
        <w:rPr>
          <w:rFonts w:ascii="Arial" w:hAnsi="Arial" w:cs="Arial"/>
          <w:b/>
          <w:bCs/>
          <w:sz w:val="24"/>
          <w:szCs w:val="24"/>
          <w:lang w:val="de-DE"/>
        </w:rPr>
      </w:pPr>
    </w:p>
    <w:p w14:paraId="14CB95A6" w14:textId="77777777" w:rsidR="001D5E3A" w:rsidRDefault="001D5E3A" w:rsidP="001D5E3A">
      <w:pPr>
        <w:jc w:val="center"/>
        <w:rPr>
          <w:rFonts w:ascii="Arial" w:hAnsi="Arial" w:cs="Arial"/>
          <w:b/>
          <w:bCs/>
          <w:sz w:val="24"/>
          <w:szCs w:val="24"/>
          <w:lang w:val="de-DE"/>
        </w:rPr>
      </w:pPr>
    </w:p>
    <w:p w14:paraId="6138B082" w14:textId="77777777" w:rsidR="001D5E3A" w:rsidRPr="00F73ED4" w:rsidRDefault="001D5E3A" w:rsidP="001D5E3A">
      <w:pPr>
        <w:jc w:val="center"/>
        <w:rPr>
          <w:rFonts w:ascii="Arial" w:hAnsi="Arial" w:cs="Arial"/>
          <w:b/>
          <w:bCs/>
          <w:sz w:val="24"/>
          <w:szCs w:val="24"/>
          <w:lang w:val="de-DE"/>
        </w:rPr>
      </w:pPr>
      <w:r>
        <w:rPr>
          <w:noProof/>
        </w:rPr>
        <w:drawing>
          <wp:inline distT="0" distB="0" distL="0" distR="0" wp14:anchorId="50F69169" wp14:editId="1E3546F5">
            <wp:extent cx="5286376" cy="3524250"/>
            <wp:effectExtent l="0" t="0" r="9525" b="0"/>
            <wp:docPr id="1865208290" name="Chart 1865208290">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6D855B3" w14:textId="77777777" w:rsidR="001D5E3A" w:rsidRDefault="001D5E3A" w:rsidP="001D5E3A">
      <w:pPr>
        <w:jc w:val="center"/>
        <w:rPr>
          <w:rFonts w:ascii="Arial" w:hAnsi="Arial" w:cs="Arial"/>
          <w:b/>
          <w:bCs/>
          <w:sz w:val="24"/>
          <w:szCs w:val="24"/>
          <w:lang w:val="de-DE"/>
        </w:rPr>
      </w:pPr>
    </w:p>
    <w:p w14:paraId="445C9223" w14:textId="77777777" w:rsidR="001D5E3A" w:rsidRPr="00F73ED4" w:rsidRDefault="001D5E3A" w:rsidP="001D5E3A">
      <w:pPr>
        <w:jc w:val="center"/>
        <w:rPr>
          <w:rFonts w:ascii="Arial" w:hAnsi="Arial" w:cs="Arial"/>
          <w:b/>
          <w:bCs/>
          <w:sz w:val="24"/>
          <w:szCs w:val="24"/>
          <w:lang w:val="de-DE"/>
        </w:rPr>
      </w:pPr>
    </w:p>
    <w:p w14:paraId="2E5F27F3" w14:textId="77777777" w:rsidR="001D5E3A" w:rsidRPr="00F73ED4" w:rsidRDefault="001D5E3A" w:rsidP="001D5E3A">
      <w:pPr>
        <w:spacing w:after="120" w:line="276" w:lineRule="auto"/>
        <w:ind w:firstLine="567"/>
        <w:jc w:val="both"/>
        <w:rPr>
          <w:iCs/>
          <w:lang w:val="de-DE"/>
        </w:rPr>
      </w:pPr>
      <w:r w:rsidRPr="00F73ED4">
        <w:rPr>
          <w:b/>
          <w:bCs/>
          <w:noProof/>
          <w:lang w:val="de-DE"/>
        </w:rPr>
        <w:softHyphen/>
      </w:r>
      <w:r w:rsidRPr="00F73ED4">
        <w:rPr>
          <w:b/>
          <w:bCs/>
          <w:noProof/>
          <w:lang w:val="de-DE"/>
        </w:rPr>
        <w:softHyphen/>
      </w:r>
      <w:r w:rsidRPr="00F73ED4">
        <w:rPr>
          <w:b/>
          <w:bCs/>
          <w:noProof/>
          <w:lang w:val="de-DE"/>
        </w:rPr>
        <w:softHyphen/>
      </w:r>
      <w:r w:rsidRPr="00F73ED4">
        <w:rPr>
          <w:iCs/>
          <w:lang w:val="de-DE"/>
        </w:rPr>
        <w:t>- Newly registered capital has 1,227 licensed projects with a registered capital of 7.94 billion USD, an increase of 27.5% over the same period last year in the number of projects and an increase of 50.8% in registered capital. sign. Among them, the processing and manufacturing industry has the largest newly licensed foreign direct investment with a registered capital of 5.37 billion USD, accounting for 67.7% of the total newly registered capital; Real estate business activities reached 1.83 billion USD, accounting for 23.1%; The remaining industries reached 730.5 million USD, accounting for 9.2%.</w:t>
      </w:r>
    </w:p>
    <w:p w14:paraId="138C69F3" w14:textId="77777777" w:rsidR="001D5E3A" w:rsidRPr="00F73ED4" w:rsidRDefault="001D5E3A" w:rsidP="001D5E3A">
      <w:pPr>
        <w:spacing w:after="120" w:line="276" w:lineRule="auto"/>
        <w:ind w:firstLine="567"/>
        <w:jc w:val="both"/>
        <w:rPr>
          <w:iCs/>
          <w:lang w:val="de-DE"/>
        </w:rPr>
      </w:pPr>
      <w:r w:rsidRPr="00F73ED4">
        <w:rPr>
          <w:iCs/>
          <w:lang w:val="de-DE"/>
        </w:rPr>
        <w:t>Among the 53 countries and territories with new licensed investment projects in Vietnam in the first five months of 2024, Singapore is the largest investor with 2.92 b</w:t>
      </w:r>
      <w:r>
        <w:rPr>
          <w:iCs/>
          <w:lang w:val="de-DE"/>
        </w:rPr>
        <w:t>illion USD, accounting for 36.8</w:t>
      </w:r>
      <w:r w:rsidRPr="00F73ED4">
        <w:rPr>
          <w:iCs/>
          <w:lang w:val="de-DE"/>
        </w:rPr>
        <w:t xml:space="preserve">% of total newly registered capital; followed by Hong Kong Special Administrative Region (China) with 957.2 million USD, </w:t>
      </w:r>
      <w:r w:rsidRPr="00F73ED4">
        <w:rPr>
          <w:iCs/>
          <w:lang w:val="de-DE"/>
        </w:rPr>
        <w:lastRenderedPageBreak/>
        <w:t>accounting for 12.1%; Japan 947.7 million USD, accounting for 11.9%; China 926.1 million USD, accounting for 11.7</w:t>
      </w:r>
      <w:r w:rsidRPr="00F73ED4">
        <w:rPr>
          <w:iCs/>
          <w:lang w:val="vi-VN"/>
        </w:rPr>
        <w:t>%</w:t>
      </w:r>
      <w:r w:rsidRPr="00F73ED4">
        <w:rPr>
          <w:iCs/>
          <w:lang w:val="de-DE"/>
        </w:rPr>
        <w:t>; Türkiye 730.1 million USD, accounting for 9.2%; Taiwan 517.1 million USD, accounting for 6.5%.</w:t>
      </w:r>
    </w:p>
    <w:p w14:paraId="0CC94C7F" w14:textId="77777777" w:rsidR="001D5E3A" w:rsidRPr="00F73ED4" w:rsidRDefault="001D5E3A" w:rsidP="001D5E3A">
      <w:pPr>
        <w:spacing w:after="120" w:line="276" w:lineRule="auto"/>
        <w:ind w:firstLine="567"/>
        <w:jc w:val="both"/>
        <w:rPr>
          <w:iCs/>
          <w:lang w:val="de-DE"/>
        </w:rPr>
      </w:pPr>
      <w:r w:rsidRPr="00F73ED4">
        <w:rPr>
          <w:iCs/>
          <w:lang w:val="de-DE"/>
        </w:rPr>
        <w:t>- Adjusted registered capital: 440 projects licensed from previous years registered to adjust their investment capital by 2.08 billion USD, down 8.7% over the same period last year.</w:t>
      </w:r>
    </w:p>
    <w:p w14:paraId="218866FA" w14:textId="77777777" w:rsidR="001D5E3A" w:rsidRPr="00F73ED4" w:rsidRDefault="001D5E3A" w:rsidP="001D5E3A">
      <w:pPr>
        <w:spacing w:after="120" w:line="276" w:lineRule="auto"/>
        <w:ind w:firstLine="567"/>
        <w:jc w:val="both"/>
        <w:rPr>
          <w:iCs/>
          <w:lang w:val="de-DE"/>
        </w:rPr>
      </w:pPr>
      <w:r w:rsidRPr="00F73ED4">
        <w:rPr>
          <w:iCs/>
          <w:lang w:val="de-DE"/>
        </w:rPr>
        <w:t>If including new registered capital and adjusted registered capital of projects licensed in previous years, registered foreign direct investment capital in the processing and manufacturing industry reached 7.2 billion USD, accounting for 71.8% of total newly registered and increased capital; Real estate business activities reached 1.91 billion USD, accounting for 19.0%; The remaining industries reached 916.8 million USD, accounting for 9.2%.</w:t>
      </w:r>
    </w:p>
    <w:p w14:paraId="08E33933" w14:textId="77777777" w:rsidR="001D5E3A" w:rsidRPr="00F73ED4" w:rsidRDefault="001D5E3A" w:rsidP="001D5E3A">
      <w:pPr>
        <w:spacing w:after="120" w:line="276" w:lineRule="auto"/>
        <w:ind w:firstLine="567"/>
        <w:jc w:val="both"/>
        <w:rPr>
          <w:iCs/>
          <w:lang w:val="de-DE"/>
        </w:rPr>
      </w:pPr>
      <w:r w:rsidRPr="00F73ED4">
        <w:rPr>
          <w:iCs/>
          <w:lang w:val="de-DE"/>
        </w:rPr>
        <w:t xml:space="preserve">- Registered capital for capital contribution and share purchase by foreign investors was 1,158 times with a total capital contribution value of 1.05 billion USD, down 68.2% over the same period last year. Of these, there were 427 capital contributions and share purchases to increase the enterprise's charter capital with a capital contribution value of 580.7 million USD; 731 times foreign investors bought back domestic shares without increasing charter capital with a value of 472.6 million USD. For the form of capital contribution and share purchase by foreign investors, capital invested in professional activities and </w:t>
      </w:r>
      <w:r>
        <w:rPr>
          <w:iCs/>
          <w:lang w:val="de-DE"/>
        </w:rPr>
        <w:t>science and technology warehouses reached 253.3 million USD, accounting for 24.1%; Warehousing and transportation activities reached 198.4 million USD, accounting for 18.8% of capital contribution value; The remaining industries 601.6 million USD, accounting for 57.1%.</w:t>
      </w:r>
    </w:p>
    <w:p w14:paraId="10160BBC" w14:textId="77777777" w:rsidR="001D5E3A" w:rsidRPr="00F73ED4" w:rsidRDefault="001D5E3A" w:rsidP="001D5E3A">
      <w:pPr>
        <w:spacing w:after="120" w:line="276" w:lineRule="auto"/>
        <w:ind w:firstLine="567"/>
        <w:jc w:val="both"/>
        <w:rPr>
          <w:rFonts w:ascii="Arial" w:hAnsi="Arial" w:cs="Arial"/>
          <w:b/>
          <w:bCs/>
          <w:sz w:val="24"/>
          <w:lang w:val="de-DE"/>
        </w:rPr>
      </w:pPr>
      <w:r w:rsidRPr="00F73ED4">
        <w:rPr>
          <w:i/>
          <w:iCs/>
          <w:lang w:val="de-DE"/>
        </w:rPr>
        <w:t xml:space="preserve">Foreign direct investment capital in Vietnam </w:t>
      </w:r>
      <w:r w:rsidRPr="00F73ED4">
        <w:rPr>
          <w:iCs/>
          <w:lang w:val="de-DE"/>
        </w:rPr>
        <w:t>in the first five months of 2024 is estimated to reach 8.25 billion USD, up 7.8% over the same period last year. This is the highest amount of realized foreign direct investment capital in the first five months of the year in the past 5 years. Of which: Processing and manufacturing industry reached 6.5 billion USD, accounting for 78.9% of total realized foreign direct investment capital; Real estate business activities reached 781.0 million USD, accounting for 9.5%; Production and distribution of electricity, gas, hot water, steam and air conditioning reached 336.2 million USD, accounting for 4.1%.</w:t>
      </w:r>
    </w:p>
    <w:p w14:paraId="38CCD33C" w14:textId="77777777" w:rsidR="001D5E3A" w:rsidRDefault="001D5E3A" w:rsidP="001D5E3A">
      <w:pPr>
        <w:jc w:val="center"/>
        <w:rPr>
          <w:rFonts w:ascii="Arial" w:hAnsi="Arial" w:cs="Arial"/>
          <w:b/>
          <w:bCs/>
          <w:sz w:val="24"/>
          <w:lang w:val="de-DE"/>
        </w:rPr>
      </w:pPr>
      <w:r w:rsidRPr="00F73ED4">
        <w:rPr>
          <w:rFonts w:ascii="Arial" w:hAnsi="Arial" w:cs="Arial"/>
          <w:b/>
          <w:bCs/>
          <w:sz w:val="24"/>
          <w:lang w:val="de-DE"/>
        </w:rPr>
        <w:t xml:space="preserve">Figure 8. Realized foreign direct investment capital in </w:t>
      </w:r>
      <w:r w:rsidRPr="00F73ED4">
        <w:rPr>
          <w:rFonts w:ascii="Arial" w:hAnsi="Arial" w:cs="Arial"/>
          <w:b/>
          <w:bCs/>
          <w:sz w:val="24"/>
          <w:lang w:val="de-DE"/>
        </w:rPr>
        <w:br/>
        <w:t>the first 5 months of 2020-2024 (Billion USD)</w:t>
      </w:r>
    </w:p>
    <w:p w14:paraId="24D07785" w14:textId="77777777" w:rsidR="001D5E3A" w:rsidRPr="00F73ED4" w:rsidRDefault="001D5E3A" w:rsidP="001D5E3A">
      <w:pPr>
        <w:jc w:val="center"/>
        <w:rPr>
          <w:rFonts w:ascii="Arial" w:hAnsi="Arial" w:cs="Arial"/>
          <w:b/>
          <w:bCs/>
          <w:sz w:val="24"/>
          <w:lang w:val="de-DE"/>
        </w:rPr>
      </w:pPr>
    </w:p>
    <w:p w14:paraId="6C85F12C" w14:textId="77777777" w:rsidR="001D5E3A" w:rsidRDefault="001D5E3A" w:rsidP="001D5E3A">
      <w:pPr>
        <w:jc w:val="center"/>
        <w:rPr>
          <w:rFonts w:ascii="Arial" w:hAnsi="Arial" w:cs="Arial"/>
          <w:b/>
          <w:bCs/>
          <w:sz w:val="24"/>
          <w:lang w:val="de-DE"/>
        </w:rPr>
      </w:pPr>
      <w:r w:rsidRPr="00F73ED4">
        <w:rPr>
          <w:noProof/>
        </w:rPr>
        <w:lastRenderedPageBreak/>
        <w:drawing>
          <wp:inline distT="0" distB="0" distL="0" distR="0" wp14:anchorId="7CEFE85C" wp14:editId="1AB21CF1">
            <wp:extent cx="4572000" cy="1955800"/>
            <wp:effectExtent l="0" t="0" r="0" b="6350"/>
            <wp:docPr id="252512939"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982063D" w14:textId="77777777" w:rsidR="001D5E3A" w:rsidRPr="00F73ED4" w:rsidRDefault="001D5E3A" w:rsidP="001D5E3A">
      <w:pPr>
        <w:jc w:val="center"/>
        <w:rPr>
          <w:rFonts w:ascii="Arial" w:hAnsi="Arial" w:cs="Arial"/>
          <w:b/>
          <w:bCs/>
          <w:sz w:val="24"/>
          <w:lang w:val="de-DE"/>
        </w:rPr>
      </w:pPr>
    </w:p>
    <w:p w14:paraId="3C3649AC" w14:textId="77777777" w:rsidR="001D5E3A" w:rsidRPr="00F73ED4" w:rsidRDefault="001D5E3A" w:rsidP="001D5E3A">
      <w:pPr>
        <w:spacing w:after="120" w:line="276" w:lineRule="auto"/>
        <w:ind w:firstLine="567"/>
        <w:jc w:val="both"/>
        <w:rPr>
          <w:i/>
          <w:iCs/>
          <w:lang w:val="de-DE"/>
        </w:rPr>
      </w:pPr>
      <w:r w:rsidRPr="00F73ED4">
        <w:rPr>
          <w:i/>
          <w:iCs/>
          <w:lang w:val="de-DE"/>
        </w:rPr>
        <w:t xml:space="preserve">Vietnam's investment abroad </w:t>
      </w:r>
      <w:r w:rsidRPr="00F73ED4">
        <w:rPr>
          <w:iCs/>
          <w:lang w:val="de-DE"/>
        </w:rPr>
        <w:t>in the first five months of 2024 has 42 projects newly granted investment certificates with a total Vietnamese capital of 103.5 million USD, down 27.5% over the same period. last year; There were 10 projects with capital adjusted with an increase of 32.5 million USD, a decrease of 81.3%.</w:t>
      </w:r>
    </w:p>
    <w:p w14:paraId="09B51A76" w14:textId="77777777" w:rsidR="001D5E3A" w:rsidRPr="00F73ED4" w:rsidRDefault="001D5E3A" w:rsidP="001D5E3A">
      <w:pPr>
        <w:spacing w:after="120" w:line="276" w:lineRule="auto"/>
        <w:ind w:firstLine="567"/>
        <w:jc w:val="both"/>
        <w:rPr>
          <w:iCs/>
          <w:lang w:val="de-DE"/>
        </w:rPr>
      </w:pPr>
      <w:r w:rsidRPr="00F73ED4">
        <w:rPr>
          <w:iCs/>
          <w:lang w:val="de-DE"/>
        </w:rPr>
        <w:t>In the first five months of 2024, Vietnam's total investment capital abroad (new and adjusted capital) reached 136.1 million USD, down 57.0% over the same period last year. Of which: Mining reached 58.6 million USD, accounting for 43.1% of total investment capital; Processing and manufacturing industry reached 32.5 million USD, accounting for 23.9%; wholesale and retail, repair of cars, motorbikes, motorbikes and other motor vehicles reached 11.3 million USD, accounting for 8.3%; Other services reached 10.0 million USD, accounting for 7.4%; Construction activities reached 5.5 million USD, accounting for 4.0%.</w:t>
      </w:r>
    </w:p>
    <w:p w14:paraId="03C4E595" w14:textId="77777777" w:rsidR="001D5E3A" w:rsidRDefault="001D5E3A" w:rsidP="001D5E3A">
      <w:pPr>
        <w:spacing w:after="120" w:line="276" w:lineRule="auto"/>
        <w:ind w:firstLine="567"/>
        <w:jc w:val="both"/>
        <w:rPr>
          <w:iCs/>
          <w:lang w:val="de-DE"/>
        </w:rPr>
      </w:pPr>
      <w:r w:rsidRPr="00F73ED4">
        <w:rPr>
          <w:iCs/>
          <w:lang w:val="de-DE"/>
        </w:rPr>
        <w:t>In the first five months of 2024, there are 16 countries and territories receiving investment from Vietnam, of which: the Netherlands is the leading country with 54.6 million USD, accounting for 40.1% of total investment capital; Laos 50.0 million USD, accounting for 36.8%; United States 7.7 million USD, accounting for 5.6%; New Zealand 5.9 million USD, accounting for 4.3%; Indonesia 5.5 million USD, accounting for 4.0%.</w:t>
      </w:r>
    </w:p>
    <w:p w14:paraId="5DED28AD" w14:textId="77777777" w:rsidR="00164C93" w:rsidRPr="00B57839" w:rsidRDefault="00164C93" w:rsidP="00164C93">
      <w:pPr>
        <w:spacing w:after="40" w:line="264" w:lineRule="auto"/>
        <w:ind w:firstLine="567"/>
        <w:jc w:val="both"/>
        <w:rPr>
          <w:b/>
          <w:bCs/>
          <w:color w:val="000000" w:themeColor="text1"/>
          <w:lang w:val="de-DE"/>
        </w:rPr>
      </w:pPr>
      <w:r w:rsidRPr="00B57839">
        <w:rPr>
          <w:b/>
          <w:bCs/>
          <w:color w:val="000000" w:themeColor="text1"/>
          <w:lang w:val="af-ZA"/>
        </w:rPr>
        <w:t xml:space="preserve">5. </w:t>
      </w:r>
      <w:r w:rsidRPr="00B57839">
        <w:rPr>
          <w:b/>
          <w:bCs/>
          <w:color w:val="000000" w:themeColor="text1"/>
          <w:lang w:val="de-DE"/>
        </w:rPr>
        <w:t>State budget revenue and expenditure</w:t>
      </w:r>
      <w:r w:rsidRPr="00B57839">
        <w:rPr>
          <w:b/>
          <w:bCs/>
          <w:color w:val="000000" w:themeColor="text1"/>
          <w:vertAlign w:val="superscript"/>
          <w:lang w:val="en-GB"/>
        </w:rPr>
        <w:footnoteReference w:id="11"/>
      </w:r>
    </w:p>
    <w:p w14:paraId="6E3E6816" w14:textId="77777777" w:rsidR="00164C93" w:rsidRPr="00B57839" w:rsidRDefault="00164C93" w:rsidP="00164C93">
      <w:pPr>
        <w:spacing w:after="40" w:line="264" w:lineRule="auto"/>
        <w:ind w:firstLine="567"/>
        <w:jc w:val="both"/>
        <w:rPr>
          <w:b/>
          <w:color w:val="000000" w:themeColor="text1"/>
          <w:lang w:val="nl-NL"/>
        </w:rPr>
      </w:pPr>
      <w:r w:rsidRPr="00B57839">
        <w:rPr>
          <w:i/>
          <w:color w:val="000000" w:themeColor="text1"/>
          <w:lang w:val="nl-NL"/>
        </w:rPr>
        <w:t>State budget revenue in the first 5 months of 2024 is estimated to increase by 14.8% over the same period last year</w:t>
      </w:r>
      <w:r w:rsidRPr="00B57839">
        <w:rPr>
          <w:i/>
          <w:color w:val="000000" w:themeColor="text1"/>
          <w:lang w:val="vi-VN"/>
        </w:rPr>
        <w:t xml:space="preserve">. </w:t>
      </w:r>
      <w:r w:rsidRPr="00B57839">
        <w:rPr>
          <w:i/>
          <w:color w:val="000000" w:themeColor="text1"/>
          <w:lang w:val="nl-NL"/>
        </w:rPr>
        <w:t xml:space="preserve">State budget expenditure </w:t>
      </w:r>
      <w:r>
        <w:rPr>
          <w:i/>
          <w:color w:val="000000" w:themeColor="text1"/>
          <w:lang w:val="nl-NL"/>
        </w:rPr>
        <w:t>wa</w:t>
      </w:r>
      <w:r w:rsidRPr="00B57839">
        <w:rPr>
          <w:i/>
          <w:color w:val="000000" w:themeColor="text1"/>
          <w:lang w:val="nl-NL"/>
        </w:rPr>
        <w:t xml:space="preserve">s estimated to increase by </w:t>
      </w:r>
      <w:r>
        <w:rPr>
          <w:i/>
          <w:color w:val="000000" w:themeColor="text1"/>
        </w:rPr>
        <w:t>0.5</w:t>
      </w:r>
      <w:r w:rsidRPr="00B57839">
        <w:rPr>
          <w:i/>
          <w:color w:val="000000" w:themeColor="text1"/>
          <w:lang w:val="nl-NL"/>
        </w:rPr>
        <w:t>% over the same period in 2023, ensuring the needs of socio-</w:t>
      </w:r>
      <w:r w:rsidRPr="00B57839">
        <w:rPr>
          <w:i/>
          <w:color w:val="000000" w:themeColor="text1"/>
          <w:lang w:val="nl-NL"/>
        </w:rPr>
        <w:lastRenderedPageBreak/>
        <w:t xml:space="preserve">economic development, defense, security, state management, payment of due debts as well as such as making timely payments </w:t>
      </w:r>
      <w:r w:rsidRPr="00226BEB">
        <w:rPr>
          <w:i/>
          <w:lang w:val="nl-NL"/>
        </w:rPr>
        <w:t>for specified objects</w:t>
      </w:r>
      <w:r w:rsidRPr="00226BEB">
        <w:rPr>
          <w:i/>
          <w:spacing w:val="-2"/>
          <w:lang w:val="nl-NL"/>
        </w:rPr>
        <w:t>.</w:t>
      </w:r>
      <w:r w:rsidRPr="00B57839">
        <w:rPr>
          <w:b/>
          <w:color w:val="000000" w:themeColor="text1"/>
          <w:lang w:val="nl-NL"/>
        </w:rPr>
        <w:t xml:space="preserve"> </w:t>
      </w:r>
    </w:p>
    <w:p w14:paraId="6B2BFBC4" w14:textId="77777777" w:rsidR="00164C93" w:rsidRPr="00B57839" w:rsidRDefault="00164C93" w:rsidP="00164C93">
      <w:pPr>
        <w:jc w:val="center"/>
        <w:rPr>
          <w:rFonts w:ascii="Arial" w:hAnsi="Arial" w:cs="Arial"/>
          <w:b/>
          <w:color w:val="000000" w:themeColor="text1"/>
          <w:sz w:val="24"/>
          <w:szCs w:val="24"/>
          <w:lang w:val="vi-VN"/>
        </w:rPr>
      </w:pPr>
      <w:r w:rsidRPr="00B57839">
        <w:rPr>
          <w:rFonts w:ascii="Arial" w:hAnsi="Arial" w:cs="Arial"/>
          <w:b/>
          <w:color w:val="000000" w:themeColor="text1"/>
          <w:sz w:val="24"/>
          <w:szCs w:val="24"/>
          <w:lang w:val="nl-NL"/>
        </w:rPr>
        <w:t>Figure 10. State budget revenues an</w:t>
      </w:r>
      <w:r>
        <w:rPr>
          <w:rFonts w:ascii="Arial" w:hAnsi="Arial" w:cs="Arial"/>
          <w:b/>
          <w:color w:val="000000" w:themeColor="text1"/>
          <w:sz w:val="24"/>
          <w:szCs w:val="24"/>
          <w:lang w:val="nl-NL"/>
        </w:rPr>
        <w:t>d expenditures</w:t>
      </w:r>
      <w:r>
        <w:rPr>
          <w:rFonts w:ascii="Arial" w:hAnsi="Arial" w:cs="Arial"/>
          <w:b/>
          <w:color w:val="000000" w:themeColor="text1"/>
          <w:sz w:val="24"/>
          <w:szCs w:val="24"/>
          <w:lang w:val="nl-NL"/>
        </w:rPr>
        <w:br/>
      </w:r>
      <w:r w:rsidRPr="00B57839">
        <w:rPr>
          <w:rFonts w:ascii="Arial" w:hAnsi="Arial" w:cs="Arial"/>
          <w:b/>
          <w:color w:val="000000" w:themeColor="text1"/>
          <w:sz w:val="24"/>
          <w:szCs w:val="24"/>
          <w:lang w:val="nl-NL"/>
        </w:rPr>
        <w:t>in the first 5 months of 2024</w:t>
      </w:r>
    </w:p>
    <w:p w14:paraId="11667E13" w14:textId="77777777" w:rsidR="00164C93" w:rsidRPr="00B57839" w:rsidRDefault="00164C93" w:rsidP="00164C93">
      <w:pPr>
        <w:jc w:val="center"/>
        <w:rPr>
          <w:rFonts w:ascii="Arial" w:hAnsi="Arial" w:cs="Arial"/>
          <w:b/>
          <w:color w:val="FF0000"/>
          <w:sz w:val="24"/>
          <w:szCs w:val="24"/>
          <w:lang w:val="vi-VN"/>
        </w:rPr>
      </w:pPr>
      <w:r>
        <w:rPr>
          <w:rFonts w:ascii="Arial" w:hAnsi="Arial" w:cs="Arial"/>
          <w:b/>
          <w:noProof/>
          <w:color w:val="FF0000"/>
          <w:sz w:val="24"/>
          <w:szCs w:val="24"/>
        </w:rPr>
        <w:drawing>
          <wp:inline distT="0" distB="0" distL="0" distR="0" wp14:anchorId="3568639E" wp14:editId="119CD9EE">
            <wp:extent cx="5732145" cy="2392045"/>
            <wp:effectExtent l="0" t="0" r="1905" b="8255"/>
            <wp:docPr id="1041527950" name="Picture 1041527950" descr="A diagram of a balance with money and piggy ban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527950" name="Picture 1041527950" descr="A diagram of a balance with money and piggy bank&#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2145" cy="2392045"/>
                    </a:xfrm>
                    <a:prstGeom prst="rect">
                      <a:avLst/>
                    </a:prstGeom>
                  </pic:spPr>
                </pic:pic>
              </a:graphicData>
            </a:graphic>
          </wp:inline>
        </w:drawing>
      </w:r>
    </w:p>
    <w:p w14:paraId="23FF59B9" w14:textId="77777777" w:rsidR="00164C93" w:rsidRPr="00B57839" w:rsidRDefault="00164C93" w:rsidP="00164C93">
      <w:pPr>
        <w:spacing w:after="80" w:line="288" w:lineRule="auto"/>
        <w:ind w:firstLine="567"/>
        <w:jc w:val="both"/>
        <w:rPr>
          <w:b/>
          <w:i/>
          <w:color w:val="000000" w:themeColor="text1"/>
          <w:sz w:val="10"/>
          <w:lang w:val="it-IT"/>
        </w:rPr>
      </w:pPr>
    </w:p>
    <w:p w14:paraId="1621D83D" w14:textId="77777777" w:rsidR="00164C93" w:rsidRPr="00B57839" w:rsidRDefault="00164C93" w:rsidP="00164C93">
      <w:pPr>
        <w:spacing w:after="80" w:line="288" w:lineRule="auto"/>
        <w:ind w:firstLine="567"/>
        <w:jc w:val="both"/>
        <w:rPr>
          <w:b/>
          <w:i/>
          <w:color w:val="000000" w:themeColor="text1"/>
          <w:lang w:val="it-IT"/>
        </w:rPr>
      </w:pPr>
      <w:r>
        <w:rPr>
          <w:b/>
          <w:i/>
          <w:color w:val="000000" w:themeColor="text1"/>
          <w:lang w:val="it-IT"/>
        </w:rPr>
        <w:t>State budget revenue</w:t>
      </w:r>
    </w:p>
    <w:p w14:paraId="2B716152" w14:textId="77777777" w:rsidR="00164C93" w:rsidRPr="00B57839" w:rsidRDefault="00164C93" w:rsidP="00164C93">
      <w:pPr>
        <w:spacing w:before="120" w:after="120" w:line="312" w:lineRule="auto"/>
        <w:ind w:firstLine="567"/>
        <w:jc w:val="both"/>
        <w:rPr>
          <w:color w:val="000000" w:themeColor="text1"/>
          <w:lang w:val="nl-NL"/>
        </w:rPr>
      </w:pPr>
      <w:r w:rsidRPr="00B57839">
        <w:rPr>
          <w:color w:val="000000" w:themeColor="text1"/>
          <w:lang w:val="it-IT"/>
        </w:rPr>
        <w:t>Total St</w:t>
      </w:r>
      <w:r>
        <w:rPr>
          <w:color w:val="000000" w:themeColor="text1"/>
          <w:lang w:val="it-IT"/>
        </w:rPr>
        <w:t>ate budget revenue in May 2024 wa</w:t>
      </w:r>
      <w:r w:rsidRPr="00B57839">
        <w:rPr>
          <w:color w:val="000000" w:themeColor="text1"/>
          <w:lang w:val="it-IT"/>
        </w:rPr>
        <w:t xml:space="preserve">s estimated </w:t>
      </w:r>
      <w:r>
        <w:rPr>
          <w:color w:val="000000" w:themeColor="text1"/>
          <w:lang w:val="it-IT"/>
        </w:rPr>
        <w:t>at</w:t>
      </w:r>
      <w:r w:rsidRPr="00B57839">
        <w:rPr>
          <w:color w:val="000000" w:themeColor="text1"/>
          <w:lang w:val="it-IT"/>
        </w:rPr>
        <w:t xml:space="preserve"> </w:t>
      </w:r>
      <w:r w:rsidRPr="00B57839">
        <w:rPr>
          <w:color w:val="000000" w:themeColor="text1"/>
        </w:rPr>
        <w:t xml:space="preserve">150.9 </w:t>
      </w:r>
      <w:r w:rsidRPr="00B57839">
        <w:rPr>
          <w:color w:val="000000" w:themeColor="text1"/>
          <w:lang w:val="nl-NL"/>
        </w:rPr>
        <w:t>trillion VND</w:t>
      </w:r>
      <w:r w:rsidRPr="00B57839">
        <w:rPr>
          <w:color w:val="000000" w:themeColor="text1"/>
          <w:lang w:val="it-IT"/>
        </w:rPr>
        <w:t xml:space="preserve">. </w:t>
      </w:r>
      <w:r>
        <w:rPr>
          <w:color w:val="000000" w:themeColor="text1"/>
          <w:lang w:val="it-IT"/>
        </w:rPr>
        <w:t>Acc</w:t>
      </w:r>
      <w:r w:rsidRPr="00B57839">
        <w:rPr>
          <w:color w:val="000000" w:themeColor="text1"/>
          <w:lang w:val="it-IT"/>
        </w:rPr>
        <w:t>umulate</w:t>
      </w:r>
      <w:r>
        <w:rPr>
          <w:color w:val="000000" w:themeColor="text1"/>
          <w:lang w:val="it-IT"/>
        </w:rPr>
        <w:t>d</w:t>
      </w:r>
      <w:r w:rsidRPr="00B57839">
        <w:rPr>
          <w:color w:val="000000" w:themeColor="text1"/>
          <w:lang w:val="it-IT"/>
        </w:rPr>
        <w:t xml:space="preserve"> total </w:t>
      </w:r>
      <w:r>
        <w:rPr>
          <w:color w:val="000000" w:themeColor="text1"/>
          <w:lang w:val="it-IT"/>
        </w:rPr>
        <w:t>s</w:t>
      </w:r>
      <w:r w:rsidRPr="00B57839">
        <w:rPr>
          <w:color w:val="000000" w:themeColor="text1"/>
          <w:lang w:val="it-IT"/>
        </w:rPr>
        <w:t>tate budget revenue</w:t>
      </w:r>
      <w:r>
        <w:rPr>
          <w:color w:val="000000" w:themeColor="text1"/>
          <w:lang w:val="it-IT"/>
        </w:rPr>
        <w:t xml:space="preserve"> in the first 5 months of 2024 wa</w:t>
      </w:r>
      <w:r w:rsidRPr="00B57839">
        <w:rPr>
          <w:color w:val="000000" w:themeColor="text1"/>
          <w:lang w:val="it-IT"/>
        </w:rPr>
        <w:t xml:space="preserve">s estimated at </w:t>
      </w:r>
      <w:r w:rsidRPr="00B57839">
        <w:rPr>
          <w:color w:val="000000" w:themeColor="text1"/>
        </w:rPr>
        <w:t xml:space="preserve">898.4 </w:t>
      </w:r>
      <w:r w:rsidRPr="00B57839">
        <w:rPr>
          <w:color w:val="000000" w:themeColor="text1"/>
          <w:lang w:val="it-IT"/>
        </w:rPr>
        <w:t>trillion VND, equal</w:t>
      </w:r>
      <w:r>
        <w:rPr>
          <w:color w:val="000000" w:themeColor="text1"/>
          <w:lang w:val="it-IT"/>
        </w:rPr>
        <w:t>ing</w:t>
      </w:r>
      <w:r w:rsidRPr="00B57839">
        <w:rPr>
          <w:color w:val="000000" w:themeColor="text1"/>
          <w:lang w:val="it-IT"/>
        </w:rPr>
        <w:t xml:space="preserve"> to </w:t>
      </w:r>
      <w:r>
        <w:rPr>
          <w:color w:val="000000" w:themeColor="text1"/>
        </w:rPr>
        <w:t>52.8</w:t>
      </w:r>
      <w:r w:rsidRPr="00B57839">
        <w:rPr>
          <w:color w:val="000000" w:themeColor="text1"/>
          <w:lang w:val="it-IT"/>
        </w:rPr>
        <w:t>% of the year estimate and up 14.8%</w:t>
      </w:r>
      <w:r>
        <w:rPr>
          <w:color w:val="000000" w:themeColor="text1"/>
          <w:lang w:val="it-IT"/>
        </w:rPr>
        <w:t xml:space="preserve"> over the same period last year</w:t>
      </w:r>
      <w:r w:rsidRPr="00B57839">
        <w:rPr>
          <w:color w:val="000000" w:themeColor="text1"/>
          <w:lang w:val="nl-NL"/>
        </w:rPr>
        <w:t xml:space="preserve">. </w:t>
      </w:r>
      <w:r>
        <w:rPr>
          <w:color w:val="000000" w:themeColor="text1"/>
          <w:lang w:val="nl-NL"/>
        </w:rPr>
        <w:t>S</w:t>
      </w:r>
      <w:r w:rsidRPr="00B57839">
        <w:rPr>
          <w:color w:val="000000" w:themeColor="text1"/>
          <w:lang w:val="nl-NL"/>
        </w:rPr>
        <w:t>ome</w:t>
      </w:r>
      <w:r>
        <w:rPr>
          <w:color w:val="000000" w:themeColor="text1"/>
          <w:lang w:val="nl-NL"/>
        </w:rPr>
        <w:t xml:space="preserve"> of the</w:t>
      </w:r>
      <w:r w:rsidRPr="00B57839">
        <w:rPr>
          <w:color w:val="000000" w:themeColor="text1"/>
          <w:lang w:val="nl-NL"/>
        </w:rPr>
        <w:t xml:space="preserve"> main revenues are as follows:</w:t>
      </w:r>
    </w:p>
    <w:p w14:paraId="37AF535E" w14:textId="77777777" w:rsidR="00164C93" w:rsidRPr="00B57839" w:rsidRDefault="00164C93" w:rsidP="00164C93">
      <w:pPr>
        <w:spacing w:before="120" w:after="120" w:line="312" w:lineRule="auto"/>
        <w:ind w:firstLine="567"/>
        <w:jc w:val="both"/>
        <w:rPr>
          <w:color w:val="000000" w:themeColor="text1"/>
          <w:lang w:val="nl-NL"/>
        </w:rPr>
      </w:pPr>
      <w:r w:rsidRPr="00B57839">
        <w:rPr>
          <w:i/>
          <w:color w:val="000000" w:themeColor="text1"/>
          <w:lang w:val="nl-NL"/>
        </w:rPr>
        <w:t xml:space="preserve">- Domestic revenue </w:t>
      </w:r>
      <w:r>
        <w:rPr>
          <w:color w:val="000000" w:themeColor="text1"/>
          <w:lang w:val="nl-NL"/>
        </w:rPr>
        <w:t>in May 2024 wa</w:t>
      </w:r>
      <w:r w:rsidRPr="00B57839">
        <w:rPr>
          <w:color w:val="000000" w:themeColor="text1"/>
          <w:lang w:val="nl-NL"/>
        </w:rPr>
        <w:t xml:space="preserve">s estimated </w:t>
      </w:r>
      <w:r>
        <w:rPr>
          <w:color w:val="000000" w:themeColor="text1"/>
          <w:lang w:val="nl-NL"/>
        </w:rPr>
        <w:t>at</w:t>
      </w:r>
      <w:r w:rsidRPr="00B57839">
        <w:rPr>
          <w:color w:val="000000" w:themeColor="text1"/>
          <w:lang w:val="nl-NL"/>
        </w:rPr>
        <w:t xml:space="preserve"> </w:t>
      </w:r>
      <w:r w:rsidRPr="00B57839">
        <w:rPr>
          <w:color w:val="000000" w:themeColor="text1"/>
        </w:rPr>
        <w:t xml:space="preserve">118.4 </w:t>
      </w:r>
      <w:r w:rsidRPr="00B57839">
        <w:rPr>
          <w:color w:val="000000" w:themeColor="text1"/>
          <w:lang w:val="nl-NL"/>
        </w:rPr>
        <w:t xml:space="preserve">trillion VND. Accumulated for the first 5 months of 2024 </w:t>
      </w:r>
      <w:r>
        <w:rPr>
          <w:color w:val="000000" w:themeColor="text1"/>
          <w:lang w:val="nl-NL"/>
        </w:rPr>
        <w:t>wa</w:t>
      </w:r>
      <w:r w:rsidRPr="00B57839">
        <w:rPr>
          <w:color w:val="000000" w:themeColor="text1"/>
          <w:lang w:val="nl-NL"/>
        </w:rPr>
        <w:t xml:space="preserve">s estimated </w:t>
      </w:r>
      <w:r>
        <w:rPr>
          <w:color w:val="000000" w:themeColor="text1"/>
          <w:lang w:val="nl-NL"/>
        </w:rPr>
        <w:t>at</w:t>
      </w:r>
      <w:r w:rsidRPr="00B57839">
        <w:rPr>
          <w:color w:val="000000" w:themeColor="text1"/>
          <w:lang w:val="nl-NL"/>
        </w:rPr>
        <w:t xml:space="preserve"> </w:t>
      </w:r>
      <w:r w:rsidRPr="00B57839">
        <w:rPr>
          <w:color w:val="000000" w:themeColor="text1"/>
        </w:rPr>
        <w:t xml:space="preserve">757.5 </w:t>
      </w:r>
      <w:r w:rsidRPr="00B57839">
        <w:rPr>
          <w:color w:val="000000" w:themeColor="text1"/>
          <w:lang w:val="nl-NL"/>
        </w:rPr>
        <w:t>trillion VND, equal</w:t>
      </w:r>
      <w:r>
        <w:rPr>
          <w:color w:val="000000" w:themeColor="text1"/>
          <w:lang w:val="nl-NL"/>
        </w:rPr>
        <w:t>ing</w:t>
      </w:r>
      <w:r w:rsidRPr="00B57839">
        <w:rPr>
          <w:color w:val="000000" w:themeColor="text1"/>
          <w:lang w:val="nl-NL"/>
        </w:rPr>
        <w:t xml:space="preserve"> </w:t>
      </w:r>
      <w:r w:rsidRPr="00B57839">
        <w:rPr>
          <w:color w:val="000000" w:themeColor="text1"/>
        </w:rPr>
        <w:t xml:space="preserve">52.4 </w:t>
      </w:r>
      <w:r w:rsidRPr="00B57839">
        <w:rPr>
          <w:color w:val="000000" w:themeColor="text1"/>
          <w:lang w:val="nl-NL"/>
        </w:rPr>
        <w:t xml:space="preserve">% of the year estimate and up 16.8% </w:t>
      </w:r>
      <w:r w:rsidRPr="00B57839">
        <w:rPr>
          <w:color w:val="000000" w:themeColor="text1"/>
          <w:lang w:val="it-IT"/>
        </w:rPr>
        <w:t>over the same period last year</w:t>
      </w:r>
      <w:r w:rsidRPr="00B57839">
        <w:rPr>
          <w:color w:val="000000" w:themeColor="text1"/>
          <w:lang w:val="nl-NL"/>
        </w:rPr>
        <w:t>.</w:t>
      </w:r>
    </w:p>
    <w:p w14:paraId="5C1E090D" w14:textId="77777777" w:rsidR="00164C93" w:rsidRPr="00B57839" w:rsidRDefault="00164C93" w:rsidP="00164C93">
      <w:pPr>
        <w:spacing w:before="120" w:after="120" w:line="312" w:lineRule="auto"/>
        <w:ind w:firstLine="567"/>
        <w:jc w:val="both"/>
        <w:rPr>
          <w:color w:val="000000" w:themeColor="text1"/>
          <w:lang w:val="nl-NL"/>
        </w:rPr>
      </w:pPr>
      <w:r w:rsidRPr="00B57839">
        <w:rPr>
          <w:i/>
          <w:color w:val="000000" w:themeColor="text1"/>
          <w:lang w:val="nl-NL"/>
        </w:rPr>
        <w:t xml:space="preserve">- Revenue from crude oil </w:t>
      </w:r>
      <w:r w:rsidRPr="00B57839">
        <w:rPr>
          <w:color w:val="000000" w:themeColor="text1"/>
          <w:lang w:val="nl-NL"/>
        </w:rPr>
        <w:t xml:space="preserve">in May 2024 </w:t>
      </w:r>
      <w:r>
        <w:rPr>
          <w:color w:val="000000" w:themeColor="text1"/>
          <w:lang w:val="nl-NL"/>
        </w:rPr>
        <w:t>wa</w:t>
      </w:r>
      <w:r w:rsidRPr="00B57839">
        <w:rPr>
          <w:color w:val="000000" w:themeColor="text1"/>
          <w:lang w:val="nl-NL"/>
        </w:rPr>
        <w:t xml:space="preserve">s estimated </w:t>
      </w:r>
      <w:r>
        <w:rPr>
          <w:color w:val="000000" w:themeColor="text1"/>
          <w:lang w:val="nl-NL"/>
        </w:rPr>
        <w:t>at</w:t>
      </w:r>
      <w:r w:rsidRPr="00B57839">
        <w:rPr>
          <w:color w:val="000000" w:themeColor="text1"/>
          <w:lang w:val="nl-NL"/>
        </w:rPr>
        <w:t xml:space="preserve"> </w:t>
      </w:r>
      <w:r w:rsidRPr="00B57839">
        <w:rPr>
          <w:color w:val="000000" w:themeColor="text1"/>
        </w:rPr>
        <w:t xml:space="preserve">5 </w:t>
      </w:r>
      <w:r w:rsidRPr="00B57839">
        <w:rPr>
          <w:color w:val="000000" w:themeColor="text1"/>
          <w:lang w:val="nl-NL"/>
        </w:rPr>
        <w:t xml:space="preserve">trillion VND; </w:t>
      </w:r>
      <w:r>
        <w:rPr>
          <w:color w:val="000000" w:themeColor="text1"/>
          <w:lang w:val="nl-NL"/>
        </w:rPr>
        <w:t>ac</w:t>
      </w:r>
      <w:r w:rsidRPr="00B57839">
        <w:rPr>
          <w:color w:val="000000" w:themeColor="text1"/>
          <w:lang w:val="nl-NL"/>
        </w:rPr>
        <w:t xml:space="preserve">cumulative </w:t>
      </w:r>
      <w:r>
        <w:rPr>
          <w:color w:val="000000" w:themeColor="text1"/>
          <w:lang w:val="nl-NL"/>
        </w:rPr>
        <w:t>in the</w:t>
      </w:r>
      <w:r w:rsidRPr="00B57839">
        <w:rPr>
          <w:color w:val="000000" w:themeColor="text1"/>
          <w:lang w:val="nl-NL"/>
        </w:rPr>
        <w:t xml:space="preserve"> first 5 months of 2024 </w:t>
      </w:r>
      <w:r>
        <w:rPr>
          <w:color w:val="000000" w:themeColor="text1"/>
          <w:lang w:val="nl-NL"/>
        </w:rPr>
        <w:t>wa</w:t>
      </w:r>
      <w:r w:rsidRPr="00B57839">
        <w:rPr>
          <w:color w:val="000000" w:themeColor="text1"/>
          <w:lang w:val="nl-NL"/>
        </w:rPr>
        <w:t xml:space="preserve">s estimated at </w:t>
      </w:r>
      <w:r w:rsidRPr="00B57839">
        <w:rPr>
          <w:color w:val="000000" w:themeColor="text1"/>
        </w:rPr>
        <w:t xml:space="preserve">24.7 </w:t>
      </w:r>
      <w:r w:rsidRPr="00B57839">
        <w:rPr>
          <w:color w:val="000000" w:themeColor="text1"/>
          <w:lang w:val="nl-NL"/>
        </w:rPr>
        <w:t>trillion VND, equal</w:t>
      </w:r>
      <w:r>
        <w:rPr>
          <w:color w:val="000000" w:themeColor="text1"/>
          <w:lang w:val="nl-NL"/>
        </w:rPr>
        <w:t>ing</w:t>
      </w:r>
      <w:r w:rsidRPr="00B57839">
        <w:rPr>
          <w:color w:val="000000" w:themeColor="text1"/>
          <w:lang w:val="vi-VN"/>
        </w:rPr>
        <w:t xml:space="preserve"> </w:t>
      </w:r>
      <w:r w:rsidRPr="00B57839">
        <w:rPr>
          <w:color w:val="000000" w:themeColor="text1"/>
        </w:rPr>
        <w:t xml:space="preserve">53.6 </w:t>
      </w:r>
      <w:r w:rsidRPr="00B57839">
        <w:rPr>
          <w:color w:val="000000" w:themeColor="text1"/>
          <w:lang w:val="vi-VN"/>
        </w:rPr>
        <w:t xml:space="preserve">% </w:t>
      </w:r>
      <w:r w:rsidRPr="00B57839">
        <w:rPr>
          <w:color w:val="000000" w:themeColor="text1"/>
          <w:lang w:val="nl-NL"/>
        </w:rPr>
        <w:t xml:space="preserve">of the year estimate and </w:t>
      </w:r>
      <w:r w:rsidRPr="00B57839">
        <w:rPr>
          <w:color w:val="000000" w:themeColor="text1"/>
          <w:lang w:val="vi-VN"/>
        </w:rPr>
        <w:t xml:space="preserve">down </w:t>
      </w:r>
      <w:r w:rsidRPr="00B57839">
        <w:rPr>
          <w:color w:val="000000" w:themeColor="text1"/>
          <w:lang w:val="nl-NL"/>
        </w:rPr>
        <w:t xml:space="preserve">5.5% </w:t>
      </w:r>
      <w:r w:rsidRPr="00B57839">
        <w:rPr>
          <w:color w:val="000000" w:themeColor="text1"/>
          <w:lang w:val="it-IT"/>
        </w:rPr>
        <w:t>over the same period last year</w:t>
      </w:r>
      <w:r w:rsidRPr="00B57839">
        <w:rPr>
          <w:color w:val="000000" w:themeColor="text1"/>
          <w:lang w:val="nl-NL"/>
        </w:rPr>
        <w:t>.</w:t>
      </w:r>
    </w:p>
    <w:p w14:paraId="074E11A4" w14:textId="77777777" w:rsidR="00164C93" w:rsidRPr="00B57839" w:rsidRDefault="00164C93" w:rsidP="00164C93">
      <w:pPr>
        <w:spacing w:before="120" w:after="120" w:line="312" w:lineRule="auto"/>
        <w:ind w:firstLine="567"/>
        <w:jc w:val="both"/>
        <w:rPr>
          <w:b/>
          <w:i/>
          <w:color w:val="000000" w:themeColor="text1"/>
          <w:lang w:val="nl-NL"/>
        </w:rPr>
      </w:pPr>
      <w:r w:rsidRPr="00B57839">
        <w:rPr>
          <w:i/>
          <w:color w:val="000000" w:themeColor="text1"/>
          <w:lang w:val="nl-NL"/>
        </w:rPr>
        <w:t xml:space="preserve">- Budget balance revenue from export and import activities </w:t>
      </w:r>
      <w:r w:rsidRPr="00B57839">
        <w:rPr>
          <w:color w:val="000000" w:themeColor="text1"/>
          <w:lang w:val="nl-NL"/>
        </w:rPr>
        <w:t xml:space="preserve">in May 2024 </w:t>
      </w:r>
      <w:r>
        <w:rPr>
          <w:color w:val="000000" w:themeColor="text1"/>
          <w:lang w:val="nl-NL"/>
        </w:rPr>
        <w:t>wa</w:t>
      </w:r>
      <w:r w:rsidRPr="00B57839">
        <w:rPr>
          <w:color w:val="000000" w:themeColor="text1"/>
          <w:lang w:val="nl-NL"/>
        </w:rPr>
        <w:t xml:space="preserve">s estimated </w:t>
      </w:r>
      <w:r>
        <w:rPr>
          <w:color w:val="000000" w:themeColor="text1"/>
          <w:lang w:val="nl-NL"/>
        </w:rPr>
        <w:t>at</w:t>
      </w:r>
      <w:r w:rsidRPr="00B57839">
        <w:rPr>
          <w:color w:val="000000" w:themeColor="text1"/>
          <w:lang w:val="nl-NL"/>
        </w:rPr>
        <w:t xml:space="preserve"> </w:t>
      </w:r>
      <w:r w:rsidRPr="00B57839">
        <w:rPr>
          <w:color w:val="000000" w:themeColor="text1"/>
        </w:rPr>
        <w:t xml:space="preserve">27.5 </w:t>
      </w:r>
      <w:r w:rsidRPr="00B57839">
        <w:rPr>
          <w:color w:val="000000" w:themeColor="text1"/>
          <w:lang w:val="nl-NL"/>
        </w:rPr>
        <w:t xml:space="preserve">trillion VND; </w:t>
      </w:r>
      <w:r>
        <w:rPr>
          <w:color w:val="000000" w:themeColor="text1"/>
          <w:lang w:val="nl-NL"/>
        </w:rPr>
        <w:t>a</w:t>
      </w:r>
      <w:r w:rsidRPr="00B57839">
        <w:rPr>
          <w:color w:val="000000" w:themeColor="text1"/>
          <w:lang w:val="nl-NL"/>
        </w:rPr>
        <w:t xml:space="preserve">ccumulated in the first 5 months of 2024 </w:t>
      </w:r>
      <w:r>
        <w:rPr>
          <w:color w:val="000000" w:themeColor="text1"/>
          <w:lang w:val="nl-NL"/>
        </w:rPr>
        <w:t>wa</w:t>
      </w:r>
      <w:r w:rsidRPr="00B57839">
        <w:rPr>
          <w:color w:val="000000" w:themeColor="text1"/>
          <w:lang w:val="nl-NL"/>
        </w:rPr>
        <w:t xml:space="preserve">s estimated </w:t>
      </w:r>
      <w:r>
        <w:rPr>
          <w:color w:val="000000" w:themeColor="text1"/>
          <w:lang w:val="nl-NL"/>
        </w:rPr>
        <w:t>at</w:t>
      </w:r>
      <w:r w:rsidRPr="00B57839">
        <w:rPr>
          <w:color w:val="000000" w:themeColor="text1"/>
          <w:lang w:val="nl-NL"/>
        </w:rPr>
        <w:t xml:space="preserve"> 116.2 trillion VND, equal</w:t>
      </w:r>
      <w:r>
        <w:rPr>
          <w:color w:val="000000" w:themeColor="text1"/>
          <w:lang w:val="nl-NL"/>
        </w:rPr>
        <w:t>ing</w:t>
      </w:r>
      <w:r w:rsidRPr="00B57839">
        <w:rPr>
          <w:color w:val="000000" w:themeColor="text1"/>
          <w:lang w:val="nl-NL"/>
        </w:rPr>
        <w:t xml:space="preserve"> to </w:t>
      </w:r>
      <w:r w:rsidRPr="00B57839">
        <w:rPr>
          <w:color w:val="000000" w:themeColor="text1"/>
        </w:rPr>
        <w:t xml:space="preserve">57 </w:t>
      </w:r>
      <w:r w:rsidRPr="00B57839">
        <w:rPr>
          <w:color w:val="000000" w:themeColor="text1"/>
          <w:lang w:val="nl-NL"/>
        </w:rPr>
        <w:t xml:space="preserve">% of the year estimate and up 7.8% </w:t>
      </w:r>
      <w:r w:rsidRPr="00B57839">
        <w:rPr>
          <w:color w:val="000000" w:themeColor="text1"/>
          <w:lang w:val="it-IT"/>
        </w:rPr>
        <w:t>over the same period last year</w:t>
      </w:r>
      <w:r w:rsidRPr="00B57839">
        <w:rPr>
          <w:color w:val="000000" w:themeColor="text1"/>
          <w:lang w:val="nl-NL"/>
        </w:rPr>
        <w:t>.</w:t>
      </w:r>
    </w:p>
    <w:p w14:paraId="590772DB" w14:textId="77777777" w:rsidR="00164C93" w:rsidRPr="00B57839" w:rsidRDefault="00164C93" w:rsidP="00164C93">
      <w:pPr>
        <w:spacing w:after="80" w:line="288" w:lineRule="auto"/>
        <w:ind w:firstLine="567"/>
        <w:jc w:val="both"/>
        <w:rPr>
          <w:b/>
          <w:i/>
          <w:color w:val="000000" w:themeColor="text1"/>
          <w:lang w:val="nl-NL"/>
        </w:rPr>
      </w:pPr>
      <w:r w:rsidRPr="00B57839">
        <w:rPr>
          <w:b/>
          <w:i/>
          <w:color w:val="000000" w:themeColor="text1"/>
          <w:lang w:val="nl-NL"/>
        </w:rPr>
        <w:t>State budget expenditure</w:t>
      </w:r>
    </w:p>
    <w:p w14:paraId="5A35D304" w14:textId="7573286E" w:rsidR="00164C93" w:rsidRPr="00164C93" w:rsidRDefault="00164C93" w:rsidP="00164C93">
      <w:pPr>
        <w:ind w:firstLine="567"/>
        <w:jc w:val="both"/>
        <w:rPr>
          <w:color w:val="000000" w:themeColor="text1"/>
        </w:rPr>
      </w:pPr>
      <w:r w:rsidRPr="009812BB">
        <w:rPr>
          <w:color w:val="000000" w:themeColor="text1"/>
          <w:spacing w:val="2"/>
          <w:lang w:val="nl-NL"/>
        </w:rPr>
        <w:lastRenderedPageBreak/>
        <w:t>Total State budget expe</w:t>
      </w:r>
      <w:r>
        <w:rPr>
          <w:color w:val="000000" w:themeColor="text1"/>
          <w:spacing w:val="2"/>
          <w:lang w:val="nl-NL"/>
        </w:rPr>
        <w:t>nditure in May 2024 wa</w:t>
      </w:r>
      <w:r w:rsidRPr="009812BB">
        <w:rPr>
          <w:color w:val="000000" w:themeColor="text1"/>
          <w:spacing w:val="2"/>
          <w:lang w:val="nl-NL"/>
        </w:rPr>
        <w:t xml:space="preserve">s estimated </w:t>
      </w:r>
      <w:r>
        <w:rPr>
          <w:color w:val="000000" w:themeColor="text1"/>
          <w:spacing w:val="2"/>
          <w:lang w:val="nl-NL"/>
        </w:rPr>
        <w:t>at 140.1 trillion VND; a</w:t>
      </w:r>
      <w:r w:rsidRPr="009812BB">
        <w:rPr>
          <w:color w:val="000000" w:themeColor="text1"/>
          <w:spacing w:val="2"/>
          <w:lang w:val="nl-NL"/>
        </w:rPr>
        <w:t xml:space="preserve">ccumulated in the first 5 months of 2024 </w:t>
      </w:r>
      <w:r>
        <w:rPr>
          <w:color w:val="000000" w:themeColor="text1"/>
          <w:spacing w:val="2"/>
          <w:lang w:val="nl-NL"/>
        </w:rPr>
        <w:t>wa</w:t>
      </w:r>
      <w:r w:rsidRPr="009812BB">
        <w:rPr>
          <w:color w:val="000000" w:themeColor="text1"/>
          <w:spacing w:val="2"/>
          <w:lang w:val="nl-NL"/>
        </w:rPr>
        <w:t xml:space="preserve">s estimated </w:t>
      </w:r>
      <w:r>
        <w:rPr>
          <w:color w:val="000000" w:themeColor="text1"/>
          <w:spacing w:val="2"/>
          <w:lang w:val="nl-NL"/>
        </w:rPr>
        <w:t>at</w:t>
      </w:r>
      <w:r w:rsidRPr="009812BB">
        <w:rPr>
          <w:color w:val="000000" w:themeColor="text1"/>
          <w:spacing w:val="2"/>
          <w:lang w:val="nl-NL"/>
        </w:rPr>
        <w:t xml:space="preserve"> </w:t>
      </w:r>
      <w:r w:rsidRPr="009812BB">
        <w:rPr>
          <w:color w:val="000000" w:themeColor="text1"/>
          <w:spacing w:val="2"/>
        </w:rPr>
        <w:t xml:space="preserve">656.7 </w:t>
      </w:r>
      <w:r w:rsidRPr="009812BB">
        <w:rPr>
          <w:color w:val="000000" w:themeColor="text1"/>
          <w:spacing w:val="2"/>
          <w:lang w:val="nl-NL"/>
        </w:rPr>
        <w:t>trillion VND, equal</w:t>
      </w:r>
      <w:r>
        <w:rPr>
          <w:color w:val="000000" w:themeColor="text1"/>
          <w:spacing w:val="2"/>
          <w:lang w:val="nl-NL"/>
        </w:rPr>
        <w:t>ing</w:t>
      </w:r>
      <w:r w:rsidRPr="009812BB">
        <w:rPr>
          <w:color w:val="000000" w:themeColor="text1"/>
          <w:spacing w:val="2"/>
          <w:lang w:val="nl-NL"/>
        </w:rPr>
        <w:t xml:space="preserve"> </w:t>
      </w:r>
      <w:r w:rsidRPr="009812BB">
        <w:rPr>
          <w:color w:val="000000" w:themeColor="text1"/>
          <w:spacing w:val="2"/>
        </w:rPr>
        <w:t>31</w:t>
      </w:r>
      <w:r w:rsidRPr="009812BB">
        <w:rPr>
          <w:color w:val="000000" w:themeColor="text1"/>
          <w:spacing w:val="2"/>
          <w:lang w:val="nl-NL"/>
        </w:rPr>
        <w:t>% of the year</w:t>
      </w:r>
      <w:r>
        <w:rPr>
          <w:color w:val="000000" w:themeColor="text1"/>
          <w:spacing w:val="2"/>
          <w:lang w:val="nl-NL"/>
        </w:rPr>
        <w:t>ly</w:t>
      </w:r>
      <w:r w:rsidRPr="009812BB">
        <w:rPr>
          <w:color w:val="000000" w:themeColor="text1"/>
          <w:spacing w:val="2"/>
          <w:lang w:val="nl-NL"/>
        </w:rPr>
        <w:t xml:space="preserve"> estimate and </w:t>
      </w:r>
      <w:r>
        <w:rPr>
          <w:color w:val="000000" w:themeColor="text1"/>
          <w:spacing w:val="2"/>
          <w:lang w:val="nl-NL"/>
        </w:rPr>
        <w:t>increasing</w:t>
      </w:r>
      <w:r w:rsidRPr="009812BB">
        <w:rPr>
          <w:color w:val="000000" w:themeColor="text1"/>
          <w:spacing w:val="2"/>
          <w:lang w:val="nl-NL"/>
        </w:rPr>
        <w:t xml:space="preserve"> </w:t>
      </w:r>
      <w:r w:rsidRPr="009812BB">
        <w:rPr>
          <w:color w:val="000000" w:themeColor="text1"/>
          <w:spacing w:val="2"/>
        </w:rPr>
        <w:t>0.5</w:t>
      </w:r>
      <w:r w:rsidRPr="009812BB">
        <w:rPr>
          <w:color w:val="000000" w:themeColor="text1"/>
          <w:spacing w:val="2"/>
          <w:lang w:val="nl-NL"/>
        </w:rPr>
        <w:t>% over the same period last year</w:t>
      </w:r>
      <w:r w:rsidRPr="009812BB">
        <w:rPr>
          <w:color w:val="000000" w:themeColor="text1"/>
          <w:spacing w:val="2"/>
          <w:lang w:val="vi-VN"/>
        </w:rPr>
        <w:t xml:space="preserve">. </w:t>
      </w:r>
      <w:r>
        <w:rPr>
          <w:color w:val="000000" w:themeColor="text1"/>
          <w:spacing w:val="2"/>
        </w:rPr>
        <w:t>Of which</w:t>
      </w:r>
      <w:r w:rsidRPr="009812BB">
        <w:rPr>
          <w:color w:val="000000" w:themeColor="text1"/>
          <w:spacing w:val="2"/>
          <w:lang w:val="vi-VN"/>
        </w:rPr>
        <w:t xml:space="preserve">, </w:t>
      </w:r>
      <w:r w:rsidRPr="009812BB">
        <w:rPr>
          <w:color w:val="000000" w:themeColor="text1"/>
          <w:spacing w:val="2"/>
          <w:lang w:val="nl-NL"/>
        </w:rPr>
        <w:t xml:space="preserve">regular </w:t>
      </w:r>
      <w:r>
        <w:rPr>
          <w:color w:val="000000" w:themeColor="text1"/>
          <w:spacing w:val="2"/>
          <w:lang w:val="nl-NL"/>
        </w:rPr>
        <w:t>expenditure</w:t>
      </w:r>
      <w:r w:rsidRPr="009812BB">
        <w:rPr>
          <w:color w:val="000000" w:themeColor="text1"/>
          <w:spacing w:val="2"/>
          <w:lang w:val="nl-NL"/>
        </w:rPr>
        <w:t xml:space="preserve"> in the first 5 months of 2024 </w:t>
      </w:r>
      <w:r>
        <w:rPr>
          <w:color w:val="000000" w:themeColor="text1"/>
          <w:spacing w:val="2"/>
          <w:lang w:val="nl-NL"/>
        </w:rPr>
        <w:t>wa</w:t>
      </w:r>
      <w:r w:rsidRPr="009812BB">
        <w:rPr>
          <w:color w:val="000000" w:themeColor="text1"/>
          <w:spacing w:val="2"/>
          <w:lang w:val="nl-NL"/>
        </w:rPr>
        <w:t xml:space="preserve">s estimated </w:t>
      </w:r>
      <w:r>
        <w:rPr>
          <w:color w:val="000000" w:themeColor="text1"/>
          <w:spacing w:val="2"/>
          <w:lang w:val="nl-NL"/>
        </w:rPr>
        <w:t>at</w:t>
      </w:r>
      <w:r w:rsidRPr="009812BB">
        <w:rPr>
          <w:color w:val="000000" w:themeColor="text1"/>
          <w:spacing w:val="2"/>
          <w:lang w:val="nl-NL"/>
        </w:rPr>
        <w:t xml:space="preserve"> 460.5 trillion VND, equal</w:t>
      </w:r>
      <w:r>
        <w:rPr>
          <w:color w:val="000000" w:themeColor="text1"/>
          <w:spacing w:val="2"/>
          <w:lang w:val="nl-NL"/>
        </w:rPr>
        <w:t>ing</w:t>
      </w:r>
      <w:r w:rsidRPr="009812BB">
        <w:rPr>
          <w:color w:val="000000" w:themeColor="text1"/>
          <w:spacing w:val="2"/>
          <w:lang w:val="nl-NL"/>
        </w:rPr>
        <w:t xml:space="preserve"> to </w:t>
      </w:r>
      <w:r w:rsidRPr="009812BB">
        <w:rPr>
          <w:color w:val="000000" w:themeColor="text1"/>
          <w:spacing w:val="2"/>
        </w:rPr>
        <w:t>36.6</w:t>
      </w:r>
      <w:r w:rsidRPr="009812BB">
        <w:rPr>
          <w:color w:val="000000" w:themeColor="text1"/>
          <w:spacing w:val="2"/>
          <w:lang w:val="nl-NL"/>
        </w:rPr>
        <w:t xml:space="preserve">% of the yearly estimate and </w:t>
      </w:r>
      <w:r>
        <w:rPr>
          <w:color w:val="000000" w:themeColor="text1"/>
          <w:spacing w:val="2"/>
          <w:lang w:val="nl-NL"/>
        </w:rPr>
        <w:t>increasing</w:t>
      </w:r>
      <w:r w:rsidRPr="009812BB">
        <w:rPr>
          <w:color w:val="000000" w:themeColor="text1"/>
          <w:spacing w:val="2"/>
          <w:lang w:val="nl-NL"/>
        </w:rPr>
        <w:t xml:space="preserve"> 1.8% over the same period last year; </w:t>
      </w:r>
      <w:r>
        <w:rPr>
          <w:color w:val="000000" w:themeColor="text1"/>
          <w:spacing w:val="2"/>
          <w:lang w:val="nl-NL"/>
        </w:rPr>
        <w:t>d</w:t>
      </w:r>
      <w:r w:rsidRPr="009812BB">
        <w:rPr>
          <w:color w:val="000000" w:themeColor="text1"/>
          <w:spacing w:val="2"/>
          <w:lang w:val="nl-NL"/>
        </w:rPr>
        <w:t xml:space="preserve">evelopment investment expenditure reached </w:t>
      </w:r>
      <w:r w:rsidRPr="009812BB">
        <w:rPr>
          <w:color w:val="000000" w:themeColor="text1"/>
          <w:spacing w:val="2"/>
        </w:rPr>
        <w:t xml:space="preserve">148.3 </w:t>
      </w:r>
      <w:r w:rsidRPr="009812BB">
        <w:rPr>
          <w:color w:val="000000" w:themeColor="text1"/>
          <w:spacing w:val="2"/>
          <w:lang w:val="nl-NL"/>
        </w:rPr>
        <w:t>trillion VND, equal</w:t>
      </w:r>
      <w:r>
        <w:rPr>
          <w:color w:val="000000" w:themeColor="text1"/>
          <w:spacing w:val="2"/>
          <w:lang w:val="nl-NL"/>
        </w:rPr>
        <w:t>ing</w:t>
      </w:r>
      <w:r w:rsidRPr="009812BB">
        <w:rPr>
          <w:color w:val="000000" w:themeColor="text1"/>
          <w:spacing w:val="2"/>
          <w:lang w:val="nl-NL"/>
        </w:rPr>
        <w:t xml:space="preserve"> </w:t>
      </w:r>
      <w:r>
        <w:rPr>
          <w:color w:val="000000" w:themeColor="text1"/>
          <w:spacing w:val="2"/>
        </w:rPr>
        <w:t>21.9</w:t>
      </w:r>
      <w:r w:rsidRPr="009812BB">
        <w:rPr>
          <w:color w:val="000000" w:themeColor="text1"/>
          <w:spacing w:val="2"/>
          <w:lang w:val="nl-NL"/>
        </w:rPr>
        <w:t xml:space="preserve">% and down 5.6%; </w:t>
      </w:r>
      <w:r>
        <w:rPr>
          <w:color w:val="000000" w:themeColor="text1"/>
          <w:spacing w:val="2"/>
          <w:lang w:val="nl-NL"/>
        </w:rPr>
        <w:t>d</w:t>
      </w:r>
      <w:r w:rsidRPr="009812BB">
        <w:rPr>
          <w:color w:val="000000" w:themeColor="text1"/>
          <w:spacing w:val="2"/>
          <w:lang w:val="nl-NL"/>
        </w:rPr>
        <w:t>ebt</w:t>
      </w:r>
      <w:r>
        <w:rPr>
          <w:color w:val="000000" w:themeColor="text1"/>
          <w:spacing w:val="2"/>
          <w:lang w:val="nl-NL"/>
        </w:rPr>
        <w:t xml:space="preserve"> payments</w:t>
      </w:r>
      <w:r w:rsidRPr="009812BB">
        <w:rPr>
          <w:color w:val="000000" w:themeColor="text1"/>
          <w:spacing w:val="2"/>
          <w:lang w:val="nl-NL"/>
        </w:rPr>
        <w:t xml:space="preserve"> </w:t>
      </w:r>
      <w:r>
        <w:rPr>
          <w:color w:val="000000" w:themeColor="text1"/>
          <w:spacing w:val="2"/>
          <w:lang w:val="nl-NL"/>
        </w:rPr>
        <w:t>was</w:t>
      </w:r>
      <w:r w:rsidRPr="009812BB">
        <w:rPr>
          <w:color w:val="000000" w:themeColor="text1"/>
          <w:spacing w:val="2"/>
        </w:rPr>
        <w:t xml:space="preserve"> 47.5 </w:t>
      </w:r>
      <w:r w:rsidRPr="009812BB">
        <w:rPr>
          <w:color w:val="000000" w:themeColor="text1"/>
          <w:spacing w:val="2"/>
          <w:lang w:val="nl-NL"/>
        </w:rPr>
        <w:t>trillion VND, equal</w:t>
      </w:r>
      <w:r>
        <w:rPr>
          <w:color w:val="000000" w:themeColor="text1"/>
          <w:spacing w:val="2"/>
          <w:lang w:val="nl-NL"/>
        </w:rPr>
        <w:t>ing</w:t>
      </w:r>
      <w:r w:rsidRPr="009812BB">
        <w:rPr>
          <w:color w:val="000000" w:themeColor="text1"/>
          <w:spacing w:val="2"/>
          <w:lang w:val="nl-NL"/>
        </w:rPr>
        <w:t xml:space="preserve"> 42.5% and increased by 10.1%.</w:t>
      </w:r>
    </w:p>
    <w:p w14:paraId="78DBAADF" w14:textId="694EAF23" w:rsidR="006A6832" w:rsidRPr="00BB4D40" w:rsidRDefault="00164C93" w:rsidP="006A6832">
      <w:pPr>
        <w:spacing w:beforeLines="40" w:before="96" w:afterLines="40" w:after="96" w:line="252" w:lineRule="auto"/>
        <w:ind w:firstLine="567"/>
        <w:jc w:val="both"/>
        <w:rPr>
          <w:b/>
          <w:bCs/>
          <w:lang w:val="nl-NL"/>
        </w:rPr>
      </w:pPr>
      <w:bookmarkStart w:id="6" w:name="_Hlk89176061"/>
      <w:r>
        <w:rPr>
          <w:b/>
          <w:bCs/>
          <w:lang w:val="nl-NL"/>
        </w:rPr>
        <w:t>6</w:t>
      </w:r>
      <w:r w:rsidR="006A6832" w:rsidRPr="00BB4D40">
        <w:rPr>
          <w:b/>
          <w:bCs/>
          <w:lang w:val="nl-NL"/>
        </w:rPr>
        <w:t>. Trade, prices, transport and tourism</w:t>
      </w:r>
    </w:p>
    <w:p w14:paraId="1E372B6B" w14:textId="77777777" w:rsidR="006A6832" w:rsidRPr="00BB4D40" w:rsidRDefault="006A6832" w:rsidP="006A6832">
      <w:pPr>
        <w:spacing w:beforeLines="40" w:before="96" w:afterLines="40" w:after="96" w:line="252" w:lineRule="auto"/>
        <w:ind w:firstLine="567"/>
        <w:jc w:val="both"/>
        <w:rPr>
          <w:i/>
          <w:color w:val="000000" w:themeColor="text1"/>
          <w:lang w:val="it-IT"/>
        </w:rPr>
      </w:pPr>
      <w:r w:rsidRPr="00BB4D40">
        <w:rPr>
          <w:b/>
          <w:i/>
          <w:lang w:val="it-IT"/>
        </w:rPr>
        <w:t xml:space="preserve">a) </w:t>
      </w:r>
      <w:r w:rsidRPr="00BB4D40">
        <w:rPr>
          <w:b/>
          <w:i/>
        </w:rPr>
        <w:t>Retail sales of consumer goods and services</w:t>
      </w:r>
      <w:r w:rsidRPr="00BB4D40">
        <w:rPr>
          <w:i/>
          <w:color w:val="000000" w:themeColor="text1"/>
          <w:lang w:val="it-IT"/>
        </w:rPr>
        <w:t xml:space="preserve"> </w:t>
      </w:r>
    </w:p>
    <w:p w14:paraId="45896BD5" w14:textId="77777777" w:rsidR="006A6832" w:rsidRPr="00BB4D40" w:rsidRDefault="006A6832" w:rsidP="006A6832">
      <w:pPr>
        <w:spacing w:beforeLines="40" w:before="96" w:afterLines="40" w:after="96" w:line="252" w:lineRule="auto"/>
        <w:ind w:firstLine="567"/>
        <w:jc w:val="both"/>
        <w:rPr>
          <w:i/>
          <w:color w:val="000000" w:themeColor="text1"/>
          <w:lang w:val="it-IT"/>
        </w:rPr>
      </w:pPr>
      <w:r w:rsidRPr="00BB4D40">
        <w:rPr>
          <w:i/>
          <w:lang w:val="it-IT"/>
        </w:rPr>
        <w:t xml:space="preserve">The total retail sales of consumer goods and services in 4/2024 </w:t>
      </w:r>
      <w:r w:rsidRPr="00BB4D40">
        <w:rPr>
          <w:rStyle w:val="rynqvb"/>
          <w:i/>
        </w:rPr>
        <w:t>decreased slightly by 0.1% compared to the previous month due to reduced consumption and travel demand of people after last month's long holiday. However, compared to the same period last year, it increased by 9.5% thanks to the positive contribution of the tourism industry</w:t>
      </w:r>
      <w:r w:rsidRPr="00BB4D40">
        <w:rPr>
          <w:i/>
          <w:color w:val="000000" w:themeColor="text1"/>
          <w:lang w:val="it-IT"/>
        </w:rPr>
        <w:t xml:space="preserve">. Generally, in the first five months of 2024, the total retail sales of consumer goods and services was estimated to increase by 8.7% over the same period last year, of which </w:t>
      </w:r>
      <w:r w:rsidRPr="00BB4D40">
        <w:rPr>
          <w:bCs/>
          <w:i/>
          <w:lang w:val="nl-NL"/>
        </w:rPr>
        <w:t xml:space="preserve">revenue from accommodation and food services </w:t>
      </w:r>
      <w:r w:rsidRPr="00BB4D40">
        <w:rPr>
          <w:i/>
          <w:color w:val="000000" w:themeColor="text1"/>
          <w:lang w:val="it-IT"/>
        </w:rPr>
        <w:t>increased by 15.1%, revenue from tourism up to 45.1%.</w:t>
      </w:r>
    </w:p>
    <w:p w14:paraId="43FA9A8D" w14:textId="77777777" w:rsidR="006A6832" w:rsidRPr="00BB4D40" w:rsidRDefault="006A6832" w:rsidP="006A6832">
      <w:pPr>
        <w:spacing w:beforeLines="40" w:before="96" w:afterLines="40" w:after="96" w:line="252" w:lineRule="auto"/>
        <w:ind w:firstLine="567"/>
        <w:jc w:val="both"/>
        <w:rPr>
          <w:color w:val="000000" w:themeColor="text1"/>
          <w:lang w:val="it-IT"/>
        </w:rPr>
      </w:pPr>
      <w:r w:rsidRPr="00BB4D40">
        <w:rPr>
          <w:color w:val="000000" w:themeColor="text1"/>
          <w:lang w:val="it-IT"/>
        </w:rPr>
        <w:t>Total retail sales of consumer goods and services</w:t>
      </w:r>
      <w:r w:rsidRPr="00BB4D40">
        <w:t xml:space="preserve"> at current prices</w:t>
      </w:r>
      <w:r w:rsidRPr="00BB4D40">
        <w:rPr>
          <w:color w:val="000000" w:themeColor="text1"/>
          <w:lang w:val="it-IT"/>
        </w:rPr>
        <w:t xml:space="preserve"> in 5/2024 was estimated at </w:t>
      </w:r>
      <w:r w:rsidRPr="00BB4D40">
        <w:rPr>
          <w:bCs/>
          <w:spacing w:val="-2"/>
          <w:lang w:val="it-IT"/>
        </w:rPr>
        <w:t xml:space="preserve">519.8 </w:t>
      </w:r>
      <w:r w:rsidRPr="00BB4D40">
        <w:rPr>
          <w:color w:val="000000" w:themeColor="text1"/>
          <w:lang w:val="it-IT"/>
        </w:rPr>
        <w:t xml:space="preserve">trillion VND, up 9.5% over the same period last year, </w:t>
      </w:r>
      <w:r>
        <w:rPr>
          <w:color w:val="000000" w:themeColor="text1"/>
          <w:lang w:val="it-IT"/>
        </w:rPr>
        <w:t>of</w:t>
      </w:r>
      <w:r w:rsidRPr="00BB4D40">
        <w:rPr>
          <w:color w:val="000000" w:themeColor="text1"/>
          <w:lang w:val="it-IT"/>
        </w:rPr>
        <w:t xml:space="preserve"> which, the group of food and foodstuffs increased by 9.9%; household appliances, tools and equipment increased by 9</w:t>
      </w:r>
      <w:r>
        <w:rPr>
          <w:color w:val="000000" w:themeColor="text1"/>
          <w:lang w:val="it-IT"/>
        </w:rPr>
        <w:t>.0</w:t>
      </w:r>
      <w:r w:rsidRPr="00BB4D40">
        <w:rPr>
          <w:color w:val="000000" w:themeColor="text1"/>
          <w:lang w:val="it-IT"/>
        </w:rPr>
        <w:t>%; garment increased by 9.3%; accommodation and food services increased by 17</w:t>
      </w:r>
      <w:r>
        <w:rPr>
          <w:color w:val="000000" w:themeColor="text1"/>
          <w:lang w:val="it-IT"/>
        </w:rPr>
        <w:t>.0</w:t>
      </w:r>
      <w:r w:rsidRPr="00BB4D40">
        <w:rPr>
          <w:color w:val="000000" w:themeColor="text1"/>
          <w:lang w:val="it-IT"/>
        </w:rPr>
        <w:t>%; traveling service increased by 34.3%.</w:t>
      </w:r>
    </w:p>
    <w:p w14:paraId="0007FAB4" w14:textId="77777777" w:rsidR="006A6832" w:rsidRPr="00BB4D40" w:rsidRDefault="006A6832" w:rsidP="006A6832">
      <w:pPr>
        <w:spacing w:beforeLines="40" w:before="96" w:afterLines="40" w:after="96" w:line="264" w:lineRule="auto"/>
        <w:jc w:val="center"/>
        <w:rPr>
          <w:rFonts w:ascii="Arial" w:hAnsi="Arial" w:cs="Arial"/>
          <w:b/>
          <w:bCs/>
          <w:sz w:val="24"/>
          <w:szCs w:val="24"/>
          <w:lang w:val="it-IT"/>
        </w:rPr>
      </w:pPr>
      <w:r w:rsidRPr="00BB4D40">
        <w:rPr>
          <w:rFonts w:ascii="Arial" w:hAnsi="Arial" w:cs="Arial"/>
          <w:b/>
          <w:sz w:val="24"/>
          <w:szCs w:val="24"/>
          <w:lang w:val="pl-PL"/>
        </w:rPr>
        <w:t xml:space="preserve">Table 3. </w:t>
      </w:r>
      <w:r w:rsidRPr="00BB4D40">
        <w:rPr>
          <w:rFonts w:ascii="Arial" w:hAnsi="Arial" w:cs="Arial"/>
          <w:b/>
          <w:bCs/>
          <w:sz w:val="24"/>
          <w:szCs w:val="24"/>
          <w:lang w:val="it-IT"/>
        </w:rPr>
        <w:t xml:space="preserve">Retail sales of consumer goods and services </w:t>
      </w:r>
      <w:r w:rsidRPr="00BB4D40">
        <w:rPr>
          <w:b/>
        </w:rPr>
        <w:t>at current prices</w:t>
      </w:r>
    </w:p>
    <w:p w14:paraId="4D2978F2" w14:textId="77777777" w:rsidR="006A6832" w:rsidRPr="00BB4D40" w:rsidRDefault="006A6832" w:rsidP="006A6832">
      <w:pPr>
        <w:spacing w:beforeLines="40" w:before="96" w:afterLines="40" w:after="96" w:line="264" w:lineRule="auto"/>
        <w:ind w:firstLine="567"/>
        <w:jc w:val="center"/>
        <w:rPr>
          <w:rFonts w:ascii="Arial" w:hAnsi="Arial" w:cs="Arial"/>
          <w:b/>
          <w:bCs/>
          <w:sz w:val="2"/>
          <w:szCs w:val="20"/>
          <w:lang w:val="it-IT"/>
        </w:rPr>
      </w:pPr>
    </w:p>
    <w:p w14:paraId="4B11C68A" w14:textId="77777777" w:rsidR="006A6832" w:rsidRPr="00BB4D40" w:rsidRDefault="006A6832" w:rsidP="006A6832">
      <w:pPr>
        <w:tabs>
          <w:tab w:val="left" w:pos="2835"/>
        </w:tabs>
        <w:spacing w:beforeLines="40" w:before="96" w:afterLines="40" w:after="96" w:line="264" w:lineRule="auto"/>
        <w:ind w:firstLine="567"/>
        <w:jc w:val="right"/>
        <w:rPr>
          <w:rFonts w:ascii="Arial" w:hAnsi="Arial" w:cs="Arial"/>
          <w:b/>
          <w:bCs/>
          <w:i/>
          <w:sz w:val="12"/>
          <w:szCs w:val="20"/>
        </w:rPr>
      </w:pPr>
      <w:r w:rsidRPr="00BB4D40">
        <w:rPr>
          <w:rFonts w:ascii="Arial" w:hAnsi="Arial" w:cs="Arial"/>
          <w:b/>
          <w:bCs/>
          <w:i/>
          <w:sz w:val="20"/>
          <w:szCs w:val="20"/>
        </w:rPr>
        <w:t>Trillion VND</w:t>
      </w:r>
    </w:p>
    <w:tbl>
      <w:tblPr>
        <w:tblW w:w="9009" w:type="dxa"/>
        <w:jc w:val="center"/>
        <w:tblLayout w:type="fixed"/>
        <w:tblLook w:val="04A0" w:firstRow="1" w:lastRow="0" w:firstColumn="1" w:lastColumn="0" w:noHBand="0" w:noVBand="1"/>
      </w:tblPr>
      <w:tblGrid>
        <w:gridCol w:w="2949"/>
        <w:gridCol w:w="1402"/>
        <w:gridCol w:w="1720"/>
        <w:gridCol w:w="1486"/>
        <w:gridCol w:w="1452"/>
      </w:tblGrid>
      <w:tr w:rsidR="006A6832" w:rsidRPr="00BB4D40" w14:paraId="71729032" w14:textId="77777777" w:rsidTr="007577DA">
        <w:trPr>
          <w:cantSplit/>
          <w:trHeight w:val="229"/>
          <w:jc w:val="center"/>
        </w:trPr>
        <w:tc>
          <w:tcPr>
            <w:tcW w:w="2949" w:type="dxa"/>
            <w:tcBorders>
              <w:top w:val="single" w:sz="8" w:space="0" w:color="auto"/>
              <w:left w:val="nil"/>
              <w:bottom w:val="nil"/>
              <w:right w:val="nil"/>
            </w:tcBorders>
            <w:vAlign w:val="center"/>
            <w:hideMark/>
          </w:tcPr>
          <w:p w14:paraId="03FA6F75" w14:textId="77777777" w:rsidR="006A6832" w:rsidRPr="00BB4D40" w:rsidRDefault="006A6832" w:rsidP="007577DA">
            <w:pPr>
              <w:spacing w:before="20" w:after="20" w:line="276" w:lineRule="auto"/>
              <w:jc w:val="both"/>
              <w:rPr>
                <w:rFonts w:ascii="Arial" w:hAnsi="Arial" w:cs="Arial"/>
                <w:sz w:val="20"/>
                <w:szCs w:val="20"/>
              </w:rPr>
            </w:pPr>
            <w:r w:rsidRPr="00BB4D40">
              <w:rPr>
                <w:rFonts w:ascii="Arial" w:hAnsi="Arial" w:cs="Arial"/>
                <w:bCs/>
                <w:sz w:val="20"/>
                <w:szCs w:val="20"/>
              </w:rPr>
              <w:t> </w:t>
            </w:r>
          </w:p>
        </w:tc>
        <w:tc>
          <w:tcPr>
            <w:tcW w:w="1402" w:type="dxa"/>
            <w:vMerge w:val="restart"/>
            <w:tcBorders>
              <w:top w:val="single" w:sz="4" w:space="0" w:color="auto"/>
              <w:left w:val="nil"/>
              <w:bottom w:val="single" w:sz="4" w:space="0" w:color="auto"/>
              <w:right w:val="nil"/>
            </w:tcBorders>
            <w:vAlign w:val="center"/>
            <w:hideMark/>
          </w:tcPr>
          <w:p w14:paraId="39928E62" w14:textId="77777777" w:rsidR="006A6832" w:rsidRPr="00BB4D40" w:rsidRDefault="006A6832" w:rsidP="007577DA">
            <w:pPr>
              <w:spacing w:before="60" w:after="60" w:line="276" w:lineRule="auto"/>
              <w:jc w:val="center"/>
              <w:rPr>
                <w:rFonts w:ascii="Arial" w:hAnsi="Arial" w:cs="Arial"/>
                <w:bCs/>
                <w:sz w:val="20"/>
                <w:szCs w:val="20"/>
              </w:rPr>
            </w:pPr>
            <w:r w:rsidRPr="00BB4D40">
              <w:rPr>
                <w:rFonts w:ascii="Arial" w:hAnsi="Arial" w:cs="Arial"/>
                <w:bCs/>
                <w:sz w:val="20"/>
                <w:szCs w:val="20"/>
              </w:rPr>
              <w:t xml:space="preserve">Estimate </w:t>
            </w:r>
          </w:p>
          <w:p w14:paraId="466D05E4" w14:textId="77777777" w:rsidR="006A6832" w:rsidRPr="00BB4D40" w:rsidRDefault="006A6832" w:rsidP="007577DA">
            <w:pPr>
              <w:spacing w:before="60" w:after="60" w:line="276" w:lineRule="auto"/>
              <w:jc w:val="center"/>
              <w:rPr>
                <w:rFonts w:ascii="Arial" w:hAnsi="Arial" w:cs="Arial"/>
                <w:bCs/>
                <w:sz w:val="20"/>
                <w:szCs w:val="20"/>
              </w:rPr>
            </w:pPr>
            <w:r w:rsidRPr="00BB4D40">
              <w:rPr>
                <w:rFonts w:ascii="Arial" w:hAnsi="Arial" w:cs="Arial"/>
                <w:bCs/>
                <w:sz w:val="20"/>
                <w:szCs w:val="20"/>
              </w:rPr>
              <w:t>May</w:t>
            </w:r>
          </w:p>
          <w:p w14:paraId="5F87CFD2" w14:textId="77777777" w:rsidR="006A6832" w:rsidRPr="00BB4D40" w:rsidRDefault="006A6832" w:rsidP="007577DA">
            <w:pPr>
              <w:spacing w:before="20" w:after="20" w:line="276" w:lineRule="auto"/>
              <w:jc w:val="center"/>
              <w:rPr>
                <w:rFonts w:ascii="Arial" w:hAnsi="Arial" w:cs="Arial"/>
                <w:sz w:val="20"/>
                <w:szCs w:val="20"/>
              </w:rPr>
            </w:pPr>
            <w:r w:rsidRPr="00BB4D40">
              <w:rPr>
                <w:rFonts w:ascii="Arial" w:hAnsi="Arial" w:cs="Arial"/>
                <w:bCs/>
                <w:sz w:val="20"/>
                <w:szCs w:val="20"/>
              </w:rPr>
              <w:t>2024</w:t>
            </w:r>
          </w:p>
        </w:tc>
        <w:tc>
          <w:tcPr>
            <w:tcW w:w="1720" w:type="dxa"/>
            <w:vMerge w:val="restart"/>
            <w:tcBorders>
              <w:top w:val="single" w:sz="4" w:space="0" w:color="auto"/>
              <w:left w:val="nil"/>
              <w:bottom w:val="single" w:sz="4" w:space="0" w:color="auto"/>
              <w:right w:val="nil"/>
            </w:tcBorders>
            <w:vAlign w:val="center"/>
            <w:hideMark/>
          </w:tcPr>
          <w:p w14:paraId="783C9CE1" w14:textId="77777777" w:rsidR="006A6832" w:rsidRPr="00BB4D40" w:rsidRDefault="006A6832" w:rsidP="007577DA">
            <w:pPr>
              <w:spacing w:before="60" w:after="60" w:line="276" w:lineRule="auto"/>
              <w:jc w:val="center"/>
              <w:rPr>
                <w:rFonts w:ascii="Arial" w:hAnsi="Arial" w:cs="Arial"/>
                <w:sz w:val="20"/>
                <w:szCs w:val="20"/>
                <w:lang w:val="pt-BR"/>
              </w:rPr>
            </w:pPr>
            <w:r w:rsidRPr="00BB4D40">
              <w:rPr>
                <w:rFonts w:ascii="Arial" w:hAnsi="Arial" w:cs="Arial"/>
                <w:bCs/>
                <w:sz w:val="20"/>
                <w:szCs w:val="20"/>
              </w:rPr>
              <w:t>Estimate the</w:t>
            </w:r>
            <w:r w:rsidRPr="00BB4D40">
              <w:rPr>
                <w:rFonts w:ascii="Arial" w:hAnsi="Arial" w:cs="Arial"/>
                <w:bCs/>
                <w:sz w:val="20"/>
                <w:szCs w:val="20"/>
              </w:rPr>
              <w:br/>
              <w:t xml:space="preserve">first 5 months </w:t>
            </w:r>
            <w:r w:rsidRPr="00BB4D40">
              <w:rPr>
                <w:rFonts w:ascii="Arial" w:hAnsi="Arial" w:cs="Arial"/>
                <w:bCs/>
                <w:sz w:val="20"/>
                <w:szCs w:val="20"/>
              </w:rPr>
              <w:br/>
              <w:t>of 2024</w:t>
            </w:r>
          </w:p>
        </w:tc>
        <w:tc>
          <w:tcPr>
            <w:tcW w:w="2938" w:type="dxa"/>
            <w:gridSpan w:val="2"/>
            <w:vMerge w:val="restart"/>
            <w:tcBorders>
              <w:top w:val="single" w:sz="4" w:space="0" w:color="auto"/>
              <w:left w:val="nil"/>
              <w:bottom w:val="single" w:sz="4" w:space="0" w:color="auto"/>
              <w:right w:val="nil"/>
            </w:tcBorders>
            <w:vAlign w:val="center"/>
            <w:hideMark/>
          </w:tcPr>
          <w:p w14:paraId="485B4BAA" w14:textId="77777777" w:rsidR="006A6832" w:rsidRPr="00BB4D40" w:rsidRDefault="006A6832" w:rsidP="007577DA">
            <w:pPr>
              <w:spacing w:before="20" w:after="20" w:line="276" w:lineRule="auto"/>
              <w:jc w:val="center"/>
              <w:rPr>
                <w:rFonts w:ascii="Arial" w:hAnsi="Arial" w:cs="Arial"/>
                <w:sz w:val="20"/>
                <w:szCs w:val="20"/>
                <w:lang w:val="pt-BR"/>
              </w:rPr>
            </w:pPr>
            <w:r w:rsidRPr="00BB4D40">
              <w:rPr>
                <w:rFonts w:ascii="Arial" w:hAnsi="Arial" w:cs="Arial"/>
                <w:bCs/>
                <w:sz w:val="20"/>
                <w:szCs w:val="20"/>
              </w:rPr>
              <w:t>G</w:t>
            </w:r>
            <w:r w:rsidRPr="00BB4D40">
              <w:rPr>
                <w:rFonts w:ascii="Arial" w:hAnsi="Arial" w:cs="Arial"/>
                <w:bCs/>
                <w:sz w:val="20"/>
                <w:szCs w:val="20"/>
                <w:lang w:val="vi-VN"/>
              </w:rPr>
              <w:t>rowth rate</w:t>
            </w:r>
            <w:r w:rsidRPr="00BB4D40">
              <w:rPr>
                <w:rFonts w:ascii="Arial" w:hAnsi="Arial" w:cs="Arial"/>
                <w:bCs/>
                <w:sz w:val="20"/>
                <w:szCs w:val="20"/>
              </w:rPr>
              <w:t xml:space="preserve"> compared to the same period last year (%)</w:t>
            </w:r>
          </w:p>
        </w:tc>
      </w:tr>
      <w:tr w:rsidR="006A6832" w:rsidRPr="00BB4D40" w14:paraId="7EE44C0C" w14:textId="77777777" w:rsidTr="007577DA">
        <w:trPr>
          <w:cantSplit/>
          <w:trHeight w:val="193"/>
          <w:jc w:val="center"/>
        </w:trPr>
        <w:tc>
          <w:tcPr>
            <w:tcW w:w="2949" w:type="dxa"/>
            <w:vAlign w:val="center"/>
            <w:hideMark/>
          </w:tcPr>
          <w:p w14:paraId="5312CD64" w14:textId="77777777" w:rsidR="006A6832" w:rsidRPr="00BB4D40" w:rsidRDefault="006A6832" w:rsidP="007577DA">
            <w:pPr>
              <w:rPr>
                <w:rFonts w:ascii="Arial" w:hAnsi="Arial" w:cs="Arial"/>
                <w:sz w:val="20"/>
                <w:szCs w:val="20"/>
                <w:lang w:val="pt-BR"/>
              </w:rPr>
            </w:pPr>
          </w:p>
        </w:tc>
        <w:tc>
          <w:tcPr>
            <w:tcW w:w="1402" w:type="dxa"/>
            <w:vMerge/>
            <w:tcBorders>
              <w:top w:val="single" w:sz="4" w:space="0" w:color="auto"/>
              <w:left w:val="nil"/>
              <w:bottom w:val="single" w:sz="4" w:space="0" w:color="auto"/>
              <w:right w:val="nil"/>
            </w:tcBorders>
            <w:vAlign w:val="center"/>
            <w:hideMark/>
          </w:tcPr>
          <w:p w14:paraId="135E5FA8" w14:textId="77777777" w:rsidR="006A6832" w:rsidRPr="00BB4D40" w:rsidRDefault="006A6832" w:rsidP="007577DA">
            <w:pPr>
              <w:spacing w:line="256" w:lineRule="auto"/>
              <w:rPr>
                <w:rFonts w:ascii="Arial" w:hAnsi="Arial" w:cs="Arial"/>
                <w:sz w:val="20"/>
                <w:szCs w:val="20"/>
              </w:rPr>
            </w:pPr>
          </w:p>
        </w:tc>
        <w:tc>
          <w:tcPr>
            <w:tcW w:w="1720" w:type="dxa"/>
            <w:vMerge/>
            <w:tcBorders>
              <w:top w:val="single" w:sz="4" w:space="0" w:color="auto"/>
              <w:left w:val="nil"/>
              <w:bottom w:val="single" w:sz="4" w:space="0" w:color="auto"/>
              <w:right w:val="nil"/>
            </w:tcBorders>
            <w:vAlign w:val="center"/>
            <w:hideMark/>
          </w:tcPr>
          <w:p w14:paraId="268859D8" w14:textId="77777777" w:rsidR="006A6832" w:rsidRPr="00BB4D40" w:rsidRDefault="006A6832" w:rsidP="007577DA">
            <w:pPr>
              <w:spacing w:line="256" w:lineRule="auto"/>
              <w:rPr>
                <w:rFonts w:ascii="Arial" w:hAnsi="Arial" w:cs="Arial"/>
                <w:sz w:val="20"/>
                <w:szCs w:val="20"/>
                <w:lang w:val="pt-BR"/>
              </w:rPr>
            </w:pPr>
          </w:p>
        </w:tc>
        <w:tc>
          <w:tcPr>
            <w:tcW w:w="2938" w:type="dxa"/>
            <w:gridSpan w:val="2"/>
            <w:vMerge/>
            <w:tcBorders>
              <w:top w:val="single" w:sz="4" w:space="0" w:color="auto"/>
              <w:left w:val="nil"/>
              <w:bottom w:val="single" w:sz="4" w:space="0" w:color="auto"/>
              <w:right w:val="nil"/>
            </w:tcBorders>
            <w:vAlign w:val="center"/>
            <w:hideMark/>
          </w:tcPr>
          <w:p w14:paraId="57EB7495" w14:textId="77777777" w:rsidR="006A6832" w:rsidRPr="00BB4D40" w:rsidRDefault="006A6832" w:rsidP="007577DA">
            <w:pPr>
              <w:spacing w:line="256" w:lineRule="auto"/>
              <w:rPr>
                <w:rFonts w:ascii="Arial" w:hAnsi="Arial" w:cs="Arial"/>
                <w:sz w:val="20"/>
                <w:szCs w:val="20"/>
                <w:lang w:val="pt-BR"/>
              </w:rPr>
            </w:pPr>
          </w:p>
        </w:tc>
      </w:tr>
      <w:tr w:rsidR="006A6832" w:rsidRPr="00BB4D40" w14:paraId="3056E890" w14:textId="77777777" w:rsidTr="007577DA">
        <w:trPr>
          <w:cantSplit/>
          <w:trHeight w:val="106"/>
          <w:jc w:val="center"/>
        </w:trPr>
        <w:tc>
          <w:tcPr>
            <w:tcW w:w="2949" w:type="dxa"/>
            <w:vAlign w:val="center"/>
            <w:hideMark/>
          </w:tcPr>
          <w:p w14:paraId="174652FC" w14:textId="77777777" w:rsidR="006A6832" w:rsidRPr="00BB4D40" w:rsidRDefault="006A6832" w:rsidP="007577DA">
            <w:pPr>
              <w:spacing w:line="256" w:lineRule="auto"/>
              <w:rPr>
                <w:rFonts w:asciiTheme="minorHAnsi" w:eastAsiaTheme="minorHAnsi" w:hAnsiTheme="minorHAnsi" w:cstheme="minorBidi"/>
                <w:sz w:val="20"/>
                <w:szCs w:val="20"/>
              </w:rPr>
            </w:pPr>
          </w:p>
        </w:tc>
        <w:tc>
          <w:tcPr>
            <w:tcW w:w="1402" w:type="dxa"/>
            <w:vMerge/>
            <w:tcBorders>
              <w:top w:val="single" w:sz="4" w:space="0" w:color="auto"/>
              <w:left w:val="nil"/>
              <w:bottom w:val="single" w:sz="4" w:space="0" w:color="auto"/>
              <w:right w:val="nil"/>
            </w:tcBorders>
            <w:vAlign w:val="center"/>
            <w:hideMark/>
          </w:tcPr>
          <w:p w14:paraId="7FEA534D" w14:textId="77777777" w:rsidR="006A6832" w:rsidRPr="00BB4D40" w:rsidRDefault="006A6832" w:rsidP="007577DA">
            <w:pPr>
              <w:spacing w:line="256" w:lineRule="auto"/>
              <w:rPr>
                <w:rFonts w:ascii="Arial" w:hAnsi="Arial" w:cs="Arial"/>
                <w:sz w:val="20"/>
                <w:szCs w:val="20"/>
              </w:rPr>
            </w:pPr>
          </w:p>
        </w:tc>
        <w:tc>
          <w:tcPr>
            <w:tcW w:w="1720" w:type="dxa"/>
            <w:vMerge/>
            <w:tcBorders>
              <w:top w:val="single" w:sz="4" w:space="0" w:color="auto"/>
              <w:left w:val="nil"/>
              <w:bottom w:val="single" w:sz="4" w:space="0" w:color="auto"/>
              <w:right w:val="nil"/>
            </w:tcBorders>
            <w:vAlign w:val="center"/>
            <w:hideMark/>
          </w:tcPr>
          <w:p w14:paraId="5B8AB54B" w14:textId="77777777" w:rsidR="006A6832" w:rsidRPr="00BB4D40" w:rsidRDefault="006A6832" w:rsidP="007577DA">
            <w:pPr>
              <w:spacing w:line="256" w:lineRule="auto"/>
              <w:rPr>
                <w:rFonts w:ascii="Arial" w:hAnsi="Arial" w:cs="Arial"/>
                <w:sz w:val="20"/>
                <w:szCs w:val="20"/>
                <w:lang w:val="pt-BR"/>
              </w:rPr>
            </w:pPr>
          </w:p>
        </w:tc>
        <w:tc>
          <w:tcPr>
            <w:tcW w:w="1486" w:type="dxa"/>
            <w:vMerge w:val="restart"/>
            <w:tcBorders>
              <w:top w:val="nil"/>
              <w:left w:val="nil"/>
              <w:bottom w:val="single" w:sz="4" w:space="0" w:color="auto"/>
              <w:right w:val="nil"/>
            </w:tcBorders>
            <w:vAlign w:val="center"/>
            <w:hideMark/>
          </w:tcPr>
          <w:p w14:paraId="7359F60E" w14:textId="77777777" w:rsidR="006A6832" w:rsidRPr="00BB4D40" w:rsidRDefault="006A6832" w:rsidP="007577DA">
            <w:pPr>
              <w:spacing w:before="60" w:after="60" w:line="276" w:lineRule="auto"/>
              <w:jc w:val="center"/>
              <w:rPr>
                <w:rFonts w:ascii="Arial" w:hAnsi="Arial" w:cs="Arial"/>
                <w:sz w:val="20"/>
                <w:szCs w:val="20"/>
              </w:rPr>
            </w:pPr>
            <w:r w:rsidRPr="00BB4D40">
              <w:rPr>
                <w:rFonts w:ascii="Arial" w:hAnsi="Arial" w:cs="Arial"/>
                <w:bCs/>
                <w:sz w:val="20"/>
                <w:szCs w:val="20"/>
              </w:rPr>
              <w:t>May</w:t>
            </w:r>
            <w:r w:rsidRPr="00BB4D40">
              <w:rPr>
                <w:rFonts w:ascii="Arial" w:hAnsi="Arial" w:cs="Arial"/>
                <w:bCs/>
                <w:sz w:val="20"/>
                <w:szCs w:val="20"/>
              </w:rPr>
              <w:br/>
              <w:t>in 2024</w:t>
            </w:r>
          </w:p>
        </w:tc>
        <w:tc>
          <w:tcPr>
            <w:tcW w:w="1452" w:type="dxa"/>
            <w:vMerge w:val="restart"/>
            <w:tcBorders>
              <w:top w:val="nil"/>
              <w:left w:val="nil"/>
              <w:bottom w:val="single" w:sz="4" w:space="0" w:color="auto"/>
              <w:right w:val="nil"/>
            </w:tcBorders>
            <w:vAlign w:val="center"/>
            <w:hideMark/>
          </w:tcPr>
          <w:p w14:paraId="5D4161EF" w14:textId="77777777" w:rsidR="006A6832" w:rsidRPr="00BB4D40" w:rsidRDefault="006A6832" w:rsidP="007577DA">
            <w:pPr>
              <w:spacing w:before="60" w:after="60" w:line="276" w:lineRule="auto"/>
              <w:jc w:val="center"/>
              <w:rPr>
                <w:rFonts w:ascii="Arial" w:hAnsi="Arial" w:cs="Arial"/>
                <w:sz w:val="20"/>
                <w:szCs w:val="20"/>
              </w:rPr>
            </w:pPr>
            <w:r w:rsidRPr="00BB4D40">
              <w:rPr>
                <w:rFonts w:ascii="Arial" w:hAnsi="Arial" w:cs="Arial"/>
                <w:bCs/>
                <w:sz w:val="20"/>
                <w:szCs w:val="20"/>
              </w:rPr>
              <w:t>The first 5 months</w:t>
            </w:r>
            <w:r w:rsidRPr="00BB4D40">
              <w:rPr>
                <w:rFonts w:ascii="Arial" w:hAnsi="Arial" w:cs="Arial"/>
                <w:bCs/>
                <w:sz w:val="20"/>
                <w:szCs w:val="20"/>
              </w:rPr>
              <w:br/>
              <w:t>of 2024</w:t>
            </w:r>
          </w:p>
        </w:tc>
      </w:tr>
      <w:tr w:rsidR="006A6832" w:rsidRPr="00BB4D40" w14:paraId="18D4C9B4" w14:textId="77777777" w:rsidTr="007577DA">
        <w:trPr>
          <w:cantSplit/>
          <w:trHeight w:val="454"/>
          <w:jc w:val="center"/>
        </w:trPr>
        <w:tc>
          <w:tcPr>
            <w:tcW w:w="2949" w:type="dxa"/>
            <w:vAlign w:val="center"/>
            <w:hideMark/>
          </w:tcPr>
          <w:p w14:paraId="1124B4E2" w14:textId="77777777" w:rsidR="006A6832" w:rsidRPr="00BB4D40" w:rsidRDefault="006A6832" w:rsidP="007577DA">
            <w:pPr>
              <w:rPr>
                <w:rFonts w:ascii="Arial" w:hAnsi="Arial" w:cs="Arial"/>
                <w:sz w:val="20"/>
                <w:szCs w:val="20"/>
              </w:rPr>
            </w:pPr>
          </w:p>
        </w:tc>
        <w:tc>
          <w:tcPr>
            <w:tcW w:w="1402" w:type="dxa"/>
            <w:vMerge/>
            <w:tcBorders>
              <w:top w:val="single" w:sz="4" w:space="0" w:color="auto"/>
              <w:left w:val="nil"/>
              <w:bottom w:val="single" w:sz="4" w:space="0" w:color="auto"/>
              <w:right w:val="nil"/>
            </w:tcBorders>
            <w:vAlign w:val="center"/>
            <w:hideMark/>
          </w:tcPr>
          <w:p w14:paraId="483BEA0A" w14:textId="77777777" w:rsidR="006A6832" w:rsidRPr="00BB4D40" w:rsidRDefault="006A6832" w:rsidP="007577DA">
            <w:pPr>
              <w:spacing w:line="256" w:lineRule="auto"/>
              <w:rPr>
                <w:rFonts w:ascii="Arial" w:hAnsi="Arial" w:cs="Arial"/>
                <w:sz w:val="20"/>
                <w:szCs w:val="20"/>
              </w:rPr>
            </w:pPr>
          </w:p>
        </w:tc>
        <w:tc>
          <w:tcPr>
            <w:tcW w:w="1720" w:type="dxa"/>
            <w:vMerge/>
            <w:tcBorders>
              <w:top w:val="single" w:sz="4" w:space="0" w:color="auto"/>
              <w:left w:val="nil"/>
              <w:bottom w:val="single" w:sz="4" w:space="0" w:color="auto"/>
              <w:right w:val="nil"/>
            </w:tcBorders>
            <w:vAlign w:val="center"/>
            <w:hideMark/>
          </w:tcPr>
          <w:p w14:paraId="3D8E545B" w14:textId="77777777" w:rsidR="006A6832" w:rsidRPr="00BB4D40" w:rsidRDefault="006A6832" w:rsidP="007577DA">
            <w:pPr>
              <w:spacing w:line="256" w:lineRule="auto"/>
              <w:rPr>
                <w:rFonts w:ascii="Arial" w:hAnsi="Arial" w:cs="Arial"/>
                <w:sz w:val="20"/>
                <w:szCs w:val="20"/>
                <w:lang w:val="pt-BR"/>
              </w:rPr>
            </w:pPr>
          </w:p>
        </w:tc>
        <w:tc>
          <w:tcPr>
            <w:tcW w:w="1486" w:type="dxa"/>
            <w:vMerge/>
            <w:tcBorders>
              <w:top w:val="nil"/>
              <w:left w:val="nil"/>
              <w:bottom w:val="single" w:sz="4" w:space="0" w:color="auto"/>
              <w:right w:val="nil"/>
            </w:tcBorders>
            <w:vAlign w:val="center"/>
            <w:hideMark/>
          </w:tcPr>
          <w:p w14:paraId="1846EEEB" w14:textId="77777777" w:rsidR="006A6832" w:rsidRPr="00BB4D40" w:rsidRDefault="006A6832" w:rsidP="007577DA">
            <w:pPr>
              <w:spacing w:line="256" w:lineRule="auto"/>
              <w:rPr>
                <w:rFonts w:ascii="Arial" w:hAnsi="Arial" w:cs="Arial"/>
                <w:sz w:val="20"/>
                <w:szCs w:val="20"/>
              </w:rPr>
            </w:pPr>
          </w:p>
        </w:tc>
        <w:tc>
          <w:tcPr>
            <w:tcW w:w="1452" w:type="dxa"/>
            <w:vMerge/>
            <w:tcBorders>
              <w:top w:val="nil"/>
              <w:left w:val="nil"/>
              <w:bottom w:val="single" w:sz="4" w:space="0" w:color="auto"/>
              <w:right w:val="nil"/>
            </w:tcBorders>
            <w:vAlign w:val="center"/>
            <w:hideMark/>
          </w:tcPr>
          <w:p w14:paraId="74486843" w14:textId="77777777" w:rsidR="006A6832" w:rsidRPr="00BB4D40" w:rsidRDefault="006A6832" w:rsidP="007577DA">
            <w:pPr>
              <w:spacing w:line="256" w:lineRule="auto"/>
              <w:rPr>
                <w:rFonts w:ascii="Arial" w:hAnsi="Arial" w:cs="Arial"/>
                <w:sz w:val="20"/>
                <w:szCs w:val="20"/>
              </w:rPr>
            </w:pPr>
          </w:p>
        </w:tc>
      </w:tr>
      <w:tr w:rsidR="006A6832" w:rsidRPr="00BB4D40" w14:paraId="24FFA265" w14:textId="77777777" w:rsidTr="007577DA">
        <w:trPr>
          <w:cantSplit/>
          <w:trHeight w:val="301"/>
          <w:jc w:val="center"/>
        </w:trPr>
        <w:tc>
          <w:tcPr>
            <w:tcW w:w="2949" w:type="dxa"/>
            <w:vAlign w:val="center"/>
            <w:hideMark/>
          </w:tcPr>
          <w:p w14:paraId="364ABF81" w14:textId="77777777" w:rsidR="006A6832" w:rsidRPr="00BB4D40" w:rsidRDefault="006A6832" w:rsidP="007577DA">
            <w:pPr>
              <w:spacing w:before="120" w:after="60" w:line="276" w:lineRule="auto"/>
              <w:rPr>
                <w:rFonts w:ascii="Arial" w:hAnsi="Arial" w:cs="Arial"/>
                <w:b/>
                <w:bCs/>
                <w:sz w:val="20"/>
                <w:szCs w:val="20"/>
              </w:rPr>
            </w:pPr>
            <w:r w:rsidRPr="00BB4D40">
              <w:rPr>
                <w:rFonts w:ascii="Arial" w:hAnsi="Arial" w:cs="Arial"/>
                <w:b/>
                <w:bCs/>
                <w:color w:val="000000" w:themeColor="text1"/>
                <w:sz w:val="20"/>
                <w:szCs w:val="20"/>
              </w:rPr>
              <w:t>Total</w:t>
            </w:r>
          </w:p>
        </w:tc>
        <w:tc>
          <w:tcPr>
            <w:tcW w:w="1402" w:type="dxa"/>
            <w:tcBorders>
              <w:top w:val="single" w:sz="4" w:space="0" w:color="auto"/>
              <w:left w:val="nil"/>
              <w:bottom w:val="nil"/>
              <w:right w:val="nil"/>
            </w:tcBorders>
            <w:vAlign w:val="bottom"/>
            <w:hideMark/>
          </w:tcPr>
          <w:p w14:paraId="6CA18BC8" w14:textId="77777777" w:rsidR="006A6832" w:rsidRPr="00BB4D40" w:rsidRDefault="006A6832" w:rsidP="007577DA">
            <w:pPr>
              <w:spacing w:before="120" w:after="60" w:line="276" w:lineRule="auto"/>
              <w:ind w:right="339"/>
              <w:jc w:val="right"/>
              <w:rPr>
                <w:rFonts w:ascii="Arial" w:hAnsi="Arial" w:cs="Arial"/>
                <w:b/>
                <w:bCs/>
                <w:sz w:val="20"/>
                <w:szCs w:val="20"/>
              </w:rPr>
            </w:pPr>
            <w:r w:rsidRPr="00BB4D40">
              <w:rPr>
                <w:rFonts w:ascii="Arial" w:hAnsi="Arial" w:cs="Arial"/>
                <w:b/>
                <w:sz w:val="20"/>
                <w:szCs w:val="20"/>
              </w:rPr>
              <w:t xml:space="preserve">519.8 </w:t>
            </w:r>
          </w:p>
        </w:tc>
        <w:tc>
          <w:tcPr>
            <w:tcW w:w="1720" w:type="dxa"/>
            <w:tcBorders>
              <w:top w:val="single" w:sz="4" w:space="0" w:color="auto"/>
              <w:left w:val="nil"/>
              <w:bottom w:val="nil"/>
              <w:right w:val="nil"/>
            </w:tcBorders>
            <w:vAlign w:val="bottom"/>
            <w:hideMark/>
          </w:tcPr>
          <w:p w14:paraId="0C7C6248" w14:textId="77777777" w:rsidR="006A6832" w:rsidRPr="00BB4D40" w:rsidRDefault="006A6832" w:rsidP="007577DA">
            <w:pPr>
              <w:spacing w:before="120" w:after="60" w:line="276" w:lineRule="auto"/>
              <w:ind w:right="339"/>
              <w:jc w:val="right"/>
              <w:rPr>
                <w:rFonts w:ascii="Arial" w:hAnsi="Arial" w:cs="Arial"/>
                <w:b/>
                <w:bCs/>
                <w:sz w:val="20"/>
                <w:szCs w:val="20"/>
              </w:rPr>
            </w:pPr>
            <w:r w:rsidRPr="00BB4D40">
              <w:rPr>
                <w:rFonts w:ascii="Arial" w:hAnsi="Arial" w:cs="Arial"/>
                <w:b/>
                <w:sz w:val="20"/>
                <w:szCs w:val="20"/>
              </w:rPr>
              <w:t xml:space="preserve">2.580.2 </w:t>
            </w:r>
          </w:p>
        </w:tc>
        <w:tc>
          <w:tcPr>
            <w:tcW w:w="1486" w:type="dxa"/>
            <w:tcBorders>
              <w:top w:val="single" w:sz="4" w:space="0" w:color="auto"/>
              <w:left w:val="nil"/>
              <w:bottom w:val="nil"/>
              <w:right w:val="nil"/>
            </w:tcBorders>
            <w:vAlign w:val="bottom"/>
            <w:hideMark/>
          </w:tcPr>
          <w:p w14:paraId="1AD329EB" w14:textId="77777777" w:rsidR="006A6832" w:rsidRPr="00BB4D40" w:rsidRDefault="006A6832" w:rsidP="007577DA">
            <w:pPr>
              <w:spacing w:before="120" w:after="60" w:line="276" w:lineRule="auto"/>
              <w:ind w:right="339"/>
              <w:jc w:val="right"/>
              <w:rPr>
                <w:rFonts w:ascii="Arial" w:hAnsi="Arial" w:cs="Arial"/>
                <w:b/>
                <w:bCs/>
                <w:sz w:val="20"/>
                <w:szCs w:val="20"/>
              </w:rPr>
            </w:pPr>
            <w:r w:rsidRPr="00BB4D40">
              <w:rPr>
                <w:rFonts w:ascii="Arial" w:hAnsi="Arial" w:cs="Arial"/>
                <w:b/>
                <w:sz w:val="20"/>
                <w:szCs w:val="20"/>
              </w:rPr>
              <w:t xml:space="preserve">          9.5 </w:t>
            </w:r>
          </w:p>
        </w:tc>
        <w:tc>
          <w:tcPr>
            <w:tcW w:w="1452" w:type="dxa"/>
            <w:tcBorders>
              <w:top w:val="single" w:sz="4" w:space="0" w:color="auto"/>
              <w:left w:val="nil"/>
              <w:bottom w:val="nil"/>
              <w:right w:val="nil"/>
            </w:tcBorders>
            <w:vAlign w:val="bottom"/>
            <w:hideMark/>
          </w:tcPr>
          <w:p w14:paraId="31FBD3F8" w14:textId="77777777" w:rsidR="006A6832" w:rsidRPr="00BB4D40" w:rsidRDefault="006A6832" w:rsidP="007577DA">
            <w:pPr>
              <w:spacing w:before="120" w:after="60" w:line="276" w:lineRule="auto"/>
              <w:ind w:right="339"/>
              <w:jc w:val="right"/>
              <w:rPr>
                <w:rFonts w:ascii="Arial" w:hAnsi="Arial" w:cs="Arial"/>
                <w:b/>
                <w:bCs/>
                <w:sz w:val="20"/>
                <w:szCs w:val="20"/>
              </w:rPr>
            </w:pPr>
            <w:r w:rsidRPr="00BB4D40">
              <w:rPr>
                <w:rFonts w:ascii="Arial" w:hAnsi="Arial" w:cs="Arial"/>
                <w:b/>
                <w:sz w:val="20"/>
                <w:szCs w:val="20"/>
              </w:rPr>
              <w:t xml:space="preserve">       8.7 </w:t>
            </w:r>
          </w:p>
        </w:tc>
      </w:tr>
      <w:tr w:rsidR="006A6832" w:rsidRPr="00BB4D40" w14:paraId="79EC67FE" w14:textId="77777777" w:rsidTr="007577DA">
        <w:trPr>
          <w:cantSplit/>
          <w:trHeight w:val="260"/>
          <w:jc w:val="center"/>
        </w:trPr>
        <w:tc>
          <w:tcPr>
            <w:tcW w:w="2949" w:type="dxa"/>
            <w:vAlign w:val="center"/>
            <w:hideMark/>
          </w:tcPr>
          <w:p w14:paraId="7E05B33C" w14:textId="77777777" w:rsidR="006A6832" w:rsidRPr="00BB4D40" w:rsidRDefault="006A6832" w:rsidP="007577DA">
            <w:pPr>
              <w:spacing w:before="60" w:after="60" w:line="276" w:lineRule="auto"/>
              <w:ind w:left="318"/>
              <w:rPr>
                <w:rFonts w:ascii="Arial" w:hAnsi="Arial" w:cs="Arial"/>
                <w:sz w:val="20"/>
                <w:szCs w:val="20"/>
              </w:rPr>
            </w:pPr>
            <w:r w:rsidRPr="00BB4D40">
              <w:rPr>
                <w:rFonts w:ascii="Arial" w:hAnsi="Arial" w:cs="Arial"/>
                <w:bCs/>
                <w:color w:val="000000" w:themeColor="text1"/>
                <w:sz w:val="20"/>
                <w:szCs w:val="20"/>
              </w:rPr>
              <w:t>Retail sale of goods</w:t>
            </w:r>
          </w:p>
        </w:tc>
        <w:tc>
          <w:tcPr>
            <w:tcW w:w="1402" w:type="dxa"/>
            <w:vAlign w:val="center"/>
            <w:hideMark/>
          </w:tcPr>
          <w:p w14:paraId="3BBA0DFE" w14:textId="77777777" w:rsidR="006A6832" w:rsidRPr="00BB4D40" w:rsidRDefault="006A6832" w:rsidP="007577DA">
            <w:pPr>
              <w:spacing w:before="60" w:after="60" w:line="276" w:lineRule="auto"/>
              <w:ind w:right="339"/>
              <w:jc w:val="right"/>
              <w:rPr>
                <w:rFonts w:ascii="Arial" w:hAnsi="Arial" w:cs="Arial"/>
                <w:sz w:val="20"/>
                <w:szCs w:val="20"/>
              </w:rPr>
            </w:pPr>
            <w:r w:rsidRPr="00BB4D40">
              <w:rPr>
                <w:rFonts w:ascii="Arial" w:hAnsi="Arial" w:cs="Arial"/>
                <w:sz w:val="20"/>
                <w:szCs w:val="20"/>
              </w:rPr>
              <w:t xml:space="preserve">402.4 </w:t>
            </w:r>
          </w:p>
        </w:tc>
        <w:tc>
          <w:tcPr>
            <w:tcW w:w="1720" w:type="dxa"/>
            <w:vAlign w:val="center"/>
            <w:hideMark/>
          </w:tcPr>
          <w:p w14:paraId="6BB7933A" w14:textId="77777777" w:rsidR="006A6832" w:rsidRPr="00BB4D40" w:rsidRDefault="006A6832" w:rsidP="007577DA">
            <w:pPr>
              <w:spacing w:before="60" w:after="60" w:line="276" w:lineRule="auto"/>
              <w:ind w:right="339"/>
              <w:jc w:val="right"/>
              <w:rPr>
                <w:rFonts w:ascii="Arial" w:hAnsi="Arial" w:cs="Arial"/>
                <w:sz w:val="20"/>
                <w:szCs w:val="20"/>
              </w:rPr>
            </w:pPr>
            <w:r w:rsidRPr="00BB4D40">
              <w:rPr>
                <w:rFonts w:ascii="Arial" w:hAnsi="Arial" w:cs="Arial"/>
                <w:sz w:val="20"/>
                <w:szCs w:val="20"/>
              </w:rPr>
              <w:t xml:space="preserve">1.998.2 </w:t>
            </w:r>
          </w:p>
        </w:tc>
        <w:tc>
          <w:tcPr>
            <w:tcW w:w="1486" w:type="dxa"/>
            <w:vAlign w:val="bottom"/>
            <w:hideMark/>
          </w:tcPr>
          <w:p w14:paraId="7C97FC9F" w14:textId="77777777" w:rsidR="006A6832" w:rsidRPr="00BB4D40" w:rsidRDefault="006A6832" w:rsidP="007577DA">
            <w:pPr>
              <w:spacing w:before="60" w:after="60" w:line="276" w:lineRule="auto"/>
              <w:ind w:right="339"/>
              <w:jc w:val="right"/>
              <w:rPr>
                <w:rFonts w:ascii="Arial" w:hAnsi="Arial" w:cs="Arial"/>
                <w:sz w:val="20"/>
                <w:szCs w:val="20"/>
              </w:rPr>
            </w:pPr>
            <w:r w:rsidRPr="00BB4D40">
              <w:rPr>
                <w:rFonts w:ascii="Arial" w:hAnsi="Arial" w:cs="Arial"/>
                <w:sz w:val="20"/>
                <w:szCs w:val="20"/>
              </w:rPr>
              <w:t xml:space="preserve">8.2 </w:t>
            </w:r>
          </w:p>
        </w:tc>
        <w:tc>
          <w:tcPr>
            <w:tcW w:w="1452" w:type="dxa"/>
            <w:vAlign w:val="bottom"/>
            <w:hideMark/>
          </w:tcPr>
          <w:p w14:paraId="6DC356F8" w14:textId="77777777" w:rsidR="006A6832" w:rsidRPr="00BB4D40" w:rsidRDefault="006A6832" w:rsidP="007577DA">
            <w:pPr>
              <w:spacing w:before="60" w:after="60" w:line="276" w:lineRule="auto"/>
              <w:ind w:right="339"/>
              <w:jc w:val="right"/>
              <w:rPr>
                <w:rFonts w:ascii="Arial" w:hAnsi="Arial" w:cs="Arial"/>
                <w:sz w:val="20"/>
                <w:szCs w:val="20"/>
              </w:rPr>
            </w:pPr>
            <w:r w:rsidRPr="00BB4D40">
              <w:rPr>
                <w:rFonts w:ascii="Arial" w:hAnsi="Arial" w:cs="Arial"/>
                <w:sz w:val="20"/>
                <w:szCs w:val="20"/>
              </w:rPr>
              <w:t xml:space="preserve">         7.4 </w:t>
            </w:r>
          </w:p>
        </w:tc>
      </w:tr>
      <w:tr w:rsidR="006A6832" w:rsidRPr="00BB4D40" w14:paraId="4E23619A" w14:textId="77777777" w:rsidTr="007577DA">
        <w:trPr>
          <w:cantSplit/>
          <w:trHeight w:val="229"/>
          <w:jc w:val="center"/>
        </w:trPr>
        <w:tc>
          <w:tcPr>
            <w:tcW w:w="2949" w:type="dxa"/>
            <w:vAlign w:val="center"/>
            <w:hideMark/>
          </w:tcPr>
          <w:p w14:paraId="7D5E7DDF" w14:textId="77777777" w:rsidR="006A6832" w:rsidRPr="00BB4D40" w:rsidRDefault="006A6832" w:rsidP="007577DA">
            <w:pPr>
              <w:spacing w:before="60" w:after="60" w:line="276" w:lineRule="auto"/>
              <w:ind w:left="318"/>
              <w:rPr>
                <w:rFonts w:ascii="Arial" w:hAnsi="Arial" w:cs="Arial"/>
                <w:sz w:val="20"/>
                <w:szCs w:val="20"/>
              </w:rPr>
            </w:pPr>
            <w:r w:rsidRPr="00BB4D40">
              <w:rPr>
                <w:rFonts w:ascii="Arial" w:hAnsi="Arial" w:cs="Arial"/>
                <w:bCs/>
                <w:color w:val="000000" w:themeColor="text1"/>
                <w:sz w:val="20"/>
                <w:szCs w:val="20"/>
              </w:rPr>
              <w:t>Accommodation and catering service</w:t>
            </w:r>
          </w:p>
        </w:tc>
        <w:tc>
          <w:tcPr>
            <w:tcW w:w="1402" w:type="dxa"/>
            <w:vAlign w:val="center"/>
            <w:hideMark/>
          </w:tcPr>
          <w:p w14:paraId="2D0FC4EE" w14:textId="77777777" w:rsidR="006A6832" w:rsidRPr="00BB4D40" w:rsidRDefault="006A6832" w:rsidP="007577DA">
            <w:pPr>
              <w:spacing w:before="60" w:after="60" w:line="276" w:lineRule="auto"/>
              <w:ind w:right="339"/>
              <w:jc w:val="right"/>
              <w:rPr>
                <w:rFonts w:ascii="Arial" w:hAnsi="Arial" w:cs="Arial"/>
                <w:sz w:val="20"/>
                <w:szCs w:val="20"/>
              </w:rPr>
            </w:pPr>
            <w:r w:rsidRPr="00BB4D40">
              <w:rPr>
                <w:rFonts w:ascii="Arial" w:hAnsi="Arial" w:cs="Arial"/>
                <w:sz w:val="20"/>
                <w:szCs w:val="20"/>
              </w:rPr>
              <w:t xml:space="preserve">60.5 </w:t>
            </w:r>
          </w:p>
        </w:tc>
        <w:tc>
          <w:tcPr>
            <w:tcW w:w="1720" w:type="dxa"/>
            <w:vAlign w:val="center"/>
            <w:hideMark/>
          </w:tcPr>
          <w:p w14:paraId="5102AE1C" w14:textId="77777777" w:rsidR="006A6832" w:rsidRPr="00BB4D40" w:rsidRDefault="006A6832" w:rsidP="007577DA">
            <w:pPr>
              <w:spacing w:before="60" w:after="60" w:line="276" w:lineRule="auto"/>
              <w:ind w:right="339"/>
              <w:jc w:val="right"/>
              <w:rPr>
                <w:rFonts w:ascii="Arial" w:hAnsi="Arial" w:cs="Arial"/>
                <w:sz w:val="20"/>
                <w:szCs w:val="20"/>
              </w:rPr>
            </w:pPr>
            <w:r w:rsidRPr="00BB4D40">
              <w:rPr>
                <w:rFonts w:ascii="Arial" w:hAnsi="Arial" w:cs="Arial"/>
                <w:sz w:val="20"/>
                <w:szCs w:val="20"/>
              </w:rPr>
              <w:t xml:space="preserve">296.3 </w:t>
            </w:r>
          </w:p>
        </w:tc>
        <w:tc>
          <w:tcPr>
            <w:tcW w:w="1486" w:type="dxa"/>
            <w:vAlign w:val="center"/>
            <w:hideMark/>
          </w:tcPr>
          <w:p w14:paraId="6EDE453B" w14:textId="77777777" w:rsidR="006A6832" w:rsidRPr="00BB4D40" w:rsidRDefault="006A6832" w:rsidP="007577DA">
            <w:pPr>
              <w:spacing w:before="60" w:after="60" w:line="276" w:lineRule="auto"/>
              <w:ind w:right="339"/>
              <w:jc w:val="right"/>
              <w:rPr>
                <w:rFonts w:ascii="Arial" w:hAnsi="Arial" w:cs="Arial"/>
                <w:sz w:val="20"/>
                <w:szCs w:val="20"/>
              </w:rPr>
            </w:pPr>
            <w:r w:rsidRPr="00BB4D40">
              <w:rPr>
                <w:rFonts w:ascii="Arial" w:hAnsi="Arial" w:cs="Arial"/>
                <w:sz w:val="20"/>
                <w:szCs w:val="20"/>
              </w:rPr>
              <w:t xml:space="preserve">        17.0 </w:t>
            </w:r>
          </w:p>
        </w:tc>
        <w:tc>
          <w:tcPr>
            <w:tcW w:w="1452" w:type="dxa"/>
            <w:vAlign w:val="center"/>
            <w:hideMark/>
          </w:tcPr>
          <w:p w14:paraId="6012D933" w14:textId="77777777" w:rsidR="006A6832" w:rsidRPr="00BB4D40" w:rsidRDefault="006A6832" w:rsidP="007577DA">
            <w:pPr>
              <w:spacing w:before="60" w:after="60" w:line="276" w:lineRule="auto"/>
              <w:ind w:right="339"/>
              <w:jc w:val="right"/>
              <w:rPr>
                <w:rFonts w:ascii="Arial" w:hAnsi="Arial" w:cs="Arial"/>
                <w:sz w:val="20"/>
                <w:szCs w:val="20"/>
              </w:rPr>
            </w:pPr>
            <w:r w:rsidRPr="00BB4D40">
              <w:rPr>
                <w:rFonts w:ascii="Arial" w:hAnsi="Arial" w:cs="Arial"/>
                <w:sz w:val="20"/>
                <w:szCs w:val="20"/>
              </w:rPr>
              <w:t xml:space="preserve">       15.1 </w:t>
            </w:r>
          </w:p>
        </w:tc>
      </w:tr>
      <w:tr w:rsidR="006A6832" w:rsidRPr="00BB4D40" w14:paraId="123F29C6" w14:textId="77777777" w:rsidTr="007577DA">
        <w:trPr>
          <w:cantSplit/>
          <w:trHeight w:val="229"/>
          <w:jc w:val="center"/>
        </w:trPr>
        <w:tc>
          <w:tcPr>
            <w:tcW w:w="2949" w:type="dxa"/>
            <w:vAlign w:val="center"/>
            <w:hideMark/>
          </w:tcPr>
          <w:p w14:paraId="3E643640" w14:textId="77777777" w:rsidR="006A6832" w:rsidRPr="00BB4D40" w:rsidRDefault="006A6832" w:rsidP="007577DA">
            <w:pPr>
              <w:spacing w:before="60" w:after="60" w:line="276" w:lineRule="auto"/>
              <w:ind w:left="318"/>
              <w:rPr>
                <w:rFonts w:ascii="Arial" w:hAnsi="Arial" w:cs="Arial"/>
                <w:sz w:val="20"/>
                <w:szCs w:val="20"/>
              </w:rPr>
            </w:pPr>
            <w:r w:rsidRPr="00BB4D40">
              <w:rPr>
                <w:rFonts w:ascii="Arial" w:hAnsi="Arial" w:cs="Arial"/>
                <w:bCs/>
                <w:color w:val="000000" w:themeColor="text1"/>
                <w:sz w:val="20"/>
                <w:szCs w:val="20"/>
              </w:rPr>
              <w:t xml:space="preserve">Tourism revenue </w:t>
            </w:r>
          </w:p>
        </w:tc>
        <w:tc>
          <w:tcPr>
            <w:tcW w:w="1402" w:type="dxa"/>
            <w:vAlign w:val="center"/>
            <w:hideMark/>
          </w:tcPr>
          <w:p w14:paraId="2581FEE8" w14:textId="77777777" w:rsidR="006A6832" w:rsidRPr="00BB4D40" w:rsidRDefault="006A6832" w:rsidP="007577DA">
            <w:pPr>
              <w:spacing w:before="60" w:after="60" w:line="276" w:lineRule="auto"/>
              <w:ind w:right="339"/>
              <w:jc w:val="right"/>
              <w:rPr>
                <w:rFonts w:ascii="Arial" w:hAnsi="Arial" w:cs="Arial"/>
                <w:sz w:val="20"/>
                <w:szCs w:val="20"/>
              </w:rPr>
            </w:pPr>
            <w:r w:rsidRPr="00BB4D40">
              <w:rPr>
                <w:rFonts w:ascii="Arial" w:hAnsi="Arial" w:cs="Arial"/>
                <w:sz w:val="20"/>
                <w:szCs w:val="20"/>
              </w:rPr>
              <w:t xml:space="preserve">5.0 </w:t>
            </w:r>
          </w:p>
        </w:tc>
        <w:tc>
          <w:tcPr>
            <w:tcW w:w="1720" w:type="dxa"/>
            <w:vAlign w:val="center"/>
            <w:hideMark/>
          </w:tcPr>
          <w:p w14:paraId="071CD2F7" w14:textId="77777777" w:rsidR="006A6832" w:rsidRPr="00BB4D40" w:rsidRDefault="006A6832" w:rsidP="007577DA">
            <w:pPr>
              <w:spacing w:before="60" w:after="60" w:line="276" w:lineRule="auto"/>
              <w:ind w:right="339"/>
              <w:jc w:val="right"/>
              <w:rPr>
                <w:rFonts w:ascii="Arial" w:hAnsi="Arial" w:cs="Arial"/>
                <w:sz w:val="20"/>
                <w:szCs w:val="20"/>
              </w:rPr>
            </w:pPr>
            <w:r w:rsidRPr="00BB4D40">
              <w:rPr>
                <w:rFonts w:ascii="Arial" w:hAnsi="Arial" w:cs="Arial"/>
                <w:sz w:val="20"/>
                <w:szCs w:val="20"/>
              </w:rPr>
              <w:t xml:space="preserve">24.2 </w:t>
            </w:r>
          </w:p>
        </w:tc>
        <w:tc>
          <w:tcPr>
            <w:tcW w:w="1486" w:type="dxa"/>
            <w:vAlign w:val="center"/>
            <w:hideMark/>
          </w:tcPr>
          <w:p w14:paraId="77D6088C" w14:textId="77777777" w:rsidR="006A6832" w:rsidRPr="00BB4D40" w:rsidRDefault="006A6832" w:rsidP="007577DA">
            <w:pPr>
              <w:spacing w:before="60" w:after="60" w:line="276" w:lineRule="auto"/>
              <w:ind w:right="339"/>
              <w:jc w:val="right"/>
              <w:rPr>
                <w:rFonts w:ascii="Arial" w:hAnsi="Arial" w:cs="Arial"/>
                <w:sz w:val="20"/>
                <w:szCs w:val="20"/>
              </w:rPr>
            </w:pPr>
            <w:r w:rsidRPr="00BB4D40">
              <w:rPr>
                <w:rFonts w:ascii="Arial" w:hAnsi="Arial" w:cs="Arial"/>
                <w:sz w:val="20"/>
                <w:szCs w:val="20"/>
              </w:rPr>
              <w:t xml:space="preserve"> 34.3 </w:t>
            </w:r>
          </w:p>
        </w:tc>
        <w:tc>
          <w:tcPr>
            <w:tcW w:w="1452" w:type="dxa"/>
            <w:vAlign w:val="center"/>
            <w:hideMark/>
          </w:tcPr>
          <w:p w14:paraId="6912D340" w14:textId="77777777" w:rsidR="006A6832" w:rsidRPr="00BB4D40" w:rsidRDefault="006A6832" w:rsidP="007577DA">
            <w:pPr>
              <w:spacing w:before="60" w:after="60" w:line="276" w:lineRule="auto"/>
              <w:ind w:right="339"/>
              <w:jc w:val="right"/>
              <w:rPr>
                <w:rFonts w:ascii="Arial" w:hAnsi="Arial" w:cs="Arial"/>
                <w:sz w:val="20"/>
                <w:szCs w:val="20"/>
              </w:rPr>
            </w:pPr>
            <w:r w:rsidRPr="00BB4D40">
              <w:rPr>
                <w:rFonts w:ascii="Arial" w:hAnsi="Arial" w:cs="Arial"/>
                <w:sz w:val="20"/>
                <w:szCs w:val="20"/>
              </w:rPr>
              <w:t xml:space="preserve">45.1 </w:t>
            </w:r>
          </w:p>
        </w:tc>
      </w:tr>
      <w:tr w:rsidR="006A6832" w:rsidRPr="00BB4D40" w14:paraId="06A616D1" w14:textId="77777777" w:rsidTr="007577DA">
        <w:trPr>
          <w:cantSplit/>
          <w:trHeight w:val="316"/>
          <w:jc w:val="center"/>
        </w:trPr>
        <w:tc>
          <w:tcPr>
            <w:tcW w:w="2949" w:type="dxa"/>
            <w:tcBorders>
              <w:top w:val="nil"/>
              <w:left w:val="nil"/>
              <w:bottom w:val="single" w:sz="8" w:space="0" w:color="auto"/>
              <w:right w:val="nil"/>
            </w:tcBorders>
            <w:vAlign w:val="center"/>
            <w:hideMark/>
          </w:tcPr>
          <w:p w14:paraId="1C325D82" w14:textId="77777777" w:rsidR="006A6832" w:rsidRPr="00BB4D40" w:rsidRDefault="006A6832" w:rsidP="007577DA">
            <w:pPr>
              <w:spacing w:before="60" w:after="60" w:line="276" w:lineRule="auto"/>
              <w:ind w:left="318"/>
              <w:rPr>
                <w:rFonts w:ascii="Arial" w:hAnsi="Arial" w:cs="Arial"/>
                <w:sz w:val="20"/>
                <w:szCs w:val="20"/>
              </w:rPr>
            </w:pPr>
            <w:r w:rsidRPr="00BB4D40">
              <w:rPr>
                <w:rFonts w:ascii="Arial" w:hAnsi="Arial" w:cs="Arial"/>
                <w:bCs/>
                <w:color w:val="000000" w:themeColor="text1"/>
                <w:sz w:val="20"/>
                <w:szCs w:val="20"/>
              </w:rPr>
              <w:t>Other services</w:t>
            </w:r>
          </w:p>
        </w:tc>
        <w:tc>
          <w:tcPr>
            <w:tcW w:w="1402" w:type="dxa"/>
            <w:tcBorders>
              <w:top w:val="nil"/>
              <w:left w:val="nil"/>
              <w:bottom w:val="single" w:sz="4" w:space="0" w:color="auto"/>
              <w:right w:val="nil"/>
            </w:tcBorders>
            <w:vAlign w:val="center"/>
            <w:hideMark/>
          </w:tcPr>
          <w:p w14:paraId="533A1021" w14:textId="77777777" w:rsidR="006A6832" w:rsidRPr="00BB4D40" w:rsidRDefault="006A6832" w:rsidP="007577DA">
            <w:pPr>
              <w:spacing w:before="60" w:after="60" w:line="276" w:lineRule="auto"/>
              <w:ind w:right="339"/>
              <w:jc w:val="right"/>
              <w:rPr>
                <w:rFonts w:ascii="Arial" w:hAnsi="Arial" w:cs="Arial"/>
                <w:sz w:val="20"/>
                <w:szCs w:val="20"/>
              </w:rPr>
            </w:pPr>
            <w:r w:rsidRPr="00BB4D40">
              <w:rPr>
                <w:rFonts w:ascii="Arial" w:hAnsi="Arial" w:cs="Arial"/>
                <w:sz w:val="20"/>
                <w:szCs w:val="20"/>
              </w:rPr>
              <w:t xml:space="preserve">51.9 </w:t>
            </w:r>
          </w:p>
        </w:tc>
        <w:tc>
          <w:tcPr>
            <w:tcW w:w="1720" w:type="dxa"/>
            <w:tcBorders>
              <w:top w:val="nil"/>
              <w:left w:val="nil"/>
              <w:bottom w:val="single" w:sz="4" w:space="0" w:color="auto"/>
              <w:right w:val="nil"/>
            </w:tcBorders>
            <w:vAlign w:val="center"/>
            <w:hideMark/>
          </w:tcPr>
          <w:p w14:paraId="75899BE6" w14:textId="77777777" w:rsidR="006A6832" w:rsidRPr="00BB4D40" w:rsidRDefault="006A6832" w:rsidP="007577DA">
            <w:pPr>
              <w:spacing w:before="60" w:after="60" w:line="276" w:lineRule="auto"/>
              <w:ind w:right="339"/>
              <w:jc w:val="right"/>
              <w:rPr>
                <w:rFonts w:ascii="Arial" w:hAnsi="Arial" w:cs="Arial"/>
                <w:sz w:val="20"/>
                <w:szCs w:val="20"/>
              </w:rPr>
            </w:pPr>
            <w:r w:rsidRPr="00BB4D40">
              <w:rPr>
                <w:rFonts w:ascii="Arial" w:hAnsi="Arial" w:cs="Arial"/>
                <w:sz w:val="20"/>
                <w:szCs w:val="20"/>
              </w:rPr>
              <w:t xml:space="preserve">261.5 </w:t>
            </w:r>
          </w:p>
        </w:tc>
        <w:tc>
          <w:tcPr>
            <w:tcW w:w="1486" w:type="dxa"/>
            <w:tcBorders>
              <w:top w:val="nil"/>
              <w:left w:val="nil"/>
              <w:bottom w:val="single" w:sz="4" w:space="0" w:color="auto"/>
              <w:right w:val="nil"/>
            </w:tcBorders>
            <w:vAlign w:val="center"/>
            <w:hideMark/>
          </w:tcPr>
          <w:p w14:paraId="3B2EC58F" w14:textId="77777777" w:rsidR="006A6832" w:rsidRPr="00BB4D40" w:rsidRDefault="006A6832" w:rsidP="007577DA">
            <w:pPr>
              <w:spacing w:before="60" w:after="60" w:line="276" w:lineRule="auto"/>
              <w:ind w:right="339"/>
              <w:jc w:val="right"/>
              <w:rPr>
                <w:rFonts w:ascii="Arial" w:hAnsi="Arial" w:cs="Arial"/>
                <w:sz w:val="20"/>
                <w:szCs w:val="20"/>
              </w:rPr>
            </w:pPr>
            <w:r w:rsidRPr="00BB4D40">
              <w:rPr>
                <w:rFonts w:ascii="Arial" w:hAnsi="Arial" w:cs="Arial"/>
                <w:sz w:val="20"/>
                <w:szCs w:val="20"/>
              </w:rPr>
              <w:t xml:space="preserve">          9.5 </w:t>
            </w:r>
          </w:p>
        </w:tc>
        <w:tc>
          <w:tcPr>
            <w:tcW w:w="1452" w:type="dxa"/>
            <w:tcBorders>
              <w:top w:val="nil"/>
              <w:left w:val="nil"/>
              <w:bottom w:val="single" w:sz="4" w:space="0" w:color="auto"/>
              <w:right w:val="nil"/>
            </w:tcBorders>
            <w:vAlign w:val="center"/>
            <w:hideMark/>
          </w:tcPr>
          <w:p w14:paraId="0C5DD44C" w14:textId="77777777" w:rsidR="006A6832" w:rsidRPr="00BB4D40" w:rsidRDefault="006A6832" w:rsidP="007577DA">
            <w:pPr>
              <w:spacing w:before="60" w:after="60" w:line="276" w:lineRule="auto"/>
              <w:ind w:right="339"/>
              <w:jc w:val="right"/>
              <w:rPr>
                <w:rFonts w:ascii="Arial" w:hAnsi="Arial" w:cs="Arial"/>
                <w:sz w:val="20"/>
                <w:szCs w:val="20"/>
              </w:rPr>
            </w:pPr>
            <w:r w:rsidRPr="00BB4D40">
              <w:rPr>
                <w:rFonts w:ascii="Arial" w:hAnsi="Arial" w:cs="Arial"/>
                <w:sz w:val="20"/>
                <w:szCs w:val="20"/>
              </w:rPr>
              <w:t xml:space="preserve">       8.8 </w:t>
            </w:r>
          </w:p>
        </w:tc>
      </w:tr>
    </w:tbl>
    <w:p w14:paraId="2CC61409" w14:textId="77777777" w:rsidR="006A6832" w:rsidRPr="00BB4D40" w:rsidRDefault="006A6832" w:rsidP="006A6832">
      <w:pPr>
        <w:spacing w:beforeLines="50" w:before="120" w:afterLines="40" w:after="96" w:line="264" w:lineRule="auto"/>
        <w:ind w:firstLine="567"/>
        <w:jc w:val="both"/>
        <w:rPr>
          <w:spacing w:val="-4"/>
        </w:rPr>
      </w:pPr>
      <w:proofErr w:type="gramStart"/>
      <w:r w:rsidRPr="00BB4D40">
        <w:rPr>
          <w:spacing w:val="-4"/>
        </w:rPr>
        <w:lastRenderedPageBreak/>
        <w:t>Generally</w:t>
      </w:r>
      <w:proofErr w:type="gramEnd"/>
      <w:r w:rsidRPr="00BB4D40">
        <w:rPr>
          <w:spacing w:val="-4"/>
        </w:rPr>
        <w:t xml:space="preserve"> for the first five months of 2024, the total retail sales of consumer goods and services at current prices was estimated at 2,580.2 trillion VND, up 8.7% over the same period last year (up 12.3% in the same period in 2023), if excluding the price factor, up 5.2% (the same period in 2023 increased by 9.3%).</w:t>
      </w:r>
    </w:p>
    <w:p w14:paraId="45FB7B61" w14:textId="77777777" w:rsidR="006A6832" w:rsidRPr="00BB4D40" w:rsidRDefault="006A6832" w:rsidP="006A6832">
      <w:pPr>
        <w:spacing w:beforeLines="40" w:before="96" w:afterLines="40" w:after="96"/>
        <w:jc w:val="center"/>
        <w:rPr>
          <w:rFonts w:ascii="Arial" w:hAnsi="Arial" w:cs="Arial"/>
          <w:b/>
          <w:bCs/>
          <w:sz w:val="24"/>
          <w:szCs w:val="24"/>
        </w:rPr>
      </w:pPr>
      <w:r w:rsidRPr="00BB4D40">
        <w:rPr>
          <w:rFonts w:ascii="Arial" w:hAnsi="Arial" w:cs="Arial"/>
          <w:b/>
          <w:bCs/>
          <w:sz w:val="24"/>
          <w:szCs w:val="24"/>
        </w:rPr>
        <w:t xml:space="preserve">Figure 11. Total retail sales of </w:t>
      </w:r>
      <w:r w:rsidRPr="00BB4D40">
        <w:rPr>
          <w:rFonts w:ascii="Arial" w:hAnsi="Arial" w:cs="Arial"/>
          <w:b/>
          <w:sz w:val="24"/>
          <w:szCs w:val="24"/>
        </w:rPr>
        <w:t xml:space="preserve">consumer </w:t>
      </w:r>
      <w:r w:rsidRPr="00BB4D40">
        <w:rPr>
          <w:rFonts w:ascii="Arial" w:hAnsi="Arial" w:cs="Arial"/>
          <w:b/>
          <w:bCs/>
          <w:sz w:val="24"/>
          <w:szCs w:val="24"/>
        </w:rPr>
        <w:t xml:space="preserve">goods and service </w:t>
      </w:r>
      <w:r w:rsidRPr="00BB4D40">
        <w:rPr>
          <w:rFonts w:ascii="Arial" w:hAnsi="Arial" w:cs="Arial"/>
          <w:b/>
          <w:bCs/>
          <w:sz w:val="24"/>
          <w:szCs w:val="24"/>
        </w:rPr>
        <w:br/>
        <w:t xml:space="preserve">in the first </w:t>
      </w:r>
      <w:r>
        <w:rPr>
          <w:rFonts w:ascii="Arial" w:hAnsi="Arial" w:cs="Arial"/>
          <w:b/>
          <w:bCs/>
          <w:sz w:val="24"/>
          <w:szCs w:val="24"/>
        </w:rPr>
        <w:t>five</w:t>
      </w:r>
      <w:r w:rsidRPr="00BB4D40">
        <w:rPr>
          <w:rFonts w:ascii="Arial" w:hAnsi="Arial" w:cs="Arial"/>
          <w:b/>
          <w:bCs/>
          <w:sz w:val="24"/>
          <w:szCs w:val="24"/>
        </w:rPr>
        <w:t xml:space="preserve"> months of 2020-2024</w:t>
      </w:r>
    </w:p>
    <w:p w14:paraId="5BB91779" w14:textId="77777777" w:rsidR="006A6832" w:rsidRPr="00BB4D40" w:rsidRDefault="006A6832" w:rsidP="006A6832">
      <w:pPr>
        <w:spacing w:beforeLines="40" w:before="96" w:afterLines="40" w:after="96"/>
        <w:jc w:val="center"/>
        <w:rPr>
          <w:rFonts w:ascii="Arial" w:hAnsi="Arial" w:cs="Arial"/>
          <w:b/>
          <w:bCs/>
          <w:sz w:val="24"/>
          <w:szCs w:val="24"/>
        </w:rPr>
      </w:pPr>
      <w:r w:rsidRPr="00BB4D40">
        <w:rPr>
          <w:noProof/>
          <w14:ligatures w14:val="standardContextual"/>
        </w:rPr>
        <w:drawing>
          <wp:inline distT="0" distB="0" distL="0" distR="0" wp14:anchorId="71D2F731" wp14:editId="4561F87A">
            <wp:extent cx="5095875" cy="2743200"/>
            <wp:effectExtent l="0" t="0" r="9525" b="0"/>
            <wp:docPr id="147138904" name="Chart 147138904">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6C651A0" w14:textId="77777777" w:rsidR="006A6832" w:rsidRPr="00BB4D40" w:rsidRDefault="006A6832" w:rsidP="006A6832">
      <w:pPr>
        <w:pStyle w:val="HTMLPreformatted"/>
        <w:spacing w:beforeLines="40" w:before="96" w:afterLines="40" w:after="96" w:line="264" w:lineRule="auto"/>
        <w:ind w:firstLine="567"/>
        <w:jc w:val="center"/>
        <w:rPr>
          <w:rFonts w:ascii="Times New Roman" w:hAnsi="Times New Roman" w:cs="Times New Roman"/>
          <w:bCs/>
          <w:i/>
          <w:sz w:val="14"/>
          <w:szCs w:val="28"/>
          <w:lang w:val="nl-NL"/>
        </w:rPr>
      </w:pPr>
    </w:p>
    <w:p w14:paraId="61364AB4" w14:textId="77777777" w:rsidR="006A6832" w:rsidRPr="00BB4D40" w:rsidRDefault="006A6832" w:rsidP="006A6832">
      <w:pPr>
        <w:pStyle w:val="HTMLPreformatted"/>
        <w:spacing w:beforeLines="40" w:before="96" w:afterLines="40" w:after="96" w:line="276" w:lineRule="auto"/>
        <w:ind w:firstLine="567"/>
        <w:jc w:val="both"/>
        <w:rPr>
          <w:rFonts w:ascii="Times New Roman" w:hAnsi="Times New Roman" w:cs="Times New Roman"/>
          <w:bCs/>
          <w:sz w:val="28"/>
          <w:szCs w:val="28"/>
          <w:lang w:val="it-IT"/>
        </w:rPr>
      </w:pPr>
      <w:r w:rsidRPr="00BB4D40">
        <w:rPr>
          <w:rFonts w:ascii="Times New Roman" w:hAnsi="Times New Roman" w:cs="Times New Roman"/>
          <w:bCs/>
          <w:i/>
          <w:sz w:val="28"/>
          <w:szCs w:val="28"/>
          <w:lang w:val="nl-NL"/>
        </w:rPr>
        <w:t>Retail sales of goods</w:t>
      </w:r>
      <w:r w:rsidRPr="00BB4D40">
        <w:rPr>
          <w:rFonts w:ascii="Times New Roman" w:hAnsi="Times New Roman" w:cs="Times New Roman"/>
          <w:bCs/>
          <w:sz w:val="28"/>
          <w:szCs w:val="28"/>
          <w:lang w:val="nl-NL"/>
        </w:rPr>
        <w:t xml:space="preserve"> in the first five months of 2024 were estimated at </w:t>
      </w:r>
      <w:r w:rsidRPr="00BB4D40">
        <w:rPr>
          <w:rFonts w:ascii="Times New Roman" w:hAnsi="Times New Roman" w:cs="Times New Roman"/>
          <w:bCs/>
          <w:sz w:val="28"/>
          <w:szCs w:val="28"/>
          <w:shd w:val="clear" w:color="auto" w:fill="FFFFFF"/>
          <w:lang w:val="nl-NL"/>
        </w:rPr>
        <w:t xml:space="preserve">1,998.2 </w:t>
      </w:r>
      <w:r w:rsidRPr="00BB4D40">
        <w:rPr>
          <w:rFonts w:ascii="Times New Roman" w:hAnsi="Times New Roman" w:cs="Times New Roman"/>
          <w:bCs/>
          <w:sz w:val="28"/>
          <w:szCs w:val="28"/>
          <w:lang w:val="nl-NL"/>
        </w:rPr>
        <w:t>trillion VND, accounting for 77.5% of the total retail sales of consumer goods and services and up 7.4% over the same period last year (</w:t>
      </w:r>
      <w:r w:rsidRPr="00BB4D40">
        <w:rPr>
          <w:rFonts w:ascii="Times New Roman" w:hAnsi="Times New Roman" w:cs="Times New Roman"/>
          <w:color w:val="000000" w:themeColor="text1"/>
          <w:sz w:val="28"/>
          <w:szCs w:val="28"/>
          <w:lang w:val="it-IT"/>
        </w:rPr>
        <w:t>if excluding the price factor, up 4.5%)</w:t>
      </w:r>
      <w:r w:rsidRPr="00BB4D40">
        <w:rPr>
          <w:rFonts w:ascii="Times New Roman" w:hAnsi="Times New Roman" w:cs="Times New Roman"/>
          <w:bCs/>
          <w:sz w:val="28"/>
          <w:szCs w:val="28"/>
          <w:lang w:val="nl-NL"/>
        </w:rPr>
        <w:t xml:space="preserve">. In which, food and foodstuffs increased by 10.5%; household appliances, tools and equipment increased by 13.4%; garment increased by 10.3%; means of transport (except for cars) rose up </w:t>
      </w:r>
      <w:r w:rsidRPr="00BB4D40">
        <w:rPr>
          <w:rFonts w:ascii="Times New Roman" w:hAnsi="Times New Roman" w:cs="Times New Roman"/>
          <w:bCs/>
          <w:sz w:val="28"/>
          <w:szCs w:val="28"/>
          <w:shd w:val="clear" w:color="auto" w:fill="FFFFFF"/>
          <w:lang w:val="nl-NL"/>
        </w:rPr>
        <w:t xml:space="preserve">1.3%; </w:t>
      </w:r>
      <w:r w:rsidRPr="00BB4D40">
        <w:rPr>
          <w:rFonts w:ascii="Times New Roman" w:hAnsi="Times New Roman" w:cs="Times New Roman"/>
          <w:bCs/>
          <w:sz w:val="28"/>
          <w:szCs w:val="28"/>
          <w:lang w:val="nl-NL"/>
        </w:rPr>
        <w:t xml:space="preserve">cultural and educational products increased by </w:t>
      </w:r>
      <w:r w:rsidRPr="00BB4D40">
        <w:rPr>
          <w:rFonts w:ascii="Times New Roman" w:hAnsi="Times New Roman" w:cs="Times New Roman"/>
          <w:bCs/>
          <w:sz w:val="28"/>
          <w:szCs w:val="28"/>
          <w:shd w:val="clear" w:color="auto" w:fill="FFFFFF"/>
          <w:lang w:val="nl-NL"/>
        </w:rPr>
        <w:t xml:space="preserve">15.5%. </w:t>
      </w:r>
      <w:r w:rsidRPr="00BB4D40">
        <w:rPr>
          <w:rFonts w:ascii="Times New Roman" w:hAnsi="Times New Roman" w:cs="Times New Roman"/>
          <w:bCs/>
          <w:sz w:val="28"/>
          <w:szCs w:val="28"/>
          <w:lang w:val="nl-NL"/>
        </w:rPr>
        <w:t>Retail sales of goods in the first five months of this year compared to the same period last year of some localities was as follows:</w:t>
      </w:r>
      <w:r w:rsidRPr="00BB4D40">
        <w:rPr>
          <w:rFonts w:ascii="Times New Roman" w:hAnsi="Times New Roman" w:cs="Times New Roman"/>
          <w:bCs/>
          <w:sz w:val="28"/>
          <w:szCs w:val="28"/>
          <w:lang w:val="it-IT"/>
        </w:rPr>
        <w:t xml:space="preserve"> Quang Ninh increased by 10.1%; Hai Phong increased by 9.5%; Can Tho increased by 8.4%; Da Nang increased by 8.2%; Ho Chi Minh City increased by 6.8%; Ha</w:t>
      </w:r>
      <w:r>
        <w:rPr>
          <w:rFonts w:ascii="Times New Roman" w:hAnsi="Times New Roman" w:cs="Times New Roman"/>
          <w:bCs/>
          <w:sz w:val="28"/>
          <w:szCs w:val="28"/>
          <w:lang w:val="it-IT"/>
        </w:rPr>
        <w:t xml:space="preserve"> N</w:t>
      </w:r>
      <w:r w:rsidRPr="00BB4D40">
        <w:rPr>
          <w:rFonts w:ascii="Times New Roman" w:hAnsi="Times New Roman" w:cs="Times New Roman"/>
          <w:bCs/>
          <w:sz w:val="28"/>
          <w:szCs w:val="28"/>
          <w:lang w:val="it-IT"/>
        </w:rPr>
        <w:t>oi increased by 6.7%.</w:t>
      </w:r>
    </w:p>
    <w:p w14:paraId="7ADCC496" w14:textId="77777777" w:rsidR="006A6832" w:rsidRPr="00BB4D40" w:rsidRDefault="006A6832" w:rsidP="006A6832">
      <w:pPr>
        <w:pStyle w:val="HTMLPreformatted"/>
        <w:spacing w:beforeLines="40" w:before="96" w:afterLines="40" w:after="96" w:line="276" w:lineRule="auto"/>
        <w:ind w:firstLine="567"/>
        <w:jc w:val="both"/>
        <w:rPr>
          <w:rFonts w:ascii="Times New Roman" w:hAnsi="Times New Roman" w:cs="Times New Roman"/>
          <w:bCs/>
          <w:spacing w:val="-4"/>
          <w:sz w:val="28"/>
          <w:szCs w:val="28"/>
          <w:lang w:val="nl-NL"/>
        </w:rPr>
      </w:pPr>
      <w:r w:rsidRPr="00BB4D40">
        <w:rPr>
          <w:rFonts w:ascii="Times New Roman" w:hAnsi="Times New Roman" w:cs="Times New Roman"/>
          <w:bCs/>
          <w:i/>
          <w:spacing w:val="-4"/>
          <w:sz w:val="28"/>
          <w:szCs w:val="28"/>
          <w:lang w:val="nl-NL"/>
        </w:rPr>
        <w:t>Revenue from accommodation and catering services</w:t>
      </w:r>
      <w:r w:rsidRPr="00BB4D40">
        <w:rPr>
          <w:rFonts w:ascii="Times New Roman" w:hAnsi="Times New Roman" w:cs="Times New Roman"/>
          <w:bCs/>
          <w:spacing w:val="-4"/>
          <w:sz w:val="28"/>
          <w:szCs w:val="28"/>
          <w:lang w:val="nl-NL"/>
        </w:rPr>
        <w:t xml:space="preserve"> in the first five months of 2024 was estimated at </w:t>
      </w:r>
      <w:r w:rsidRPr="00BB4D40">
        <w:rPr>
          <w:rFonts w:ascii="Times New Roman" w:hAnsi="Times New Roman" w:cs="Times New Roman"/>
          <w:bCs/>
          <w:spacing w:val="-4"/>
          <w:sz w:val="28"/>
          <w:szCs w:val="28"/>
          <w:shd w:val="clear" w:color="auto" w:fill="FFFFFF"/>
          <w:lang w:val="nl-NL"/>
        </w:rPr>
        <w:t xml:space="preserve">296.3 </w:t>
      </w:r>
      <w:r w:rsidRPr="00BB4D40">
        <w:rPr>
          <w:rFonts w:ascii="Times New Roman" w:hAnsi="Times New Roman" w:cs="Times New Roman"/>
          <w:bCs/>
          <w:spacing w:val="-4"/>
          <w:sz w:val="28"/>
          <w:szCs w:val="28"/>
          <w:lang w:val="nl-NL"/>
        </w:rPr>
        <w:t xml:space="preserve">trillion VND, accounting for </w:t>
      </w:r>
      <w:r w:rsidRPr="00BB4D40">
        <w:rPr>
          <w:rFonts w:ascii="Times New Roman" w:hAnsi="Times New Roman" w:cs="Times New Roman"/>
          <w:bCs/>
          <w:spacing w:val="-4"/>
          <w:sz w:val="28"/>
          <w:szCs w:val="28"/>
          <w:shd w:val="clear" w:color="auto" w:fill="FFFFFF"/>
          <w:lang w:val="nl-NL"/>
        </w:rPr>
        <w:t>11.5</w:t>
      </w:r>
      <w:r w:rsidRPr="00BB4D40">
        <w:rPr>
          <w:rFonts w:ascii="Times New Roman" w:hAnsi="Times New Roman" w:cs="Times New Roman"/>
          <w:bCs/>
          <w:spacing w:val="-4"/>
          <w:sz w:val="28"/>
          <w:szCs w:val="28"/>
          <w:lang w:val="nl-NL"/>
        </w:rPr>
        <w:t xml:space="preserve">% and up </w:t>
      </w:r>
      <w:r w:rsidRPr="00BB4D40">
        <w:rPr>
          <w:rFonts w:ascii="Times New Roman" w:hAnsi="Times New Roman" w:cs="Times New Roman"/>
          <w:bCs/>
          <w:spacing w:val="-4"/>
          <w:sz w:val="28"/>
          <w:szCs w:val="28"/>
          <w:shd w:val="clear" w:color="auto" w:fill="FFFFFF"/>
          <w:lang w:val="nl-NL"/>
        </w:rPr>
        <w:t>15.1</w:t>
      </w:r>
      <w:r w:rsidRPr="00BB4D40">
        <w:rPr>
          <w:rFonts w:ascii="Times New Roman" w:hAnsi="Times New Roman" w:cs="Times New Roman"/>
          <w:bCs/>
          <w:spacing w:val="-4"/>
          <w:sz w:val="28"/>
          <w:szCs w:val="28"/>
          <w:lang w:val="nl-NL"/>
        </w:rPr>
        <w:t xml:space="preserve">% over the same period last year. Revenue in the first five months of 2024 compared to the same period last year of some localities </w:t>
      </w:r>
      <w:r w:rsidRPr="00BB4D40">
        <w:rPr>
          <w:rFonts w:ascii="Times New Roman" w:hAnsi="Times New Roman" w:cs="Times New Roman"/>
          <w:bCs/>
          <w:sz w:val="28"/>
          <w:szCs w:val="28"/>
          <w:lang w:val="nl-NL"/>
        </w:rPr>
        <w:t>was</w:t>
      </w:r>
      <w:r w:rsidRPr="00BB4D40">
        <w:rPr>
          <w:rFonts w:ascii="Times New Roman" w:hAnsi="Times New Roman" w:cs="Times New Roman"/>
          <w:bCs/>
          <w:spacing w:val="-4"/>
          <w:sz w:val="28"/>
          <w:szCs w:val="28"/>
          <w:lang w:val="nl-NL"/>
        </w:rPr>
        <w:t xml:space="preserve"> as follows: Khanh Hoa increased by 26.4%; Quang Ninh increased by 23.5%; Da Nang increased by 22.2%; Hai Phong increased </w:t>
      </w:r>
      <w:r w:rsidRPr="00BB4D40">
        <w:rPr>
          <w:rFonts w:ascii="Times New Roman" w:hAnsi="Times New Roman" w:cs="Times New Roman"/>
          <w:bCs/>
          <w:spacing w:val="-4"/>
          <w:sz w:val="28"/>
          <w:szCs w:val="28"/>
          <w:lang w:val="nl-NL"/>
        </w:rPr>
        <w:lastRenderedPageBreak/>
        <w:t>by 14.9%; Hanoi increased by 12.4%; Can Tho increased by 11.5%; Ho Chi Minh City increased by 8.0%.</w:t>
      </w:r>
    </w:p>
    <w:p w14:paraId="026EAF99" w14:textId="77777777" w:rsidR="006A6832" w:rsidRPr="00BB4D40" w:rsidRDefault="006A6832" w:rsidP="006A6832">
      <w:pPr>
        <w:pStyle w:val="HTMLPreformatted"/>
        <w:spacing w:beforeLines="40" w:before="96" w:afterLines="40" w:after="96" w:line="276" w:lineRule="auto"/>
        <w:ind w:firstLine="567"/>
        <w:jc w:val="both"/>
        <w:rPr>
          <w:rFonts w:ascii="Times New Roman" w:hAnsi="Times New Roman" w:cs="Times New Roman"/>
          <w:bCs/>
          <w:sz w:val="28"/>
          <w:szCs w:val="28"/>
          <w:lang w:val="nl-NL"/>
        </w:rPr>
      </w:pPr>
      <w:r w:rsidRPr="00BB4D40">
        <w:rPr>
          <w:rFonts w:ascii="Times New Roman" w:hAnsi="Times New Roman" w:cs="Times New Roman"/>
          <w:bCs/>
          <w:i/>
          <w:sz w:val="28"/>
          <w:szCs w:val="28"/>
          <w:lang w:val="nl-NL"/>
        </w:rPr>
        <w:t>Tourism revenue</w:t>
      </w:r>
      <w:r w:rsidRPr="00BB4D40">
        <w:rPr>
          <w:rFonts w:ascii="Times New Roman" w:hAnsi="Times New Roman" w:cs="Times New Roman"/>
          <w:bCs/>
          <w:sz w:val="28"/>
          <w:szCs w:val="28"/>
          <w:lang w:val="nl-NL"/>
        </w:rPr>
        <w:t xml:space="preserve"> in the first five months of 2024 was estimated at 24.2 trillion VND, accounting for 0.9% and up 45.1% over the same period last year. The revenue of some localities in the first five months of 2024 compared to the same period last year was as follows: Da Nang increased by 52.0%; Ho Chi Minh City increased by 46.0%; Hanoi increased by 44.6%; Quang Ninh increased by 18.0%.</w:t>
      </w:r>
    </w:p>
    <w:p w14:paraId="6B5332DB" w14:textId="77777777" w:rsidR="006A6832" w:rsidRPr="00BB4D40" w:rsidRDefault="006A6832" w:rsidP="006A6832">
      <w:pPr>
        <w:pStyle w:val="HTMLPreformatted"/>
        <w:spacing w:beforeLines="40" w:before="96" w:afterLines="40" w:after="96" w:line="276" w:lineRule="auto"/>
        <w:ind w:firstLine="567"/>
        <w:jc w:val="both"/>
        <w:rPr>
          <w:rFonts w:ascii="Times New Roman" w:hAnsi="Times New Roman" w:cs="Times New Roman"/>
          <w:bCs/>
          <w:sz w:val="28"/>
          <w:szCs w:val="28"/>
          <w:lang w:val="nl-NL"/>
        </w:rPr>
      </w:pPr>
      <w:r w:rsidRPr="00BB4D40">
        <w:rPr>
          <w:rFonts w:ascii="Times New Roman" w:hAnsi="Times New Roman" w:cs="Times New Roman"/>
          <w:bCs/>
          <w:i/>
          <w:sz w:val="28"/>
          <w:szCs w:val="28"/>
          <w:lang w:val="nl-NL"/>
        </w:rPr>
        <w:t>Other service revenue</w:t>
      </w:r>
      <w:r w:rsidRPr="00BB4D40">
        <w:rPr>
          <w:rFonts w:ascii="Times New Roman" w:hAnsi="Times New Roman" w:cs="Times New Roman"/>
          <w:bCs/>
          <w:sz w:val="28"/>
          <w:szCs w:val="28"/>
          <w:lang w:val="nl-NL"/>
        </w:rPr>
        <w:t xml:space="preserve"> in the first five months of 2024 was estimated at </w:t>
      </w:r>
      <w:r w:rsidRPr="00BB4D40">
        <w:rPr>
          <w:rFonts w:ascii="Times New Roman" w:hAnsi="Times New Roman" w:cs="Times New Roman"/>
          <w:sz w:val="28"/>
          <w:szCs w:val="28"/>
          <w:lang w:val="nl-NL"/>
        </w:rPr>
        <w:t xml:space="preserve">261.5 </w:t>
      </w:r>
      <w:r w:rsidRPr="00BB4D40">
        <w:rPr>
          <w:rFonts w:ascii="Times New Roman" w:hAnsi="Times New Roman" w:cs="Times New Roman"/>
          <w:bCs/>
          <w:sz w:val="28"/>
          <w:szCs w:val="28"/>
          <w:lang w:val="nl-NL"/>
        </w:rPr>
        <w:t xml:space="preserve">trillion VND, accounting for </w:t>
      </w:r>
      <w:r w:rsidRPr="00BB4D40">
        <w:rPr>
          <w:rFonts w:ascii="Times New Roman" w:hAnsi="Times New Roman" w:cs="Times New Roman"/>
          <w:sz w:val="28"/>
          <w:szCs w:val="28"/>
          <w:lang w:val="nl-NL"/>
        </w:rPr>
        <w:t>10.1</w:t>
      </w:r>
      <w:r w:rsidRPr="00BB4D40">
        <w:rPr>
          <w:rFonts w:ascii="Times New Roman" w:hAnsi="Times New Roman" w:cs="Times New Roman"/>
          <w:bCs/>
          <w:sz w:val="28"/>
          <w:szCs w:val="28"/>
          <w:lang w:val="nl-NL"/>
        </w:rPr>
        <w:t xml:space="preserve">% and up </w:t>
      </w:r>
      <w:r w:rsidRPr="00BB4D40">
        <w:rPr>
          <w:rFonts w:ascii="Times New Roman" w:hAnsi="Times New Roman" w:cs="Times New Roman"/>
          <w:sz w:val="28"/>
          <w:szCs w:val="28"/>
          <w:lang w:val="nl-NL"/>
        </w:rPr>
        <w:t>8.8</w:t>
      </w:r>
      <w:r w:rsidRPr="00BB4D40">
        <w:rPr>
          <w:rFonts w:ascii="Times New Roman" w:hAnsi="Times New Roman" w:cs="Times New Roman"/>
          <w:bCs/>
          <w:sz w:val="28"/>
          <w:szCs w:val="28"/>
          <w:lang w:val="nl-NL"/>
        </w:rPr>
        <w:t xml:space="preserve">% over the same period last year. </w:t>
      </w:r>
      <w:bookmarkEnd w:id="6"/>
      <w:r w:rsidRPr="00BB4D40">
        <w:rPr>
          <w:rFonts w:ascii="Times New Roman" w:hAnsi="Times New Roman" w:cs="Times New Roman"/>
          <w:bCs/>
          <w:sz w:val="28"/>
          <w:szCs w:val="28"/>
          <w:lang w:val="nl-NL"/>
        </w:rPr>
        <w:t>Revenue in the first five months of 2024 of some localities was as follows: Thua Thien - Hue increased by 23.5%; Binh Dinh increased by 17.5%; Ho Chi Minh City increased by 8.6%; Can Tho increased by 8.4%; Hanoi increased by 7.8%; Da Nang decreased by 19.1%; Quang Ninh decreased by 12.7%; Lang Son decreased by 6.6%.</w:t>
      </w:r>
    </w:p>
    <w:p w14:paraId="1B26D8E8" w14:textId="77777777" w:rsidR="006A6832" w:rsidRDefault="006A6832" w:rsidP="006A6832">
      <w:pPr>
        <w:tabs>
          <w:tab w:val="left" w:pos="900"/>
        </w:tabs>
        <w:spacing w:beforeLines="40" w:before="96" w:afterLines="40" w:after="96" w:line="276" w:lineRule="auto"/>
        <w:ind w:firstLine="567"/>
        <w:jc w:val="both"/>
        <w:rPr>
          <w:rStyle w:val="Strong"/>
          <w:rFonts w:ascii="Courier New" w:eastAsia="Calibri" w:hAnsi="Courier New" w:cs="Courier New"/>
          <w:i/>
          <w:iCs/>
          <w:sz w:val="20"/>
          <w:szCs w:val="20"/>
        </w:rPr>
      </w:pPr>
      <w:bookmarkStart w:id="7" w:name="_Hlk54593811"/>
      <w:r>
        <w:rPr>
          <w:rStyle w:val="Strong"/>
          <w:rFonts w:eastAsia="Calibri"/>
          <w:i/>
          <w:iCs/>
          <w:color w:val="000000" w:themeColor="text1"/>
          <w:lang w:val="de-DE"/>
        </w:rPr>
        <w:t xml:space="preserve">b) </w:t>
      </w:r>
      <w:r>
        <w:rPr>
          <w:rStyle w:val="Strong"/>
          <w:rFonts w:eastAsia="Calibri"/>
          <w:i/>
          <w:iCs/>
        </w:rPr>
        <w:t>Export and import of goods</w:t>
      </w:r>
      <w:r>
        <w:rPr>
          <w:b/>
          <w:bCs/>
          <w:i/>
          <w:iCs/>
          <w:vertAlign w:val="superscript"/>
        </w:rPr>
        <w:footnoteReference w:id="12"/>
      </w:r>
    </w:p>
    <w:p w14:paraId="3C5C0124" w14:textId="77777777" w:rsidR="006A6832" w:rsidRPr="00C02451" w:rsidRDefault="006A6832" w:rsidP="006A6832">
      <w:pPr>
        <w:tabs>
          <w:tab w:val="left" w:pos="900"/>
          <w:tab w:val="left" w:pos="9475"/>
        </w:tabs>
        <w:spacing w:beforeLines="40" w:before="96" w:afterLines="40" w:after="96" w:line="276" w:lineRule="auto"/>
        <w:ind w:right="119" w:firstLine="567"/>
        <w:jc w:val="both"/>
        <w:rPr>
          <w:rFonts w:ascii="Times New Roman Italic" w:hAnsi="Times New Roman Italic"/>
          <w:spacing w:val="-2"/>
          <w:lang w:val="es-NI"/>
        </w:rPr>
      </w:pPr>
      <w:r w:rsidRPr="00C02451">
        <w:rPr>
          <w:rFonts w:ascii="Times New Roman Italic" w:hAnsi="Times New Roman Italic"/>
          <w:i/>
          <w:spacing w:val="-2"/>
          <w:lang w:val="de-DE"/>
        </w:rPr>
        <w:t>Total export and import turnover of goods</w:t>
      </w:r>
      <w:r w:rsidRPr="00C02451">
        <w:rPr>
          <w:rFonts w:ascii="Times New Roman Italic" w:hAnsi="Times New Roman Italic"/>
          <w:i/>
          <w:iCs/>
          <w:spacing w:val="-2"/>
          <w:vertAlign w:val="superscript"/>
        </w:rPr>
        <w:footnoteReference w:id="13"/>
      </w:r>
      <w:r w:rsidRPr="00C02451">
        <w:rPr>
          <w:rFonts w:ascii="Times New Roman Italic" w:hAnsi="Times New Roman Italic"/>
          <w:i/>
          <w:spacing w:val="-2"/>
          <w:lang w:val="de-DE"/>
        </w:rPr>
        <w:t xml:space="preserve"> in </w:t>
      </w:r>
      <w:r>
        <w:rPr>
          <w:rFonts w:ascii="Times New Roman Italic" w:hAnsi="Times New Roman Italic"/>
          <w:i/>
          <w:spacing w:val="-2"/>
          <w:lang w:val="de-DE"/>
        </w:rPr>
        <w:t>5/2024</w:t>
      </w:r>
      <w:r w:rsidRPr="00C02451">
        <w:rPr>
          <w:rFonts w:ascii="Times New Roman Italic" w:hAnsi="Times New Roman Italic"/>
          <w:i/>
          <w:spacing w:val="-2"/>
          <w:lang w:val="de-DE"/>
        </w:rPr>
        <w:t xml:space="preserve"> was estimated at 6</w:t>
      </w:r>
      <w:r>
        <w:rPr>
          <w:rFonts w:ascii="Times New Roman Italic" w:hAnsi="Times New Roman Italic"/>
          <w:i/>
          <w:spacing w:val="-2"/>
          <w:lang w:val="de-DE"/>
        </w:rPr>
        <w:t>6.62</w:t>
      </w:r>
      <w:r w:rsidRPr="00C02451">
        <w:rPr>
          <w:rFonts w:ascii="Times New Roman Italic" w:hAnsi="Times New Roman Italic"/>
          <w:i/>
          <w:spacing w:val="-2"/>
          <w:lang w:val="de-DE"/>
        </w:rPr>
        <w:t xml:space="preserve"> billion USD, </w:t>
      </w:r>
      <w:r>
        <w:rPr>
          <w:rFonts w:ascii="Times New Roman Italic" w:hAnsi="Times New Roman Italic"/>
          <w:i/>
          <w:spacing w:val="-2"/>
          <w:lang w:val="de-DE"/>
        </w:rPr>
        <w:t>up</w:t>
      </w:r>
      <w:r w:rsidRPr="00C02451">
        <w:rPr>
          <w:rFonts w:ascii="Times New Roman Italic" w:hAnsi="Times New Roman Italic"/>
          <w:i/>
          <w:spacing w:val="-2"/>
          <w:lang w:val="de-DE"/>
        </w:rPr>
        <w:t xml:space="preserve"> </w:t>
      </w:r>
      <w:r>
        <w:rPr>
          <w:rFonts w:ascii="Times New Roman Italic" w:hAnsi="Times New Roman Italic"/>
          <w:i/>
          <w:spacing w:val="-2"/>
          <w:lang w:val="de-DE"/>
        </w:rPr>
        <w:t>9.1</w:t>
      </w:r>
      <w:r w:rsidRPr="00C02451">
        <w:rPr>
          <w:rFonts w:ascii="Times New Roman Italic" w:hAnsi="Times New Roman Italic"/>
          <w:i/>
          <w:spacing w:val="-2"/>
          <w:lang w:val="de-DE"/>
        </w:rPr>
        <w:t xml:space="preserve">% over the previous month and up </w:t>
      </w:r>
      <w:r>
        <w:rPr>
          <w:rFonts w:ascii="Times New Roman Italic" w:hAnsi="Times New Roman Italic"/>
          <w:i/>
          <w:spacing w:val="-2"/>
          <w:lang w:val="de-DE"/>
        </w:rPr>
        <w:t>22.6</w:t>
      </w:r>
      <w:r w:rsidRPr="00C02451">
        <w:rPr>
          <w:rFonts w:ascii="Times New Roman Italic" w:hAnsi="Times New Roman Italic"/>
          <w:i/>
          <w:spacing w:val="-2"/>
          <w:lang w:val="de-DE"/>
        </w:rPr>
        <w:t xml:space="preserve">% over the same period last year. Generally, in the first </w:t>
      </w:r>
      <w:r>
        <w:rPr>
          <w:rFonts w:ascii="Times New Roman Italic" w:hAnsi="Times New Roman Italic"/>
          <w:i/>
          <w:spacing w:val="-2"/>
          <w:lang w:val="de-DE"/>
        </w:rPr>
        <w:t>five months</w:t>
      </w:r>
      <w:r w:rsidRPr="00C02451">
        <w:rPr>
          <w:rFonts w:ascii="Times New Roman Italic" w:hAnsi="Times New Roman Italic"/>
          <w:i/>
          <w:spacing w:val="-2"/>
          <w:lang w:val="de-DE"/>
        </w:rPr>
        <w:t xml:space="preserve"> of 2024, the total export and import turnover of goods reached </w:t>
      </w:r>
      <w:r>
        <w:rPr>
          <w:rFonts w:ascii="Times New Roman Italic" w:hAnsi="Times New Roman Italic"/>
          <w:i/>
          <w:spacing w:val="-2"/>
          <w:lang w:val="de-DE"/>
        </w:rPr>
        <w:t>305.53</w:t>
      </w:r>
      <w:r w:rsidRPr="00C02451">
        <w:rPr>
          <w:rFonts w:ascii="Times New Roman Italic" w:hAnsi="Times New Roman Italic"/>
          <w:i/>
          <w:spacing w:val="-2"/>
          <w:lang w:val="de-DE"/>
        </w:rPr>
        <w:t xml:space="preserve"> billion USD, up 1</w:t>
      </w:r>
      <w:r>
        <w:rPr>
          <w:rFonts w:ascii="Times New Roman Italic" w:hAnsi="Times New Roman Italic"/>
          <w:i/>
          <w:spacing w:val="-2"/>
          <w:lang w:val="de-DE"/>
        </w:rPr>
        <w:t>6.6</w:t>
      </w:r>
      <w:r w:rsidRPr="00C02451">
        <w:rPr>
          <w:rFonts w:ascii="Times New Roman Italic" w:hAnsi="Times New Roman Italic"/>
          <w:i/>
          <w:spacing w:val="-2"/>
          <w:lang w:val="de-DE"/>
        </w:rPr>
        <w:t>% over the same period last year, of which exports increased by 15</w:t>
      </w:r>
      <w:r>
        <w:rPr>
          <w:rFonts w:ascii="Times New Roman Italic" w:hAnsi="Times New Roman Italic"/>
          <w:i/>
          <w:spacing w:val="-2"/>
          <w:lang w:val="de-DE"/>
        </w:rPr>
        <w:t>.2</w:t>
      </w:r>
      <w:r w:rsidRPr="00C02451">
        <w:rPr>
          <w:rFonts w:ascii="Times New Roman Italic" w:hAnsi="Times New Roman Italic"/>
          <w:i/>
          <w:spacing w:val="-2"/>
          <w:lang w:val="de-DE"/>
        </w:rPr>
        <w:t>%; imports increased by 1</w:t>
      </w:r>
      <w:r>
        <w:rPr>
          <w:rFonts w:ascii="Times New Roman Italic" w:hAnsi="Times New Roman Italic"/>
          <w:i/>
          <w:spacing w:val="-2"/>
          <w:lang w:val="de-DE"/>
        </w:rPr>
        <w:t>8.2</w:t>
      </w:r>
      <w:r w:rsidRPr="00C02451">
        <w:rPr>
          <w:rFonts w:ascii="Times New Roman Italic" w:hAnsi="Times New Roman Italic"/>
          <w:i/>
          <w:spacing w:val="-2"/>
          <w:lang w:val="de-DE"/>
        </w:rPr>
        <w:t>%</w:t>
      </w:r>
      <w:r w:rsidRPr="00C02451">
        <w:rPr>
          <w:rStyle w:val="FootnoteReference"/>
          <w:rFonts w:ascii="Times New Roman Italic" w:hAnsi="Times New Roman Italic"/>
          <w:i/>
          <w:spacing w:val="-2"/>
          <w:lang w:val="es-NI"/>
        </w:rPr>
        <w:footnoteReference w:id="14"/>
      </w:r>
      <w:r w:rsidRPr="00C02451">
        <w:rPr>
          <w:rFonts w:ascii="Times New Roman Italic" w:hAnsi="Times New Roman Italic"/>
          <w:i/>
          <w:spacing w:val="-2"/>
          <w:lang w:val="es-NI"/>
        </w:rPr>
        <w:t>.</w:t>
      </w:r>
      <w:r w:rsidRPr="00C02451">
        <w:rPr>
          <w:spacing w:val="-2"/>
          <w:lang w:val="es-NI"/>
        </w:rPr>
        <w:t xml:space="preserve"> </w:t>
      </w:r>
      <w:r w:rsidRPr="00C02451">
        <w:rPr>
          <w:rFonts w:ascii="Times New Roman Italic" w:hAnsi="Times New Roman Italic"/>
          <w:i/>
          <w:spacing w:val="-2"/>
          <w:lang w:val="es-NI"/>
        </w:rPr>
        <w:t>The trade balance of goods had a surplus of 8.</w:t>
      </w:r>
      <w:r>
        <w:rPr>
          <w:rFonts w:ascii="Times New Roman Italic" w:hAnsi="Times New Roman Italic"/>
          <w:i/>
          <w:spacing w:val="-2"/>
          <w:lang w:val="es-NI"/>
        </w:rPr>
        <w:t>01</w:t>
      </w:r>
      <w:r w:rsidRPr="00C02451">
        <w:rPr>
          <w:rFonts w:ascii="Times New Roman Italic" w:hAnsi="Times New Roman Italic"/>
          <w:i/>
          <w:spacing w:val="-2"/>
          <w:lang w:val="es-NI"/>
        </w:rPr>
        <w:t xml:space="preserve"> billion USD. </w:t>
      </w:r>
    </w:p>
    <w:p w14:paraId="30A49925" w14:textId="77777777" w:rsidR="006A6832" w:rsidRDefault="006A6832" w:rsidP="006A6832">
      <w:pPr>
        <w:tabs>
          <w:tab w:val="left" w:pos="900"/>
          <w:tab w:val="left" w:pos="9475"/>
        </w:tabs>
        <w:spacing w:beforeLines="100" w:before="240" w:afterLines="100" w:after="240" w:line="264" w:lineRule="auto"/>
        <w:ind w:firstLine="567"/>
        <w:jc w:val="center"/>
        <w:rPr>
          <w:rFonts w:ascii="Arial" w:hAnsi="Arial" w:cs="Arial"/>
          <w:b/>
          <w:bCs/>
          <w:sz w:val="24"/>
          <w:szCs w:val="24"/>
          <w:lang w:val="es-NI"/>
        </w:rPr>
      </w:pPr>
      <w:r>
        <w:rPr>
          <w:rFonts w:ascii="Arial" w:hAnsi="Arial" w:cs="Arial"/>
          <w:b/>
          <w:bCs/>
          <w:sz w:val="24"/>
          <w:szCs w:val="24"/>
          <w:lang w:val="es-NI"/>
        </w:rPr>
        <w:t>Figure 12. Import and export of goods in the first 5 months of 2024</w:t>
      </w:r>
    </w:p>
    <w:p w14:paraId="3593FCD4" w14:textId="77777777" w:rsidR="006A6832" w:rsidRDefault="006A6832" w:rsidP="006A6832">
      <w:pPr>
        <w:tabs>
          <w:tab w:val="left" w:pos="900"/>
          <w:tab w:val="left" w:pos="9475"/>
        </w:tabs>
        <w:spacing w:beforeLines="40" w:before="96" w:afterLines="40" w:after="96" w:line="264" w:lineRule="auto"/>
        <w:jc w:val="center"/>
        <w:rPr>
          <w:rFonts w:ascii="Calibri" w:hAnsi="Calibri" w:cs="Calibri"/>
          <w:iCs/>
          <w:sz w:val="22"/>
          <w:szCs w:val="22"/>
          <w:lang w:val="es-NI"/>
        </w:rPr>
      </w:pPr>
      <w:r>
        <w:rPr>
          <w:noProof/>
        </w:rPr>
        <w:lastRenderedPageBreak/>
        <w:drawing>
          <wp:inline distT="0" distB="0" distL="0" distR="0" wp14:anchorId="6C064D76" wp14:editId="48D6993C">
            <wp:extent cx="5337844" cy="1740090"/>
            <wp:effectExtent l="0" t="0" r="0" b="0"/>
            <wp:docPr id="113601177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011772"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5362179" cy="1748023"/>
                    </a:xfrm>
                    <a:prstGeom prst="rect">
                      <a:avLst/>
                    </a:prstGeom>
                  </pic:spPr>
                </pic:pic>
              </a:graphicData>
            </a:graphic>
          </wp:inline>
        </w:drawing>
      </w:r>
    </w:p>
    <w:p w14:paraId="0957296F" w14:textId="77777777" w:rsidR="006A6832" w:rsidRDefault="006A6832" w:rsidP="006A6832">
      <w:pPr>
        <w:tabs>
          <w:tab w:val="left" w:pos="900"/>
          <w:tab w:val="left" w:pos="9475"/>
        </w:tabs>
        <w:spacing w:beforeLines="40" w:before="96" w:afterLines="40" w:after="96" w:line="264" w:lineRule="auto"/>
        <w:ind w:right="119" w:firstLine="567"/>
        <w:jc w:val="both"/>
        <w:rPr>
          <w:rStyle w:val="Strong"/>
          <w:rFonts w:ascii="Calibri" w:eastAsia="Calibri" w:hAnsi="Calibri"/>
          <w:i/>
          <w:color w:val="000000" w:themeColor="text1"/>
          <w:sz w:val="2"/>
          <w:szCs w:val="4"/>
          <w:lang w:val="de-DE"/>
        </w:rPr>
      </w:pPr>
    </w:p>
    <w:p w14:paraId="6FDD47AF" w14:textId="77777777" w:rsidR="006A6832" w:rsidRDefault="006A6832" w:rsidP="006A6832">
      <w:pPr>
        <w:tabs>
          <w:tab w:val="left" w:pos="900"/>
        </w:tabs>
        <w:spacing w:beforeLines="40" w:before="96" w:afterLines="40" w:after="96" w:line="288" w:lineRule="auto"/>
        <w:ind w:firstLine="567"/>
        <w:jc w:val="both"/>
      </w:pPr>
      <w:r>
        <w:rPr>
          <w:b/>
          <w:bCs/>
          <w:i/>
          <w:iCs/>
        </w:rPr>
        <w:t>Export of goods</w:t>
      </w:r>
    </w:p>
    <w:p w14:paraId="171405E7" w14:textId="77777777" w:rsidR="006A6832" w:rsidRDefault="006A6832" w:rsidP="006A6832">
      <w:pPr>
        <w:tabs>
          <w:tab w:val="num" w:pos="0"/>
          <w:tab w:val="left" w:pos="9475"/>
        </w:tabs>
        <w:spacing w:beforeLines="40" w:before="96" w:afterLines="40" w:after="96" w:line="288" w:lineRule="auto"/>
        <w:ind w:right="6" w:firstLine="567"/>
        <w:jc w:val="both"/>
        <w:rPr>
          <w:bCs/>
          <w:lang w:val="de-DE"/>
        </w:rPr>
      </w:pPr>
      <w:r>
        <w:rPr>
          <w:bCs/>
        </w:rPr>
        <w:t>Preliminary export turnover of goods in</w:t>
      </w:r>
      <w:r>
        <w:rPr>
          <w:bCs/>
          <w:lang w:val="de-DE"/>
        </w:rPr>
        <w:t xml:space="preserve"> 4/2024 reached USD 31.1 billion, 113 million USD higher than the estimated </w:t>
      </w:r>
      <w:r>
        <w:rPr>
          <w:bCs/>
        </w:rPr>
        <w:t>figure</w:t>
      </w:r>
      <w:r>
        <w:rPr>
          <w:bCs/>
          <w:lang w:val="de-DE"/>
        </w:rPr>
        <w:t>.</w:t>
      </w:r>
    </w:p>
    <w:p w14:paraId="7633362C" w14:textId="77777777" w:rsidR="006A6832" w:rsidRDefault="006A6832" w:rsidP="006A6832">
      <w:pPr>
        <w:tabs>
          <w:tab w:val="num" w:pos="0"/>
          <w:tab w:val="left" w:pos="9475"/>
        </w:tabs>
        <w:spacing w:beforeLines="40" w:before="96" w:afterLines="40" w:after="96" w:line="288" w:lineRule="auto"/>
        <w:ind w:right="6" w:firstLine="567"/>
        <w:jc w:val="both"/>
        <w:rPr>
          <w:bCs/>
        </w:rPr>
      </w:pPr>
      <w:r>
        <w:rPr>
          <w:bCs/>
          <w:i/>
          <w:iCs/>
        </w:rPr>
        <w:t xml:space="preserve">Export turnover of goods in 5/2024 </w:t>
      </w:r>
      <w:r>
        <w:rPr>
          <w:bCs/>
          <w:lang w:val="de-DE"/>
        </w:rPr>
        <w:t xml:space="preserve">was estimated at 32.81 billion USD, up 5.7% over the previous month. </w:t>
      </w:r>
      <w:r>
        <w:rPr>
          <w:bCs/>
        </w:rPr>
        <w:t>Of which, the domestic economic sector gained 9.37 billion USD, increased by 2.7%; the FDI sector (including crude oil) reached 23.44 billion USD, increased by 6.9%. Compared to the same period last year, export turnover of goods in May increased by 15.8%, of which the domestic economic sector increased by 13.0%, the FDI sector (including crude oil) increased by 17.0%.</w:t>
      </w:r>
    </w:p>
    <w:p w14:paraId="25B22C39" w14:textId="77777777" w:rsidR="006A6832" w:rsidRDefault="006A6832" w:rsidP="006A6832">
      <w:pPr>
        <w:tabs>
          <w:tab w:val="num" w:pos="0"/>
          <w:tab w:val="left" w:pos="9475"/>
        </w:tabs>
        <w:spacing w:beforeLines="40" w:before="96" w:afterLines="40" w:after="96" w:line="288" w:lineRule="auto"/>
        <w:ind w:right="6" w:firstLine="567"/>
        <w:jc w:val="both"/>
        <w:rPr>
          <w:iCs/>
          <w:lang w:val="de-DE"/>
        </w:rPr>
      </w:pPr>
      <w:proofErr w:type="gramStart"/>
      <w:r>
        <w:rPr>
          <w:i/>
          <w:iCs/>
        </w:rPr>
        <w:t>Generally</w:t>
      </w:r>
      <w:proofErr w:type="gramEnd"/>
      <w:r>
        <w:rPr>
          <w:i/>
          <w:iCs/>
        </w:rPr>
        <w:t xml:space="preserve"> in</w:t>
      </w:r>
      <w:r>
        <w:rPr>
          <w:i/>
          <w:iCs/>
          <w:lang w:val="de-DE"/>
        </w:rPr>
        <w:t xml:space="preserve"> the first five months of 2024</w:t>
      </w:r>
      <w:r>
        <w:rPr>
          <w:iCs/>
          <w:lang w:val="de-DE"/>
        </w:rPr>
        <w:t xml:space="preserve">, </w:t>
      </w:r>
      <w:r>
        <w:rPr>
          <w:iCs/>
        </w:rPr>
        <w:t>the export turnover was estimated at 156.77 billion</w:t>
      </w:r>
      <w:r>
        <w:rPr>
          <w:bCs/>
          <w:iCs/>
        </w:rPr>
        <w:t xml:space="preserve"> USD</w:t>
      </w:r>
      <w:r>
        <w:rPr>
          <w:iCs/>
        </w:rPr>
        <w:t xml:space="preserve">, increased by 15.2% over </w:t>
      </w:r>
      <w:r>
        <w:rPr>
          <w:bCs/>
          <w:iCs/>
        </w:rPr>
        <w:t>the same period last year</w:t>
      </w:r>
      <w:r>
        <w:rPr>
          <w:iCs/>
        </w:rPr>
        <w:t xml:space="preserve">. Of which, the domestic economic sector </w:t>
      </w:r>
      <w:r>
        <w:rPr>
          <w:bCs/>
          <w:iCs/>
        </w:rPr>
        <w:t>was</w:t>
      </w:r>
      <w:r>
        <w:rPr>
          <w:iCs/>
        </w:rPr>
        <w:t xml:space="preserve"> 43.69 billion USD, went up 20.5%, accounting for 27.9% of total export turnover; the FDI sector (including crude oil) attained 113.08 billion USD, increased by 13.3%, sharing 72.1%.</w:t>
      </w:r>
      <w:r>
        <w:rPr>
          <w:iCs/>
          <w:lang w:val="de-DE"/>
        </w:rPr>
        <w:t xml:space="preserve"> </w:t>
      </w:r>
    </w:p>
    <w:p w14:paraId="3F575276" w14:textId="77777777" w:rsidR="006A6832" w:rsidRDefault="006A6832" w:rsidP="006A6832">
      <w:pPr>
        <w:tabs>
          <w:tab w:val="num" w:pos="0"/>
        </w:tabs>
        <w:spacing w:beforeLines="40" w:before="96" w:afterLines="40" w:after="96" w:line="288" w:lineRule="auto"/>
        <w:ind w:right="6" w:firstLine="567"/>
        <w:jc w:val="both"/>
        <w:rPr>
          <w:b/>
          <w:bCs/>
          <w:lang w:val="es-NI"/>
        </w:rPr>
      </w:pPr>
      <w:r>
        <w:rPr>
          <w:i/>
          <w:iCs/>
          <w:lang w:val="de-DE"/>
        </w:rPr>
        <w:t>In the first five months of 2024</w:t>
      </w:r>
      <w:r>
        <w:rPr>
          <w:lang w:val="de-DE"/>
        </w:rPr>
        <w:t xml:space="preserve">, </w:t>
      </w:r>
      <w:r>
        <w:t>there were 26 products with export turnover of over 1 billion USD, contributing 90% to the total export turnover (7 products with export turnover of over 5 billion USD, accounting for 65.3%).</w:t>
      </w:r>
      <w:r>
        <w:rPr>
          <w:lang w:val="de-DE"/>
        </w:rPr>
        <w:t xml:space="preserve"> </w:t>
      </w:r>
    </w:p>
    <w:p w14:paraId="140344D9" w14:textId="77777777" w:rsidR="006A6832" w:rsidRDefault="006A6832" w:rsidP="006A6832">
      <w:pPr>
        <w:tabs>
          <w:tab w:val="num" w:pos="0"/>
          <w:tab w:val="left" w:pos="9475"/>
        </w:tabs>
        <w:spacing w:beforeLines="40" w:before="96" w:afterLines="40" w:after="96" w:line="264" w:lineRule="auto"/>
        <w:ind w:right="119" w:firstLine="567"/>
        <w:jc w:val="center"/>
        <w:rPr>
          <w:rFonts w:ascii="Arial" w:hAnsi="Arial" w:cs="Arial"/>
          <w:b/>
          <w:sz w:val="24"/>
          <w:szCs w:val="20"/>
          <w:lang w:val="pl-PL"/>
        </w:rPr>
      </w:pPr>
      <w:r>
        <w:rPr>
          <w:rFonts w:ascii="Arial" w:hAnsi="Arial" w:cs="Arial"/>
          <w:b/>
          <w:sz w:val="24"/>
          <w:szCs w:val="20"/>
          <w:lang w:val="pl-PL"/>
        </w:rPr>
        <w:t>Table 4. Value of some export products in the first 5 months of 2024</w:t>
      </w:r>
    </w:p>
    <w:tbl>
      <w:tblPr>
        <w:tblStyle w:val="TableGrid"/>
        <w:tblW w:w="9711" w:type="dxa"/>
        <w:tblInd w:w="108"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92"/>
        <w:gridCol w:w="1657"/>
        <w:gridCol w:w="3162"/>
      </w:tblGrid>
      <w:tr w:rsidR="006A6832" w:rsidRPr="008A2445" w14:paraId="15634F5A" w14:textId="77777777" w:rsidTr="007577DA">
        <w:trPr>
          <w:trHeight w:val="781"/>
        </w:trPr>
        <w:tc>
          <w:tcPr>
            <w:tcW w:w="4892" w:type="dxa"/>
          </w:tcPr>
          <w:p w14:paraId="5C74F35A" w14:textId="77777777" w:rsidR="006A6832" w:rsidRPr="008A2445" w:rsidRDefault="006A6832" w:rsidP="007577DA">
            <w:pPr>
              <w:tabs>
                <w:tab w:val="num" w:pos="0"/>
                <w:tab w:val="left" w:pos="9475"/>
              </w:tabs>
              <w:spacing w:before="40" w:after="40" w:line="288" w:lineRule="auto"/>
              <w:ind w:right="119"/>
              <w:jc w:val="right"/>
              <w:rPr>
                <w:rFonts w:ascii="Arial" w:hAnsi="Arial" w:cs="Arial"/>
                <w:b/>
                <w:bCs/>
                <w:i/>
                <w:iCs/>
                <w:sz w:val="20"/>
                <w:szCs w:val="20"/>
              </w:rPr>
            </w:pPr>
          </w:p>
        </w:tc>
        <w:tc>
          <w:tcPr>
            <w:tcW w:w="1657" w:type="dxa"/>
            <w:tcBorders>
              <w:top w:val="single" w:sz="4" w:space="0" w:color="auto"/>
              <w:bottom w:val="single" w:sz="4" w:space="0" w:color="auto"/>
            </w:tcBorders>
          </w:tcPr>
          <w:p w14:paraId="0DA89838" w14:textId="77777777" w:rsidR="006A6832" w:rsidRPr="008A2445" w:rsidRDefault="006A6832" w:rsidP="007577DA">
            <w:pPr>
              <w:spacing w:before="40" w:after="40" w:line="288" w:lineRule="auto"/>
              <w:jc w:val="center"/>
              <w:rPr>
                <w:rFonts w:ascii="Arial" w:hAnsi="Arial" w:cs="Arial"/>
                <w:color w:val="000000"/>
                <w:sz w:val="20"/>
                <w:szCs w:val="20"/>
              </w:rPr>
            </w:pPr>
            <w:r w:rsidRPr="008A2445">
              <w:rPr>
                <w:rFonts w:ascii="Arial" w:hAnsi="Arial" w:cs="Arial"/>
                <w:color w:val="000000"/>
                <w:sz w:val="20"/>
                <w:szCs w:val="20"/>
                <w:lang w:val="en-US"/>
              </w:rPr>
              <w:t>Estimate</w:t>
            </w:r>
          </w:p>
          <w:p w14:paraId="17E44BA0" w14:textId="77777777" w:rsidR="006A6832" w:rsidRPr="008A2445" w:rsidRDefault="006A6832" w:rsidP="007577DA">
            <w:pPr>
              <w:spacing w:before="40" w:after="40" w:line="288" w:lineRule="auto"/>
              <w:jc w:val="center"/>
              <w:rPr>
                <w:rFonts w:ascii="Arial" w:hAnsi="Arial" w:cs="Arial"/>
                <w:b/>
                <w:bCs/>
                <w:i/>
                <w:iCs/>
                <w:sz w:val="20"/>
                <w:szCs w:val="20"/>
              </w:rPr>
            </w:pPr>
            <w:r w:rsidRPr="008A2445">
              <w:rPr>
                <w:rFonts w:ascii="Arial" w:hAnsi="Arial" w:cs="Arial"/>
                <w:i/>
                <w:iCs/>
                <w:color w:val="000000"/>
                <w:sz w:val="20"/>
                <w:szCs w:val="20"/>
                <w:lang w:val="en-US"/>
              </w:rPr>
              <w:t>(Mill. USD)</w:t>
            </w:r>
          </w:p>
        </w:tc>
        <w:tc>
          <w:tcPr>
            <w:tcW w:w="3162" w:type="dxa"/>
            <w:tcBorders>
              <w:top w:val="single" w:sz="4" w:space="0" w:color="auto"/>
              <w:bottom w:val="single" w:sz="4" w:space="0" w:color="auto"/>
            </w:tcBorders>
          </w:tcPr>
          <w:p w14:paraId="2C360434" w14:textId="77777777" w:rsidR="006A6832" w:rsidRPr="008A2445" w:rsidRDefault="006A6832" w:rsidP="007577DA">
            <w:pPr>
              <w:spacing w:before="40" w:after="40" w:line="288" w:lineRule="auto"/>
              <w:jc w:val="center"/>
              <w:rPr>
                <w:rFonts w:ascii="Arial" w:hAnsi="Arial" w:cs="Arial"/>
                <w:sz w:val="20"/>
                <w:szCs w:val="20"/>
                <w:lang w:val="en-US"/>
              </w:rPr>
            </w:pPr>
            <w:r w:rsidRPr="008A2445">
              <w:rPr>
                <w:rFonts w:ascii="Arial" w:hAnsi="Arial" w:cs="Arial"/>
                <w:sz w:val="20"/>
                <w:szCs w:val="20"/>
              </w:rPr>
              <w:t xml:space="preserve">Growth rate </w:t>
            </w:r>
            <w:r w:rsidRPr="008A2445">
              <w:rPr>
                <w:rFonts w:ascii="Arial" w:hAnsi="Arial" w:cs="Arial"/>
                <w:sz w:val="20"/>
                <w:szCs w:val="20"/>
                <w:lang w:val="en-US"/>
              </w:rPr>
              <w:t>compare to</w:t>
            </w:r>
          </w:p>
          <w:p w14:paraId="2F4C18E1" w14:textId="77777777" w:rsidR="006A6832" w:rsidRPr="008A2445" w:rsidRDefault="006A6832" w:rsidP="007577DA">
            <w:pPr>
              <w:spacing w:before="40" w:after="40" w:line="288" w:lineRule="auto"/>
              <w:jc w:val="center"/>
              <w:rPr>
                <w:rFonts w:ascii="Arial" w:hAnsi="Arial" w:cs="Arial"/>
                <w:sz w:val="20"/>
                <w:szCs w:val="20"/>
              </w:rPr>
            </w:pPr>
            <w:r w:rsidRPr="008A2445">
              <w:rPr>
                <w:rFonts w:ascii="Arial" w:hAnsi="Arial" w:cs="Arial"/>
                <w:sz w:val="20"/>
                <w:szCs w:val="20"/>
                <w:lang w:val="en-US"/>
              </w:rPr>
              <w:t xml:space="preserve">the same period last year </w:t>
            </w:r>
            <w:r w:rsidRPr="008A2445">
              <w:rPr>
                <w:rFonts w:ascii="Arial" w:hAnsi="Arial" w:cs="Arial"/>
                <w:i/>
                <w:iCs/>
                <w:sz w:val="20"/>
                <w:szCs w:val="20"/>
                <w:lang w:val="en-US"/>
              </w:rPr>
              <w:t>(%)</w:t>
            </w:r>
          </w:p>
        </w:tc>
      </w:tr>
      <w:tr w:rsidR="006A6832" w:rsidRPr="008A2445" w14:paraId="63DEB3F0" w14:textId="77777777" w:rsidTr="007577DA">
        <w:trPr>
          <w:trHeight w:val="426"/>
        </w:trPr>
        <w:tc>
          <w:tcPr>
            <w:tcW w:w="4892" w:type="dxa"/>
          </w:tcPr>
          <w:p w14:paraId="1DE7DA7B" w14:textId="77777777" w:rsidR="006A6832" w:rsidRPr="008A2445" w:rsidRDefault="006A6832" w:rsidP="007577DA">
            <w:pPr>
              <w:spacing w:before="40" w:after="40" w:line="288" w:lineRule="auto"/>
              <w:rPr>
                <w:rFonts w:ascii="Arial" w:hAnsi="Arial" w:cs="Arial"/>
                <w:b/>
                <w:bCs/>
                <w:color w:val="000000"/>
                <w:sz w:val="20"/>
                <w:szCs w:val="20"/>
              </w:rPr>
            </w:pPr>
            <w:r w:rsidRPr="008A2445">
              <w:rPr>
                <w:rFonts w:ascii="Arial" w:hAnsi="Arial" w:cs="Arial"/>
                <w:b/>
                <w:bCs/>
                <w:sz w:val="20"/>
                <w:szCs w:val="20"/>
              </w:rPr>
              <w:t xml:space="preserve">Items with a value of over </w:t>
            </w:r>
            <w:r>
              <w:rPr>
                <w:rFonts w:ascii="Arial" w:hAnsi="Arial" w:cs="Arial"/>
                <w:b/>
                <w:bCs/>
                <w:sz w:val="20"/>
                <w:szCs w:val="20"/>
              </w:rPr>
              <w:t>5</w:t>
            </w:r>
            <w:r w:rsidRPr="008A2445">
              <w:rPr>
                <w:rFonts w:ascii="Arial" w:hAnsi="Arial" w:cs="Arial"/>
                <w:b/>
                <w:bCs/>
                <w:sz w:val="20"/>
                <w:szCs w:val="20"/>
              </w:rPr>
              <w:t xml:space="preserve"> billion USD</w:t>
            </w:r>
          </w:p>
        </w:tc>
        <w:tc>
          <w:tcPr>
            <w:tcW w:w="1657" w:type="dxa"/>
            <w:tcBorders>
              <w:top w:val="single" w:sz="4" w:space="0" w:color="auto"/>
            </w:tcBorders>
          </w:tcPr>
          <w:p w14:paraId="62B56FA8" w14:textId="77777777" w:rsidR="006A6832" w:rsidRPr="008A2445" w:rsidRDefault="006A6832" w:rsidP="007577DA">
            <w:pPr>
              <w:tabs>
                <w:tab w:val="num" w:pos="0"/>
                <w:tab w:val="left" w:pos="9475"/>
              </w:tabs>
              <w:spacing w:before="40" w:after="40" w:line="288" w:lineRule="auto"/>
              <w:ind w:right="119"/>
              <w:jc w:val="right"/>
              <w:rPr>
                <w:rFonts w:ascii="Arial" w:hAnsi="Arial" w:cs="Arial"/>
                <w:b/>
                <w:bCs/>
                <w:i/>
                <w:iCs/>
                <w:sz w:val="20"/>
                <w:szCs w:val="20"/>
              </w:rPr>
            </w:pPr>
          </w:p>
        </w:tc>
        <w:tc>
          <w:tcPr>
            <w:tcW w:w="3162" w:type="dxa"/>
            <w:tcBorders>
              <w:top w:val="single" w:sz="4" w:space="0" w:color="auto"/>
            </w:tcBorders>
          </w:tcPr>
          <w:p w14:paraId="65896B1A" w14:textId="77777777" w:rsidR="006A6832" w:rsidRPr="008A2445" w:rsidRDefault="006A6832" w:rsidP="007577DA">
            <w:pPr>
              <w:tabs>
                <w:tab w:val="num" w:pos="0"/>
                <w:tab w:val="left" w:pos="9475"/>
              </w:tabs>
              <w:spacing w:before="40" w:after="40" w:line="288" w:lineRule="auto"/>
              <w:ind w:right="119"/>
              <w:jc w:val="right"/>
              <w:rPr>
                <w:rFonts w:ascii="Arial" w:hAnsi="Arial" w:cs="Arial"/>
                <w:b/>
                <w:bCs/>
                <w:i/>
                <w:iCs/>
                <w:sz w:val="20"/>
                <w:szCs w:val="20"/>
              </w:rPr>
            </w:pPr>
          </w:p>
        </w:tc>
      </w:tr>
      <w:tr w:rsidR="006A6832" w:rsidRPr="008A2445" w14:paraId="7BFBC8AC" w14:textId="77777777" w:rsidTr="007577DA">
        <w:trPr>
          <w:trHeight w:val="408"/>
        </w:trPr>
        <w:tc>
          <w:tcPr>
            <w:tcW w:w="4892" w:type="dxa"/>
            <w:vAlign w:val="center"/>
          </w:tcPr>
          <w:p w14:paraId="71A9E2D0" w14:textId="77777777" w:rsidR="006A6832" w:rsidRPr="008A2445" w:rsidRDefault="006A6832" w:rsidP="007577DA">
            <w:pPr>
              <w:spacing w:before="40" w:after="40" w:line="288" w:lineRule="auto"/>
              <w:ind w:firstLine="171"/>
              <w:rPr>
                <w:rFonts w:ascii="Arial" w:hAnsi="Arial" w:cs="Arial"/>
                <w:sz w:val="20"/>
                <w:szCs w:val="20"/>
              </w:rPr>
            </w:pPr>
            <w:r w:rsidRPr="008A2445">
              <w:rPr>
                <w:rFonts w:ascii="Arial" w:hAnsi="Arial" w:cs="Arial"/>
                <w:sz w:val="20"/>
                <w:szCs w:val="20"/>
              </w:rPr>
              <w:t>Electronic goods, computers and their parts</w:t>
            </w:r>
          </w:p>
        </w:tc>
        <w:tc>
          <w:tcPr>
            <w:tcW w:w="1657" w:type="dxa"/>
            <w:vAlign w:val="center"/>
          </w:tcPr>
          <w:p w14:paraId="1D6F4398" w14:textId="77777777" w:rsidR="006A6832" w:rsidRPr="00D86D05" w:rsidRDefault="006A6832" w:rsidP="007577DA">
            <w:pPr>
              <w:spacing w:before="40" w:after="40" w:line="288" w:lineRule="auto"/>
              <w:ind w:right="317"/>
              <w:jc w:val="right"/>
              <w:rPr>
                <w:rFonts w:ascii="Arial" w:hAnsi="Arial" w:cs="Arial"/>
                <w:sz w:val="20"/>
                <w:szCs w:val="20"/>
              </w:rPr>
            </w:pPr>
            <w:r w:rsidRPr="006728A8">
              <w:rPr>
                <w:rFonts w:ascii="Arial" w:hAnsi="Arial" w:cs="Arial"/>
                <w:sz w:val="20"/>
                <w:szCs w:val="20"/>
              </w:rPr>
              <w:t>27</w:t>
            </w:r>
            <w:r>
              <w:rPr>
                <w:rFonts w:ascii="Arial" w:hAnsi="Arial" w:cs="Arial"/>
                <w:sz w:val="20"/>
                <w:szCs w:val="20"/>
                <w:lang w:val="en-US"/>
              </w:rPr>
              <w:t>,</w:t>
            </w:r>
            <w:r w:rsidRPr="006728A8">
              <w:rPr>
                <w:rFonts w:ascii="Arial" w:hAnsi="Arial" w:cs="Arial"/>
                <w:sz w:val="20"/>
                <w:szCs w:val="20"/>
              </w:rPr>
              <w:t>379</w:t>
            </w:r>
          </w:p>
        </w:tc>
        <w:tc>
          <w:tcPr>
            <w:tcW w:w="3162" w:type="dxa"/>
            <w:vAlign w:val="center"/>
          </w:tcPr>
          <w:p w14:paraId="5080E5C6" w14:textId="77777777" w:rsidR="006A6832" w:rsidRPr="00D86D05" w:rsidRDefault="006A6832" w:rsidP="007577DA">
            <w:pPr>
              <w:tabs>
                <w:tab w:val="left" w:pos="1735"/>
              </w:tabs>
              <w:spacing w:before="40" w:after="40" w:line="288" w:lineRule="auto"/>
              <w:ind w:right="1063"/>
              <w:jc w:val="right"/>
              <w:rPr>
                <w:rFonts w:ascii="Arial" w:hAnsi="Arial" w:cs="Arial"/>
                <w:sz w:val="20"/>
                <w:szCs w:val="20"/>
              </w:rPr>
            </w:pPr>
            <w:r w:rsidRPr="006728A8">
              <w:rPr>
                <w:rFonts w:ascii="Arial" w:hAnsi="Arial" w:cs="Arial"/>
                <w:sz w:val="20"/>
                <w:szCs w:val="20"/>
              </w:rPr>
              <w:t>33</w:t>
            </w:r>
            <w:r>
              <w:rPr>
                <w:rFonts w:ascii="Arial" w:hAnsi="Arial" w:cs="Arial"/>
                <w:sz w:val="20"/>
                <w:szCs w:val="20"/>
                <w:lang w:val="en-US"/>
              </w:rPr>
              <w:t>.</w:t>
            </w:r>
            <w:r w:rsidRPr="006728A8">
              <w:rPr>
                <w:rFonts w:ascii="Arial" w:hAnsi="Arial" w:cs="Arial"/>
                <w:sz w:val="20"/>
                <w:szCs w:val="20"/>
              </w:rPr>
              <w:t>4</w:t>
            </w:r>
          </w:p>
        </w:tc>
      </w:tr>
      <w:tr w:rsidR="006A6832" w:rsidRPr="008A2445" w14:paraId="70ED439C" w14:textId="77777777" w:rsidTr="007577DA">
        <w:trPr>
          <w:trHeight w:val="426"/>
        </w:trPr>
        <w:tc>
          <w:tcPr>
            <w:tcW w:w="4892" w:type="dxa"/>
            <w:vAlign w:val="center"/>
          </w:tcPr>
          <w:p w14:paraId="054E7655" w14:textId="77777777" w:rsidR="006A6832" w:rsidRPr="008A2445" w:rsidRDefault="006A6832" w:rsidP="007577DA">
            <w:pPr>
              <w:spacing w:before="40" w:after="40" w:line="288" w:lineRule="auto"/>
              <w:ind w:firstLine="171"/>
              <w:rPr>
                <w:rFonts w:ascii="Arial" w:hAnsi="Arial" w:cs="Arial"/>
                <w:sz w:val="20"/>
                <w:szCs w:val="20"/>
              </w:rPr>
            </w:pPr>
            <w:r w:rsidRPr="008A2445">
              <w:rPr>
                <w:rFonts w:ascii="Arial" w:hAnsi="Arial" w:cs="Arial"/>
                <w:sz w:val="20"/>
                <w:szCs w:val="20"/>
              </w:rPr>
              <w:t xml:space="preserve">Phones all of kinds and their parts </w:t>
            </w:r>
          </w:p>
        </w:tc>
        <w:tc>
          <w:tcPr>
            <w:tcW w:w="1657" w:type="dxa"/>
            <w:vAlign w:val="center"/>
          </w:tcPr>
          <w:p w14:paraId="2E1E5A7F" w14:textId="77777777" w:rsidR="006A6832" w:rsidRPr="00D86D05" w:rsidRDefault="006A6832" w:rsidP="007577DA">
            <w:pPr>
              <w:spacing w:before="40" w:after="40" w:line="288" w:lineRule="auto"/>
              <w:ind w:right="317"/>
              <w:jc w:val="right"/>
              <w:rPr>
                <w:rFonts w:ascii="Arial" w:hAnsi="Arial" w:cs="Arial"/>
                <w:sz w:val="20"/>
                <w:szCs w:val="20"/>
              </w:rPr>
            </w:pPr>
            <w:r w:rsidRPr="006728A8">
              <w:rPr>
                <w:rFonts w:ascii="Arial" w:hAnsi="Arial" w:cs="Arial"/>
                <w:sz w:val="20"/>
                <w:szCs w:val="20"/>
              </w:rPr>
              <w:t>22</w:t>
            </w:r>
            <w:r>
              <w:rPr>
                <w:rFonts w:ascii="Arial" w:hAnsi="Arial" w:cs="Arial"/>
                <w:sz w:val="20"/>
                <w:szCs w:val="20"/>
                <w:lang w:val="en-US"/>
              </w:rPr>
              <w:t>,</w:t>
            </w:r>
            <w:r w:rsidRPr="006728A8">
              <w:rPr>
                <w:rFonts w:ascii="Arial" w:hAnsi="Arial" w:cs="Arial"/>
                <w:sz w:val="20"/>
                <w:szCs w:val="20"/>
              </w:rPr>
              <w:t>539</w:t>
            </w:r>
          </w:p>
        </w:tc>
        <w:tc>
          <w:tcPr>
            <w:tcW w:w="3162" w:type="dxa"/>
            <w:vAlign w:val="center"/>
          </w:tcPr>
          <w:p w14:paraId="5D8275C7" w14:textId="77777777" w:rsidR="006A6832" w:rsidRPr="00D86D05" w:rsidRDefault="006A6832" w:rsidP="007577DA">
            <w:pPr>
              <w:tabs>
                <w:tab w:val="left" w:pos="1735"/>
              </w:tabs>
              <w:spacing w:before="40" w:after="40" w:line="288" w:lineRule="auto"/>
              <w:ind w:right="1063"/>
              <w:jc w:val="right"/>
              <w:rPr>
                <w:rFonts w:ascii="Arial" w:hAnsi="Arial" w:cs="Arial"/>
                <w:sz w:val="20"/>
                <w:szCs w:val="20"/>
              </w:rPr>
            </w:pPr>
            <w:r w:rsidRPr="006728A8">
              <w:rPr>
                <w:rFonts w:ascii="Arial" w:hAnsi="Arial" w:cs="Arial"/>
                <w:sz w:val="20"/>
                <w:szCs w:val="20"/>
              </w:rPr>
              <w:t>11</w:t>
            </w:r>
            <w:r>
              <w:rPr>
                <w:rFonts w:ascii="Arial" w:hAnsi="Arial" w:cs="Arial"/>
                <w:sz w:val="20"/>
                <w:szCs w:val="20"/>
                <w:lang w:val="en-US"/>
              </w:rPr>
              <w:t>.</w:t>
            </w:r>
            <w:r w:rsidRPr="006728A8">
              <w:rPr>
                <w:rFonts w:ascii="Arial" w:hAnsi="Arial" w:cs="Arial"/>
                <w:sz w:val="20"/>
                <w:szCs w:val="20"/>
              </w:rPr>
              <w:t>6</w:t>
            </w:r>
          </w:p>
        </w:tc>
      </w:tr>
      <w:tr w:rsidR="006A6832" w:rsidRPr="008A2445" w14:paraId="45680BF0" w14:textId="77777777" w:rsidTr="007577DA">
        <w:trPr>
          <w:trHeight w:val="408"/>
        </w:trPr>
        <w:tc>
          <w:tcPr>
            <w:tcW w:w="4892" w:type="dxa"/>
            <w:tcBorders>
              <w:bottom w:val="nil"/>
            </w:tcBorders>
            <w:vAlign w:val="center"/>
          </w:tcPr>
          <w:p w14:paraId="59479C39" w14:textId="77777777" w:rsidR="006A6832" w:rsidRPr="008A2445" w:rsidRDefault="006A6832" w:rsidP="007577DA">
            <w:pPr>
              <w:spacing w:before="40" w:after="40" w:line="288" w:lineRule="auto"/>
              <w:ind w:firstLine="171"/>
              <w:rPr>
                <w:rFonts w:ascii="Arial" w:hAnsi="Arial" w:cs="Arial"/>
                <w:sz w:val="20"/>
                <w:szCs w:val="20"/>
              </w:rPr>
            </w:pPr>
            <w:r w:rsidRPr="008A2445">
              <w:rPr>
                <w:rFonts w:ascii="Arial" w:hAnsi="Arial" w:cs="Arial"/>
                <w:sz w:val="20"/>
                <w:szCs w:val="20"/>
              </w:rPr>
              <w:t>Machinery, instrument, accessory</w:t>
            </w:r>
          </w:p>
        </w:tc>
        <w:tc>
          <w:tcPr>
            <w:tcW w:w="1657" w:type="dxa"/>
            <w:tcBorders>
              <w:bottom w:val="nil"/>
            </w:tcBorders>
            <w:vAlign w:val="center"/>
          </w:tcPr>
          <w:p w14:paraId="2B412DEB" w14:textId="77777777" w:rsidR="006A6832" w:rsidRPr="00D86D05" w:rsidRDefault="006A6832" w:rsidP="007577DA">
            <w:pPr>
              <w:spacing w:before="40" w:after="40" w:line="288" w:lineRule="auto"/>
              <w:ind w:right="320" w:firstLine="171"/>
              <w:jc w:val="right"/>
              <w:rPr>
                <w:rFonts w:ascii="Arial" w:hAnsi="Arial" w:cs="Arial"/>
                <w:sz w:val="20"/>
                <w:szCs w:val="20"/>
              </w:rPr>
            </w:pPr>
            <w:r w:rsidRPr="006728A8">
              <w:rPr>
                <w:rFonts w:ascii="Arial" w:hAnsi="Arial" w:cs="Arial"/>
                <w:sz w:val="20"/>
                <w:szCs w:val="20"/>
              </w:rPr>
              <w:t>18</w:t>
            </w:r>
            <w:r>
              <w:rPr>
                <w:rFonts w:ascii="Arial" w:hAnsi="Arial" w:cs="Arial"/>
                <w:sz w:val="20"/>
                <w:szCs w:val="20"/>
                <w:lang w:val="en-US"/>
              </w:rPr>
              <w:t>,</w:t>
            </w:r>
            <w:r w:rsidRPr="006728A8">
              <w:rPr>
                <w:rFonts w:ascii="Arial" w:hAnsi="Arial" w:cs="Arial"/>
                <w:sz w:val="20"/>
                <w:szCs w:val="20"/>
              </w:rPr>
              <w:t>441</w:t>
            </w:r>
          </w:p>
        </w:tc>
        <w:tc>
          <w:tcPr>
            <w:tcW w:w="3162" w:type="dxa"/>
            <w:tcBorders>
              <w:bottom w:val="nil"/>
            </w:tcBorders>
            <w:vAlign w:val="center"/>
          </w:tcPr>
          <w:p w14:paraId="7E8B69D5" w14:textId="77777777" w:rsidR="006A6832" w:rsidRPr="00D86D05" w:rsidRDefault="006A6832" w:rsidP="007577DA">
            <w:pPr>
              <w:tabs>
                <w:tab w:val="left" w:pos="1735"/>
              </w:tabs>
              <w:spacing w:before="40" w:after="40" w:line="288" w:lineRule="auto"/>
              <w:ind w:right="1063"/>
              <w:jc w:val="right"/>
              <w:rPr>
                <w:rFonts w:ascii="Arial" w:hAnsi="Arial" w:cs="Arial"/>
                <w:sz w:val="20"/>
                <w:szCs w:val="20"/>
              </w:rPr>
            </w:pPr>
            <w:r w:rsidRPr="006728A8">
              <w:rPr>
                <w:rFonts w:ascii="Arial" w:hAnsi="Arial" w:cs="Arial"/>
                <w:sz w:val="20"/>
                <w:szCs w:val="20"/>
              </w:rPr>
              <w:t>11</w:t>
            </w:r>
            <w:r>
              <w:rPr>
                <w:rFonts w:ascii="Arial" w:hAnsi="Arial" w:cs="Arial"/>
                <w:sz w:val="20"/>
                <w:szCs w:val="20"/>
                <w:lang w:val="en-US"/>
              </w:rPr>
              <w:t>.</w:t>
            </w:r>
            <w:r w:rsidRPr="006728A8">
              <w:rPr>
                <w:rFonts w:ascii="Arial" w:hAnsi="Arial" w:cs="Arial"/>
                <w:sz w:val="20"/>
                <w:szCs w:val="20"/>
              </w:rPr>
              <w:t>8</w:t>
            </w:r>
          </w:p>
        </w:tc>
      </w:tr>
      <w:tr w:rsidR="006A6832" w:rsidRPr="008A2445" w14:paraId="666DF2AA" w14:textId="77777777" w:rsidTr="007577DA">
        <w:trPr>
          <w:trHeight w:val="408"/>
        </w:trPr>
        <w:tc>
          <w:tcPr>
            <w:tcW w:w="4892" w:type="dxa"/>
            <w:tcBorders>
              <w:top w:val="nil"/>
              <w:bottom w:val="nil"/>
            </w:tcBorders>
            <w:vAlign w:val="center"/>
          </w:tcPr>
          <w:p w14:paraId="439EBDE5" w14:textId="77777777" w:rsidR="006A6832" w:rsidRPr="008A2445" w:rsidRDefault="006A6832" w:rsidP="007577DA">
            <w:pPr>
              <w:spacing w:before="40" w:after="40" w:line="288" w:lineRule="auto"/>
              <w:ind w:firstLine="171"/>
              <w:rPr>
                <w:rFonts w:ascii="Arial" w:hAnsi="Arial" w:cs="Arial"/>
                <w:sz w:val="20"/>
                <w:szCs w:val="20"/>
              </w:rPr>
            </w:pPr>
            <w:r w:rsidRPr="008A2445">
              <w:rPr>
                <w:rFonts w:ascii="Arial" w:hAnsi="Arial" w:cs="Arial"/>
                <w:sz w:val="20"/>
                <w:szCs w:val="20"/>
              </w:rPr>
              <w:lastRenderedPageBreak/>
              <w:t>Textiles and garments</w:t>
            </w:r>
          </w:p>
        </w:tc>
        <w:tc>
          <w:tcPr>
            <w:tcW w:w="1657" w:type="dxa"/>
            <w:tcBorders>
              <w:top w:val="nil"/>
              <w:bottom w:val="nil"/>
            </w:tcBorders>
            <w:vAlign w:val="center"/>
          </w:tcPr>
          <w:p w14:paraId="3BE7CD83" w14:textId="77777777" w:rsidR="006A6832" w:rsidRPr="00D86D05" w:rsidRDefault="006A6832" w:rsidP="007577DA">
            <w:pPr>
              <w:spacing w:before="40" w:after="40" w:line="288" w:lineRule="auto"/>
              <w:ind w:right="317"/>
              <w:jc w:val="right"/>
              <w:rPr>
                <w:rFonts w:ascii="Arial" w:hAnsi="Arial" w:cs="Arial"/>
                <w:sz w:val="20"/>
                <w:szCs w:val="20"/>
              </w:rPr>
            </w:pPr>
            <w:r w:rsidRPr="006728A8">
              <w:rPr>
                <w:rFonts w:ascii="Arial" w:hAnsi="Arial" w:cs="Arial"/>
                <w:sz w:val="20"/>
                <w:szCs w:val="20"/>
              </w:rPr>
              <w:t>13</w:t>
            </w:r>
            <w:r>
              <w:rPr>
                <w:rFonts w:ascii="Arial" w:hAnsi="Arial" w:cs="Arial"/>
                <w:sz w:val="20"/>
                <w:szCs w:val="20"/>
                <w:lang w:val="en-US"/>
              </w:rPr>
              <w:t>,</w:t>
            </w:r>
            <w:r w:rsidRPr="006728A8">
              <w:rPr>
                <w:rFonts w:ascii="Arial" w:hAnsi="Arial" w:cs="Arial"/>
                <w:sz w:val="20"/>
                <w:szCs w:val="20"/>
              </w:rPr>
              <w:t>116</w:t>
            </w:r>
          </w:p>
        </w:tc>
        <w:tc>
          <w:tcPr>
            <w:tcW w:w="3162" w:type="dxa"/>
            <w:tcBorders>
              <w:top w:val="nil"/>
              <w:bottom w:val="nil"/>
            </w:tcBorders>
            <w:vAlign w:val="center"/>
          </w:tcPr>
          <w:p w14:paraId="46C3F3D4" w14:textId="77777777" w:rsidR="006A6832" w:rsidRPr="00D86D05" w:rsidRDefault="006A6832" w:rsidP="007577DA">
            <w:pPr>
              <w:tabs>
                <w:tab w:val="left" w:pos="1735"/>
              </w:tabs>
              <w:spacing w:before="40" w:after="40" w:line="288" w:lineRule="auto"/>
              <w:ind w:right="1063"/>
              <w:jc w:val="right"/>
              <w:rPr>
                <w:rFonts w:ascii="Arial" w:hAnsi="Arial" w:cs="Arial"/>
                <w:sz w:val="20"/>
                <w:szCs w:val="20"/>
              </w:rPr>
            </w:pPr>
            <w:r w:rsidRPr="006728A8">
              <w:rPr>
                <w:rFonts w:ascii="Arial" w:hAnsi="Arial" w:cs="Arial"/>
                <w:sz w:val="20"/>
                <w:szCs w:val="20"/>
              </w:rPr>
              <w:t>3</w:t>
            </w:r>
            <w:r>
              <w:rPr>
                <w:rFonts w:ascii="Arial" w:hAnsi="Arial" w:cs="Arial"/>
                <w:sz w:val="20"/>
                <w:szCs w:val="20"/>
                <w:lang w:val="en-US"/>
              </w:rPr>
              <w:t>.</w:t>
            </w:r>
            <w:r w:rsidRPr="006728A8">
              <w:rPr>
                <w:rFonts w:ascii="Arial" w:hAnsi="Arial" w:cs="Arial"/>
                <w:sz w:val="20"/>
                <w:szCs w:val="20"/>
              </w:rPr>
              <w:t>3</w:t>
            </w:r>
          </w:p>
        </w:tc>
      </w:tr>
      <w:tr w:rsidR="006A6832" w:rsidRPr="008A2445" w14:paraId="15D7EF98" w14:textId="77777777" w:rsidTr="007577DA">
        <w:trPr>
          <w:trHeight w:val="408"/>
        </w:trPr>
        <w:tc>
          <w:tcPr>
            <w:tcW w:w="4892" w:type="dxa"/>
            <w:tcBorders>
              <w:top w:val="nil"/>
              <w:bottom w:val="nil"/>
            </w:tcBorders>
            <w:vAlign w:val="center"/>
          </w:tcPr>
          <w:p w14:paraId="23035E1E" w14:textId="77777777" w:rsidR="006A6832" w:rsidRPr="008A2445" w:rsidRDefault="006A6832" w:rsidP="007577DA">
            <w:pPr>
              <w:spacing w:before="40" w:after="40" w:line="288" w:lineRule="auto"/>
              <w:ind w:firstLine="171"/>
              <w:rPr>
                <w:rFonts w:ascii="Arial" w:hAnsi="Arial" w:cs="Arial"/>
                <w:sz w:val="20"/>
                <w:szCs w:val="20"/>
              </w:rPr>
            </w:pPr>
            <w:r w:rsidRPr="00C67575">
              <w:rPr>
                <w:rFonts w:ascii="Arial" w:hAnsi="Arial" w:cs="Arial"/>
                <w:sz w:val="20"/>
                <w:szCs w:val="20"/>
              </w:rPr>
              <w:t>Footwear</w:t>
            </w:r>
          </w:p>
        </w:tc>
        <w:tc>
          <w:tcPr>
            <w:tcW w:w="1657" w:type="dxa"/>
            <w:tcBorders>
              <w:top w:val="nil"/>
              <w:bottom w:val="nil"/>
            </w:tcBorders>
            <w:vAlign w:val="center"/>
          </w:tcPr>
          <w:p w14:paraId="533E7020" w14:textId="77777777" w:rsidR="006A6832" w:rsidRDefault="006A6832" w:rsidP="007577DA">
            <w:pPr>
              <w:spacing w:before="40" w:after="40" w:line="288" w:lineRule="auto"/>
              <w:ind w:right="317"/>
              <w:jc w:val="right"/>
              <w:rPr>
                <w:rFonts w:ascii="Arial" w:hAnsi="Arial" w:cs="Arial"/>
                <w:sz w:val="20"/>
                <w:szCs w:val="20"/>
              </w:rPr>
            </w:pPr>
            <w:r w:rsidRPr="006728A8">
              <w:rPr>
                <w:rFonts w:ascii="Arial" w:hAnsi="Arial" w:cs="Arial"/>
                <w:sz w:val="20"/>
                <w:szCs w:val="20"/>
              </w:rPr>
              <w:t>8</w:t>
            </w:r>
            <w:r>
              <w:rPr>
                <w:rFonts w:ascii="Arial" w:hAnsi="Arial" w:cs="Arial"/>
                <w:sz w:val="20"/>
                <w:szCs w:val="20"/>
                <w:lang w:val="en-US"/>
              </w:rPr>
              <w:t>,</w:t>
            </w:r>
            <w:r w:rsidRPr="006728A8">
              <w:rPr>
                <w:rFonts w:ascii="Arial" w:hAnsi="Arial" w:cs="Arial"/>
                <w:sz w:val="20"/>
                <w:szCs w:val="20"/>
              </w:rPr>
              <w:t>639</w:t>
            </w:r>
          </w:p>
        </w:tc>
        <w:tc>
          <w:tcPr>
            <w:tcW w:w="3162" w:type="dxa"/>
            <w:tcBorders>
              <w:top w:val="nil"/>
              <w:bottom w:val="nil"/>
            </w:tcBorders>
            <w:vAlign w:val="center"/>
          </w:tcPr>
          <w:p w14:paraId="1D60638E" w14:textId="77777777" w:rsidR="006A6832" w:rsidRDefault="006A6832" w:rsidP="007577DA">
            <w:pPr>
              <w:tabs>
                <w:tab w:val="left" w:pos="1735"/>
              </w:tabs>
              <w:spacing w:before="40" w:after="40" w:line="288" w:lineRule="auto"/>
              <w:ind w:right="1063"/>
              <w:jc w:val="right"/>
              <w:rPr>
                <w:rFonts w:ascii="Arial" w:hAnsi="Arial" w:cs="Arial"/>
                <w:sz w:val="20"/>
                <w:szCs w:val="20"/>
              </w:rPr>
            </w:pPr>
            <w:r w:rsidRPr="006728A8">
              <w:rPr>
                <w:rFonts w:ascii="Arial" w:hAnsi="Arial" w:cs="Arial"/>
                <w:sz w:val="20"/>
                <w:szCs w:val="20"/>
              </w:rPr>
              <w:t>7</w:t>
            </w:r>
            <w:r>
              <w:rPr>
                <w:rFonts w:ascii="Arial" w:hAnsi="Arial" w:cs="Arial"/>
                <w:sz w:val="20"/>
                <w:szCs w:val="20"/>
                <w:lang w:val="en-US"/>
              </w:rPr>
              <w:t>.</w:t>
            </w:r>
            <w:r w:rsidRPr="006728A8">
              <w:rPr>
                <w:rFonts w:ascii="Arial" w:hAnsi="Arial" w:cs="Arial"/>
                <w:sz w:val="20"/>
                <w:szCs w:val="20"/>
              </w:rPr>
              <w:t>1</w:t>
            </w:r>
          </w:p>
        </w:tc>
      </w:tr>
      <w:tr w:rsidR="006A6832" w:rsidRPr="008A2445" w14:paraId="47499A95" w14:textId="77777777" w:rsidTr="007577DA">
        <w:trPr>
          <w:trHeight w:val="408"/>
        </w:trPr>
        <w:tc>
          <w:tcPr>
            <w:tcW w:w="4892" w:type="dxa"/>
            <w:tcBorders>
              <w:top w:val="nil"/>
              <w:bottom w:val="nil"/>
            </w:tcBorders>
            <w:vAlign w:val="center"/>
          </w:tcPr>
          <w:p w14:paraId="180F45C1" w14:textId="77777777" w:rsidR="006A6832" w:rsidRPr="00C67575" w:rsidRDefault="006A6832" w:rsidP="007577DA">
            <w:pPr>
              <w:spacing w:before="40" w:after="40" w:line="288" w:lineRule="auto"/>
              <w:ind w:firstLine="171"/>
              <w:rPr>
                <w:rFonts w:ascii="Arial" w:hAnsi="Arial" w:cs="Arial"/>
                <w:sz w:val="20"/>
                <w:szCs w:val="20"/>
              </w:rPr>
            </w:pPr>
            <w:r w:rsidRPr="00B53ABB">
              <w:rPr>
                <w:rFonts w:ascii="Arial" w:hAnsi="Arial" w:cs="Arial"/>
                <w:sz w:val="20"/>
                <w:szCs w:val="20"/>
              </w:rPr>
              <w:t>Wood and products</w:t>
            </w:r>
          </w:p>
        </w:tc>
        <w:tc>
          <w:tcPr>
            <w:tcW w:w="1657" w:type="dxa"/>
            <w:tcBorders>
              <w:top w:val="nil"/>
              <w:bottom w:val="nil"/>
            </w:tcBorders>
            <w:vAlign w:val="center"/>
          </w:tcPr>
          <w:p w14:paraId="1CF3C50C" w14:textId="77777777" w:rsidR="006A6832" w:rsidRPr="00515F01" w:rsidRDefault="006A6832" w:rsidP="007577DA">
            <w:pPr>
              <w:spacing w:before="40" w:after="40" w:line="288" w:lineRule="auto"/>
              <w:ind w:right="317"/>
              <w:jc w:val="right"/>
              <w:rPr>
                <w:rFonts w:ascii="Arial" w:hAnsi="Arial" w:cs="Arial"/>
                <w:sz w:val="20"/>
                <w:szCs w:val="20"/>
              </w:rPr>
            </w:pPr>
            <w:r w:rsidRPr="006728A8">
              <w:rPr>
                <w:rFonts w:ascii="Arial" w:hAnsi="Arial" w:cs="Arial"/>
                <w:sz w:val="20"/>
                <w:szCs w:val="20"/>
              </w:rPr>
              <w:t>6</w:t>
            </w:r>
            <w:r>
              <w:rPr>
                <w:rFonts w:ascii="Arial" w:hAnsi="Arial" w:cs="Arial"/>
                <w:sz w:val="20"/>
                <w:szCs w:val="20"/>
                <w:lang w:val="en-US"/>
              </w:rPr>
              <w:t>,</w:t>
            </w:r>
            <w:r w:rsidRPr="006728A8">
              <w:rPr>
                <w:rFonts w:ascii="Arial" w:hAnsi="Arial" w:cs="Arial"/>
                <w:sz w:val="20"/>
                <w:szCs w:val="20"/>
              </w:rPr>
              <w:t>144</w:t>
            </w:r>
          </w:p>
        </w:tc>
        <w:tc>
          <w:tcPr>
            <w:tcW w:w="3162" w:type="dxa"/>
            <w:tcBorders>
              <w:top w:val="nil"/>
              <w:bottom w:val="nil"/>
            </w:tcBorders>
            <w:vAlign w:val="center"/>
          </w:tcPr>
          <w:p w14:paraId="4EDB1F39" w14:textId="77777777" w:rsidR="006A6832" w:rsidRPr="00515F01" w:rsidRDefault="006A6832" w:rsidP="007577DA">
            <w:pPr>
              <w:tabs>
                <w:tab w:val="left" w:pos="1735"/>
              </w:tabs>
              <w:spacing w:before="40" w:after="40" w:line="288" w:lineRule="auto"/>
              <w:ind w:right="1063"/>
              <w:jc w:val="right"/>
              <w:rPr>
                <w:rFonts w:ascii="Arial" w:hAnsi="Arial" w:cs="Arial"/>
                <w:sz w:val="20"/>
                <w:szCs w:val="20"/>
              </w:rPr>
            </w:pPr>
            <w:r w:rsidRPr="006728A8">
              <w:rPr>
                <w:rFonts w:ascii="Arial" w:hAnsi="Arial" w:cs="Arial"/>
                <w:sz w:val="20"/>
                <w:szCs w:val="20"/>
              </w:rPr>
              <w:t>23</w:t>
            </w:r>
            <w:r>
              <w:rPr>
                <w:rFonts w:ascii="Arial" w:hAnsi="Arial" w:cs="Arial"/>
                <w:sz w:val="20"/>
                <w:szCs w:val="20"/>
                <w:lang w:val="en-US"/>
              </w:rPr>
              <w:t>.</w:t>
            </w:r>
            <w:r w:rsidRPr="006728A8">
              <w:rPr>
                <w:rFonts w:ascii="Arial" w:hAnsi="Arial" w:cs="Arial"/>
                <w:sz w:val="20"/>
                <w:szCs w:val="20"/>
              </w:rPr>
              <w:t>5</w:t>
            </w:r>
          </w:p>
        </w:tc>
      </w:tr>
      <w:tr w:rsidR="006A6832" w:rsidRPr="008A2445" w14:paraId="52ADE128" w14:textId="77777777" w:rsidTr="007577DA">
        <w:trPr>
          <w:trHeight w:val="408"/>
        </w:trPr>
        <w:tc>
          <w:tcPr>
            <w:tcW w:w="4892" w:type="dxa"/>
            <w:tcBorders>
              <w:top w:val="nil"/>
              <w:bottom w:val="single" w:sz="4" w:space="0" w:color="auto"/>
            </w:tcBorders>
            <w:vAlign w:val="center"/>
          </w:tcPr>
          <w:p w14:paraId="6DBC2DE7" w14:textId="77777777" w:rsidR="006A6832" w:rsidRPr="00C67575" w:rsidRDefault="006A6832" w:rsidP="007577DA">
            <w:pPr>
              <w:spacing w:before="40" w:after="40" w:line="288" w:lineRule="auto"/>
              <w:ind w:firstLine="171"/>
              <w:rPr>
                <w:rFonts w:ascii="Arial" w:hAnsi="Arial" w:cs="Arial"/>
                <w:sz w:val="20"/>
                <w:szCs w:val="20"/>
              </w:rPr>
            </w:pPr>
            <w:r w:rsidRPr="00B53ABB">
              <w:rPr>
                <w:rFonts w:ascii="Arial" w:hAnsi="Arial" w:cs="Arial"/>
                <w:sz w:val="20"/>
                <w:szCs w:val="20"/>
              </w:rPr>
              <w:t>Means of transport and components</w:t>
            </w:r>
          </w:p>
        </w:tc>
        <w:tc>
          <w:tcPr>
            <w:tcW w:w="1657" w:type="dxa"/>
            <w:tcBorders>
              <w:top w:val="nil"/>
              <w:bottom w:val="single" w:sz="4" w:space="0" w:color="auto"/>
            </w:tcBorders>
            <w:vAlign w:val="center"/>
          </w:tcPr>
          <w:p w14:paraId="6739E6B5" w14:textId="77777777" w:rsidR="006A6832" w:rsidRPr="00515F01" w:rsidRDefault="006A6832" w:rsidP="007577DA">
            <w:pPr>
              <w:spacing w:before="40" w:after="40" w:line="288" w:lineRule="auto"/>
              <w:ind w:right="317"/>
              <w:jc w:val="right"/>
              <w:rPr>
                <w:rFonts w:ascii="Arial" w:hAnsi="Arial" w:cs="Arial"/>
                <w:sz w:val="20"/>
                <w:szCs w:val="20"/>
              </w:rPr>
            </w:pPr>
            <w:r w:rsidRPr="006728A8">
              <w:rPr>
                <w:rFonts w:ascii="Arial" w:hAnsi="Arial" w:cs="Arial"/>
                <w:sz w:val="20"/>
                <w:szCs w:val="20"/>
              </w:rPr>
              <w:t>6</w:t>
            </w:r>
            <w:r>
              <w:rPr>
                <w:rFonts w:ascii="Arial" w:hAnsi="Arial" w:cs="Arial"/>
                <w:sz w:val="20"/>
                <w:szCs w:val="20"/>
                <w:lang w:val="en-US"/>
              </w:rPr>
              <w:t>,</w:t>
            </w:r>
            <w:r w:rsidRPr="006728A8">
              <w:rPr>
                <w:rFonts w:ascii="Arial" w:hAnsi="Arial" w:cs="Arial"/>
                <w:sz w:val="20"/>
                <w:szCs w:val="20"/>
              </w:rPr>
              <w:t>087</w:t>
            </w:r>
          </w:p>
        </w:tc>
        <w:tc>
          <w:tcPr>
            <w:tcW w:w="3162" w:type="dxa"/>
            <w:tcBorders>
              <w:top w:val="nil"/>
              <w:bottom w:val="single" w:sz="4" w:space="0" w:color="auto"/>
            </w:tcBorders>
            <w:vAlign w:val="center"/>
          </w:tcPr>
          <w:p w14:paraId="3354AE42" w14:textId="77777777" w:rsidR="006A6832" w:rsidRPr="00515F01" w:rsidRDefault="006A6832" w:rsidP="007577DA">
            <w:pPr>
              <w:tabs>
                <w:tab w:val="left" w:pos="1735"/>
              </w:tabs>
              <w:spacing w:before="40" w:after="40" w:line="288" w:lineRule="auto"/>
              <w:ind w:right="1063"/>
              <w:jc w:val="right"/>
              <w:rPr>
                <w:rFonts w:ascii="Arial" w:hAnsi="Arial" w:cs="Arial"/>
                <w:sz w:val="20"/>
                <w:szCs w:val="20"/>
              </w:rPr>
            </w:pPr>
            <w:r w:rsidRPr="006728A8">
              <w:rPr>
                <w:rFonts w:ascii="Arial" w:hAnsi="Arial" w:cs="Arial"/>
                <w:sz w:val="20"/>
                <w:szCs w:val="20"/>
              </w:rPr>
              <w:t>3</w:t>
            </w:r>
            <w:r>
              <w:rPr>
                <w:rFonts w:ascii="Arial" w:hAnsi="Arial" w:cs="Arial"/>
                <w:sz w:val="20"/>
                <w:szCs w:val="20"/>
                <w:lang w:val="en-US"/>
              </w:rPr>
              <w:t>.</w:t>
            </w:r>
            <w:r w:rsidRPr="006728A8">
              <w:rPr>
                <w:rFonts w:ascii="Arial" w:hAnsi="Arial" w:cs="Arial"/>
                <w:sz w:val="20"/>
                <w:szCs w:val="20"/>
              </w:rPr>
              <w:t>8</w:t>
            </w:r>
          </w:p>
        </w:tc>
      </w:tr>
    </w:tbl>
    <w:p w14:paraId="73A3AACC" w14:textId="77777777" w:rsidR="006A6832" w:rsidRDefault="006A6832" w:rsidP="006A6832">
      <w:pPr>
        <w:tabs>
          <w:tab w:val="num" w:pos="0"/>
          <w:tab w:val="left" w:pos="9475"/>
        </w:tabs>
        <w:spacing w:beforeLines="40" w:before="96" w:afterLines="40" w:after="96" w:line="264" w:lineRule="auto"/>
        <w:ind w:right="119" w:firstLine="567"/>
        <w:jc w:val="right"/>
        <w:rPr>
          <w:rFonts w:ascii="Arial" w:hAnsi="Arial" w:cs="Arial"/>
          <w:b/>
          <w:bCs/>
          <w:i/>
          <w:iCs/>
          <w:sz w:val="2"/>
          <w:szCs w:val="20"/>
          <w:lang w:val="es-NI"/>
        </w:rPr>
      </w:pPr>
    </w:p>
    <w:p w14:paraId="68DC4A32" w14:textId="77777777" w:rsidR="006A6832" w:rsidRDefault="006A6832" w:rsidP="006A6832">
      <w:pPr>
        <w:spacing w:beforeLines="40" w:before="96" w:afterLines="40" w:after="96" w:line="264" w:lineRule="auto"/>
        <w:jc w:val="both"/>
        <w:rPr>
          <w:rFonts w:eastAsia="Batang"/>
          <w:bCs/>
          <w:iCs/>
          <w:lang w:val="en-GB"/>
        </w:rPr>
      </w:pPr>
      <w:r>
        <w:rPr>
          <w:rFonts w:ascii="Calibri" w:hAnsi="Calibri" w:cs="Calibri"/>
          <w:noProof/>
          <w:sz w:val="22"/>
          <w:szCs w:val="22"/>
        </w:rPr>
        <mc:AlternateContent>
          <mc:Choice Requires="wps">
            <w:drawing>
              <wp:anchor distT="0" distB="0" distL="114300" distR="114300" simplePos="0" relativeHeight="251661312" behindDoc="0" locked="0" layoutInCell="1" allowOverlap="1" wp14:anchorId="6BC165E4" wp14:editId="756EC686">
                <wp:simplePos x="0" y="0"/>
                <wp:positionH relativeFrom="column">
                  <wp:posOffset>24130</wp:posOffset>
                </wp:positionH>
                <wp:positionV relativeFrom="paragraph">
                  <wp:posOffset>67945</wp:posOffset>
                </wp:positionV>
                <wp:extent cx="3476625" cy="2435860"/>
                <wp:effectExtent l="0" t="0" r="9525" b="2540"/>
                <wp:wrapSquare wrapText="bothSides"/>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2435860"/>
                        </a:xfrm>
                        <a:prstGeom prst="rect">
                          <a:avLst/>
                        </a:prstGeom>
                        <a:solidFill>
                          <a:srgbClr val="FFFFFF"/>
                        </a:solidFill>
                        <a:ln w="9525">
                          <a:noFill/>
                          <a:miter lim="800000"/>
                          <a:headEnd/>
                          <a:tailEnd/>
                        </a:ln>
                      </wps:spPr>
                      <wps:txbx>
                        <w:txbxContent>
                          <w:p w14:paraId="69222C57" w14:textId="77777777" w:rsidR="006A6832" w:rsidRPr="004B4D22" w:rsidRDefault="006A6832" w:rsidP="006A6832">
                            <w:pPr>
                              <w:spacing w:before="120"/>
                              <w:jc w:val="center"/>
                              <w:rPr>
                                <w:rFonts w:ascii="Arial" w:hAnsi="Arial" w:cs="Arial"/>
                                <w:b/>
                                <w:bCs/>
                                <w:sz w:val="24"/>
                                <w:szCs w:val="24"/>
                              </w:rPr>
                            </w:pPr>
                            <w:r w:rsidRPr="004B4D22">
                              <w:rPr>
                                <w:rFonts w:ascii="Arial" w:hAnsi="Arial" w:cs="Arial"/>
                                <w:b/>
                                <w:bCs/>
                                <w:sz w:val="24"/>
                                <w:szCs w:val="24"/>
                              </w:rPr>
                              <w:t>Figure 13. Structure of exported groups</w:t>
                            </w:r>
                          </w:p>
                          <w:p w14:paraId="5F0BE8CF" w14:textId="77777777" w:rsidR="006A6832" w:rsidRPr="004B4D22" w:rsidRDefault="006A6832" w:rsidP="006A6832">
                            <w:pPr>
                              <w:spacing w:after="160"/>
                              <w:jc w:val="center"/>
                              <w:rPr>
                                <w:rFonts w:ascii="Arial" w:hAnsi="Arial" w:cs="Arial"/>
                                <w:b/>
                                <w:bCs/>
                                <w:sz w:val="24"/>
                                <w:szCs w:val="24"/>
                              </w:rPr>
                            </w:pPr>
                            <w:r w:rsidRPr="004B4D22">
                              <w:rPr>
                                <w:rFonts w:ascii="Arial" w:hAnsi="Arial" w:cs="Arial"/>
                                <w:b/>
                                <w:bCs/>
                                <w:sz w:val="24"/>
                                <w:szCs w:val="24"/>
                              </w:rPr>
                              <w:t xml:space="preserve">in the first </w:t>
                            </w:r>
                            <w:r>
                              <w:rPr>
                                <w:rFonts w:ascii="Arial" w:hAnsi="Arial" w:cs="Arial"/>
                                <w:b/>
                                <w:bCs/>
                                <w:sz w:val="24"/>
                                <w:szCs w:val="24"/>
                              </w:rPr>
                              <w:t>5 months</w:t>
                            </w:r>
                            <w:r w:rsidRPr="004B4D22">
                              <w:rPr>
                                <w:rFonts w:ascii="Arial" w:hAnsi="Arial" w:cs="Arial"/>
                                <w:b/>
                                <w:bCs/>
                                <w:sz w:val="24"/>
                                <w:szCs w:val="24"/>
                              </w:rPr>
                              <w:t xml:space="preserve"> of 2024</w:t>
                            </w:r>
                          </w:p>
                          <w:p w14:paraId="66EF39EB" w14:textId="77777777" w:rsidR="006A6832" w:rsidRDefault="006A6832" w:rsidP="006A6832">
                            <w:pPr>
                              <w:ind w:left="-142"/>
                              <w:jc w:val="center"/>
                              <w:rPr>
                                <w:rFonts w:ascii="Arial" w:hAnsi="Arial" w:cs="Arial"/>
                                <w:sz w:val="24"/>
                                <w:szCs w:val="24"/>
                              </w:rPr>
                            </w:pPr>
                            <w:r w:rsidRPr="00B53ABB">
                              <w:rPr>
                                <w:noProof/>
                              </w:rPr>
                              <w:drawing>
                                <wp:inline distT="0" distB="0" distL="0" distR="0" wp14:anchorId="1732D22D" wp14:editId="13B5C1E6">
                                  <wp:extent cx="3395345" cy="1708150"/>
                                  <wp:effectExtent l="0" t="0" r="0" b="6350"/>
                                  <wp:docPr id="1967918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95345" cy="1708150"/>
                                          </a:xfrm>
                                          <a:prstGeom prst="rect">
                                            <a:avLst/>
                                          </a:prstGeom>
                                          <a:noFill/>
                                          <a:ln>
                                            <a:noFill/>
                                          </a:ln>
                                        </pic:spPr>
                                      </pic:pic>
                                    </a:graphicData>
                                  </a:graphic>
                                </wp:inline>
                              </w:drawing>
                            </w:r>
                          </w:p>
                        </w:txbxContent>
                      </wps:txbx>
                      <wps:bodyPr rot="0" vertOverflow="clip" horzOverflow="clip"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w:pict>
              <v:shapetype w14:anchorId="6BC165E4" id="_x0000_t202" coordsize="21600,21600" o:spt="202" path="m,l,21600r21600,l21600,xe">
                <v:stroke joinstyle="miter"/>
                <v:path gradientshapeok="t" o:connecttype="rect"/>
              </v:shapetype>
              <v:shape id="Text Box 11" o:spid="_x0000_s1026" type="#_x0000_t202" style="position:absolute;left:0;text-align:left;margin-left:1.9pt;margin-top:5.35pt;width:273.75pt;height:19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" stroked="f">
                <v:textbox inset="1mm,1mm,1mm,1mm">
                  <w:txbxContent>
                    <w:p w14:paraId="69222C57" w14:textId="77777777" w:rsidR="006A6832" w:rsidRPr="004B4D22" w:rsidRDefault="006A6832" w:rsidP="006A6832">
                      <w:pPr>
                        <w:spacing w:before="120"/>
                        <w:jc w:val="center"/>
                        <w:rPr>
                          <w:rFonts w:ascii="Arial" w:hAnsi="Arial" w:cs="Arial"/>
                          <w:b/>
                          <w:bCs/>
                          <w:sz w:val="24"/>
                          <w:szCs w:val="24"/>
                        </w:rPr>
                      </w:pPr>
                      <w:r w:rsidRPr="004B4D22">
                        <w:rPr>
                          <w:rFonts w:ascii="Arial" w:hAnsi="Arial" w:cs="Arial"/>
                          <w:b/>
                          <w:bCs/>
                          <w:sz w:val="24"/>
                          <w:szCs w:val="24"/>
                        </w:rPr>
                        <w:t>Figure 13. Structure of exported groups</w:t>
                      </w:r>
                    </w:p>
                    <w:p w14:paraId="5F0BE8CF" w14:textId="77777777" w:rsidR="006A6832" w:rsidRPr="004B4D22" w:rsidRDefault="006A6832" w:rsidP="006A6832">
                      <w:pPr>
                        <w:spacing w:after="160"/>
                        <w:jc w:val="center"/>
                        <w:rPr>
                          <w:rFonts w:ascii="Arial" w:hAnsi="Arial" w:cs="Arial"/>
                          <w:b/>
                          <w:bCs/>
                          <w:sz w:val="24"/>
                          <w:szCs w:val="24"/>
                        </w:rPr>
                      </w:pPr>
                      <w:r w:rsidRPr="004B4D22">
                        <w:rPr>
                          <w:rFonts w:ascii="Arial" w:hAnsi="Arial" w:cs="Arial"/>
                          <w:b/>
                          <w:bCs/>
                          <w:sz w:val="24"/>
                          <w:szCs w:val="24"/>
                        </w:rPr>
                        <w:t xml:space="preserve">in the first </w:t>
                      </w:r>
                      <w:r>
                        <w:rPr>
                          <w:rFonts w:ascii="Arial" w:hAnsi="Arial" w:cs="Arial"/>
                          <w:b/>
                          <w:bCs/>
                          <w:sz w:val="24"/>
                          <w:szCs w:val="24"/>
                        </w:rPr>
                        <w:t>5 months</w:t>
                      </w:r>
                      <w:r w:rsidRPr="004B4D22">
                        <w:rPr>
                          <w:rFonts w:ascii="Arial" w:hAnsi="Arial" w:cs="Arial"/>
                          <w:b/>
                          <w:bCs/>
                          <w:sz w:val="24"/>
                          <w:szCs w:val="24"/>
                        </w:rPr>
                        <w:t xml:space="preserve"> of 2024</w:t>
                      </w:r>
                    </w:p>
                    <w:p w14:paraId="66EF39EB" w14:textId="77777777" w:rsidR="006A6832" w:rsidRDefault="006A6832" w:rsidP="006A6832">
                      <w:pPr>
                        <w:ind w:left="-142"/>
                        <w:jc w:val="center"/>
                        <w:rPr>
                          <w:rFonts w:ascii="Arial" w:hAnsi="Arial" w:cs="Arial"/>
                          <w:sz w:val="24"/>
                          <w:szCs w:val="24"/>
                        </w:rPr>
                      </w:pPr>
                      <w:r w:rsidRPr="00B53ABB">
                        <w:rPr>
                          <w:noProof/>
                        </w:rPr>
                        <w:drawing>
                          <wp:inline distT="0" distB="0" distL="0" distR="0" wp14:anchorId="1732D22D" wp14:editId="13B5C1E6">
                            <wp:extent cx="3395345" cy="1708150"/>
                            <wp:effectExtent l="0" t="0" r="0" b="6350"/>
                            <wp:docPr id="1967918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95345" cy="1708150"/>
                                    </a:xfrm>
                                    <a:prstGeom prst="rect">
                                      <a:avLst/>
                                    </a:prstGeom>
                                    <a:noFill/>
                                    <a:ln>
                                      <a:noFill/>
                                    </a:ln>
                                  </pic:spPr>
                                </pic:pic>
                              </a:graphicData>
                            </a:graphic>
                          </wp:inline>
                        </w:drawing>
                      </w:r>
                    </w:p>
                  </w:txbxContent>
                </v:textbox>
                <w10:wrap type="square"/>
              </v:shape>
            </w:pict>
          </mc:Fallback>
        </mc:AlternateContent>
      </w:r>
      <w:r>
        <w:rPr>
          <w:rFonts w:eastAsia="Batang"/>
          <w:bCs/>
          <w:i/>
          <w:iCs/>
          <w:noProof/>
        </w:rPr>
        <w:t>Regarding the structure of exported groups in</w:t>
      </w:r>
      <w:r>
        <w:rPr>
          <w:rFonts w:eastAsia="Batang"/>
          <w:bCs/>
          <w:i/>
          <w:noProof/>
        </w:rPr>
        <w:t xml:space="preserve"> the first five months of 2024, </w:t>
      </w:r>
      <w:r>
        <w:rPr>
          <w:rFonts w:eastAsia="Batang"/>
          <w:bCs/>
          <w:iCs/>
          <w:noProof/>
        </w:rPr>
        <w:t xml:space="preserve">the group of fuels and minerals was estimated at 2.06 billion USD, accounting for </w:t>
      </w:r>
      <w:r>
        <w:rPr>
          <w:rFonts w:eastAsia="Batang"/>
          <w:bCs/>
          <w:iCs/>
          <w:noProof/>
          <w:lang w:val="vi-VN"/>
        </w:rPr>
        <w:t>1</w:t>
      </w:r>
      <w:r>
        <w:rPr>
          <w:rFonts w:eastAsia="Batang"/>
          <w:bCs/>
          <w:iCs/>
          <w:noProof/>
        </w:rPr>
        <w:t xml:space="preserve">.3%; the group of processing industry was estimated at 137.39 billion USD, accounting for </w:t>
      </w:r>
      <w:r>
        <w:rPr>
          <w:rFonts w:eastAsia="Batang"/>
          <w:bCs/>
          <w:iCs/>
          <w:noProof/>
          <w:lang w:val="vi-VN"/>
        </w:rPr>
        <w:t>8</w:t>
      </w:r>
      <w:r>
        <w:rPr>
          <w:rFonts w:eastAsia="Batang"/>
          <w:bCs/>
          <w:iCs/>
          <w:noProof/>
        </w:rPr>
        <w:t>7.7%;  agricultural and forestry products was estimated at 13.82 billion USD, accounting for 8.8%; the group of fishery products was estimated at 3.5 billion USD, accounting for 2.2%.</w:t>
      </w:r>
    </w:p>
    <w:p w14:paraId="66174431" w14:textId="77777777" w:rsidR="006A6832" w:rsidRDefault="006A6832" w:rsidP="006A6832">
      <w:pPr>
        <w:tabs>
          <w:tab w:val="left" w:pos="900"/>
          <w:tab w:val="left" w:pos="9475"/>
        </w:tabs>
        <w:spacing w:beforeLines="40" w:before="96" w:afterLines="40" w:after="96" w:line="264" w:lineRule="auto"/>
        <w:ind w:right="6" w:firstLine="567"/>
        <w:jc w:val="both"/>
        <w:rPr>
          <w:rStyle w:val="Strong"/>
          <w:rFonts w:eastAsia="Calibri"/>
          <w:i/>
          <w:sz w:val="2"/>
          <w:lang w:val="de-DE"/>
        </w:rPr>
      </w:pPr>
    </w:p>
    <w:p w14:paraId="259FF873" w14:textId="77777777" w:rsidR="006A6832" w:rsidRDefault="006A6832" w:rsidP="006A6832">
      <w:pPr>
        <w:tabs>
          <w:tab w:val="num" w:pos="0"/>
          <w:tab w:val="left" w:pos="9475"/>
        </w:tabs>
        <w:spacing w:beforeLines="40" w:before="96" w:afterLines="40" w:after="96" w:line="259" w:lineRule="auto"/>
        <w:ind w:right="6" w:firstLine="567"/>
        <w:jc w:val="both"/>
        <w:rPr>
          <w:rStyle w:val="Strong"/>
          <w:rFonts w:eastAsia="Calibri"/>
          <w:i/>
          <w:iCs/>
          <w:lang w:val="de-DE"/>
        </w:rPr>
      </w:pPr>
      <w:r>
        <w:rPr>
          <w:rStyle w:val="Strong"/>
          <w:rFonts w:eastAsia="Calibri"/>
          <w:i/>
          <w:iCs/>
          <w:lang w:val="de-DE"/>
        </w:rPr>
        <w:t>Import of goods</w:t>
      </w:r>
    </w:p>
    <w:p w14:paraId="050B15CB" w14:textId="77777777" w:rsidR="006A6832" w:rsidRDefault="006A6832" w:rsidP="006A6832">
      <w:pPr>
        <w:tabs>
          <w:tab w:val="num" w:pos="0"/>
          <w:tab w:val="left" w:pos="9475"/>
        </w:tabs>
        <w:spacing w:beforeLines="40" w:before="96" w:afterLines="40" w:after="96" w:line="259" w:lineRule="auto"/>
        <w:ind w:right="6" w:firstLine="567"/>
        <w:jc w:val="both"/>
      </w:pPr>
      <w:r>
        <w:rPr>
          <w:bCs/>
        </w:rPr>
        <w:t xml:space="preserve">Preliminary import turnover of goods </w:t>
      </w:r>
      <w:r>
        <w:rPr>
          <w:bCs/>
          <w:lang w:val="de-DE"/>
        </w:rPr>
        <w:t>in 4/2024 reached 29.99 billion USD, 273 million USD lower than the estimate figure.</w:t>
      </w:r>
    </w:p>
    <w:p w14:paraId="154FC133" w14:textId="77777777" w:rsidR="006A6832" w:rsidRPr="004B4D22" w:rsidRDefault="006A6832" w:rsidP="006A6832">
      <w:pPr>
        <w:tabs>
          <w:tab w:val="num" w:pos="0"/>
          <w:tab w:val="left" w:pos="9475"/>
        </w:tabs>
        <w:spacing w:beforeLines="40" w:before="96" w:afterLines="40" w:after="96" w:line="259" w:lineRule="auto"/>
        <w:ind w:right="6" w:firstLine="567"/>
        <w:jc w:val="both"/>
        <w:rPr>
          <w:bCs/>
          <w:spacing w:val="-2"/>
        </w:rPr>
      </w:pPr>
      <w:r w:rsidRPr="004B4D22">
        <w:rPr>
          <w:bCs/>
          <w:i/>
          <w:iCs/>
          <w:spacing w:val="-2"/>
          <w:lang w:val="de-DE"/>
        </w:rPr>
        <w:t xml:space="preserve">Import turnover in </w:t>
      </w:r>
      <w:r>
        <w:rPr>
          <w:bCs/>
          <w:i/>
          <w:iCs/>
          <w:spacing w:val="-2"/>
          <w:lang w:val="de-DE"/>
        </w:rPr>
        <w:t>5/2024</w:t>
      </w:r>
      <w:r w:rsidRPr="004B4D22">
        <w:rPr>
          <w:bCs/>
          <w:i/>
          <w:iCs/>
          <w:spacing w:val="-2"/>
          <w:lang w:val="de-DE"/>
        </w:rPr>
        <w:t xml:space="preserve"> </w:t>
      </w:r>
      <w:r w:rsidRPr="004B4D22">
        <w:rPr>
          <w:bCs/>
          <w:spacing w:val="-2"/>
        </w:rPr>
        <w:t xml:space="preserve">was estimated at </w:t>
      </w:r>
      <w:r>
        <w:rPr>
          <w:bCs/>
          <w:spacing w:val="-2"/>
        </w:rPr>
        <w:t>33.81</w:t>
      </w:r>
      <w:r w:rsidRPr="004B4D22">
        <w:rPr>
          <w:bCs/>
          <w:spacing w:val="-2"/>
        </w:rPr>
        <w:t xml:space="preserve"> billion USD, </w:t>
      </w:r>
      <w:r>
        <w:rPr>
          <w:bCs/>
          <w:spacing w:val="-2"/>
        </w:rPr>
        <w:t>in</w:t>
      </w:r>
      <w:r w:rsidRPr="004B4D22">
        <w:rPr>
          <w:bCs/>
          <w:spacing w:val="-2"/>
        </w:rPr>
        <w:t xml:space="preserve">creased by </w:t>
      </w:r>
      <w:r>
        <w:rPr>
          <w:bCs/>
          <w:spacing w:val="-2"/>
        </w:rPr>
        <w:t>12.8</w:t>
      </w:r>
      <w:r w:rsidRPr="004B4D22">
        <w:rPr>
          <w:bCs/>
          <w:spacing w:val="-2"/>
        </w:rPr>
        <w:t xml:space="preserve">% over the previous month. Of which the domestic economic sector gained </w:t>
      </w:r>
      <w:r>
        <w:rPr>
          <w:bCs/>
          <w:spacing w:val="-2"/>
        </w:rPr>
        <w:t xml:space="preserve">12.81 </w:t>
      </w:r>
      <w:r w:rsidRPr="004B4D22">
        <w:rPr>
          <w:bCs/>
          <w:spacing w:val="-2"/>
        </w:rPr>
        <w:t xml:space="preserve">billion USD, </w:t>
      </w:r>
      <w:r>
        <w:rPr>
          <w:bCs/>
          <w:spacing w:val="-2"/>
        </w:rPr>
        <w:t>in</w:t>
      </w:r>
      <w:r w:rsidRPr="004B4D22">
        <w:rPr>
          <w:bCs/>
          <w:spacing w:val="-2"/>
        </w:rPr>
        <w:t xml:space="preserve">creased by </w:t>
      </w:r>
      <w:r>
        <w:rPr>
          <w:bCs/>
          <w:spacing w:val="-2"/>
        </w:rPr>
        <w:t>11.2</w:t>
      </w:r>
      <w:r w:rsidRPr="004B4D22">
        <w:rPr>
          <w:bCs/>
          <w:spacing w:val="-2"/>
        </w:rPr>
        <w:t xml:space="preserve">%; the FDI sector reached </w:t>
      </w:r>
      <w:r>
        <w:rPr>
          <w:bCs/>
          <w:spacing w:val="-2"/>
        </w:rPr>
        <w:t>21.0</w:t>
      </w:r>
      <w:r w:rsidRPr="004B4D22">
        <w:rPr>
          <w:bCs/>
          <w:spacing w:val="-2"/>
        </w:rPr>
        <w:t xml:space="preserve"> billion USD, </w:t>
      </w:r>
      <w:r>
        <w:rPr>
          <w:bCs/>
          <w:spacing w:val="-2"/>
        </w:rPr>
        <w:t>in</w:t>
      </w:r>
      <w:r w:rsidRPr="004B4D22">
        <w:rPr>
          <w:bCs/>
          <w:spacing w:val="-2"/>
        </w:rPr>
        <w:t xml:space="preserve">creased by </w:t>
      </w:r>
      <w:r>
        <w:rPr>
          <w:bCs/>
          <w:spacing w:val="-2"/>
        </w:rPr>
        <w:t>13.7</w:t>
      </w:r>
      <w:r w:rsidRPr="004B4D22">
        <w:rPr>
          <w:bCs/>
          <w:spacing w:val="-2"/>
        </w:rPr>
        <w:t xml:space="preserve">%. Compared to the same period last year, the import turnover of goods in </w:t>
      </w:r>
      <w:r>
        <w:rPr>
          <w:bCs/>
          <w:spacing w:val="-2"/>
        </w:rPr>
        <w:t>May</w:t>
      </w:r>
      <w:r w:rsidRPr="004B4D22">
        <w:rPr>
          <w:bCs/>
          <w:spacing w:val="-2"/>
        </w:rPr>
        <w:t xml:space="preserve"> increased by </w:t>
      </w:r>
      <w:r>
        <w:rPr>
          <w:bCs/>
          <w:spacing w:val="-2"/>
        </w:rPr>
        <w:t>29.9</w:t>
      </w:r>
      <w:r w:rsidRPr="004B4D22">
        <w:rPr>
          <w:bCs/>
          <w:spacing w:val="-2"/>
        </w:rPr>
        <w:t xml:space="preserve">%, of which the domestic economic sector increased by </w:t>
      </w:r>
      <w:r>
        <w:rPr>
          <w:bCs/>
          <w:spacing w:val="-2"/>
        </w:rPr>
        <w:t>38.2</w:t>
      </w:r>
      <w:r w:rsidRPr="004B4D22">
        <w:rPr>
          <w:bCs/>
          <w:spacing w:val="-2"/>
        </w:rPr>
        <w:t xml:space="preserve">%; the FDI sector </w:t>
      </w:r>
      <w:r>
        <w:rPr>
          <w:bCs/>
          <w:spacing w:val="-2"/>
        </w:rPr>
        <w:t>in</w:t>
      </w:r>
      <w:r w:rsidRPr="004B4D22">
        <w:rPr>
          <w:bCs/>
          <w:spacing w:val="-2"/>
        </w:rPr>
        <w:t xml:space="preserve">creased by </w:t>
      </w:r>
      <w:r>
        <w:rPr>
          <w:bCs/>
          <w:spacing w:val="-2"/>
        </w:rPr>
        <w:t>25.3</w:t>
      </w:r>
      <w:r w:rsidRPr="004B4D22">
        <w:rPr>
          <w:bCs/>
          <w:spacing w:val="-2"/>
        </w:rPr>
        <w:t>%.</w:t>
      </w:r>
      <w:r w:rsidRPr="004B4D22">
        <w:rPr>
          <w:spacing w:val="-2"/>
          <w:lang w:val="de-DE"/>
        </w:rPr>
        <w:t xml:space="preserve"> </w:t>
      </w:r>
    </w:p>
    <w:p w14:paraId="2FB37AB3" w14:textId="77777777" w:rsidR="006A6832" w:rsidRDefault="006A6832" w:rsidP="006A6832">
      <w:pPr>
        <w:tabs>
          <w:tab w:val="num" w:pos="0"/>
          <w:tab w:val="left" w:pos="9475"/>
        </w:tabs>
        <w:spacing w:beforeLines="40" w:before="96" w:afterLines="40" w:after="96" w:line="259" w:lineRule="auto"/>
        <w:ind w:right="6" w:firstLine="567"/>
        <w:jc w:val="both"/>
        <w:rPr>
          <w:bCs/>
          <w:lang w:val="de-DE"/>
        </w:rPr>
      </w:pPr>
      <w:proofErr w:type="gramStart"/>
      <w:r>
        <w:rPr>
          <w:i/>
          <w:iCs/>
        </w:rPr>
        <w:t>Generally</w:t>
      </w:r>
      <w:proofErr w:type="gramEnd"/>
      <w:r>
        <w:rPr>
          <w:i/>
          <w:iCs/>
        </w:rPr>
        <w:t xml:space="preserve"> in</w:t>
      </w:r>
      <w:r>
        <w:rPr>
          <w:i/>
          <w:iCs/>
          <w:lang w:val="de-DE"/>
        </w:rPr>
        <w:t xml:space="preserve"> the first five months of 2024</w:t>
      </w:r>
      <w:r>
        <w:rPr>
          <w:lang w:val="de-DE"/>
        </w:rPr>
        <w:t xml:space="preserve">, </w:t>
      </w:r>
      <w:r>
        <w:t>the import turnover was estimated at 148.76 billion</w:t>
      </w:r>
      <w:r>
        <w:rPr>
          <w:bCs/>
        </w:rPr>
        <w:t xml:space="preserve"> USD,</w:t>
      </w:r>
      <w:r>
        <w:t xml:space="preserve"> increased by 18.2% over </w:t>
      </w:r>
      <w:r>
        <w:rPr>
          <w:bCs/>
        </w:rPr>
        <w:t>the same period last year</w:t>
      </w:r>
      <w:r>
        <w:t>. Of which the domestic economic sector reached 54.95 billion</w:t>
      </w:r>
      <w:r>
        <w:rPr>
          <w:bCs/>
        </w:rPr>
        <w:t xml:space="preserve"> USD,</w:t>
      </w:r>
      <w:r>
        <w:t xml:space="preserve"> went up 24.2%; the FDI sector gained 93.81 billion USD, up 14.9%.</w:t>
      </w:r>
      <w:r>
        <w:rPr>
          <w:bCs/>
          <w:lang w:val="de-DE"/>
        </w:rPr>
        <w:t xml:space="preserve"> </w:t>
      </w:r>
    </w:p>
    <w:p w14:paraId="1376EF36" w14:textId="77777777" w:rsidR="006A6832" w:rsidRPr="004B4D22" w:rsidRDefault="006A6832" w:rsidP="006A6832">
      <w:pPr>
        <w:tabs>
          <w:tab w:val="left" w:pos="9475"/>
        </w:tabs>
        <w:spacing w:beforeLines="40" w:before="96" w:afterLines="40" w:after="96" w:line="259" w:lineRule="auto"/>
        <w:ind w:right="6" w:firstLine="567"/>
        <w:jc w:val="both"/>
        <w:rPr>
          <w:spacing w:val="-2"/>
        </w:rPr>
      </w:pPr>
      <w:r w:rsidRPr="004B4D22">
        <w:rPr>
          <w:i/>
          <w:iCs/>
          <w:spacing w:val="-2"/>
        </w:rPr>
        <w:t xml:space="preserve">In </w:t>
      </w:r>
      <w:r>
        <w:rPr>
          <w:i/>
          <w:iCs/>
          <w:spacing w:val="-2"/>
        </w:rPr>
        <w:t xml:space="preserve">the first five months </w:t>
      </w:r>
      <w:r w:rsidRPr="004B4D22">
        <w:rPr>
          <w:i/>
          <w:iCs/>
          <w:spacing w:val="-2"/>
        </w:rPr>
        <w:t>of 2024</w:t>
      </w:r>
      <w:r w:rsidRPr="004B4D22">
        <w:rPr>
          <w:spacing w:val="-2"/>
        </w:rPr>
        <w:t xml:space="preserve">, there are </w:t>
      </w:r>
      <w:r>
        <w:rPr>
          <w:spacing w:val="-2"/>
        </w:rPr>
        <w:t>27</w:t>
      </w:r>
      <w:r w:rsidRPr="004B4D22">
        <w:rPr>
          <w:spacing w:val="-2"/>
        </w:rPr>
        <w:t xml:space="preserve"> imported products with a turnover of over 1 billion USD, accounting for </w:t>
      </w:r>
      <w:r>
        <w:rPr>
          <w:spacing w:val="-2"/>
        </w:rPr>
        <w:t>84.5</w:t>
      </w:r>
      <w:r w:rsidRPr="004B4D22">
        <w:rPr>
          <w:spacing w:val="-2"/>
        </w:rPr>
        <w:t>% of total import turnover (</w:t>
      </w:r>
      <w:r>
        <w:rPr>
          <w:spacing w:val="-2"/>
        </w:rPr>
        <w:t>4</w:t>
      </w:r>
      <w:r w:rsidRPr="004B4D22">
        <w:rPr>
          <w:spacing w:val="-2"/>
        </w:rPr>
        <w:t xml:space="preserve"> products with import turnover of over </w:t>
      </w:r>
      <w:r>
        <w:rPr>
          <w:spacing w:val="-2"/>
        </w:rPr>
        <w:t>5</w:t>
      </w:r>
      <w:r w:rsidRPr="004B4D22">
        <w:rPr>
          <w:spacing w:val="-2"/>
        </w:rPr>
        <w:t xml:space="preserve"> billion USD, accounting for </w:t>
      </w:r>
      <w:r>
        <w:rPr>
          <w:spacing w:val="-2"/>
        </w:rPr>
        <w:t>47.0</w:t>
      </w:r>
      <w:r w:rsidRPr="004B4D22">
        <w:rPr>
          <w:spacing w:val="-2"/>
        </w:rPr>
        <w:t xml:space="preserve">%). </w:t>
      </w:r>
    </w:p>
    <w:p w14:paraId="54C39759" w14:textId="77777777" w:rsidR="006A6832" w:rsidRDefault="006A6832" w:rsidP="006A6832">
      <w:pPr>
        <w:tabs>
          <w:tab w:val="left" w:pos="9475"/>
        </w:tabs>
        <w:spacing w:beforeLines="40" w:before="96" w:afterLines="40" w:after="96" w:line="264" w:lineRule="auto"/>
        <w:ind w:right="6" w:firstLine="567"/>
        <w:jc w:val="center"/>
        <w:rPr>
          <w:rFonts w:ascii="Arial" w:hAnsi="Arial" w:cs="Arial"/>
          <w:b/>
          <w:sz w:val="24"/>
          <w:szCs w:val="20"/>
          <w:lang w:val="pl-PL"/>
        </w:rPr>
      </w:pPr>
      <w:r>
        <w:rPr>
          <w:rFonts w:ascii="Arial" w:hAnsi="Arial" w:cs="Arial"/>
          <w:b/>
          <w:sz w:val="24"/>
          <w:szCs w:val="20"/>
          <w:lang w:val="pl-PL"/>
        </w:rPr>
        <w:lastRenderedPageBreak/>
        <w:t>Table 5. Value of some imported goods in the first 5 months of 2024</w:t>
      </w:r>
    </w:p>
    <w:tbl>
      <w:tblPr>
        <w:tblW w:w="9393" w:type="dxa"/>
        <w:tblLook w:val="04A0" w:firstRow="1" w:lastRow="0" w:firstColumn="1" w:lastColumn="0" w:noHBand="0" w:noVBand="1"/>
      </w:tblPr>
      <w:tblGrid>
        <w:gridCol w:w="276"/>
        <w:gridCol w:w="4209"/>
        <w:gridCol w:w="1963"/>
        <w:gridCol w:w="2945"/>
      </w:tblGrid>
      <w:tr w:rsidR="006A6832" w:rsidRPr="008A2445" w14:paraId="0534B569" w14:textId="77777777" w:rsidTr="007577DA">
        <w:trPr>
          <w:trHeight w:val="317"/>
        </w:trPr>
        <w:tc>
          <w:tcPr>
            <w:tcW w:w="276" w:type="dxa"/>
            <w:tcBorders>
              <w:top w:val="single" w:sz="4" w:space="0" w:color="auto"/>
              <w:left w:val="nil"/>
              <w:bottom w:val="nil"/>
              <w:right w:val="nil"/>
            </w:tcBorders>
            <w:shd w:val="clear" w:color="auto" w:fill="auto"/>
            <w:noWrap/>
            <w:vAlign w:val="center"/>
            <w:hideMark/>
          </w:tcPr>
          <w:p w14:paraId="6E921C07" w14:textId="77777777" w:rsidR="006A6832" w:rsidRPr="008A2445" w:rsidRDefault="006A6832" w:rsidP="007577DA">
            <w:pPr>
              <w:spacing w:before="40" w:after="40" w:line="288" w:lineRule="auto"/>
              <w:rPr>
                <w:rFonts w:ascii="Arial" w:hAnsi="Arial" w:cs="Arial"/>
                <w:sz w:val="20"/>
                <w:szCs w:val="20"/>
              </w:rPr>
            </w:pPr>
            <w:r w:rsidRPr="008A2445">
              <w:rPr>
                <w:rFonts w:ascii="Arial" w:hAnsi="Arial" w:cs="Arial"/>
                <w:sz w:val="20"/>
                <w:szCs w:val="20"/>
              </w:rPr>
              <w:t> </w:t>
            </w:r>
          </w:p>
        </w:tc>
        <w:tc>
          <w:tcPr>
            <w:tcW w:w="4209" w:type="dxa"/>
            <w:tcBorders>
              <w:top w:val="single" w:sz="4" w:space="0" w:color="auto"/>
              <w:left w:val="nil"/>
              <w:bottom w:val="nil"/>
              <w:right w:val="nil"/>
            </w:tcBorders>
            <w:shd w:val="clear" w:color="auto" w:fill="auto"/>
            <w:noWrap/>
            <w:vAlign w:val="center"/>
            <w:hideMark/>
          </w:tcPr>
          <w:p w14:paraId="764A2B8E" w14:textId="77777777" w:rsidR="006A6832" w:rsidRPr="008A2445" w:rsidRDefault="006A6832" w:rsidP="007577DA">
            <w:pPr>
              <w:spacing w:before="40" w:after="40" w:line="288" w:lineRule="auto"/>
              <w:jc w:val="center"/>
              <w:rPr>
                <w:rFonts w:ascii="Arial" w:hAnsi="Arial" w:cs="Arial"/>
                <w:sz w:val="20"/>
                <w:szCs w:val="20"/>
              </w:rPr>
            </w:pPr>
            <w:r w:rsidRPr="008A2445">
              <w:rPr>
                <w:rFonts w:ascii="Arial" w:hAnsi="Arial" w:cs="Arial"/>
                <w:sz w:val="20"/>
                <w:szCs w:val="20"/>
              </w:rPr>
              <w:t> </w:t>
            </w:r>
          </w:p>
        </w:tc>
        <w:tc>
          <w:tcPr>
            <w:tcW w:w="1963" w:type="dxa"/>
            <w:tcBorders>
              <w:top w:val="single" w:sz="4" w:space="0" w:color="auto"/>
              <w:left w:val="nil"/>
            </w:tcBorders>
            <w:shd w:val="clear" w:color="auto" w:fill="auto"/>
            <w:vAlign w:val="center"/>
            <w:hideMark/>
          </w:tcPr>
          <w:p w14:paraId="1675DFE6" w14:textId="77777777" w:rsidR="006A6832" w:rsidRPr="008A2445" w:rsidRDefault="006A6832" w:rsidP="007577DA">
            <w:pPr>
              <w:spacing w:before="40" w:after="40" w:line="288" w:lineRule="auto"/>
              <w:jc w:val="center"/>
              <w:rPr>
                <w:rFonts w:ascii="Arial" w:hAnsi="Arial" w:cs="Arial"/>
                <w:sz w:val="20"/>
                <w:szCs w:val="20"/>
              </w:rPr>
            </w:pPr>
            <w:r w:rsidRPr="008A2445">
              <w:rPr>
                <w:rFonts w:ascii="Arial" w:hAnsi="Arial" w:cs="Arial"/>
                <w:sz w:val="20"/>
                <w:szCs w:val="20"/>
              </w:rPr>
              <w:t>Estimate</w:t>
            </w:r>
          </w:p>
        </w:tc>
        <w:tc>
          <w:tcPr>
            <w:tcW w:w="2945" w:type="dxa"/>
            <w:tcBorders>
              <w:top w:val="single" w:sz="4" w:space="0" w:color="auto"/>
            </w:tcBorders>
            <w:shd w:val="clear" w:color="auto" w:fill="auto"/>
            <w:vAlign w:val="center"/>
            <w:hideMark/>
          </w:tcPr>
          <w:p w14:paraId="431B3107" w14:textId="77777777" w:rsidR="006A6832" w:rsidRPr="008A2445" w:rsidRDefault="006A6832" w:rsidP="007577DA">
            <w:pPr>
              <w:spacing w:before="40" w:after="40" w:line="288" w:lineRule="auto"/>
              <w:jc w:val="center"/>
              <w:rPr>
                <w:rFonts w:ascii="Arial" w:hAnsi="Arial" w:cs="Arial"/>
                <w:sz w:val="20"/>
                <w:szCs w:val="20"/>
              </w:rPr>
            </w:pPr>
            <w:r w:rsidRPr="008A2445">
              <w:rPr>
                <w:rFonts w:ascii="Arial" w:hAnsi="Arial" w:cs="Arial"/>
                <w:sz w:val="20"/>
                <w:szCs w:val="20"/>
              </w:rPr>
              <w:t xml:space="preserve">Growth </w:t>
            </w:r>
            <w:proofErr w:type="gramStart"/>
            <w:r w:rsidRPr="008A2445">
              <w:rPr>
                <w:rFonts w:ascii="Arial" w:hAnsi="Arial" w:cs="Arial"/>
                <w:sz w:val="20"/>
                <w:szCs w:val="20"/>
              </w:rPr>
              <w:t>rate</w:t>
            </w:r>
            <w:proofErr w:type="gramEnd"/>
            <w:r w:rsidRPr="008A2445">
              <w:rPr>
                <w:rFonts w:ascii="Arial" w:hAnsi="Arial" w:cs="Arial"/>
                <w:sz w:val="20"/>
                <w:szCs w:val="20"/>
              </w:rPr>
              <w:t xml:space="preserve"> compare to</w:t>
            </w:r>
          </w:p>
        </w:tc>
      </w:tr>
      <w:tr w:rsidR="006A6832" w:rsidRPr="008A2445" w14:paraId="54470D34" w14:textId="77777777" w:rsidTr="007577DA">
        <w:trPr>
          <w:trHeight w:val="152"/>
        </w:trPr>
        <w:tc>
          <w:tcPr>
            <w:tcW w:w="276" w:type="dxa"/>
            <w:tcBorders>
              <w:top w:val="nil"/>
              <w:left w:val="nil"/>
              <w:bottom w:val="nil"/>
              <w:right w:val="nil"/>
            </w:tcBorders>
            <w:shd w:val="clear" w:color="auto" w:fill="auto"/>
            <w:noWrap/>
            <w:vAlign w:val="center"/>
            <w:hideMark/>
          </w:tcPr>
          <w:p w14:paraId="522024C8" w14:textId="77777777" w:rsidR="006A6832" w:rsidRPr="008A2445" w:rsidRDefault="006A6832" w:rsidP="007577DA">
            <w:pPr>
              <w:spacing w:before="40" w:after="40" w:line="288" w:lineRule="auto"/>
              <w:jc w:val="center"/>
              <w:rPr>
                <w:rFonts w:ascii="Arial" w:hAnsi="Arial" w:cs="Arial"/>
                <w:color w:val="000000"/>
                <w:sz w:val="20"/>
                <w:szCs w:val="20"/>
              </w:rPr>
            </w:pPr>
          </w:p>
        </w:tc>
        <w:tc>
          <w:tcPr>
            <w:tcW w:w="4209" w:type="dxa"/>
            <w:tcBorders>
              <w:top w:val="nil"/>
              <w:left w:val="nil"/>
              <w:bottom w:val="nil"/>
              <w:right w:val="nil"/>
            </w:tcBorders>
            <w:shd w:val="clear" w:color="auto" w:fill="auto"/>
            <w:noWrap/>
            <w:vAlign w:val="center"/>
            <w:hideMark/>
          </w:tcPr>
          <w:p w14:paraId="362FE9DE" w14:textId="77777777" w:rsidR="006A6832" w:rsidRPr="008A2445" w:rsidRDefault="006A6832" w:rsidP="007577DA">
            <w:pPr>
              <w:spacing w:before="40" w:after="40" w:line="288" w:lineRule="auto"/>
              <w:rPr>
                <w:rFonts w:ascii="Arial" w:hAnsi="Arial" w:cs="Arial"/>
                <w:sz w:val="20"/>
                <w:szCs w:val="20"/>
              </w:rPr>
            </w:pPr>
          </w:p>
        </w:tc>
        <w:tc>
          <w:tcPr>
            <w:tcW w:w="1963" w:type="dxa"/>
            <w:tcBorders>
              <w:top w:val="nil"/>
              <w:left w:val="nil"/>
              <w:bottom w:val="single" w:sz="4" w:space="0" w:color="auto"/>
            </w:tcBorders>
            <w:shd w:val="clear" w:color="auto" w:fill="auto"/>
            <w:vAlign w:val="center"/>
            <w:hideMark/>
          </w:tcPr>
          <w:p w14:paraId="672BC1FD" w14:textId="77777777" w:rsidR="006A6832" w:rsidRPr="008A2445" w:rsidRDefault="006A6832" w:rsidP="007577DA">
            <w:pPr>
              <w:spacing w:before="40" w:after="40" w:line="288" w:lineRule="auto"/>
              <w:jc w:val="center"/>
              <w:rPr>
                <w:rFonts w:ascii="Arial" w:hAnsi="Arial" w:cs="Arial"/>
                <w:sz w:val="20"/>
                <w:szCs w:val="20"/>
              </w:rPr>
            </w:pPr>
            <w:r w:rsidRPr="008A2445">
              <w:rPr>
                <w:rFonts w:ascii="Arial" w:hAnsi="Arial" w:cs="Arial"/>
                <w:i/>
                <w:iCs/>
                <w:sz w:val="20"/>
                <w:szCs w:val="20"/>
              </w:rPr>
              <w:t>(Mill. USD)</w:t>
            </w:r>
          </w:p>
        </w:tc>
        <w:tc>
          <w:tcPr>
            <w:tcW w:w="2945" w:type="dxa"/>
            <w:tcBorders>
              <w:top w:val="nil"/>
              <w:bottom w:val="single" w:sz="4" w:space="0" w:color="auto"/>
            </w:tcBorders>
            <w:shd w:val="clear" w:color="auto" w:fill="auto"/>
            <w:vAlign w:val="center"/>
            <w:hideMark/>
          </w:tcPr>
          <w:p w14:paraId="14BDE6AC" w14:textId="77777777" w:rsidR="006A6832" w:rsidRPr="008A2445" w:rsidRDefault="006A6832" w:rsidP="007577DA">
            <w:pPr>
              <w:spacing w:before="40" w:after="40" w:line="288" w:lineRule="auto"/>
              <w:jc w:val="center"/>
              <w:rPr>
                <w:rFonts w:ascii="Arial" w:hAnsi="Arial" w:cs="Arial"/>
                <w:sz w:val="20"/>
                <w:szCs w:val="20"/>
              </w:rPr>
            </w:pPr>
            <w:r w:rsidRPr="008A2445">
              <w:rPr>
                <w:rFonts w:ascii="Arial" w:hAnsi="Arial" w:cs="Arial"/>
                <w:sz w:val="20"/>
                <w:szCs w:val="20"/>
              </w:rPr>
              <w:t xml:space="preserve">the same period last year </w:t>
            </w:r>
            <w:r w:rsidRPr="008A2445">
              <w:rPr>
                <w:rFonts w:ascii="Arial" w:hAnsi="Arial" w:cs="Arial"/>
                <w:i/>
                <w:iCs/>
                <w:sz w:val="20"/>
                <w:szCs w:val="20"/>
              </w:rPr>
              <w:t>(%)</w:t>
            </w:r>
          </w:p>
        </w:tc>
      </w:tr>
      <w:tr w:rsidR="006A6832" w:rsidRPr="008A2445" w14:paraId="5C40AC5D" w14:textId="77777777" w:rsidTr="007577DA">
        <w:trPr>
          <w:trHeight w:val="317"/>
        </w:trPr>
        <w:tc>
          <w:tcPr>
            <w:tcW w:w="4485" w:type="dxa"/>
            <w:gridSpan w:val="2"/>
            <w:tcBorders>
              <w:top w:val="nil"/>
              <w:left w:val="nil"/>
              <w:bottom w:val="nil"/>
              <w:right w:val="nil"/>
            </w:tcBorders>
            <w:shd w:val="clear" w:color="auto" w:fill="auto"/>
            <w:noWrap/>
            <w:vAlign w:val="center"/>
            <w:hideMark/>
          </w:tcPr>
          <w:p w14:paraId="44D270FC" w14:textId="77777777" w:rsidR="006A6832" w:rsidRPr="008A2445" w:rsidRDefault="006A6832" w:rsidP="007577DA">
            <w:pPr>
              <w:spacing w:before="40" w:after="40" w:line="288" w:lineRule="auto"/>
              <w:rPr>
                <w:rFonts w:ascii="Arial" w:hAnsi="Arial" w:cs="Arial"/>
                <w:b/>
                <w:bCs/>
                <w:color w:val="000000"/>
                <w:sz w:val="20"/>
                <w:szCs w:val="20"/>
              </w:rPr>
            </w:pPr>
            <w:r w:rsidRPr="008A2445">
              <w:rPr>
                <w:rFonts w:ascii="Arial" w:hAnsi="Arial" w:cs="Arial"/>
                <w:b/>
                <w:bCs/>
                <w:sz w:val="20"/>
                <w:szCs w:val="20"/>
              </w:rPr>
              <w:t xml:space="preserve">Items with a value of over </w:t>
            </w:r>
            <w:r>
              <w:rPr>
                <w:rFonts w:ascii="Arial" w:hAnsi="Arial" w:cs="Arial"/>
                <w:b/>
                <w:bCs/>
                <w:sz w:val="20"/>
                <w:szCs w:val="20"/>
              </w:rPr>
              <w:t>5</w:t>
            </w:r>
            <w:r w:rsidRPr="008A2445">
              <w:rPr>
                <w:rFonts w:ascii="Arial" w:hAnsi="Arial" w:cs="Arial"/>
                <w:b/>
                <w:bCs/>
                <w:sz w:val="20"/>
                <w:szCs w:val="20"/>
              </w:rPr>
              <w:t xml:space="preserve"> billion USD</w:t>
            </w:r>
          </w:p>
        </w:tc>
        <w:tc>
          <w:tcPr>
            <w:tcW w:w="1963" w:type="dxa"/>
            <w:tcBorders>
              <w:top w:val="nil"/>
              <w:left w:val="nil"/>
              <w:bottom w:val="nil"/>
              <w:right w:val="nil"/>
            </w:tcBorders>
            <w:shd w:val="clear" w:color="auto" w:fill="auto"/>
            <w:noWrap/>
            <w:vAlign w:val="center"/>
            <w:hideMark/>
          </w:tcPr>
          <w:p w14:paraId="58455F5E" w14:textId="77777777" w:rsidR="006A6832" w:rsidRPr="008A2445" w:rsidRDefault="006A6832" w:rsidP="007577DA">
            <w:pPr>
              <w:spacing w:before="40" w:after="40" w:line="288" w:lineRule="auto"/>
              <w:rPr>
                <w:rFonts w:ascii="Arial" w:hAnsi="Arial" w:cs="Arial"/>
                <w:sz w:val="20"/>
                <w:szCs w:val="20"/>
              </w:rPr>
            </w:pPr>
          </w:p>
        </w:tc>
        <w:tc>
          <w:tcPr>
            <w:tcW w:w="2945" w:type="dxa"/>
            <w:tcBorders>
              <w:top w:val="nil"/>
              <w:left w:val="nil"/>
              <w:bottom w:val="nil"/>
              <w:right w:val="nil"/>
            </w:tcBorders>
            <w:shd w:val="clear" w:color="auto" w:fill="auto"/>
            <w:noWrap/>
            <w:vAlign w:val="center"/>
            <w:hideMark/>
          </w:tcPr>
          <w:p w14:paraId="78688198" w14:textId="77777777" w:rsidR="006A6832" w:rsidRPr="008A2445" w:rsidRDefault="006A6832" w:rsidP="007577DA">
            <w:pPr>
              <w:spacing w:before="40" w:after="40" w:line="288" w:lineRule="auto"/>
              <w:rPr>
                <w:rFonts w:ascii="Arial" w:hAnsi="Arial" w:cs="Arial"/>
                <w:sz w:val="20"/>
                <w:szCs w:val="20"/>
              </w:rPr>
            </w:pPr>
          </w:p>
        </w:tc>
      </w:tr>
      <w:tr w:rsidR="006A6832" w:rsidRPr="008A2445" w14:paraId="6C56E84F" w14:textId="77777777" w:rsidTr="007577DA">
        <w:trPr>
          <w:trHeight w:val="317"/>
        </w:trPr>
        <w:tc>
          <w:tcPr>
            <w:tcW w:w="276" w:type="dxa"/>
            <w:tcBorders>
              <w:top w:val="nil"/>
              <w:left w:val="nil"/>
              <w:right w:val="nil"/>
            </w:tcBorders>
            <w:shd w:val="clear" w:color="auto" w:fill="auto"/>
            <w:noWrap/>
            <w:vAlign w:val="center"/>
            <w:hideMark/>
          </w:tcPr>
          <w:p w14:paraId="38214746" w14:textId="77777777" w:rsidR="006A6832" w:rsidRPr="008A2445" w:rsidRDefault="006A6832" w:rsidP="007577DA">
            <w:pPr>
              <w:spacing w:before="40" w:after="40" w:line="288" w:lineRule="auto"/>
              <w:jc w:val="right"/>
              <w:rPr>
                <w:rFonts w:ascii="Arial" w:hAnsi="Arial" w:cs="Arial"/>
                <w:sz w:val="20"/>
                <w:szCs w:val="20"/>
              </w:rPr>
            </w:pPr>
          </w:p>
        </w:tc>
        <w:tc>
          <w:tcPr>
            <w:tcW w:w="4209" w:type="dxa"/>
            <w:tcBorders>
              <w:top w:val="nil"/>
              <w:left w:val="nil"/>
              <w:right w:val="nil"/>
            </w:tcBorders>
            <w:shd w:val="clear" w:color="auto" w:fill="auto"/>
            <w:noWrap/>
            <w:vAlign w:val="bottom"/>
            <w:hideMark/>
          </w:tcPr>
          <w:p w14:paraId="6FB819F3" w14:textId="77777777" w:rsidR="006A6832" w:rsidRPr="00827FDA" w:rsidRDefault="006A6832" w:rsidP="007577DA">
            <w:pPr>
              <w:spacing w:before="40" w:after="40" w:line="288" w:lineRule="auto"/>
              <w:rPr>
                <w:rFonts w:ascii="Arial" w:hAnsi="Arial" w:cs="Arial"/>
                <w:sz w:val="20"/>
                <w:szCs w:val="20"/>
              </w:rPr>
            </w:pPr>
            <w:r w:rsidRPr="00827FDA">
              <w:rPr>
                <w:rFonts w:ascii="Arial" w:hAnsi="Arial" w:cs="Arial"/>
                <w:sz w:val="20"/>
                <w:szCs w:val="20"/>
              </w:rPr>
              <w:t xml:space="preserve">Electronic devices, </w:t>
            </w:r>
            <w:proofErr w:type="gramStart"/>
            <w:r w:rsidRPr="00827FDA">
              <w:rPr>
                <w:rFonts w:ascii="Arial" w:hAnsi="Arial" w:cs="Arial"/>
                <w:sz w:val="20"/>
                <w:szCs w:val="20"/>
              </w:rPr>
              <w:t>computers</w:t>
            </w:r>
            <w:proofErr w:type="gramEnd"/>
            <w:r w:rsidRPr="00827FDA">
              <w:rPr>
                <w:rFonts w:ascii="Arial" w:hAnsi="Arial" w:cs="Arial"/>
                <w:sz w:val="20"/>
                <w:szCs w:val="20"/>
              </w:rPr>
              <w:t xml:space="preserve"> and their parts</w:t>
            </w:r>
          </w:p>
        </w:tc>
        <w:tc>
          <w:tcPr>
            <w:tcW w:w="1963" w:type="dxa"/>
            <w:tcBorders>
              <w:top w:val="nil"/>
              <w:left w:val="nil"/>
              <w:right w:val="nil"/>
            </w:tcBorders>
            <w:shd w:val="clear" w:color="auto" w:fill="auto"/>
            <w:noWrap/>
            <w:vAlign w:val="bottom"/>
            <w:hideMark/>
          </w:tcPr>
          <w:p w14:paraId="04C87119" w14:textId="77777777" w:rsidR="006A6832" w:rsidRPr="008A2445" w:rsidRDefault="006A6832" w:rsidP="007577DA">
            <w:pPr>
              <w:spacing w:before="40" w:after="40" w:line="288" w:lineRule="auto"/>
              <w:ind w:right="458"/>
              <w:jc w:val="right"/>
              <w:rPr>
                <w:rFonts w:ascii="Arial" w:hAnsi="Arial" w:cs="Arial"/>
                <w:sz w:val="20"/>
                <w:szCs w:val="20"/>
              </w:rPr>
            </w:pPr>
            <w:r w:rsidRPr="005920FA">
              <w:rPr>
                <w:rFonts w:ascii="Arial" w:hAnsi="Arial" w:cs="Arial"/>
                <w:sz w:val="20"/>
                <w:szCs w:val="20"/>
              </w:rPr>
              <w:t>40</w:t>
            </w:r>
            <w:r>
              <w:rPr>
                <w:rFonts w:ascii="Arial" w:hAnsi="Arial" w:cs="Arial"/>
                <w:sz w:val="20"/>
                <w:szCs w:val="20"/>
              </w:rPr>
              <w:t>,</w:t>
            </w:r>
            <w:r w:rsidRPr="005920FA">
              <w:rPr>
                <w:rFonts w:ascii="Arial" w:hAnsi="Arial" w:cs="Arial"/>
                <w:sz w:val="20"/>
                <w:szCs w:val="20"/>
              </w:rPr>
              <w:t>250</w:t>
            </w:r>
          </w:p>
        </w:tc>
        <w:tc>
          <w:tcPr>
            <w:tcW w:w="2945" w:type="dxa"/>
            <w:tcBorders>
              <w:top w:val="nil"/>
              <w:left w:val="nil"/>
              <w:right w:val="nil"/>
            </w:tcBorders>
            <w:shd w:val="clear" w:color="auto" w:fill="auto"/>
            <w:noWrap/>
            <w:vAlign w:val="bottom"/>
          </w:tcPr>
          <w:p w14:paraId="18A77C43" w14:textId="77777777" w:rsidR="006A6832" w:rsidRPr="008A2445" w:rsidRDefault="006A6832" w:rsidP="007577DA">
            <w:pPr>
              <w:spacing w:before="40" w:after="40" w:line="288" w:lineRule="auto"/>
              <w:ind w:right="1068"/>
              <w:jc w:val="right"/>
              <w:rPr>
                <w:rFonts w:ascii="Arial" w:hAnsi="Arial" w:cs="Arial"/>
                <w:sz w:val="20"/>
                <w:szCs w:val="20"/>
              </w:rPr>
            </w:pPr>
            <w:r w:rsidRPr="005920FA">
              <w:rPr>
                <w:rFonts w:ascii="Arial" w:hAnsi="Arial" w:cs="Arial"/>
                <w:sz w:val="20"/>
                <w:szCs w:val="20"/>
              </w:rPr>
              <w:t>27</w:t>
            </w:r>
            <w:r>
              <w:rPr>
                <w:rFonts w:ascii="Arial" w:hAnsi="Arial" w:cs="Arial"/>
                <w:sz w:val="20"/>
                <w:szCs w:val="20"/>
              </w:rPr>
              <w:t>.</w:t>
            </w:r>
            <w:r w:rsidRPr="005920FA">
              <w:rPr>
                <w:rFonts w:ascii="Arial" w:hAnsi="Arial" w:cs="Arial"/>
                <w:sz w:val="20"/>
                <w:szCs w:val="20"/>
              </w:rPr>
              <w:t>3</w:t>
            </w:r>
          </w:p>
        </w:tc>
      </w:tr>
      <w:tr w:rsidR="006A6832" w:rsidRPr="008A2445" w14:paraId="40D8F69E" w14:textId="77777777" w:rsidTr="007577DA">
        <w:trPr>
          <w:trHeight w:val="317"/>
        </w:trPr>
        <w:tc>
          <w:tcPr>
            <w:tcW w:w="276" w:type="dxa"/>
            <w:tcBorders>
              <w:top w:val="nil"/>
              <w:left w:val="nil"/>
              <w:bottom w:val="nil"/>
              <w:right w:val="nil"/>
            </w:tcBorders>
            <w:shd w:val="clear" w:color="auto" w:fill="auto"/>
            <w:noWrap/>
            <w:vAlign w:val="center"/>
            <w:hideMark/>
          </w:tcPr>
          <w:p w14:paraId="5D1B13F6" w14:textId="77777777" w:rsidR="006A6832" w:rsidRPr="008A2445" w:rsidRDefault="006A6832" w:rsidP="007577DA">
            <w:pPr>
              <w:spacing w:before="40" w:after="40" w:line="288" w:lineRule="auto"/>
              <w:rPr>
                <w:rFonts w:ascii="Arial" w:hAnsi="Arial" w:cs="Arial"/>
                <w:sz w:val="20"/>
                <w:szCs w:val="20"/>
              </w:rPr>
            </w:pPr>
          </w:p>
        </w:tc>
        <w:tc>
          <w:tcPr>
            <w:tcW w:w="4209" w:type="dxa"/>
            <w:tcBorders>
              <w:top w:val="nil"/>
              <w:left w:val="nil"/>
              <w:bottom w:val="nil"/>
              <w:right w:val="nil"/>
            </w:tcBorders>
            <w:shd w:val="clear" w:color="auto" w:fill="auto"/>
            <w:noWrap/>
            <w:vAlign w:val="bottom"/>
            <w:hideMark/>
          </w:tcPr>
          <w:p w14:paraId="72D9A88B" w14:textId="77777777" w:rsidR="006A6832" w:rsidRPr="00827FDA" w:rsidRDefault="006A6832" w:rsidP="007577DA">
            <w:pPr>
              <w:spacing w:before="40" w:after="40" w:line="288" w:lineRule="auto"/>
              <w:rPr>
                <w:rFonts w:ascii="Arial" w:hAnsi="Arial" w:cs="Arial"/>
                <w:sz w:val="20"/>
                <w:szCs w:val="20"/>
              </w:rPr>
            </w:pPr>
            <w:r w:rsidRPr="00827FDA">
              <w:rPr>
                <w:rFonts w:ascii="Arial" w:hAnsi="Arial" w:cs="Arial"/>
                <w:sz w:val="20"/>
                <w:szCs w:val="20"/>
              </w:rPr>
              <w:t>Machinery, instrument, accessory</w:t>
            </w:r>
          </w:p>
        </w:tc>
        <w:tc>
          <w:tcPr>
            <w:tcW w:w="1963" w:type="dxa"/>
            <w:tcBorders>
              <w:top w:val="nil"/>
              <w:left w:val="nil"/>
              <w:bottom w:val="nil"/>
              <w:right w:val="nil"/>
            </w:tcBorders>
            <w:shd w:val="clear" w:color="auto" w:fill="auto"/>
            <w:noWrap/>
            <w:vAlign w:val="bottom"/>
            <w:hideMark/>
          </w:tcPr>
          <w:p w14:paraId="2323D715" w14:textId="77777777" w:rsidR="006A6832" w:rsidRPr="008A2445" w:rsidRDefault="006A6832" w:rsidP="007577DA">
            <w:pPr>
              <w:spacing w:before="40" w:after="40" w:line="288" w:lineRule="auto"/>
              <w:ind w:right="458" w:firstLine="28"/>
              <w:jc w:val="right"/>
              <w:rPr>
                <w:rFonts w:ascii="Arial" w:hAnsi="Arial" w:cs="Arial"/>
                <w:sz w:val="20"/>
                <w:szCs w:val="20"/>
              </w:rPr>
            </w:pPr>
            <w:r w:rsidRPr="005920FA">
              <w:rPr>
                <w:rFonts w:ascii="Arial" w:hAnsi="Arial" w:cs="Arial"/>
                <w:sz w:val="20"/>
                <w:szCs w:val="20"/>
              </w:rPr>
              <w:t>18</w:t>
            </w:r>
            <w:r>
              <w:rPr>
                <w:rFonts w:ascii="Arial" w:hAnsi="Arial" w:cs="Arial"/>
                <w:sz w:val="20"/>
                <w:szCs w:val="20"/>
              </w:rPr>
              <w:t>,</w:t>
            </w:r>
            <w:r w:rsidRPr="005920FA">
              <w:rPr>
                <w:rFonts w:ascii="Arial" w:hAnsi="Arial" w:cs="Arial"/>
                <w:sz w:val="20"/>
                <w:szCs w:val="20"/>
              </w:rPr>
              <w:t>534</w:t>
            </w:r>
          </w:p>
        </w:tc>
        <w:tc>
          <w:tcPr>
            <w:tcW w:w="2945" w:type="dxa"/>
            <w:tcBorders>
              <w:top w:val="nil"/>
              <w:left w:val="nil"/>
              <w:bottom w:val="nil"/>
              <w:right w:val="nil"/>
            </w:tcBorders>
            <w:shd w:val="clear" w:color="auto" w:fill="auto"/>
            <w:noWrap/>
            <w:vAlign w:val="bottom"/>
          </w:tcPr>
          <w:p w14:paraId="30FEFA66" w14:textId="77777777" w:rsidR="006A6832" w:rsidRPr="008A2445" w:rsidRDefault="006A6832" w:rsidP="007577DA">
            <w:pPr>
              <w:spacing w:before="40" w:after="40" w:line="288" w:lineRule="auto"/>
              <w:ind w:right="1068"/>
              <w:jc w:val="right"/>
              <w:rPr>
                <w:rFonts w:ascii="Arial" w:hAnsi="Arial" w:cs="Arial"/>
                <w:sz w:val="20"/>
                <w:szCs w:val="20"/>
              </w:rPr>
            </w:pPr>
            <w:r w:rsidRPr="005920FA">
              <w:rPr>
                <w:rFonts w:ascii="Arial" w:hAnsi="Arial" w:cs="Arial"/>
                <w:sz w:val="20"/>
                <w:szCs w:val="20"/>
              </w:rPr>
              <w:t>15</w:t>
            </w:r>
            <w:r>
              <w:rPr>
                <w:rFonts w:ascii="Arial" w:hAnsi="Arial" w:cs="Arial"/>
                <w:sz w:val="20"/>
                <w:szCs w:val="20"/>
              </w:rPr>
              <w:t>.</w:t>
            </w:r>
            <w:r w:rsidRPr="005920FA">
              <w:rPr>
                <w:rFonts w:ascii="Arial" w:hAnsi="Arial" w:cs="Arial"/>
                <w:sz w:val="20"/>
                <w:szCs w:val="20"/>
              </w:rPr>
              <w:t>4</w:t>
            </w:r>
          </w:p>
        </w:tc>
      </w:tr>
      <w:tr w:rsidR="006A6832" w:rsidRPr="008A2445" w14:paraId="53E4DC01" w14:textId="77777777" w:rsidTr="007577DA">
        <w:trPr>
          <w:trHeight w:val="317"/>
        </w:trPr>
        <w:tc>
          <w:tcPr>
            <w:tcW w:w="276" w:type="dxa"/>
            <w:tcBorders>
              <w:top w:val="nil"/>
              <w:left w:val="nil"/>
              <w:bottom w:val="nil"/>
              <w:right w:val="nil"/>
            </w:tcBorders>
            <w:shd w:val="clear" w:color="auto" w:fill="auto"/>
            <w:noWrap/>
            <w:vAlign w:val="center"/>
          </w:tcPr>
          <w:p w14:paraId="5E79E3E3" w14:textId="77777777" w:rsidR="006A6832" w:rsidRPr="008A2445" w:rsidRDefault="006A6832" w:rsidP="007577DA">
            <w:pPr>
              <w:spacing w:before="40" w:after="40" w:line="288" w:lineRule="auto"/>
              <w:rPr>
                <w:rFonts w:ascii="Arial" w:hAnsi="Arial" w:cs="Arial"/>
                <w:sz w:val="20"/>
                <w:szCs w:val="20"/>
              </w:rPr>
            </w:pPr>
          </w:p>
        </w:tc>
        <w:tc>
          <w:tcPr>
            <w:tcW w:w="4209" w:type="dxa"/>
            <w:tcBorders>
              <w:top w:val="nil"/>
              <w:left w:val="nil"/>
              <w:bottom w:val="nil"/>
              <w:right w:val="nil"/>
            </w:tcBorders>
            <w:shd w:val="clear" w:color="auto" w:fill="auto"/>
            <w:noWrap/>
            <w:vAlign w:val="bottom"/>
          </w:tcPr>
          <w:p w14:paraId="0528692A" w14:textId="77777777" w:rsidR="006A6832" w:rsidRPr="00827FDA" w:rsidRDefault="006A6832" w:rsidP="007577DA">
            <w:pPr>
              <w:spacing w:before="40" w:after="40" w:line="288" w:lineRule="auto"/>
              <w:rPr>
                <w:rFonts w:ascii="Arial" w:hAnsi="Arial" w:cs="Arial"/>
                <w:sz w:val="20"/>
                <w:szCs w:val="20"/>
              </w:rPr>
            </w:pPr>
            <w:r w:rsidRPr="00CD2C6A">
              <w:rPr>
                <w:rFonts w:ascii="Arial" w:hAnsi="Arial" w:cs="Arial"/>
                <w:sz w:val="20"/>
                <w:szCs w:val="20"/>
              </w:rPr>
              <w:t>Fabrics</w:t>
            </w:r>
          </w:p>
        </w:tc>
        <w:tc>
          <w:tcPr>
            <w:tcW w:w="1963" w:type="dxa"/>
            <w:tcBorders>
              <w:top w:val="nil"/>
              <w:left w:val="nil"/>
              <w:bottom w:val="nil"/>
              <w:right w:val="nil"/>
            </w:tcBorders>
            <w:shd w:val="clear" w:color="auto" w:fill="auto"/>
            <w:noWrap/>
            <w:vAlign w:val="bottom"/>
          </w:tcPr>
          <w:p w14:paraId="7A5720BC" w14:textId="77777777" w:rsidR="006A6832" w:rsidRDefault="006A6832" w:rsidP="007577DA">
            <w:pPr>
              <w:spacing w:before="40" w:after="40" w:line="288" w:lineRule="auto"/>
              <w:ind w:right="458" w:firstLine="28"/>
              <w:jc w:val="right"/>
              <w:rPr>
                <w:rFonts w:ascii="Arial" w:hAnsi="Arial" w:cs="Arial"/>
                <w:sz w:val="20"/>
                <w:szCs w:val="20"/>
              </w:rPr>
            </w:pPr>
            <w:r w:rsidRPr="005920FA">
              <w:rPr>
                <w:rFonts w:ascii="Arial" w:hAnsi="Arial" w:cs="Arial"/>
                <w:sz w:val="20"/>
                <w:szCs w:val="20"/>
              </w:rPr>
              <w:t>6</w:t>
            </w:r>
            <w:r>
              <w:rPr>
                <w:rFonts w:ascii="Arial" w:hAnsi="Arial" w:cs="Arial"/>
                <w:sz w:val="20"/>
                <w:szCs w:val="20"/>
              </w:rPr>
              <w:t>,</w:t>
            </w:r>
            <w:r w:rsidRPr="005920FA">
              <w:rPr>
                <w:rFonts w:ascii="Arial" w:hAnsi="Arial" w:cs="Arial"/>
                <w:sz w:val="20"/>
                <w:szCs w:val="20"/>
              </w:rPr>
              <w:t>043</w:t>
            </w:r>
          </w:p>
        </w:tc>
        <w:tc>
          <w:tcPr>
            <w:tcW w:w="2945" w:type="dxa"/>
            <w:tcBorders>
              <w:top w:val="nil"/>
              <w:left w:val="nil"/>
              <w:bottom w:val="nil"/>
              <w:right w:val="nil"/>
            </w:tcBorders>
            <w:shd w:val="clear" w:color="auto" w:fill="auto"/>
            <w:noWrap/>
            <w:vAlign w:val="bottom"/>
          </w:tcPr>
          <w:p w14:paraId="7B8FBA23" w14:textId="77777777" w:rsidR="006A6832" w:rsidRDefault="006A6832" w:rsidP="007577DA">
            <w:pPr>
              <w:spacing w:before="40" w:after="40" w:line="288" w:lineRule="auto"/>
              <w:ind w:right="1068"/>
              <w:jc w:val="right"/>
              <w:rPr>
                <w:rFonts w:ascii="Arial" w:hAnsi="Arial" w:cs="Arial"/>
                <w:sz w:val="20"/>
                <w:szCs w:val="20"/>
              </w:rPr>
            </w:pPr>
            <w:r w:rsidRPr="005920FA">
              <w:rPr>
                <w:rFonts w:ascii="Arial" w:hAnsi="Arial" w:cs="Arial"/>
                <w:sz w:val="20"/>
                <w:szCs w:val="20"/>
              </w:rPr>
              <w:t>13</w:t>
            </w:r>
            <w:r>
              <w:rPr>
                <w:rFonts w:ascii="Arial" w:hAnsi="Arial" w:cs="Arial"/>
                <w:sz w:val="20"/>
                <w:szCs w:val="20"/>
              </w:rPr>
              <w:t>.</w:t>
            </w:r>
            <w:r w:rsidRPr="005920FA">
              <w:rPr>
                <w:rFonts w:ascii="Arial" w:hAnsi="Arial" w:cs="Arial"/>
                <w:sz w:val="20"/>
                <w:szCs w:val="20"/>
              </w:rPr>
              <w:t>3</w:t>
            </w:r>
          </w:p>
        </w:tc>
      </w:tr>
      <w:tr w:rsidR="006A6832" w:rsidRPr="008A2445" w14:paraId="1E177816" w14:textId="77777777" w:rsidTr="007577DA">
        <w:trPr>
          <w:trHeight w:val="317"/>
        </w:trPr>
        <w:tc>
          <w:tcPr>
            <w:tcW w:w="276" w:type="dxa"/>
            <w:tcBorders>
              <w:top w:val="nil"/>
              <w:left w:val="nil"/>
              <w:bottom w:val="single" w:sz="4" w:space="0" w:color="auto"/>
              <w:right w:val="nil"/>
            </w:tcBorders>
            <w:shd w:val="clear" w:color="auto" w:fill="auto"/>
            <w:noWrap/>
            <w:vAlign w:val="center"/>
          </w:tcPr>
          <w:p w14:paraId="0DD905FB" w14:textId="77777777" w:rsidR="006A6832" w:rsidRPr="008A2445" w:rsidRDefault="006A6832" w:rsidP="007577DA">
            <w:pPr>
              <w:spacing w:before="40" w:after="40" w:line="288" w:lineRule="auto"/>
              <w:rPr>
                <w:rFonts w:ascii="Arial" w:hAnsi="Arial" w:cs="Arial"/>
                <w:sz w:val="20"/>
                <w:szCs w:val="20"/>
              </w:rPr>
            </w:pPr>
          </w:p>
        </w:tc>
        <w:tc>
          <w:tcPr>
            <w:tcW w:w="4209" w:type="dxa"/>
            <w:tcBorders>
              <w:top w:val="nil"/>
              <w:left w:val="nil"/>
              <w:bottom w:val="single" w:sz="4" w:space="0" w:color="auto"/>
              <w:right w:val="nil"/>
            </w:tcBorders>
            <w:shd w:val="clear" w:color="auto" w:fill="auto"/>
            <w:noWrap/>
            <w:vAlign w:val="bottom"/>
          </w:tcPr>
          <w:p w14:paraId="59C72C13" w14:textId="77777777" w:rsidR="006A6832" w:rsidRPr="00827FDA" w:rsidRDefault="006A6832" w:rsidP="007577DA">
            <w:pPr>
              <w:spacing w:before="40" w:after="40" w:line="288" w:lineRule="auto"/>
              <w:rPr>
                <w:rFonts w:ascii="Arial" w:hAnsi="Arial" w:cs="Arial"/>
                <w:sz w:val="20"/>
                <w:szCs w:val="20"/>
              </w:rPr>
            </w:pPr>
            <w:r w:rsidRPr="00CD2C6A">
              <w:rPr>
                <w:rFonts w:ascii="Arial" w:hAnsi="Arial" w:cs="Arial"/>
                <w:sz w:val="20"/>
                <w:szCs w:val="20"/>
              </w:rPr>
              <w:t>Iron, steel</w:t>
            </w:r>
          </w:p>
        </w:tc>
        <w:tc>
          <w:tcPr>
            <w:tcW w:w="1963" w:type="dxa"/>
            <w:tcBorders>
              <w:top w:val="nil"/>
              <w:left w:val="nil"/>
              <w:bottom w:val="single" w:sz="4" w:space="0" w:color="auto"/>
              <w:right w:val="nil"/>
            </w:tcBorders>
            <w:shd w:val="clear" w:color="auto" w:fill="auto"/>
            <w:noWrap/>
            <w:vAlign w:val="bottom"/>
          </w:tcPr>
          <w:p w14:paraId="48F2B017" w14:textId="77777777" w:rsidR="006A6832" w:rsidRDefault="006A6832" w:rsidP="007577DA">
            <w:pPr>
              <w:spacing w:before="40" w:after="40" w:line="288" w:lineRule="auto"/>
              <w:ind w:right="458" w:firstLine="28"/>
              <w:jc w:val="right"/>
              <w:rPr>
                <w:rFonts w:ascii="Arial" w:hAnsi="Arial" w:cs="Arial"/>
                <w:sz w:val="20"/>
                <w:szCs w:val="20"/>
              </w:rPr>
            </w:pPr>
            <w:r w:rsidRPr="005920FA">
              <w:rPr>
                <w:rFonts w:ascii="Arial" w:hAnsi="Arial" w:cs="Arial"/>
                <w:sz w:val="20"/>
                <w:szCs w:val="20"/>
              </w:rPr>
              <w:t>5</w:t>
            </w:r>
            <w:r>
              <w:rPr>
                <w:rFonts w:ascii="Arial" w:hAnsi="Arial" w:cs="Arial"/>
                <w:sz w:val="20"/>
                <w:szCs w:val="20"/>
              </w:rPr>
              <w:t>,</w:t>
            </w:r>
            <w:r w:rsidRPr="005920FA">
              <w:rPr>
                <w:rFonts w:ascii="Arial" w:hAnsi="Arial" w:cs="Arial"/>
                <w:sz w:val="20"/>
                <w:szCs w:val="20"/>
              </w:rPr>
              <w:t>045</w:t>
            </w:r>
          </w:p>
        </w:tc>
        <w:tc>
          <w:tcPr>
            <w:tcW w:w="2945" w:type="dxa"/>
            <w:tcBorders>
              <w:top w:val="nil"/>
              <w:left w:val="nil"/>
              <w:bottom w:val="single" w:sz="4" w:space="0" w:color="auto"/>
              <w:right w:val="nil"/>
            </w:tcBorders>
            <w:shd w:val="clear" w:color="auto" w:fill="auto"/>
            <w:noWrap/>
            <w:vAlign w:val="bottom"/>
          </w:tcPr>
          <w:p w14:paraId="215A3E5F" w14:textId="77777777" w:rsidR="006A6832" w:rsidRDefault="006A6832" w:rsidP="007577DA">
            <w:pPr>
              <w:spacing w:before="40" w:after="40" w:line="288" w:lineRule="auto"/>
              <w:ind w:right="1068"/>
              <w:jc w:val="right"/>
              <w:rPr>
                <w:rFonts w:ascii="Arial" w:hAnsi="Arial" w:cs="Arial"/>
                <w:sz w:val="20"/>
                <w:szCs w:val="20"/>
              </w:rPr>
            </w:pPr>
            <w:r w:rsidRPr="005920FA">
              <w:rPr>
                <w:rFonts w:ascii="Arial" w:hAnsi="Arial" w:cs="Arial"/>
                <w:sz w:val="20"/>
                <w:szCs w:val="20"/>
              </w:rPr>
              <w:t>28</w:t>
            </w:r>
            <w:r>
              <w:rPr>
                <w:rFonts w:ascii="Arial" w:hAnsi="Arial" w:cs="Arial"/>
                <w:sz w:val="20"/>
                <w:szCs w:val="20"/>
              </w:rPr>
              <w:t>.</w:t>
            </w:r>
            <w:r w:rsidRPr="005920FA">
              <w:rPr>
                <w:rFonts w:ascii="Arial" w:hAnsi="Arial" w:cs="Arial"/>
                <w:sz w:val="20"/>
                <w:szCs w:val="20"/>
              </w:rPr>
              <w:t>3</w:t>
            </w:r>
          </w:p>
        </w:tc>
      </w:tr>
    </w:tbl>
    <w:p w14:paraId="0566B8F7" w14:textId="77777777" w:rsidR="006A6832" w:rsidRDefault="006A6832" w:rsidP="006A6832">
      <w:pPr>
        <w:tabs>
          <w:tab w:val="num" w:pos="0"/>
          <w:tab w:val="left" w:pos="9475"/>
        </w:tabs>
        <w:spacing w:beforeLines="40" w:before="96" w:afterLines="40" w:after="96" w:line="264" w:lineRule="auto"/>
        <w:ind w:right="187" w:firstLine="567"/>
        <w:jc w:val="right"/>
        <w:rPr>
          <w:rFonts w:ascii="Arial" w:hAnsi="Arial" w:cs="Arial"/>
          <w:b/>
          <w:bCs/>
          <w:i/>
          <w:iCs/>
          <w:sz w:val="2"/>
          <w:szCs w:val="20"/>
        </w:rPr>
      </w:pPr>
      <w:r>
        <w:rPr>
          <w:rFonts w:ascii="Calibri" w:hAnsi="Calibri" w:cs="Calibri"/>
          <w:noProof/>
          <w:sz w:val="22"/>
          <w:szCs w:val="22"/>
        </w:rPr>
        <mc:AlternateContent>
          <mc:Choice Requires="wps">
            <w:drawing>
              <wp:anchor distT="0" distB="0" distL="114300" distR="114300" simplePos="0" relativeHeight="251662336" behindDoc="0" locked="0" layoutInCell="1" allowOverlap="1" wp14:anchorId="35C2F5B2" wp14:editId="1358809D">
                <wp:simplePos x="0" y="0"/>
                <wp:positionH relativeFrom="column">
                  <wp:posOffset>81915</wp:posOffset>
                </wp:positionH>
                <wp:positionV relativeFrom="paragraph">
                  <wp:posOffset>170815</wp:posOffset>
                </wp:positionV>
                <wp:extent cx="3248025" cy="2725420"/>
                <wp:effectExtent l="0" t="0" r="9525" b="0"/>
                <wp:wrapSquare wrapText="bothSides"/>
                <wp:docPr id="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2725420"/>
                        </a:xfrm>
                        <a:prstGeom prst="rect">
                          <a:avLst/>
                        </a:prstGeom>
                        <a:solidFill>
                          <a:srgbClr val="FFFFFF"/>
                        </a:solidFill>
                        <a:ln w="9525">
                          <a:noFill/>
                          <a:miter lim="800000"/>
                          <a:headEnd/>
                          <a:tailEnd/>
                        </a:ln>
                      </wps:spPr>
                      <wps:txbx>
                        <w:txbxContent>
                          <w:p w14:paraId="3EDC4BDA" w14:textId="77777777" w:rsidR="006A6832" w:rsidRPr="004B4D22" w:rsidRDefault="006A6832" w:rsidP="006A6832">
                            <w:pPr>
                              <w:spacing w:before="40" w:after="40" w:line="288" w:lineRule="auto"/>
                              <w:ind w:left="-284"/>
                              <w:jc w:val="center"/>
                              <w:rPr>
                                <w:rFonts w:ascii="Arial" w:hAnsi="Arial" w:cs="Arial"/>
                                <w:b/>
                                <w:bCs/>
                                <w:sz w:val="24"/>
                                <w:szCs w:val="24"/>
                              </w:rPr>
                            </w:pPr>
                            <w:r w:rsidRPr="004B4D22">
                              <w:rPr>
                                <w:rFonts w:ascii="Arial" w:hAnsi="Arial" w:cs="Arial"/>
                                <w:b/>
                                <w:bCs/>
                                <w:sz w:val="24"/>
                                <w:szCs w:val="24"/>
                              </w:rPr>
                              <w:t>Figure 14. Structure of imported groups</w:t>
                            </w:r>
                          </w:p>
                          <w:p w14:paraId="2456C5FC" w14:textId="77777777" w:rsidR="006A6832" w:rsidRPr="004B4D22" w:rsidRDefault="006A6832" w:rsidP="006A6832">
                            <w:pPr>
                              <w:spacing w:before="40" w:after="40" w:line="288" w:lineRule="auto"/>
                              <w:ind w:left="-284"/>
                              <w:jc w:val="center"/>
                              <w:rPr>
                                <w:rFonts w:ascii="Arial" w:hAnsi="Arial" w:cs="Arial"/>
                                <w:b/>
                                <w:bCs/>
                                <w:sz w:val="24"/>
                                <w:szCs w:val="24"/>
                              </w:rPr>
                            </w:pPr>
                            <w:r w:rsidRPr="004B4D22">
                              <w:rPr>
                                <w:rFonts w:ascii="Arial" w:hAnsi="Arial" w:cs="Arial"/>
                                <w:b/>
                                <w:bCs/>
                                <w:sz w:val="24"/>
                                <w:szCs w:val="24"/>
                              </w:rPr>
                              <w:t xml:space="preserve">in </w:t>
                            </w:r>
                            <w:r>
                              <w:rPr>
                                <w:rFonts w:ascii="Arial" w:hAnsi="Arial" w:cs="Arial"/>
                                <w:b/>
                                <w:bCs/>
                                <w:sz w:val="24"/>
                                <w:szCs w:val="24"/>
                              </w:rPr>
                              <w:t>the first 5 months</w:t>
                            </w:r>
                            <w:r w:rsidRPr="004B4D22">
                              <w:rPr>
                                <w:rFonts w:ascii="Arial" w:hAnsi="Arial" w:cs="Arial"/>
                                <w:b/>
                                <w:bCs/>
                                <w:sz w:val="24"/>
                                <w:szCs w:val="24"/>
                              </w:rPr>
                              <w:t xml:space="preserve"> of 2024</w:t>
                            </w:r>
                          </w:p>
                          <w:p w14:paraId="2FF61B95" w14:textId="77777777" w:rsidR="006A6832" w:rsidRDefault="006A6832" w:rsidP="006A6832">
                            <w:pPr>
                              <w:ind w:left="-142"/>
                              <w:jc w:val="right"/>
                              <w:rPr>
                                <w:rFonts w:ascii="Arial" w:hAnsi="Arial" w:cs="Arial"/>
                                <w:sz w:val="24"/>
                                <w:szCs w:val="24"/>
                              </w:rPr>
                            </w:pPr>
                            <w:r w:rsidRPr="00CD2C6A">
                              <w:rPr>
                                <w:noProof/>
                              </w:rPr>
                              <w:drawing>
                                <wp:inline distT="0" distB="0" distL="0" distR="0" wp14:anchorId="2A313D0D" wp14:editId="3DFFD8A4">
                                  <wp:extent cx="3056255" cy="2007870"/>
                                  <wp:effectExtent l="0" t="0" r="0" b="0"/>
                                  <wp:docPr id="15115250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56255" cy="2007870"/>
                                          </a:xfrm>
                                          <a:prstGeom prst="rect">
                                            <a:avLst/>
                                          </a:prstGeom>
                                          <a:noFill/>
                                          <a:ln>
                                            <a:noFill/>
                                          </a:ln>
                                        </pic:spPr>
                                      </pic:pic>
                                    </a:graphicData>
                                  </a:graphic>
                                </wp:inline>
                              </w:drawing>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2F5B2" id="Text Box 9" o:spid="_x0000_s1027" type="#_x0000_t202" style="position:absolute;left:0;text-align:left;margin-left:6.45pt;margin-top:13.45pt;width:255.75pt;height:21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" stroked="f">
                <v:textbox>
                  <w:txbxContent>
                    <w:p w14:paraId="3EDC4BDA" w14:textId="77777777" w:rsidR="006A6832" w:rsidRPr="004B4D22" w:rsidRDefault="006A6832" w:rsidP="006A6832">
                      <w:pPr>
                        <w:spacing w:before="40" w:after="40" w:line="288" w:lineRule="auto"/>
                        <w:ind w:left="-284"/>
                        <w:jc w:val="center"/>
                        <w:rPr>
                          <w:rFonts w:ascii="Arial" w:hAnsi="Arial" w:cs="Arial"/>
                          <w:b/>
                          <w:bCs/>
                          <w:sz w:val="24"/>
                          <w:szCs w:val="24"/>
                        </w:rPr>
                      </w:pPr>
                      <w:r w:rsidRPr="004B4D22">
                        <w:rPr>
                          <w:rFonts w:ascii="Arial" w:hAnsi="Arial" w:cs="Arial"/>
                          <w:b/>
                          <w:bCs/>
                          <w:sz w:val="24"/>
                          <w:szCs w:val="24"/>
                        </w:rPr>
                        <w:t>Figure 14. Structure of imported groups</w:t>
                      </w:r>
                    </w:p>
                    <w:p w14:paraId="2456C5FC" w14:textId="77777777" w:rsidR="006A6832" w:rsidRPr="004B4D22" w:rsidRDefault="006A6832" w:rsidP="006A6832">
                      <w:pPr>
                        <w:spacing w:before="40" w:after="40" w:line="288" w:lineRule="auto"/>
                        <w:ind w:left="-284"/>
                        <w:jc w:val="center"/>
                        <w:rPr>
                          <w:rFonts w:ascii="Arial" w:hAnsi="Arial" w:cs="Arial"/>
                          <w:b/>
                          <w:bCs/>
                          <w:sz w:val="24"/>
                          <w:szCs w:val="24"/>
                        </w:rPr>
                      </w:pPr>
                      <w:r w:rsidRPr="004B4D22">
                        <w:rPr>
                          <w:rFonts w:ascii="Arial" w:hAnsi="Arial" w:cs="Arial"/>
                          <w:b/>
                          <w:bCs/>
                          <w:sz w:val="24"/>
                          <w:szCs w:val="24"/>
                        </w:rPr>
                        <w:t xml:space="preserve">in </w:t>
                      </w:r>
                      <w:r>
                        <w:rPr>
                          <w:rFonts w:ascii="Arial" w:hAnsi="Arial" w:cs="Arial"/>
                          <w:b/>
                          <w:bCs/>
                          <w:sz w:val="24"/>
                          <w:szCs w:val="24"/>
                        </w:rPr>
                        <w:t>the first 5 months</w:t>
                      </w:r>
                      <w:r w:rsidRPr="004B4D22">
                        <w:rPr>
                          <w:rFonts w:ascii="Arial" w:hAnsi="Arial" w:cs="Arial"/>
                          <w:b/>
                          <w:bCs/>
                          <w:sz w:val="24"/>
                          <w:szCs w:val="24"/>
                        </w:rPr>
                        <w:t xml:space="preserve"> of 2024</w:t>
                      </w:r>
                    </w:p>
                    <w:p w14:paraId="2FF61B95" w14:textId="77777777" w:rsidR="006A6832" w:rsidRDefault="006A6832" w:rsidP="006A6832">
                      <w:pPr>
                        <w:ind w:left="-142"/>
                        <w:jc w:val="right"/>
                        <w:rPr>
                          <w:rFonts w:ascii="Arial" w:hAnsi="Arial" w:cs="Arial"/>
                          <w:sz w:val="24"/>
                          <w:szCs w:val="24"/>
                        </w:rPr>
                      </w:pPr>
                      <w:r w:rsidRPr="00CD2C6A">
                        <w:rPr>
                          <w:noProof/>
                        </w:rPr>
                        <w:drawing>
                          <wp:inline distT="0" distB="0" distL="0" distR="0" wp14:anchorId="2A313D0D" wp14:editId="3DFFD8A4">
                            <wp:extent cx="3056255" cy="2007870"/>
                            <wp:effectExtent l="0" t="0" r="0" b="0"/>
                            <wp:docPr id="15115250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56255" cy="2007870"/>
                                    </a:xfrm>
                                    <a:prstGeom prst="rect">
                                      <a:avLst/>
                                    </a:prstGeom>
                                    <a:noFill/>
                                    <a:ln>
                                      <a:noFill/>
                                    </a:ln>
                                  </pic:spPr>
                                </pic:pic>
                              </a:graphicData>
                            </a:graphic>
                          </wp:inline>
                        </w:drawing>
                      </w:r>
                    </w:p>
                  </w:txbxContent>
                </v:textbox>
                <w10:wrap type="square"/>
              </v:shape>
            </w:pict>
          </mc:Fallback>
        </mc:AlternateContent>
      </w:r>
    </w:p>
    <w:p w14:paraId="50D28E75" w14:textId="77777777" w:rsidR="006A6832" w:rsidRPr="004B4D22" w:rsidRDefault="006A6832" w:rsidP="006A6832">
      <w:pPr>
        <w:tabs>
          <w:tab w:val="left" w:pos="9475"/>
        </w:tabs>
        <w:spacing w:beforeLines="40" w:before="96" w:afterLines="40" w:after="96" w:line="259" w:lineRule="auto"/>
        <w:ind w:right="6"/>
        <w:jc w:val="both"/>
        <w:rPr>
          <w:rStyle w:val="Strong"/>
          <w:rFonts w:eastAsia="Batang"/>
          <w:spacing w:val="-6"/>
          <w:lang w:val="en-GB"/>
        </w:rPr>
      </w:pPr>
      <w:r w:rsidRPr="004B4D22">
        <w:rPr>
          <w:rFonts w:eastAsia="Batang"/>
          <w:i/>
          <w:iCs/>
          <w:noProof/>
          <w:spacing w:val="-6"/>
        </w:rPr>
        <w:t xml:space="preserve">Regarding the structure of imported groups </w:t>
      </w:r>
      <w:r w:rsidRPr="004B4D22">
        <w:rPr>
          <w:rFonts w:eastAsia="Batang"/>
          <w:bCs/>
          <w:i/>
          <w:iCs/>
          <w:spacing w:val="-6"/>
        </w:rPr>
        <w:t xml:space="preserve">in </w:t>
      </w:r>
      <w:r>
        <w:rPr>
          <w:rFonts w:eastAsia="Batang"/>
          <w:bCs/>
          <w:i/>
          <w:iCs/>
          <w:spacing w:val="-6"/>
        </w:rPr>
        <w:t>the first five months</w:t>
      </w:r>
      <w:r w:rsidRPr="004B4D22">
        <w:rPr>
          <w:rFonts w:eastAsia="Batang"/>
          <w:bCs/>
          <w:i/>
          <w:iCs/>
          <w:spacing w:val="-6"/>
        </w:rPr>
        <w:t xml:space="preserve"> of 2024, </w:t>
      </w:r>
      <w:r w:rsidRPr="004B4D22">
        <w:rPr>
          <w:rFonts w:eastAsia="Batang"/>
          <w:bCs/>
          <w:spacing w:val="-6"/>
        </w:rPr>
        <w:t xml:space="preserve">the group of production materials was estimated at </w:t>
      </w:r>
      <w:r>
        <w:rPr>
          <w:rFonts w:eastAsia="Batang"/>
          <w:bCs/>
          <w:spacing w:val="-6"/>
        </w:rPr>
        <w:t>139.89</w:t>
      </w:r>
      <w:r w:rsidRPr="004B4D22">
        <w:rPr>
          <w:rFonts w:eastAsia="Batang"/>
          <w:bCs/>
          <w:spacing w:val="-6"/>
        </w:rPr>
        <w:t xml:space="preserve"> billion USD, accounted for 94%, in which the group of machinery, equipment, tools spare parts accounted for 4</w:t>
      </w:r>
      <w:r>
        <w:rPr>
          <w:rFonts w:eastAsia="Batang"/>
          <w:bCs/>
          <w:spacing w:val="-6"/>
        </w:rPr>
        <w:t>5.7</w:t>
      </w:r>
      <w:r w:rsidRPr="004B4D22">
        <w:rPr>
          <w:rFonts w:eastAsia="Batang"/>
          <w:bCs/>
          <w:spacing w:val="-6"/>
        </w:rPr>
        <w:t>%; raw materials, fuel and materials accounted for 4</w:t>
      </w:r>
      <w:r>
        <w:rPr>
          <w:rFonts w:eastAsia="Batang"/>
          <w:bCs/>
          <w:spacing w:val="-6"/>
        </w:rPr>
        <w:t>8.3</w:t>
      </w:r>
      <w:r w:rsidRPr="004B4D22">
        <w:rPr>
          <w:rFonts w:eastAsia="Batang"/>
          <w:bCs/>
          <w:spacing w:val="-6"/>
        </w:rPr>
        <w:t xml:space="preserve">%. The group of consumer products was estimated at </w:t>
      </w:r>
      <w:r>
        <w:rPr>
          <w:rFonts w:eastAsia="Batang"/>
          <w:bCs/>
          <w:spacing w:val="-6"/>
        </w:rPr>
        <w:t>8.87</w:t>
      </w:r>
      <w:r w:rsidRPr="004B4D22">
        <w:rPr>
          <w:rFonts w:eastAsia="Batang"/>
          <w:bCs/>
          <w:spacing w:val="-6"/>
        </w:rPr>
        <w:t xml:space="preserve"> billion USD, accounted for </w:t>
      </w:r>
      <w:r>
        <w:rPr>
          <w:rFonts w:eastAsia="Batang"/>
          <w:bCs/>
          <w:spacing w:val="-6"/>
        </w:rPr>
        <w:t>6</w:t>
      </w:r>
      <w:r w:rsidRPr="004B4D22">
        <w:rPr>
          <w:rFonts w:eastAsia="Batang"/>
          <w:bCs/>
          <w:spacing w:val="-6"/>
        </w:rPr>
        <w:t>%</w:t>
      </w:r>
      <w:r w:rsidRPr="004B4D22">
        <w:rPr>
          <w:rFonts w:eastAsia="Batang"/>
          <w:bCs/>
          <w:i/>
          <w:iCs/>
          <w:spacing w:val="-6"/>
        </w:rPr>
        <w:t>.</w:t>
      </w:r>
    </w:p>
    <w:p w14:paraId="38AFF738" w14:textId="77777777" w:rsidR="006A6832" w:rsidRDefault="006A6832" w:rsidP="006A6832">
      <w:pPr>
        <w:tabs>
          <w:tab w:val="num" w:pos="0"/>
          <w:tab w:val="left" w:pos="9475"/>
        </w:tabs>
        <w:spacing w:beforeLines="40" w:before="96" w:afterLines="40" w:after="96" w:line="264" w:lineRule="auto"/>
        <w:ind w:right="6" w:firstLine="567"/>
        <w:jc w:val="both"/>
        <w:rPr>
          <w:i/>
        </w:rPr>
      </w:pPr>
      <w:r>
        <w:rPr>
          <w:bCs/>
          <w:i/>
        </w:rPr>
        <w:t xml:space="preserve">Regarding the export and import market of goods in the first five months of 2024, </w:t>
      </w:r>
      <w:r>
        <w:rPr>
          <w:bCs/>
          <w:iCs/>
        </w:rPr>
        <w:t>the United States was the Viet Nam's largest export market with a turnover of 44.0 billion USD. China remained the largest import market of Viet Nam with a turnover of 54.9 billion USD. In the first five months of 2024, the trade surplus to the United States reached 38.1 billion USD, up 24.2% over the same period last year; the trade surplus to the EU reached 14.3 billion USD, up 18.4%; the trade surplus to Japan was 290 million USD, down 61.8%; the trade deficit from China was 32.3 billion USD, went up 55.9%; the trade deficit from Korea was 11.1 billion USD, went up 1.3%; the trade deficit from ASEAN was 4.2 billion USD, increased by 39.1%.</w:t>
      </w:r>
    </w:p>
    <w:p w14:paraId="51ABFB94" w14:textId="77777777" w:rsidR="006A6832" w:rsidRPr="00125E33" w:rsidRDefault="006A6832" w:rsidP="006A6832">
      <w:pPr>
        <w:tabs>
          <w:tab w:val="num" w:pos="0"/>
          <w:tab w:val="left" w:pos="9475"/>
        </w:tabs>
        <w:spacing w:beforeLines="40" w:before="96" w:afterLines="40" w:after="96" w:line="264" w:lineRule="auto"/>
        <w:ind w:right="6" w:firstLine="567"/>
        <w:jc w:val="center"/>
        <w:rPr>
          <w:rFonts w:ascii="Arial" w:hAnsi="Arial" w:cs="Arial"/>
          <w:b/>
          <w:iCs/>
          <w:sz w:val="24"/>
          <w:szCs w:val="24"/>
          <w:lang w:val="en-GB"/>
        </w:rPr>
      </w:pPr>
      <w:r w:rsidRPr="00125E33">
        <w:rPr>
          <w:rFonts w:ascii="Arial" w:hAnsi="Arial" w:cs="Arial"/>
          <w:b/>
          <w:iCs/>
          <w:sz w:val="24"/>
          <w:szCs w:val="24"/>
        </w:rPr>
        <w:t xml:space="preserve">Figure 15. Major </w:t>
      </w:r>
      <w:proofErr w:type="gramStart"/>
      <w:r w:rsidRPr="00125E33">
        <w:rPr>
          <w:rFonts w:ascii="Arial" w:hAnsi="Arial" w:cs="Arial"/>
          <w:b/>
          <w:iCs/>
          <w:sz w:val="24"/>
          <w:szCs w:val="24"/>
        </w:rPr>
        <w:t>commodity</w:t>
      </w:r>
      <w:proofErr w:type="gramEnd"/>
      <w:r w:rsidRPr="00125E33">
        <w:rPr>
          <w:rFonts w:ascii="Arial" w:hAnsi="Arial" w:cs="Arial"/>
          <w:b/>
          <w:iCs/>
          <w:sz w:val="24"/>
          <w:szCs w:val="24"/>
        </w:rPr>
        <w:t xml:space="preserve"> import and export markets </w:t>
      </w:r>
      <w:r>
        <w:rPr>
          <w:rFonts w:ascii="Arial" w:hAnsi="Arial" w:cs="Arial"/>
          <w:b/>
          <w:iCs/>
          <w:sz w:val="24"/>
          <w:szCs w:val="24"/>
        </w:rPr>
        <w:br/>
        <w:t xml:space="preserve"> </w:t>
      </w:r>
      <w:r w:rsidRPr="00125E33">
        <w:rPr>
          <w:rFonts w:ascii="Arial" w:hAnsi="Arial" w:cs="Arial"/>
          <w:b/>
          <w:iCs/>
          <w:sz w:val="24"/>
          <w:szCs w:val="24"/>
        </w:rPr>
        <w:t xml:space="preserve">in </w:t>
      </w:r>
      <w:r>
        <w:rPr>
          <w:rFonts w:ascii="Arial" w:hAnsi="Arial" w:cs="Arial"/>
          <w:b/>
          <w:iCs/>
          <w:sz w:val="24"/>
          <w:szCs w:val="24"/>
        </w:rPr>
        <w:t xml:space="preserve">the first 5 months </w:t>
      </w:r>
      <w:r w:rsidRPr="00125E33">
        <w:rPr>
          <w:rFonts w:ascii="Arial" w:hAnsi="Arial" w:cs="Arial"/>
          <w:b/>
          <w:iCs/>
          <w:sz w:val="24"/>
          <w:szCs w:val="24"/>
        </w:rPr>
        <w:t>of 2024</w:t>
      </w:r>
    </w:p>
    <w:tbl>
      <w:tblPr>
        <w:tblStyle w:val="TableGrid"/>
        <w:tblW w:w="92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8"/>
        <w:gridCol w:w="604"/>
        <w:gridCol w:w="2212"/>
        <w:gridCol w:w="2770"/>
        <w:gridCol w:w="1413"/>
        <w:gridCol w:w="523"/>
      </w:tblGrid>
      <w:tr w:rsidR="006A6832" w14:paraId="487CD802" w14:textId="77777777" w:rsidTr="007577DA">
        <w:trPr>
          <w:trHeight w:val="3989"/>
          <w:jc w:val="center"/>
        </w:trPr>
        <w:tc>
          <w:tcPr>
            <w:tcW w:w="4564" w:type="dxa"/>
            <w:gridSpan w:val="3"/>
            <w:hideMark/>
          </w:tcPr>
          <w:p w14:paraId="4DDF4D9B" w14:textId="77777777" w:rsidR="006A6832" w:rsidRDefault="006A6832" w:rsidP="007577DA">
            <w:pPr>
              <w:tabs>
                <w:tab w:val="num" w:pos="0"/>
                <w:tab w:val="left" w:pos="9475"/>
              </w:tabs>
              <w:spacing w:beforeLines="40" w:before="96" w:afterLines="40" w:after="96" w:line="264" w:lineRule="auto"/>
              <w:ind w:right="-118"/>
              <w:jc w:val="both"/>
              <w:rPr>
                <w:rFonts w:ascii="Calibri" w:hAnsi="Calibri" w:cs="Calibri"/>
                <w:iCs/>
              </w:rPr>
            </w:pPr>
            <w:r>
              <w:rPr>
                <w:noProof/>
              </w:rPr>
              <w:lastRenderedPageBreak/>
              <w:drawing>
                <wp:inline distT="0" distB="0" distL="0" distR="0" wp14:anchorId="454ABD6F" wp14:editId="5F522037">
                  <wp:extent cx="2811439" cy="2299335"/>
                  <wp:effectExtent l="0" t="0" r="8255" b="5715"/>
                  <wp:docPr id="547324847" name="Chart 1">
                    <a:extLst xmlns:a="http://schemas.openxmlformats.org/drawingml/2006/main">
                      <a:ext uri="{FF2B5EF4-FFF2-40B4-BE49-F238E27FC236}">
                        <a16:creationId xmlns:a16="http://schemas.microsoft.com/office/drawing/2014/main" id="{44D50716-56FF-4985-B386-1B9125899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4706" w:type="dxa"/>
            <w:gridSpan w:val="3"/>
            <w:hideMark/>
          </w:tcPr>
          <w:p w14:paraId="0AB12248" w14:textId="77777777" w:rsidR="006A6832" w:rsidRDefault="006A6832" w:rsidP="007577DA">
            <w:pPr>
              <w:tabs>
                <w:tab w:val="num" w:pos="-134"/>
                <w:tab w:val="left" w:pos="9475"/>
              </w:tabs>
              <w:spacing w:beforeLines="40" w:before="96" w:afterLines="40" w:after="96" w:line="264" w:lineRule="auto"/>
              <w:ind w:right="6" w:hanging="134"/>
              <w:jc w:val="both"/>
              <w:rPr>
                <w:iCs/>
              </w:rPr>
            </w:pPr>
            <w:r>
              <w:rPr>
                <w:noProof/>
              </w:rPr>
              <w:drawing>
                <wp:inline distT="0" distB="0" distL="0" distR="0" wp14:anchorId="6CAAD676" wp14:editId="70F27010">
                  <wp:extent cx="2851150" cy="2299335"/>
                  <wp:effectExtent l="0" t="0" r="6350" b="5715"/>
                  <wp:docPr id="574058605" name="Chart 1">
                    <a:extLst xmlns:a="http://schemas.openxmlformats.org/drawingml/2006/main">
                      <a:ext uri="{FF2B5EF4-FFF2-40B4-BE49-F238E27FC236}">
                        <a16:creationId xmlns:a16="http://schemas.microsoft.com/office/drawing/2014/main" id="{6679D1D4-83B8-4932-992B-50028A3F5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6A6832" w14:paraId="3C62183F" w14:textId="77777777" w:rsidTr="007577DA">
        <w:trPr>
          <w:gridAfter w:val="1"/>
          <w:wAfter w:w="523" w:type="dxa"/>
          <w:trHeight w:val="160"/>
          <w:jc w:val="center"/>
        </w:trPr>
        <w:tc>
          <w:tcPr>
            <w:tcW w:w="1748" w:type="dxa"/>
          </w:tcPr>
          <w:p w14:paraId="787792E0" w14:textId="77777777" w:rsidR="006A6832" w:rsidRDefault="006A6832" w:rsidP="007577DA">
            <w:pPr>
              <w:spacing w:beforeLines="40" w:before="96" w:afterLines="40" w:after="96" w:line="264" w:lineRule="auto"/>
              <w:ind w:firstLine="567"/>
              <w:jc w:val="both"/>
              <w:rPr>
                <w:b/>
                <w:bCs/>
                <w:i/>
                <w:iCs/>
              </w:rPr>
            </w:pPr>
          </w:p>
        </w:tc>
        <w:tc>
          <w:tcPr>
            <w:tcW w:w="604" w:type="dxa"/>
          </w:tcPr>
          <w:p w14:paraId="1E4A8686" w14:textId="77777777" w:rsidR="006A6832" w:rsidRDefault="006A6832" w:rsidP="007577DA">
            <w:pPr>
              <w:spacing w:beforeLines="40" w:before="96" w:afterLines="40" w:after="96" w:line="264" w:lineRule="auto"/>
              <w:ind w:firstLine="567"/>
              <w:jc w:val="both"/>
              <w:rPr>
                <w:b/>
                <w:bCs/>
                <w:i/>
                <w:iCs/>
                <w:color w:val="FF0000"/>
              </w:rPr>
            </w:pPr>
          </w:p>
        </w:tc>
        <w:tc>
          <w:tcPr>
            <w:tcW w:w="2212" w:type="dxa"/>
            <w:hideMark/>
          </w:tcPr>
          <w:p w14:paraId="2C1792EE" w14:textId="77777777" w:rsidR="006A6832" w:rsidRDefault="006A6832" w:rsidP="007577DA">
            <w:pPr>
              <w:spacing w:beforeLines="40" w:before="96" w:afterLines="40" w:after="96" w:line="264" w:lineRule="auto"/>
              <w:ind w:firstLine="567"/>
              <w:jc w:val="both"/>
              <w:rPr>
                <w:b/>
                <w:bCs/>
                <w:i/>
                <w:iCs/>
              </w:rPr>
            </w:pPr>
            <w:r>
              <w:rPr>
                <w:noProof/>
              </w:rPr>
              <mc:AlternateContent>
                <mc:Choice Requires="wps">
                  <w:drawing>
                    <wp:anchor distT="0" distB="0" distL="114300" distR="114300" simplePos="0" relativeHeight="251659264" behindDoc="0" locked="0" layoutInCell="1" allowOverlap="1" wp14:anchorId="1FC2181D" wp14:editId="7423E593">
                      <wp:simplePos x="0" y="0"/>
                      <wp:positionH relativeFrom="column">
                        <wp:posOffset>98425</wp:posOffset>
                      </wp:positionH>
                      <wp:positionV relativeFrom="paragraph">
                        <wp:posOffset>36195</wp:posOffset>
                      </wp:positionV>
                      <wp:extent cx="125730" cy="90170"/>
                      <wp:effectExtent l="0" t="0" r="0" b="0"/>
                      <wp:wrapNone/>
                      <wp:docPr id="3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D74FA" id="Rectangle 7" o:spid="_x0000_s1026" style="position:absolute;margin-left:7.75pt;margin-top:2.85pt;width:9.9pt;height: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" fillcolor="#c00000" stroked="f" strokeweight="1pt"/>
                  </w:pict>
                </mc:Fallback>
              </mc:AlternateContent>
            </w:r>
            <w:r>
              <w:rPr>
                <w:rFonts w:ascii="Arial" w:hAnsi="Arial" w:cs="Arial"/>
                <w:b/>
                <w:bCs/>
                <w:iCs/>
                <w:sz w:val="16"/>
                <w:szCs w:val="16"/>
              </w:rPr>
              <w:t>Export of goods</w:t>
            </w:r>
          </w:p>
        </w:tc>
        <w:tc>
          <w:tcPr>
            <w:tcW w:w="2770" w:type="dxa"/>
            <w:hideMark/>
          </w:tcPr>
          <w:p w14:paraId="1F6C7C8B" w14:textId="77777777" w:rsidR="006A6832" w:rsidRDefault="006A6832" w:rsidP="007577DA">
            <w:pPr>
              <w:spacing w:beforeLines="40" w:before="96" w:afterLines="40" w:after="96" w:line="264" w:lineRule="auto"/>
              <w:ind w:firstLine="567"/>
              <w:jc w:val="both"/>
              <w:rPr>
                <w:b/>
                <w:bCs/>
                <w:i/>
                <w:iCs/>
              </w:rPr>
            </w:pPr>
            <w:r>
              <w:rPr>
                <w:noProof/>
              </w:rPr>
              <mc:AlternateContent>
                <mc:Choice Requires="wps">
                  <w:drawing>
                    <wp:anchor distT="0" distB="0" distL="114300" distR="114300" simplePos="0" relativeHeight="251660288" behindDoc="0" locked="0" layoutInCell="1" allowOverlap="1" wp14:anchorId="202B3ED3" wp14:editId="3615F966">
                      <wp:simplePos x="0" y="0"/>
                      <wp:positionH relativeFrom="column">
                        <wp:posOffset>109855</wp:posOffset>
                      </wp:positionH>
                      <wp:positionV relativeFrom="paragraph">
                        <wp:posOffset>36195</wp:posOffset>
                      </wp:positionV>
                      <wp:extent cx="125730" cy="90170"/>
                      <wp:effectExtent l="0" t="0" r="26670" b="24130"/>
                      <wp:wrapNone/>
                      <wp:docPr id="2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FFFF00"/>
                              </a:solidFill>
                              <a:ln w="635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23291" id="Rectangle 6" o:spid="_x0000_s1026" style="position:absolute;margin-left:8.65pt;margin-top:2.85pt;width:9.9pt;height: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" fillcolor="yellow" strokecolor="#393737 [814]" strokeweight=".5pt">
                      <v:path arrowok="t"/>
                    </v:rect>
                  </w:pict>
                </mc:Fallback>
              </mc:AlternateContent>
            </w:r>
            <w:r>
              <w:rPr>
                <w:rFonts w:ascii="Arial" w:hAnsi="Arial" w:cs="Arial"/>
                <w:b/>
                <w:bCs/>
                <w:iCs/>
                <w:sz w:val="16"/>
                <w:szCs w:val="16"/>
              </w:rPr>
              <w:t>Import of goods</w:t>
            </w:r>
          </w:p>
        </w:tc>
        <w:tc>
          <w:tcPr>
            <w:tcW w:w="1413" w:type="dxa"/>
          </w:tcPr>
          <w:p w14:paraId="1FF2B04C" w14:textId="77777777" w:rsidR="006A6832" w:rsidRDefault="006A6832" w:rsidP="007577DA">
            <w:pPr>
              <w:spacing w:beforeLines="40" w:before="96" w:afterLines="40" w:after="96" w:line="264" w:lineRule="auto"/>
              <w:ind w:firstLine="567"/>
              <w:jc w:val="both"/>
              <w:rPr>
                <w:b/>
                <w:bCs/>
                <w:i/>
                <w:iCs/>
              </w:rPr>
            </w:pPr>
          </w:p>
        </w:tc>
      </w:tr>
    </w:tbl>
    <w:p w14:paraId="1A48EB0D" w14:textId="77777777" w:rsidR="006A6832" w:rsidRDefault="006A6832" w:rsidP="006A6832">
      <w:pPr>
        <w:spacing w:beforeLines="40" w:before="96" w:afterLines="40" w:after="96" w:line="264" w:lineRule="auto"/>
        <w:ind w:firstLine="567"/>
        <w:jc w:val="both"/>
        <w:rPr>
          <w:iCs/>
        </w:rPr>
      </w:pPr>
      <w:r>
        <w:rPr>
          <w:i/>
        </w:rPr>
        <w:t>The trade balance of goods</w:t>
      </w:r>
      <w:r>
        <w:rPr>
          <w:iCs/>
        </w:rPr>
        <w:t xml:space="preserve"> in April had a trade surplus of 1.07 billion USD</w:t>
      </w:r>
      <w:r>
        <w:rPr>
          <w:vertAlign w:val="superscript"/>
        </w:rPr>
        <w:footnoteReference w:id="15"/>
      </w:r>
      <w:r>
        <w:rPr>
          <w:iCs/>
        </w:rPr>
        <w:t xml:space="preserve">; the first four months of 2024 had a trade surplus of 9.01 billion USD; May was estimated to have a trade surplus of 1.0 billion USD. </w:t>
      </w:r>
      <w:proofErr w:type="gramStart"/>
      <w:r>
        <w:rPr>
          <w:iCs/>
        </w:rPr>
        <w:t>Generally</w:t>
      </w:r>
      <w:proofErr w:type="gramEnd"/>
      <w:r>
        <w:rPr>
          <w:iCs/>
        </w:rPr>
        <w:t xml:space="preserve"> in the first five months of 2024, the trade balance of goods is estimated to have a trade surplus of 8.01 billion USD (in the same period last year, the trade surplus of 10.2 billion USD). Of which, the domestic economic sector has a trade deficit of 11.26 billion USD; the FDI sector (including crude oil) had a trade surplus of 19.27 billion USD.</w:t>
      </w:r>
      <w:bookmarkEnd w:id="7"/>
    </w:p>
    <w:p w14:paraId="0CD899FF" w14:textId="77777777" w:rsidR="006A6832" w:rsidRDefault="006A6832" w:rsidP="006A6832">
      <w:pPr>
        <w:spacing w:after="120" w:line="276" w:lineRule="auto"/>
        <w:ind w:firstLine="567"/>
        <w:jc w:val="both"/>
        <w:rPr>
          <w:b/>
          <w:i/>
          <w:lang w:val="en-IN"/>
        </w:rPr>
      </w:pPr>
      <w:r w:rsidRPr="00D05EBC">
        <w:rPr>
          <w:b/>
          <w:i/>
          <w:lang w:val="en-IN"/>
        </w:rPr>
        <w:t>c) Consumer price index, gold price index and US dollar price index</w:t>
      </w:r>
    </w:p>
    <w:p w14:paraId="6C9878BE" w14:textId="77777777" w:rsidR="006A6832" w:rsidRPr="001B3E3D" w:rsidRDefault="006A6832" w:rsidP="006A6832">
      <w:pPr>
        <w:spacing w:after="120" w:line="276" w:lineRule="auto"/>
        <w:ind w:firstLine="567"/>
        <w:jc w:val="both"/>
        <w:rPr>
          <w:rFonts w:eastAsia="Calibri"/>
          <w:i/>
          <w:lang w:val="x-none" w:eastAsia="x-none"/>
        </w:rPr>
      </w:pPr>
      <w:r w:rsidRPr="001B3E3D">
        <w:rPr>
          <w:rFonts w:eastAsia="Calibri"/>
          <w:i/>
          <w:lang w:val="x-none" w:eastAsia="x-none"/>
        </w:rPr>
        <w:t>Pork prices increase due to supply shortages after the African swine fever epidemic at the end of 2023, and increased electricity prices during hot weather are the main reasons for the increase in the consumer price index (CPI) in May 2024</w:t>
      </w:r>
      <w:r>
        <w:rPr>
          <w:rFonts w:eastAsia="Calibri"/>
          <w:i/>
          <w:lang w:eastAsia="x-none"/>
        </w:rPr>
        <w:t xml:space="preserve"> </w:t>
      </w:r>
      <w:r w:rsidRPr="00A866A9">
        <w:rPr>
          <w:rFonts w:eastAsia="Calibri"/>
          <w:i/>
          <w:lang w:val="x-none" w:eastAsia="x-none"/>
        </w:rPr>
        <w:t>increased by</w:t>
      </w:r>
      <w:r>
        <w:rPr>
          <w:rFonts w:eastAsia="Calibri"/>
          <w:i/>
          <w:lang w:eastAsia="x-none"/>
        </w:rPr>
        <w:t xml:space="preserve"> </w:t>
      </w:r>
      <w:r w:rsidRPr="001B3E3D">
        <w:rPr>
          <w:rFonts w:eastAsia="Calibri"/>
          <w:i/>
          <w:lang w:val="x-none" w:eastAsia="x-none"/>
        </w:rPr>
        <w:t>0.05% compared to last month. Compared to December 2023, CPI in May increased by 1.24% and compared to the same period last year increased by 4.44%.</w:t>
      </w:r>
    </w:p>
    <w:p w14:paraId="305CF833" w14:textId="77777777" w:rsidR="006A6832" w:rsidRDefault="006A6832" w:rsidP="006A6832">
      <w:pPr>
        <w:spacing w:after="120" w:line="276" w:lineRule="auto"/>
        <w:ind w:firstLine="567"/>
        <w:jc w:val="both"/>
        <w:rPr>
          <w:rFonts w:eastAsia="Calibri"/>
          <w:i/>
          <w:lang w:val="x-none" w:eastAsia="x-none"/>
        </w:rPr>
      </w:pPr>
      <w:r w:rsidRPr="001B3E3D">
        <w:rPr>
          <w:rFonts w:eastAsia="Calibri"/>
          <w:i/>
          <w:lang w:val="x-none" w:eastAsia="x-none"/>
        </w:rPr>
        <w:t xml:space="preserve">On average, in the first 5 months of 2024, CPI increased by 4.03% over the same period last year; </w:t>
      </w:r>
      <w:r>
        <w:rPr>
          <w:rFonts w:eastAsia="Calibri"/>
          <w:i/>
          <w:lang w:eastAsia="x-none"/>
        </w:rPr>
        <w:t>c</w:t>
      </w:r>
      <w:r w:rsidRPr="001B3E3D">
        <w:rPr>
          <w:rFonts w:eastAsia="Calibri"/>
          <w:i/>
          <w:lang w:val="x-none" w:eastAsia="x-none"/>
        </w:rPr>
        <w:t>ore inflation increased by 2.78%.</w:t>
      </w:r>
    </w:p>
    <w:p w14:paraId="79AA9B02" w14:textId="77777777" w:rsidR="006A6832" w:rsidRDefault="006A6832" w:rsidP="006A6832">
      <w:pPr>
        <w:jc w:val="center"/>
        <w:rPr>
          <w:rFonts w:ascii="Arial" w:eastAsia="Calibri" w:hAnsi="Arial" w:cs="Arial"/>
          <w:b/>
          <w:sz w:val="24"/>
          <w:szCs w:val="24"/>
          <w:lang w:val="nl-NL"/>
        </w:rPr>
      </w:pPr>
      <w:r w:rsidRPr="00B23703">
        <w:rPr>
          <w:rFonts w:ascii="Arial" w:eastAsia="Calibri" w:hAnsi="Arial" w:cs="Arial"/>
          <w:b/>
          <w:sz w:val="24"/>
          <w:szCs w:val="24"/>
          <w:lang w:val="nl-NL"/>
        </w:rPr>
        <w:t>Figure 15. CPI increase/decrease rate in May 2024 compared to the previous month</w:t>
      </w:r>
    </w:p>
    <w:p w14:paraId="21099DCE" w14:textId="77777777" w:rsidR="006A6832" w:rsidRPr="00B23703" w:rsidRDefault="006A6832" w:rsidP="006A6832">
      <w:pPr>
        <w:jc w:val="center"/>
        <w:rPr>
          <w:rFonts w:ascii="Arial" w:eastAsia="Calibri" w:hAnsi="Arial" w:cs="Arial"/>
          <w:b/>
          <w:sz w:val="24"/>
          <w:szCs w:val="24"/>
          <w:lang w:val="nl-NL"/>
        </w:rPr>
      </w:pPr>
      <w:r>
        <w:rPr>
          <w:noProof/>
        </w:rPr>
        <w:lastRenderedPageBreak/>
        <w:drawing>
          <wp:inline distT="0" distB="0" distL="0" distR="0" wp14:anchorId="56A39BC0" wp14:editId="5D9AF76E">
            <wp:extent cx="5760720" cy="3614420"/>
            <wp:effectExtent l="0" t="0" r="11430" b="5080"/>
            <wp:docPr id="2141101898" name="Chart 214110189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8F7A7E7" w14:textId="77777777" w:rsidR="006A6832" w:rsidRPr="00B23703" w:rsidRDefault="006A6832" w:rsidP="006A6832">
      <w:pPr>
        <w:jc w:val="center"/>
        <w:rPr>
          <w:rFonts w:ascii="Arial" w:eastAsia="Calibri" w:hAnsi="Arial" w:cs="Arial"/>
          <w:b/>
          <w:sz w:val="24"/>
          <w:szCs w:val="24"/>
          <w:lang w:val="nl-NL"/>
        </w:rPr>
      </w:pPr>
    </w:p>
    <w:p w14:paraId="1FF10803" w14:textId="77777777" w:rsidR="006A6832" w:rsidRPr="00B23703" w:rsidRDefault="006A6832" w:rsidP="006A6832">
      <w:pPr>
        <w:widowControl w:val="0"/>
        <w:spacing w:after="120" w:line="276" w:lineRule="auto"/>
        <w:ind w:firstLine="567"/>
        <w:jc w:val="both"/>
        <w:rPr>
          <w:rFonts w:eastAsia="Calibri"/>
          <w:lang w:val="nl-NL"/>
        </w:rPr>
      </w:pPr>
      <w:r w:rsidRPr="00B23703">
        <w:rPr>
          <w:rFonts w:eastAsia="Calibri"/>
          <w:lang w:val="nl-NL"/>
        </w:rPr>
        <w:t>In the 0.05% increase in CPI in May 2024 compared to the previous month, there were 07 groups of goods and services with increased price indexes; 03 groups of discounted products and 01 group of products with stable prices.</w:t>
      </w:r>
    </w:p>
    <w:p w14:paraId="7CCD0C50" w14:textId="77777777" w:rsidR="006A6832" w:rsidRDefault="006A6832" w:rsidP="006A6832">
      <w:pPr>
        <w:tabs>
          <w:tab w:val="left" w:pos="993"/>
        </w:tabs>
        <w:spacing w:after="120" w:line="276" w:lineRule="auto"/>
        <w:ind w:firstLine="567"/>
        <w:jc w:val="both"/>
        <w:rPr>
          <w:rFonts w:eastAsia="Calibri"/>
          <w:lang w:val="es-NI"/>
        </w:rPr>
      </w:pPr>
      <w:r w:rsidRPr="00B23703">
        <w:rPr>
          <w:rFonts w:eastAsia="Calibri"/>
          <w:lang w:val="es-NI"/>
        </w:rPr>
        <w:t>(1) Seven groups of goods and services with increased price index include:</w:t>
      </w:r>
    </w:p>
    <w:p w14:paraId="615E663A" w14:textId="77777777" w:rsidR="006A6832" w:rsidRPr="00422850" w:rsidRDefault="006A6832" w:rsidP="006A6832">
      <w:pPr>
        <w:tabs>
          <w:tab w:val="left" w:pos="993"/>
        </w:tabs>
        <w:spacing w:after="120" w:line="276" w:lineRule="auto"/>
        <w:ind w:firstLine="567"/>
        <w:jc w:val="both"/>
        <w:rPr>
          <w:rFonts w:eastAsia="Calibri"/>
          <w:lang w:val="es-NI"/>
        </w:rPr>
      </w:pPr>
      <w:r w:rsidRPr="00B23703">
        <w:rPr>
          <w:i/>
          <w:lang w:val="nl-NL"/>
        </w:rPr>
        <w:t xml:space="preserve">- </w:t>
      </w:r>
      <w:r w:rsidRPr="00BA21B7">
        <w:rPr>
          <w:i/>
          <w:iCs/>
          <w:lang w:val="es-NI"/>
        </w:rPr>
        <w:t xml:space="preserve">Food and </w:t>
      </w:r>
      <w:r>
        <w:rPr>
          <w:i/>
          <w:iCs/>
          <w:lang w:val="es-NI"/>
        </w:rPr>
        <w:t>foodstuff</w:t>
      </w:r>
      <w:r w:rsidRPr="00BA21B7">
        <w:rPr>
          <w:i/>
          <w:iCs/>
          <w:lang w:val="es-NI"/>
        </w:rPr>
        <w:t xml:space="preserve"> services group </w:t>
      </w:r>
      <w:r w:rsidRPr="00BA21B7">
        <w:rPr>
          <w:iCs/>
          <w:lang w:val="es-NI"/>
        </w:rPr>
        <w:t>increased by 0.38% (</w:t>
      </w:r>
      <w:r w:rsidRPr="006B5A12">
        <w:t>making the general CPI</w:t>
      </w:r>
      <w:r>
        <w:rPr>
          <w:iCs/>
          <w:lang w:val="es-NI"/>
        </w:rPr>
        <w:t xml:space="preserve"> </w:t>
      </w:r>
      <w:r w:rsidRPr="00BA21B7">
        <w:rPr>
          <w:iCs/>
          <w:lang w:val="es-NI"/>
        </w:rPr>
        <w:t>increase by 0.13 percentage points), of which: Food decreased</w:t>
      </w:r>
      <w:r w:rsidRPr="00B23703">
        <w:rPr>
          <w:iCs/>
          <w:lang w:val="vi-VN"/>
        </w:rPr>
        <w:t xml:space="preserve"> </w:t>
      </w:r>
      <w:r>
        <w:rPr>
          <w:iCs/>
          <w:lang w:val="es-NI"/>
        </w:rPr>
        <w:t>0.26%</w:t>
      </w:r>
      <w:r w:rsidRPr="00B23703">
        <w:rPr>
          <w:vertAlign w:val="superscript"/>
          <w:lang w:val="nl-NL"/>
        </w:rPr>
        <w:footnoteReference w:id="16"/>
      </w:r>
      <w:r w:rsidRPr="00BA21B7">
        <w:rPr>
          <w:iCs/>
          <w:lang w:val="es-NI"/>
        </w:rPr>
        <w:t xml:space="preserve">; </w:t>
      </w:r>
      <w:r w:rsidRPr="00BA21B7">
        <w:rPr>
          <w:iCs/>
          <w:lang w:val="es-NI"/>
        </w:rPr>
        <w:lastRenderedPageBreak/>
        <w:t>food</w:t>
      </w:r>
      <w:r>
        <w:rPr>
          <w:iCs/>
          <w:lang w:val="es-NI"/>
        </w:rPr>
        <w:t>stuff</w:t>
      </w:r>
      <w:r w:rsidRPr="00BA21B7">
        <w:rPr>
          <w:iCs/>
          <w:lang w:val="es-NI"/>
        </w:rPr>
        <w:t xml:space="preserve"> increased by 0.59%</w:t>
      </w:r>
      <w:r w:rsidRPr="00B23703">
        <w:rPr>
          <w:vertAlign w:val="superscript"/>
          <w:lang w:val="nl-NL"/>
        </w:rPr>
        <w:footnoteReference w:id="17"/>
      </w:r>
      <w:r w:rsidRPr="00BA21B7">
        <w:rPr>
          <w:iCs/>
          <w:lang w:val="es-NI"/>
        </w:rPr>
        <w:t xml:space="preserve"> (</w:t>
      </w:r>
      <w:r w:rsidRPr="006B5A12">
        <w:t>making the general CPI</w:t>
      </w:r>
      <w:r w:rsidRPr="00BA21B7">
        <w:rPr>
          <w:iCs/>
          <w:lang w:val="es-NI"/>
        </w:rPr>
        <w:t xml:space="preserve"> increa</w:t>
      </w:r>
      <w:r>
        <w:rPr>
          <w:iCs/>
          <w:lang w:val="es-NI"/>
        </w:rPr>
        <w:t>se by 0.13 percentage points); meals and drinking out increased by 0.14%</w:t>
      </w:r>
      <w:r w:rsidRPr="00B23703">
        <w:rPr>
          <w:vertAlign w:val="superscript"/>
          <w:lang w:val="nl-NL"/>
        </w:rPr>
        <w:footnoteReference w:id="18"/>
      </w:r>
      <w:r w:rsidRPr="00BA21B7">
        <w:rPr>
          <w:iCs/>
          <w:lang w:val="es-NI"/>
        </w:rPr>
        <w:t>.</w:t>
      </w:r>
    </w:p>
    <w:p w14:paraId="7D84A100" w14:textId="77777777" w:rsidR="006A6832" w:rsidRDefault="006A6832" w:rsidP="006A6832">
      <w:pPr>
        <w:tabs>
          <w:tab w:val="left" w:pos="993"/>
        </w:tabs>
        <w:spacing w:after="120" w:line="276" w:lineRule="auto"/>
        <w:ind w:firstLine="567"/>
        <w:jc w:val="both"/>
        <w:rPr>
          <w:rFonts w:eastAsia="Calibri"/>
          <w:lang w:val="es-NI"/>
        </w:rPr>
      </w:pPr>
      <w:r w:rsidRPr="000B4324">
        <w:rPr>
          <w:rFonts w:eastAsia="Calibri"/>
          <w:i/>
          <w:lang w:val="es-NI"/>
        </w:rPr>
        <w:t xml:space="preserve">- Housing and construction materials group </w:t>
      </w:r>
      <w:r w:rsidRPr="000B4324">
        <w:rPr>
          <w:rFonts w:eastAsia="Calibri"/>
          <w:lang w:val="es-NI"/>
        </w:rPr>
        <w:t>increased by 0.38% mainly due to domestic electrici</w:t>
      </w:r>
      <w:r>
        <w:rPr>
          <w:rFonts w:eastAsia="Calibri"/>
          <w:lang w:val="es-NI"/>
        </w:rPr>
        <w:t>ty prices increasing by 2.11%; p</w:t>
      </w:r>
      <w:r w:rsidRPr="000B4324">
        <w:rPr>
          <w:rFonts w:eastAsia="Calibri"/>
          <w:lang w:val="es-NI"/>
        </w:rPr>
        <w:t>rices of housing maintenance</w:t>
      </w:r>
      <w:r>
        <w:rPr>
          <w:rFonts w:eastAsia="Calibri"/>
          <w:lang w:val="es-NI"/>
        </w:rPr>
        <w:t xml:space="preserve"> materials increased by 0.28%; h</w:t>
      </w:r>
      <w:r w:rsidRPr="000B4324">
        <w:rPr>
          <w:rFonts w:eastAsia="Calibri"/>
          <w:lang w:val="es-NI"/>
        </w:rPr>
        <w:t>ouse rent increa</w:t>
      </w:r>
      <w:r>
        <w:rPr>
          <w:rFonts w:eastAsia="Calibri"/>
          <w:lang w:val="es-NI"/>
        </w:rPr>
        <w:t xml:space="preserve">sed by 0.23%. Besides the price </w:t>
      </w:r>
      <w:r w:rsidRPr="000B4324">
        <w:rPr>
          <w:rFonts w:eastAsia="Calibri"/>
          <w:lang w:val="es-NI"/>
        </w:rPr>
        <w:t>increasing items, there are a</w:t>
      </w:r>
      <w:r>
        <w:rPr>
          <w:rFonts w:eastAsia="Calibri"/>
          <w:lang w:val="es-NI"/>
        </w:rPr>
        <w:t xml:space="preserve"> number of price </w:t>
      </w:r>
      <w:r w:rsidRPr="000B4324">
        <w:rPr>
          <w:rFonts w:eastAsia="Calibri"/>
          <w:lang w:val="es-NI"/>
        </w:rPr>
        <w:t>decreasing items: Kerosene price decreased by 5.23% due to the impact of price</w:t>
      </w:r>
      <w:r>
        <w:rPr>
          <w:rFonts w:eastAsia="Calibri"/>
          <w:lang w:val="es-NI"/>
        </w:rPr>
        <w:t xml:space="preserve"> adjustments during the month; g</w:t>
      </w:r>
      <w:r w:rsidRPr="000B4324">
        <w:rPr>
          <w:rFonts w:eastAsia="Calibri"/>
          <w:lang w:val="es-NI"/>
        </w:rPr>
        <w:t xml:space="preserve">as prices decreased by 1.6% because from </w:t>
      </w:r>
      <w:r>
        <w:rPr>
          <w:rFonts w:eastAsia="Calibri"/>
          <w:lang w:val="es-NI"/>
        </w:rPr>
        <w:t>01/5/2024</w:t>
      </w:r>
      <w:r w:rsidRPr="000B4324">
        <w:rPr>
          <w:rFonts w:eastAsia="Calibri"/>
          <w:lang w:val="es-NI"/>
        </w:rPr>
        <w:t>, domestic gas prices were adjusted to decrease by 7,300 VND/12 kg tank after world gas prices decreased by 35 USD/ton compared to t</w:t>
      </w:r>
      <w:r>
        <w:rPr>
          <w:rFonts w:eastAsia="Calibri"/>
          <w:lang w:val="es-NI"/>
        </w:rPr>
        <w:t>he previous month to 582.5 USD</w:t>
      </w:r>
      <w:r w:rsidRPr="000B4324">
        <w:rPr>
          <w:rFonts w:eastAsia="Calibri"/>
          <w:lang w:val="es-NI"/>
        </w:rPr>
        <w:t>/ton.</w:t>
      </w:r>
    </w:p>
    <w:p w14:paraId="64216659" w14:textId="77777777" w:rsidR="006A6832" w:rsidRDefault="006A6832" w:rsidP="006A6832">
      <w:pPr>
        <w:tabs>
          <w:tab w:val="left" w:pos="993"/>
        </w:tabs>
        <w:spacing w:after="120" w:line="264" w:lineRule="auto"/>
        <w:ind w:firstLine="567"/>
        <w:jc w:val="both"/>
        <w:rPr>
          <w:rFonts w:eastAsia="Calibri"/>
          <w:lang w:val="es-NI"/>
        </w:rPr>
      </w:pPr>
      <w:r w:rsidRPr="000B4324">
        <w:rPr>
          <w:rFonts w:eastAsia="Calibri"/>
          <w:i/>
          <w:lang w:val="es-NI"/>
        </w:rPr>
        <w:t xml:space="preserve">- Culture, entertainment and tourism group </w:t>
      </w:r>
      <w:r w:rsidRPr="000B4324">
        <w:rPr>
          <w:rFonts w:eastAsia="Calibri"/>
          <w:lang w:val="es-NI"/>
        </w:rPr>
        <w:t>increased by 0.31%, of which the price of package trave</w:t>
      </w:r>
      <w:r>
        <w:rPr>
          <w:rFonts w:eastAsia="Calibri"/>
          <w:lang w:val="es-NI"/>
        </w:rPr>
        <w:t>l services increased by 1.12%; g</w:t>
      </w:r>
      <w:r w:rsidRPr="000B4324">
        <w:rPr>
          <w:rFonts w:eastAsia="Calibri"/>
          <w:lang w:val="es-NI"/>
        </w:rPr>
        <w:t>uest houses and hotels increased by 0.28% due to the extended holiday period from April 30 to May 1, so people's demand for travel increased.</w:t>
      </w:r>
    </w:p>
    <w:p w14:paraId="70604D27" w14:textId="77777777" w:rsidR="006A6832" w:rsidRDefault="006A6832" w:rsidP="006A6832">
      <w:pPr>
        <w:tabs>
          <w:tab w:val="left" w:pos="993"/>
        </w:tabs>
        <w:spacing w:after="120" w:line="264" w:lineRule="auto"/>
        <w:ind w:firstLine="567"/>
        <w:jc w:val="both"/>
        <w:rPr>
          <w:rFonts w:eastAsia="Calibri"/>
          <w:lang w:val="nl-NL"/>
        </w:rPr>
      </w:pPr>
      <w:r w:rsidRPr="000B4324">
        <w:rPr>
          <w:rFonts w:eastAsia="Calibri"/>
          <w:i/>
          <w:lang w:val="nl-NL"/>
        </w:rPr>
        <w:t xml:space="preserve">- Other goods and services </w:t>
      </w:r>
      <w:r w:rsidRPr="000B4324">
        <w:rPr>
          <w:rFonts w:eastAsia="Calibri"/>
          <w:lang w:val="nl-NL"/>
        </w:rPr>
        <w:t>increased by 0.2%, focusing mainly on personal items, which increased by 0.60%. Of which, jewelry prices increased by 3.3% acco</w:t>
      </w:r>
      <w:r>
        <w:rPr>
          <w:rFonts w:eastAsia="Calibri"/>
          <w:lang w:val="nl-NL"/>
        </w:rPr>
        <w:t>rding to domestic gold prices; a</w:t>
      </w:r>
      <w:r w:rsidRPr="000B4324">
        <w:rPr>
          <w:rFonts w:eastAsia="Calibri"/>
          <w:lang w:val="nl-NL"/>
        </w:rPr>
        <w:t>dministrative and lega</w:t>
      </w:r>
      <w:r>
        <w:rPr>
          <w:rFonts w:eastAsia="Calibri"/>
          <w:lang w:val="nl-NL"/>
        </w:rPr>
        <w:t>l services increased by 0.28%; h</w:t>
      </w:r>
      <w:r w:rsidRPr="000B4324">
        <w:rPr>
          <w:rFonts w:eastAsia="Calibri"/>
          <w:lang w:val="nl-NL"/>
        </w:rPr>
        <w:t>ospitalit</w:t>
      </w:r>
      <w:r>
        <w:rPr>
          <w:rFonts w:eastAsia="Calibri"/>
          <w:lang w:val="nl-NL"/>
        </w:rPr>
        <w:t>y services increased by 0.12%; p</w:t>
      </w:r>
      <w:r w:rsidRPr="000B4324">
        <w:rPr>
          <w:rFonts w:eastAsia="Calibri"/>
          <w:lang w:val="nl-NL"/>
        </w:rPr>
        <w:t>ersonal services increased by 0.09%.</w:t>
      </w:r>
    </w:p>
    <w:p w14:paraId="397CD5CB" w14:textId="77777777" w:rsidR="006A6832" w:rsidRDefault="006A6832" w:rsidP="006A6832">
      <w:pPr>
        <w:tabs>
          <w:tab w:val="left" w:pos="993"/>
        </w:tabs>
        <w:spacing w:after="120" w:line="264" w:lineRule="auto"/>
        <w:ind w:firstLine="567"/>
        <w:jc w:val="both"/>
        <w:rPr>
          <w:rFonts w:eastAsia="Calibri"/>
          <w:lang w:val="nl-NL"/>
        </w:rPr>
      </w:pPr>
      <w:r w:rsidRPr="000B4324">
        <w:rPr>
          <w:rFonts w:eastAsia="Calibri"/>
          <w:i/>
          <w:lang w:val="nl-NL"/>
        </w:rPr>
        <w:t xml:space="preserve">- Beverage and </w:t>
      </w:r>
      <w:r>
        <w:rPr>
          <w:rFonts w:eastAsia="Calibri"/>
          <w:i/>
          <w:lang w:val="nl-NL"/>
        </w:rPr>
        <w:t>cigarette</w:t>
      </w:r>
      <w:r w:rsidRPr="000B4324">
        <w:rPr>
          <w:rFonts w:eastAsia="Calibri"/>
          <w:i/>
          <w:lang w:val="nl-NL"/>
        </w:rPr>
        <w:t xml:space="preserve"> group </w:t>
      </w:r>
      <w:r w:rsidRPr="000B4324">
        <w:rPr>
          <w:rFonts w:eastAsia="Calibri"/>
          <w:lang w:val="nl-NL"/>
        </w:rPr>
        <w:t>increased by 0.14% due to hot and muggy weather, so demand for soft drinks increased, specifically: Mineral w</w:t>
      </w:r>
      <w:r>
        <w:rPr>
          <w:rFonts w:eastAsia="Calibri"/>
          <w:lang w:val="nl-NL"/>
        </w:rPr>
        <w:t>ater price increased by 0.14%; a</w:t>
      </w:r>
      <w:r w:rsidRPr="000B4324">
        <w:rPr>
          <w:rFonts w:eastAsia="Calibri"/>
          <w:lang w:val="nl-NL"/>
        </w:rPr>
        <w:t>ll kinds of beer increased by 0.11%; fruit juice increased by 0.09% and all kinds of alcohol increased by 0.01%. Cigarette prices increased by 0.27% compared to last month due to increased exchange rates.</w:t>
      </w:r>
    </w:p>
    <w:p w14:paraId="052293B5" w14:textId="77777777" w:rsidR="006A6832" w:rsidRDefault="006A6832" w:rsidP="006A6832">
      <w:pPr>
        <w:tabs>
          <w:tab w:val="left" w:pos="993"/>
        </w:tabs>
        <w:spacing w:after="120" w:line="264" w:lineRule="auto"/>
        <w:ind w:firstLine="567"/>
        <w:jc w:val="both"/>
        <w:rPr>
          <w:rFonts w:eastAsia="Calibri"/>
          <w:lang w:val="nl-NL"/>
        </w:rPr>
      </w:pPr>
      <w:r w:rsidRPr="000B4324">
        <w:rPr>
          <w:rFonts w:eastAsia="Calibri"/>
          <w:i/>
          <w:lang w:val="nl-NL"/>
        </w:rPr>
        <w:t xml:space="preserve">- Household equipment </w:t>
      </w:r>
      <w:r>
        <w:rPr>
          <w:rFonts w:eastAsia="Calibri"/>
          <w:i/>
          <w:lang w:val="nl-NL"/>
        </w:rPr>
        <w:t xml:space="preserve">and goods </w:t>
      </w:r>
      <w:r w:rsidRPr="000B4324">
        <w:rPr>
          <w:rFonts w:eastAsia="Calibri"/>
          <w:i/>
          <w:lang w:val="nl-NL"/>
        </w:rPr>
        <w:t xml:space="preserve">group </w:t>
      </w:r>
      <w:r w:rsidRPr="000B4324">
        <w:rPr>
          <w:rFonts w:eastAsia="Calibri"/>
          <w:lang w:val="nl-NL"/>
        </w:rPr>
        <w:t>increased by 0.12%, focusing mainly on refrigeration products due to hot weather so consumer demand increased. In particular, refrigerator prices increased by 0.7% compared to the previous month; electric irons increased by 0.56%; ele</w:t>
      </w:r>
      <w:r>
        <w:rPr>
          <w:rFonts w:eastAsia="Calibri"/>
          <w:lang w:val="nl-NL"/>
        </w:rPr>
        <w:t>ctric fans increased by 0.38%; a</w:t>
      </w:r>
      <w:r w:rsidRPr="000B4324">
        <w:rPr>
          <w:rFonts w:eastAsia="Calibri"/>
          <w:lang w:val="nl-NL"/>
        </w:rPr>
        <w:t xml:space="preserve">ir conditioning </w:t>
      </w:r>
      <w:r w:rsidRPr="000B4324">
        <w:rPr>
          <w:rFonts w:eastAsia="Calibri"/>
          <w:lang w:val="nl-NL"/>
        </w:rPr>
        <w:lastRenderedPageBreak/>
        <w:t>increased by 0.3%. On the contrary, the price of blenders a</w:t>
      </w:r>
      <w:r>
        <w:rPr>
          <w:rFonts w:eastAsia="Calibri"/>
          <w:lang w:val="nl-NL"/>
        </w:rPr>
        <w:t>nd juicers decreased by 0.45%; b</w:t>
      </w:r>
      <w:r w:rsidRPr="000B4324">
        <w:rPr>
          <w:rFonts w:eastAsia="Calibri"/>
          <w:lang w:val="nl-NL"/>
        </w:rPr>
        <w:t>athroom water heaters decreased by 0.32% due to promoting promotional programs to stimulate shopping.</w:t>
      </w:r>
    </w:p>
    <w:p w14:paraId="1A893AC2" w14:textId="77777777" w:rsidR="006A6832" w:rsidRDefault="006A6832" w:rsidP="006A6832">
      <w:pPr>
        <w:tabs>
          <w:tab w:val="left" w:pos="993"/>
        </w:tabs>
        <w:spacing w:after="120" w:line="264" w:lineRule="auto"/>
        <w:ind w:firstLine="567"/>
        <w:jc w:val="both"/>
        <w:rPr>
          <w:rFonts w:eastAsia="Calibri"/>
          <w:lang w:val="nl-NL"/>
        </w:rPr>
      </w:pPr>
      <w:r w:rsidRPr="000B4324">
        <w:rPr>
          <w:rFonts w:eastAsia="Calibri"/>
          <w:i/>
          <w:lang w:val="nl-NL"/>
        </w:rPr>
        <w:t xml:space="preserve">- The group of </w:t>
      </w:r>
      <w:r>
        <w:rPr>
          <w:rFonts w:eastAsia="Calibri"/>
          <w:i/>
          <w:lang w:val="nl-NL"/>
        </w:rPr>
        <w:t>medicine</w:t>
      </w:r>
      <w:r w:rsidRPr="000B4324">
        <w:rPr>
          <w:rFonts w:eastAsia="Calibri"/>
          <w:i/>
          <w:lang w:val="nl-NL"/>
        </w:rPr>
        <w:t xml:space="preserve"> and </w:t>
      </w:r>
      <w:r>
        <w:rPr>
          <w:rFonts w:eastAsia="Calibri"/>
          <w:i/>
          <w:lang w:val="nl-NL"/>
        </w:rPr>
        <w:t>health care</w:t>
      </w:r>
      <w:r w:rsidRPr="000B4324">
        <w:rPr>
          <w:rFonts w:eastAsia="Calibri"/>
          <w:i/>
          <w:lang w:val="nl-NL"/>
        </w:rPr>
        <w:t xml:space="preserve"> services </w:t>
      </w:r>
      <w:r w:rsidRPr="000B4324">
        <w:rPr>
          <w:rFonts w:eastAsia="Calibri"/>
          <w:lang w:val="nl-NL"/>
        </w:rPr>
        <w:t>increased by 0.01%, mainly due to hot weather, the number of cases of measles, chickenpox, hand, foot and mouth disease increased rapidly, so people needed to buy drugs to strengthen the immune system. immunity. In particular, the price of pain relievers, antipyretics, and anti-inflamma</w:t>
      </w:r>
      <w:r>
        <w:rPr>
          <w:rFonts w:eastAsia="Calibri"/>
          <w:lang w:val="nl-NL"/>
        </w:rPr>
        <w:t>tory drugs increased by 0.18%; v</w:t>
      </w:r>
      <w:r w:rsidRPr="000B4324">
        <w:rPr>
          <w:rFonts w:eastAsia="Calibri"/>
          <w:lang w:val="nl-NL"/>
        </w:rPr>
        <w:t>itamin and mineral medi</w:t>
      </w:r>
      <w:r>
        <w:rPr>
          <w:rFonts w:eastAsia="Calibri"/>
          <w:lang w:val="nl-NL"/>
        </w:rPr>
        <w:t>cine group increased by 0.16%; h</w:t>
      </w:r>
      <w:r w:rsidRPr="000B4324">
        <w:rPr>
          <w:rFonts w:eastAsia="Calibri"/>
          <w:lang w:val="nl-NL"/>
        </w:rPr>
        <w:t xml:space="preserve">ormone drugs and drugs that affect the endocrine system </w:t>
      </w:r>
      <w:r>
        <w:rPr>
          <w:rFonts w:eastAsia="Calibri"/>
          <w:lang w:val="nl-NL"/>
        </w:rPr>
        <w:t>increased by 0.15%; t</w:t>
      </w:r>
      <w:r w:rsidRPr="000B4324">
        <w:rPr>
          <w:rFonts w:eastAsia="Calibri"/>
          <w:lang w:val="nl-NL"/>
        </w:rPr>
        <w:t xml:space="preserve">he group of drugs that act on the respiratory tract increased by 0.11%; </w:t>
      </w:r>
      <w:r>
        <w:rPr>
          <w:rFonts w:eastAsia="Calibri"/>
          <w:lang w:val="nl-NL"/>
        </w:rPr>
        <w:t>a</w:t>
      </w:r>
      <w:r w:rsidRPr="000B4324">
        <w:rPr>
          <w:rFonts w:eastAsia="Calibri"/>
          <w:lang w:val="nl-NL"/>
        </w:rPr>
        <w:t xml:space="preserve">nti-infection and anti-parasitic </w:t>
      </w:r>
      <w:r>
        <w:rPr>
          <w:rFonts w:eastAsia="Calibri"/>
          <w:lang w:val="nl-NL"/>
        </w:rPr>
        <w:t>drugs group increased by 0.1%; c</w:t>
      </w:r>
      <w:r w:rsidRPr="000B4324">
        <w:rPr>
          <w:rFonts w:eastAsia="Calibri"/>
          <w:lang w:val="nl-NL"/>
        </w:rPr>
        <w:t>ardiovascular drugs decreased by 0.08%.</w:t>
      </w:r>
    </w:p>
    <w:p w14:paraId="1D9FDA34" w14:textId="77777777" w:rsidR="006A6832" w:rsidRPr="00B23703" w:rsidRDefault="006A6832" w:rsidP="006A6832">
      <w:pPr>
        <w:pStyle w:val="NormalWeb"/>
        <w:spacing w:before="0" w:beforeAutospacing="0" w:after="120" w:afterAutospacing="0" w:line="264" w:lineRule="auto"/>
        <w:ind w:firstLine="567"/>
        <w:jc w:val="both"/>
        <w:rPr>
          <w:sz w:val="28"/>
          <w:szCs w:val="28"/>
          <w:lang w:val="es-NI"/>
        </w:rPr>
      </w:pPr>
      <w:r w:rsidRPr="00B23703">
        <w:rPr>
          <w:sz w:val="28"/>
          <w:szCs w:val="28"/>
          <w:lang w:val="es-NI"/>
        </w:rPr>
        <w:t>(2) Three groups of goods and services with decreasing price index include:</w:t>
      </w:r>
    </w:p>
    <w:p w14:paraId="1882B96F" w14:textId="77777777" w:rsidR="006A6832" w:rsidRPr="00BA21B7" w:rsidRDefault="006A6832" w:rsidP="006A6832">
      <w:pPr>
        <w:pStyle w:val="BodyText"/>
        <w:spacing w:line="264" w:lineRule="auto"/>
        <w:ind w:firstLine="567"/>
        <w:jc w:val="both"/>
        <w:rPr>
          <w:lang w:val="es-NI"/>
        </w:rPr>
      </w:pPr>
      <w:r w:rsidRPr="00BA21B7">
        <w:rPr>
          <w:i/>
          <w:lang w:val="es-NI"/>
        </w:rPr>
        <w:t xml:space="preserve">- The postal and </w:t>
      </w:r>
      <w:r>
        <w:rPr>
          <w:i/>
          <w:lang w:val="es-NI"/>
        </w:rPr>
        <w:t>communication</w:t>
      </w:r>
      <w:r w:rsidRPr="00BA21B7">
        <w:rPr>
          <w:i/>
          <w:lang w:val="es-NI"/>
        </w:rPr>
        <w:t xml:space="preserve"> group </w:t>
      </w:r>
      <w:r w:rsidRPr="00BA21B7">
        <w:rPr>
          <w:lang w:val="es-NI"/>
        </w:rPr>
        <w:t>decreased by 0.09% due to businesses implementing promotional programs for some types of old cell phones, smart phone accessories and tablet computers.</w:t>
      </w:r>
    </w:p>
    <w:p w14:paraId="6A10A82B" w14:textId="77777777" w:rsidR="006A6832" w:rsidRPr="00BA21B7" w:rsidRDefault="006A6832" w:rsidP="006A6832">
      <w:pPr>
        <w:pStyle w:val="BodyText"/>
        <w:spacing w:line="264" w:lineRule="auto"/>
        <w:ind w:firstLine="567"/>
        <w:jc w:val="both"/>
        <w:rPr>
          <w:lang w:val="es-NI"/>
        </w:rPr>
      </w:pPr>
      <w:r w:rsidRPr="00BA21B7">
        <w:rPr>
          <w:i/>
          <w:lang w:val="es-NI"/>
        </w:rPr>
        <w:t xml:space="preserve">- Education group </w:t>
      </w:r>
      <w:r w:rsidRPr="00BA21B7">
        <w:rPr>
          <w:lang w:val="es-NI"/>
        </w:rPr>
        <w:t>decreased by 0.25% (</w:t>
      </w:r>
      <w:r w:rsidRPr="00D57741">
        <w:rPr>
          <w:lang w:val="es-NI"/>
        </w:rPr>
        <w:t xml:space="preserve">contribute to reduction </w:t>
      </w:r>
      <w:r>
        <w:rPr>
          <w:lang w:val="es-NI"/>
        </w:rPr>
        <w:t>decreased by 0.3%</w:t>
      </w:r>
      <w:r>
        <w:rPr>
          <w:rStyle w:val="FootnoteReference"/>
          <w:lang w:val="es-NI"/>
        </w:rPr>
        <w:footnoteReference w:id="19"/>
      </w:r>
      <w:r w:rsidRPr="00BA21B7">
        <w:rPr>
          <w:lang w:val="es-NI"/>
        </w:rPr>
        <w:t xml:space="preserve">). The main reason is that on </w:t>
      </w:r>
      <w:r>
        <w:rPr>
          <w:lang w:val="es-NI"/>
        </w:rPr>
        <w:t>31/12/2023</w:t>
      </w:r>
      <w:r w:rsidRPr="00BA21B7">
        <w:rPr>
          <w:lang w:val="es-NI"/>
        </w:rPr>
        <w:t xml:space="preserve">, the Government issued Decree No. 97/2023/ND-CP amending and supplementing a number of articles of Decree No. 81/2021/ND-CP dated </w:t>
      </w:r>
      <w:r>
        <w:rPr>
          <w:lang w:val="es-NI"/>
        </w:rPr>
        <w:t>27/8/2021</w:t>
      </w:r>
      <w:r w:rsidRPr="00BA21B7">
        <w:rPr>
          <w:lang w:val="es-NI"/>
        </w:rPr>
        <w:t>, which requires localities to keep tuition fees stable from the 2023-2024 school year equal to the tuition fees of the 2021-2022 school year for preschool education and public general education. Accordingly, some schools have adjusted to reduce tuition fees after being collected according to Decree No. 81/2021/ND-CP.</w:t>
      </w:r>
    </w:p>
    <w:p w14:paraId="1C107974" w14:textId="77777777" w:rsidR="006A6832" w:rsidRPr="00BA21B7" w:rsidRDefault="006A6832" w:rsidP="006A6832">
      <w:pPr>
        <w:pStyle w:val="BodyText"/>
        <w:spacing w:line="264" w:lineRule="auto"/>
        <w:ind w:firstLine="567"/>
        <w:jc w:val="both"/>
        <w:rPr>
          <w:lang w:val="es-NI"/>
        </w:rPr>
      </w:pPr>
      <w:r w:rsidRPr="00BA21B7">
        <w:rPr>
          <w:i/>
          <w:lang w:val="es-NI"/>
        </w:rPr>
        <w:t xml:space="preserve">- Transportation group </w:t>
      </w:r>
      <w:r w:rsidRPr="00BA21B7">
        <w:rPr>
          <w:lang w:val="es-NI"/>
        </w:rPr>
        <w:t xml:space="preserve">decreased by 1.73% (contributing to a decrease in overall CPI of 0.17 percentage points), mainly due to a decrease in domestic gasoline prices of 4.72%; Diesel oil prices decreased by 5.08% due to the impact of price adjustments during the month. In the opposite direction, there are some product groups that increased in price as follows: Vehicle group prices increased by 0.11%; </w:t>
      </w:r>
      <w:r>
        <w:rPr>
          <w:lang w:val="es-NI"/>
        </w:rPr>
        <w:t>p</w:t>
      </w:r>
      <w:r w:rsidRPr="00BA21B7">
        <w:rPr>
          <w:lang w:val="es-NI"/>
        </w:rPr>
        <w:t>assenger transportation pric</w:t>
      </w:r>
      <w:r>
        <w:rPr>
          <w:lang w:val="es-NI"/>
        </w:rPr>
        <w:t>es by taxi increased by 0.94%; c</w:t>
      </w:r>
      <w:r w:rsidRPr="00BA21B7">
        <w:rPr>
          <w:lang w:val="es-NI"/>
        </w:rPr>
        <w:t>ombined passenger transport increased by 0.22%; waterway increased by 0.18%; road increased by 0.1% due to increased travel demand during the holidays of April 30 and May 1. Self-</w:t>
      </w:r>
      <w:r w:rsidRPr="00BA21B7">
        <w:rPr>
          <w:lang w:val="es-NI"/>
        </w:rPr>
        <w:lastRenderedPageBreak/>
        <w:t>driving car and motorbike rental fees increased by 0.22%; driver's lice</w:t>
      </w:r>
      <w:r>
        <w:rPr>
          <w:lang w:val="es-NI"/>
        </w:rPr>
        <w:t>nse tuition increased by 0.1%; v</w:t>
      </w:r>
      <w:r w:rsidRPr="00BA21B7">
        <w:rPr>
          <w:lang w:val="es-NI"/>
        </w:rPr>
        <w:t>ehicle maintenance service prices increased by 0.33%.</w:t>
      </w:r>
    </w:p>
    <w:p w14:paraId="3F1005F9" w14:textId="77777777" w:rsidR="006A6832" w:rsidRPr="00312376" w:rsidRDefault="006A6832" w:rsidP="006A6832">
      <w:pPr>
        <w:tabs>
          <w:tab w:val="left" w:pos="993"/>
        </w:tabs>
        <w:spacing w:after="120" w:line="264" w:lineRule="auto"/>
        <w:ind w:firstLine="567"/>
        <w:jc w:val="both"/>
        <w:rPr>
          <w:rFonts w:eastAsia="Calibri"/>
          <w:lang w:val="nl-NL"/>
        </w:rPr>
      </w:pPr>
      <w:r w:rsidRPr="00312376">
        <w:rPr>
          <w:rFonts w:eastAsia="Calibri"/>
          <w:lang w:val="nl-NL"/>
        </w:rPr>
        <w:t xml:space="preserve">(3) </w:t>
      </w:r>
      <w:r>
        <w:rPr>
          <w:rFonts w:eastAsia="Calibri"/>
          <w:i/>
          <w:lang w:val="nl-NL"/>
        </w:rPr>
        <w:t xml:space="preserve">Particularly, the garment, hat and footwear groups </w:t>
      </w:r>
      <w:r w:rsidRPr="00312376">
        <w:rPr>
          <w:rFonts w:eastAsia="Calibri"/>
          <w:lang w:val="nl-NL"/>
        </w:rPr>
        <w:t>keep their prices stable because businesses and business establishments carry out many promotional programs to stimulate shopping in early summer. Of which, the price of ready-made clothes decreased by 0.02%; Scarves, scarves, gloves, belts, socks decreased by 0.08%. In the opposite direction, footwear ser</w:t>
      </w:r>
      <w:r>
        <w:rPr>
          <w:rFonts w:eastAsia="Calibri"/>
          <w:lang w:val="nl-NL"/>
        </w:rPr>
        <w:t>vice prices increased by 0.4%; g</w:t>
      </w:r>
      <w:r w:rsidRPr="00312376">
        <w:rPr>
          <w:rFonts w:eastAsia="Calibri"/>
          <w:lang w:val="nl-NL"/>
        </w:rPr>
        <w:t>arment services increased by 0.23% and hats increased by 0.2%.</w:t>
      </w:r>
    </w:p>
    <w:p w14:paraId="64C1E916" w14:textId="77777777" w:rsidR="006A6832" w:rsidRDefault="006A6832" w:rsidP="006A6832">
      <w:pPr>
        <w:pStyle w:val="NormalWeb"/>
        <w:spacing w:before="0" w:beforeAutospacing="0" w:after="120" w:afterAutospacing="0" w:line="264" w:lineRule="auto"/>
        <w:ind w:firstLine="567"/>
        <w:jc w:val="both"/>
        <w:rPr>
          <w:sz w:val="28"/>
          <w:szCs w:val="28"/>
          <w:lang w:val="vi-VN"/>
        </w:rPr>
      </w:pPr>
      <w:r>
        <w:rPr>
          <w:sz w:val="28"/>
          <w:szCs w:val="28"/>
          <w:lang w:val="pl-PL"/>
        </w:rPr>
        <w:t>Core inflation</w:t>
      </w:r>
      <w:r w:rsidRPr="00B23703">
        <w:rPr>
          <w:rStyle w:val="FootnoteReference"/>
          <w:sz w:val="28"/>
          <w:szCs w:val="28"/>
        </w:rPr>
        <w:footnoteReference w:id="20"/>
      </w:r>
      <w:r>
        <w:rPr>
          <w:sz w:val="28"/>
          <w:szCs w:val="28"/>
          <w:lang w:val="pl-PL"/>
        </w:rPr>
        <w:t xml:space="preserve"> in May 2024 </w:t>
      </w:r>
      <w:r w:rsidRPr="00312376">
        <w:rPr>
          <w:sz w:val="28"/>
          <w:szCs w:val="28"/>
          <w:lang w:val="vi-VN"/>
        </w:rPr>
        <w:t>increased by 0.15% over the previous month, up 2.68% over the same period last year.</w:t>
      </w:r>
    </w:p>
    <w:p w14:paraId="7E17E3B4" w14:textId="77777777" w:rsidR="006A6832" w:rsidRDefault="006A6832" w:rsidP="006A6832">
      <w:pPr>
        <w:pStyle w:val="NormalWeb"/>
        <w:spacing w:before="0" w:beforeAutospacing="0" w:after="120" w:afterAutospacing="0" w:line="264" w:lineRule="auto"/>
        <w:ind w:firstLine="567"/>
        <w:jc w:val="both"/>
        <w:rPr>
          <w:sz w:val="28"/>
          <w:szCs w:val="28"/>
          <w:lang w:val="vi-VN"/>
        </w:rPr>
      </w:pPr>
      <w:r w:rsidRPr="00312376">
        <w:rPr>
          <w:sz w:val="28"/>
          <w:szCs w:val="28"/>
          <w:lang w:val="vi-VN"/>
        </w:rPr>
        <w:t>On average in the first five months of 2024, core inflation increased by 2.78% over the same period in 2023, lower than the general average CPI (up 4.03%), mainly due to food, gasoline, and service prices. Education and health services are factors that increase CPI but belong to the group of goods excluded from the list of core inflation calculations.</w:t>
      </w:r>
    </w:p>
    <w:p w14:paraId="7587741D" w14:textId="77777777" w:rsidR="006A6832" w:rsidRPr="00312376" w:rsidRDefault="006A6832" w:rsidP="006A6832">
      <w:pPr>
        <w:pStyle w:val="NormalWeb"/>
        <w:spacing w:before="0" w:beforeAutospacing="0" w:after="120" w:afterAutospacing="0" w:line="264" w:lineRule="auto"/>
        <w:ind w:firstLine="567"/>
        <w:jc w:val="both"/>
        <w:rPr>
          <w:sz w:val="28"/>
          <w:szCs w:val="28"/>
        </w:rPr>
      </w:pPr>
      <w:r w:rsidRPr="00312376">
        <w:rPr>
          <w:sz w:val="28"/>
          <w:szCs w:val="28"/>
          <w:lang w:val="de-DE"/>
        </w:rPr>
        <w:t xml:space="preserve"> </w:t>
      </w:r>
      <w:r w:rsidRPr="00312376">
        <w:rPr>
          <w:sz w:val="28"/>
          <w:szCs w:val="28"/>
        </w:rPr>
        <w:t xml:space="preserve">Domestic gold prices are in the same direction as world gold prices. As of </w:t>
      </w:r>
      <w:r>
        <w:rPr>
          <w:sz w:val="28"/>
          <w:szCs w:val="28"/>
        </w:rPr>
        <w:t>24/5/2024</w:t>
      </w:r>
      <w:r w:rsidRPr="00312376">
        <w:rPr>
          <w:sz w:val="28"/>
          <w:szCs w:val="28"/>
        </w:rPr>
        <w:t xml:space="preserve">, the average world gold price is at 2,352.56 USD/ounce, up 1.3% compared to April 2024. </w:t>
      </w:r>
      <w:r>
        <w:rPr>
          <w:sz w:val="28"/>
          <w:szCs w:val="28"/>
          <w:lang w:val="en-US"/>
        </w:rPr>
        <w:t xml:space="preserve">Increasing </w:t>
      </w:r>
      <w:r w:rsidRPr="00312376">
        <w:rPr>
          <w:sz w:val="28"/>
          <w:szCs w:val="28"/>
        </w:rPr>
        <w:t xml:space="preserve">geopolitical risks in the Middle East region along with </w:t>
      </w:r>
      <w:r>
        <w:rPr>
          <w:sz w:val="28"/>
          <w:szCs w:val="28"/>
          <w:lang w:val="en-US"/>
        </w:rPr>
        <w:t xml:space="preserve">the reserve needs </w:t>
      </w:r>
      <w:r w:rsidRPr="00312376">
        <w:rPr>
          <w:sz w:val="28"/>
          <w:szCs w:val="28"/>
        </w:rPr>
        <w:t xml:space="preserve">of central banks and investors are the main reasons leading to the continuous increase in world gold prices. Domestically, the gold price index in May 2024 increased by 3.81% compared to the previous month; an increase of 21.47% compared to December 2023; increased 32.18% over the same period last year; The average increase in the first </w:t>
      </w:r>
      <w:r>
        <w:rPr>
          <w:sz w:val="28"/>
          <w:szCs w:val="28"/>
          <w:lang w:val="en-US"/>
        </w:rPr>
        <w:t xml:space="preserve">five </w:t>
      </w:r>
      <w:r w:rsidRPr="00312376">
        <w:rPr>
          <w:sz w:val="28"/>
          <w:szCs w:val="28"/>
        </w:rPr>
        <w:t>months of 2024 is 22.95%.</w:t>
      </w:r>
    </w:p>
    <w:p w14:paraId="53A75CE5" w14:textId="3734868E" w:rsidR="006A6832" w:rsidRPr="006A6832" w:rsidRDefault="006A6832" w:rsidP="006A6832">
      <w:pPr>
        <w:pStyle w:val="NormalWeb"/>
        <w:spacing w:before="0" w:beforeAutospacing="0" w:after="120" w:afterAutospacing="0" w:line="264" w:lineRule="auto"/>
        <w:ind w:firstLine="567"/>
        <w:jc w:val="both"/>
        <w:rPr>
          <w:sz w:val="28"/>
          <w:szCs w:val="28"/>
        </w:rPr>
      </w:pPr>
      <w:r w:rsidRPr="00312376">
        <w:rPr>
          <w:sz w:val="28"/>
          <w:szCs w:val="28"/>
          <w:lang w:val="de-DE"/>
        </w:rPr>
        <w:t xml:space="preserve"> </w:t>
      </w:r>
      <w:r w:rsidRPr="00312376">
        <w:rPr>
          <w:sz w:val="28"/>
          <w:szCs w:val="28"/>
        </w:rPr>
        <w:t xml:space="preserve">As of </w:t>
      </w:r>
      <w:r>
        <w:rPr>
          <w:sz w:val="28"/>
          <w:szCs w:val="28"/>
        </w:rPr>
        <w:t>24/5/2024</w:t>
      </w:r>
      <w:r w:rsidRPr="00312376">
        <w:rPr>
          <w:sz w:val="28"/>
          <w:szCs w:val="28"/>
        </w:rPr>
        <w:t>, the US dollar index on the international market reached 105.06 points, up 0.1% over the previous month due to US business activities accelerati</w:t>
      </w:r>
      <w:r>
        <w:rPr>
          <w:sz w:val="28"/>
          <w:szCs w:val="28"/>
        </w:rPr>
        <w:t>ng when the PMI index decreased</w:t>
      </w:r>
      <w:r w:rsidRPr="00BA21B7">
        <w:rPr>
          <w:sz w:val="28"/>
          <w:szCs w:val="28"/>
          <w:lang w:val="de-DE"/>
        </w:rPr>
        <w:t xml:space="preserve">. </w:t>
      </w:r>
      <w:r w:rsidRPr="00312376">
        <w:rPr>
          <w:sz w:val="28"/>
          <w:szCs w:val="28"/>
        </w:rPr>
        <w:t xml:space="preserve">The May 2024 case to 54.4 is the highest level since April 2022. Domestically, the demand for foreign currency for import activities of businesses has increased, the average US dollar price on the free market </w:t>
      </w:r>
      <w:r>
        <w:rPr>
          <w:sz w:val="28"/>
          <w:szCs w:val="28"/>
          <w:lang w:val="en-US"/>
        </w:rPr>
        <w:t xml:space="preserve">fluctuates </w:t>
      </w:r>
      <w:r w:rsidRPr="00312376">
        <w:rPr>
          <w:sz w:val="28"/>
          <w:szCs w:val="28"/>
        </w:rPr>
        <w:t>around 25,464 VND/USD. The US dollar price index in May 2024 increased by 1.15% compared to the previous month; an increase of 4.21% compared to December 2023; increased 7.85% o</w:t>
      </w:r>
      <w:r>
        <w:rPr>
          <w:sz w:val="28"/>
          <w:szCs w:val="28"/>
        </w:rPr>
        <w:t>ver the same period last year; t</w:t>
      </w:r>
      <w:r w:rsidRPr="00312376">
        <w:rPr>
          <w:sz w:val="28"/>
          <w:szCs w:val="28"/>
        </w:rPr>
        <w:t xml:space="preserve">he average increase in the first </w:t>
      </w:r>
      <w:r>
        <w:rPr>
          <w:sz w:val="28"/>
          <w:szCs w:val="28"/>
          <w:lang w:val="en-US"/>
        </w:rPr>
        <w:t xml:space="preserve">five </w:t>
      </w:r>
      <w:r w:rsidRPr="00312376">
        <w:rPr>
          <w:sz w:val="28"/>
          <w:szCs w:val="28"/>
        </w:rPr>
        <w:t>months of 2024 is 5.24%</w:t>
      </w:r>
    </w:p>
    <w:p w14:paraId="08E460EC" w14:textId="77777777" w:rsidR="006A6832" w:rsidRPr="00BB4D40" w:rsidRDefault="006A6832" w:rsidP="006A6832">
      <w:pPr>
        <w:spacing w:beforeLines="40" w:before="96" w:afterLines="40" w:after="96" w:line="264" w:lineRule="auto"/>
        <w:ind w:firstLine="567"/>
        <w:jc w:val="both"/>
        <w:rPr>
          <w:bCs/>
          <w:i/>
          <w:lang w:val="it-IT"/>
        </w:rPr>
      </w:pPr>
      <w:r w:rsidRPr="00BB4D40">
        <w:rPr>
          <w:b/>
          <w:bCs/>
          <w:i/>
          <w:iCs/>
          <w:lang w:val="nl-NL"/>
        </w:rPr>
        <w:lastRenderedPageBreak/>
        <w:t xml:space="preserve">d) </w:t>
      </w:r>
      <w:r w:rsidRPr="00BB4D40">
        <w:rPr>
          <w:b/>
          <w:bCs/>
          <w:i/>
          <w:iCs/>
          <w:lang w:val="fr-FR"/>
        </w:rPr>
        <w:t>Transport</w:t>
      </w:r>
      <w:r w:rsidRPr="00BB4D40">
        <w:rPr>
          <w:bCs/>
          <w:i/>
          <w:lang w:val="it-IT"/>
        </w:rPr>
        <w:t xml:space="preserve"> </w:t>
      </w:r>
    </w:p>
    <w:p w14:paraId="3C66F3AF" w14:textId="77777777" w:rsidR="006A6832" w:rsidRPr="00BB4D40" w:rsidRDefault="006A6832" w:rsidP="006A6832">
      <w:pPr>
        <w:spacing w:beforeLines="40" w:before="96" w:afterLines="40" w:after="96" w:line="264" w:lineRule="auto"/>
        <w:ind w:firstLine="567"/>
        <w:jc w:val="both"/>
        <w:rPr>
          <w:rFonts w:ascii="Times New Roman Italic" w:eastAsiaTheme="minorHAnsi" w:hAnsi="Times New Roman Italic"/>
          <w:bCs/>
          <w:i/>
          <w:spacing w:val="-6"/>
          <w:kern w:val="2"/>
          <w:lang w:val="it-IT"/>
          <w14:ligatures w14:val="standardContextual"/>
        </w:rPr>
      </w:pPr>
      <w:r w:rsidRPr="00BB4D40">
        <w:rPr>
          <w:rFonts w:ascii="Times New Roman Italic" w:eastAsiaTheme="minorHAnsi" w:hAnsi="Times New Roman Italic"/>
          <w:bCs/>
          <w:i/>
          <w:spacing w:val="-6"/>
          <w:kern w:val="2"/>
          <w:lang w:val="it-IT"/>
          <w14:ligatures w14:val="standardContextual"/>
        </w:rPr>
        <w:t xml:space="preserve">Passenger transport in 5/2024 increased by 4.3% of passenger carried and increased by </w:t>
      </w:r>
      <w:r>
        <w:rPr>
          <w:rFonts w:ascii="Times New Roman Italic" w:eastAsiaTheme="minorHAnsi" w:hAnsi="Times New Roman Italic"/>
          <w:bCs/>
          <w:i/>
          <w:spacing w:val="-6"/>
          <w:kern w:val="2"/>
          <w:lang w:val="it-IT"/>
          <w14:ligatures w14:val="standardContextual"/>
        </w:rPr>
        <w:t>9.6</w:t>
      </w:r>
      <w:r w:rsidRPr="00BB4D40">
        <w:rPr>
          <w:rFonts w:ascii="Times New Roman Italic" w:eastAsiaTheme="minorHAnsi" w:hAnsi="Times New Roman Italic"/>
          <w:bCs/>
          <w:i/>
          <w:spacing w:val="-6"/>
          <w:kern w:val="2"/>
          <w:lang w:val="it-IT"/>
          <w14:ligatures w14:val="standardContextual"/>
        </w:rPr>
        <w:t>% of  passenger traffic; freight transport increased by 11.</w:t>
      </w:r>
      <w:r>
        <w:rPr>
          <w:rFonts w:ascii="Times New Roman Italic" w:eastAsiaTheme="minorHAnsi" w:hAnsi="Times New Roman Italic"/>
          <w:bCs/>
          <w:i/>
          <w:spacing w:val="-6"/>
          <w:kern w:val="2"/>
          <w:lang w:val="it-IT"/>
          <w14:ligatures w14:val="standardContextual"/>
        </w:rPr>
        <w:t>4</w:t>
      </w:r>
      <w:r w:rsidRPr="00BB4D40">
        <w:rPr>
          <w:rFonts w:ascii="Times New Roman Italic" w:eastAsiaTheme="minorHAnsi" w:hAnsi="Times New Roman Italic"/>
          <w:bCs/>
          <w:i/>
          <w:spacing w:val="-6"/>
          <w:kern w:val="2"/>
          <w:lang w:val="it-IT"/>
          <w14:ligatures w14:val="standardContextual"/>
        </w:rPr>
        <w:t xml:space="preserve">% of  freight carried and up </w:t>
      </w:r>
      <w:r>
        <w:rPr>
          <w:rFonts w:ascii="Times New Roman Italic" w:eastAsiaTheme="minorHAnsi" w:hAnsi="Times New Roman Italic"/>
          <w:bCs/>
          <w:i/>
          <w:spacing w:val="-6"/>
          <w:kern w:val="2"/>
          <w:lang w:val="it-IT"/>
          <w14:ligatures w14:val="standardContextual"/>
        </w:rPr>
        <w:t>4.8</w:t>
      </w:r>
      <w:r w:rsidRPr="00BB4D40">
        <w:rPr>
          <w:rFonts w:ascii="Times New Roman Italic" w:eastAsiaTheme="minorHAnsi" w:hAnsi="Times New Roman Italic"/>
          <w:bCs/>
          <w:i/>
          <w:spacing w:val="-6"/>
          <w:kern w:val="2"/>
          <w:lang w:val="it-IT"/>
          <w14:ligatures w14:val="standardContextual"/>
        </w:rPr>
        <w:t xml:space="preserve">% of freight traffic. Overall, in the first five months of 2024, passenger carried increased by 6.1% and passenger traffic up 12.7% over the same period last year; freight carried increased by 11.4% and freight traffic up 7.9%. </w:t>
      </w:r>
    </w:p>
    <w:p w14:paraId="549F5205" w14:textId="77777777" w:rsidR="006A6832" w:rsidRPr="00BB4D40" w:rsidRDefault="006A6832" w:rsidP="006A6832">
      <w:pPr>
        <w:tabs>
          <w:tab w:val="left" w:pos="567"/>
        </w:tabs>
        <w:spacing w:beforeLines="40" w:before="96" w:afterLines="40" w:after="96" w:line="276" w:lineRule="auto"/>
        <w:ind w:firstLine="567"/>
        <w:jc w:val="both"/>
        <w:rPr>
          <w:lang w:val="pl-PL"/>
        </w:rPr>
      </w:pPr>
      <w:r w:rsidRPr="00BB4D40">
        <w:rPr>
          <w:i/>
          <w:lang w:val="pl-PL"/>
        </w:rPr>
        <w:t>Passenger transport</w:t>
      </w:r>
      <w:r w:rsidRPr="00BB4D40">
        <w:rPr>
          <w:lang w:val="pl-PL"/>
        </w:rPr>
        <w:t xml:space="preserve"> in 5/2024 was estimated at </w:t>
      </w:r>
      <w:r w:rsidRPr="00BB4D40">
        <w:rPr>
          <w:lang w:val="nl-NL"/>
        </w:rPr>
        <w:t xml:space="preserve">360.5 </w:t>
      </w:r>
      <w:r w:rsidRPr="00BB4D40">
        <w:rPr>
          <w:lang w:val="pl-PL"/>
        </w:rPr>
        <w:t xml:space="preserve">million passengers, decreased by 3.9% and passenger traffic was </w:t>
      </w:r>
      <w:r w:rsidRPr="00BB4D40">
        <w:rPr>
          <w:lang w:val="nl-NL"/>
        </w:rPr>
        <w:t xml:space="preserve">21.1 </w:t>
      </w:r>
      <w:r w:rsidRPr="00BB4D40">
        <w:rPr>
          <w:lang w:val="pl-PL"/>
        </w:rPr>
        <w:t>billion passengers-kilometers, decreased by 6.8% compared to the previous month because</w:t>
      </w:r>
      <w:r w:rsidRPr="00BB4D40">
        <w:t xml:space="preserve"> </w:t>
      </w:r>
      <w:r w:rsidRPr="00BB4D40">
        <w:rPr>
          <w:lang w:val="pl-PL"/>
        </w:rPr>
        <w:t xml:space="preserve">there weren't as many holidays this month as last month, </w:t>
      </w:r>
      <w:r>
        <w:rPr>
          <w:lang w:val="pl-PL"/>
        </w:rPr>
        <w:t xml:space="preserve">so </w:t>
      </w:r>
      <w:r w:rsidRPr="00BB4D40">
        <w:rPr>
          <w:lang w:val="pl-PL"/>
        </w:rPr>
        <w:t xml:space="preserve">people's travel and tourism needs decreased. In the first five months of 2024, passenger carried was estimated at </w:t>
      </w:r>
      <w:r w:rsidRPr="00BB4D40">
        <w:rPr>
          <w:lang w:val="nl-NL"/>
        </w:rPr>
        <w:t xml:space="preserve">1.935.1 </w:t>
      </w:r>
      <w:r w:rsidRPr="00BB4D40">
        <w:rPr>
          <w:lang w:val="pl-PL"/>
        </w:rPr>
        <w:t xml:space="preserve">million passengers, up </w:t>
      </w:r>
      <w:r w:rsidRPr="00BB4D40">
        <w:rPr>
          <w:lang w:val="nl-NL"/>
        </w:rPr>
        <w:t>6.1</w:t>
      </w:r>
      <w:r w:rsidRPr="00BB4D40">
        <w:rPr>
          <w:lang w:val="pl-PL"/>
        </w:rPr>
        <w:t xml:space="preserve">% over the same period last year and passenger traffic was </w:t>
      </w:r>
      <w:r w:rsidRPr="00BB4D40">
        <w:rPr>
          <w:lang w:val="nl-NL"/>
        </w:rPr>
        <w:t xml:space="preserve">111.4 </w:t>
      </w:r>
      <w:r w:rsidRPr="00BB4D40">
        <w:rPr>
          <w:lang w:val="pl-PL"/>
        </w:rPr>
        <w:t xml:space="preserve">billion passengers.km, increased by </w:t>
      </w:r>
      <w:r w:rsidRPr="00BB4D40">
        <w:rPr>
          <w:lang w:val="nl-NL"/>
        </w:rPr>
        <w:t>12.7</w:t>
      </w:r>
      <w:r w:rsidRPr="00BB4D40">
        <w:rPr>
          <w:lang w:val="pl-PL"/>
        </w:rPr>
        <w:t xml:space="preserve">%. Of which, domestic transport reached </w:t>
      </w:r>
      <w:r w:rsidRPr="00BB4D40">
        <w:rPr>
          <w:lang w:val="nl-NL"/>
        </w:rPr>
        <w:t xml:space="preserve">1,927.4 </w:t>
      </w:r>
      <w:r w:rsidRPr="00BB4D40">
        <w:rPr>
          <w:lang w:val="pl-PL"/>
        </w:rPr>
        <w:t xml:space="preserve">million passengers, up </w:t>
      </w:r>
      <w:r w:rsidRPr="00BB4D40">
        <w:rPr>
          <w:lang w:val="nl-NL"/>
        </w:rPr>
        <w:t>6.0</w:t>
      </w:r>
      <w:r w:rsidRPr="00BB4D40">
        <w:rPr>
          <w:lang w:val="pl-PL"/>
        </w:rPr>
        <w:t xml:space="preserve">% over the same period last year and </w:t>
      </w:r>
      <w:r w:rsidRPr="00BB4D40">
        <w:rPr>
          <w:lang w:val="nl-NL"/>
        </w:rPr>
        <w:t xml:space="preserve">86.3 </w:t>
      </w:r>
      <w:r w:rsidRPr="00BB4D40">
        <w:rPr>
          <w:lang w:val="pl-PL"/>
        </w:rPr>
        <w:t xml:space="preserve">billion passengers-kilometers, up </w:t>
      </w:r>
      <w:r w:rsidRPr="00BB4D40">
        <w:rPr>
          <w:lang w:val="nl-NL"/>
        </w:rPr>
        <w:t>5.4</w:t>
      </w:r>
      <w:r w:rsidRPr="00BB4D40">
        <w:rPr>
          <w:lang w:val="pl-PL"/>
        </w:rPr>
        <w:t xml:space="preserve">%; overseas transport reached </w:t>
      </w:r>
      <w:r w:rsidRPr="00BB4D40">
        <w:rPr>
          <w:lang w:val="nl-NL"/>
        </w:rPr>
        <w:t xml:space="preserve">7.7 </w:t>
      </w:r>
      <w:r w:rsidRPr="00BB4D40">
        <w:rPr>
          <w:lang w:val="pl-PL"/>
        </w:rPr>
        <w:t xml:space="preserve">million passengers, increased by 35.5% and </w:t>
      </w:r>
      <w:r w:rsidRPr="00BB4D40">
        <w:rPr>
          <w:lang w:val="nl-NL"/>
        </w:rPr>
        <w:t xml:space="preserve">25.1 </w:t>
      </w:r>
      <w:r w:rsidRPr="00BB4D40">
        <w:rPr>
          <w:lang w:val="pl-PL"/>
        </w:rPr>
        <w:t xml:space="preserve">billion passengers-kilometers, </w:t>
      </w:r>
      <w:r w:rsidRPr="00BB4D40">
        <w:rPr>
          <w:lang w:val="nl-NL"/>
        </w:rPr>
        <w:t>up 47.8% compared to</w:t>
      </w:r>
      <w:r w:rsidRPr="00BB4D40">
        <w:rPr>
          <w:lang w:val="pl-PL"/>
        </w:rPr>
        <w:t xml:space="preserve"> the same period last year. </w:t>
      </w:r>
    </w:p>
    <w:p w14:paraId="7F1A74A9" w14:textId="77777777" w:rsidR="006A6832" w:rsidRPr="00BB4D40" w:rsidRDefault="006A6832" w:rsidP="006A6832">
      <w:pPr>
        <w:spacing w:beforeLines="40" w:before="96" w:afterLines="40" w:after="96" w:line="264" w:lineRule="auto"/>
        <w:ind w:firstLine="567"/>
        <w:jc w:val="center"/>
        <w:rPr>
          <w:rFonts w:ascii="Arial" w:hAnsi="Arial" w:cs="Arial"/>
          <w:b/>
          <w:bCs/>
          <w:sz w:val="24"/>
          <w:szCs w:val="24"/>
          <w:lang w:val="fr-FR"/>
        </w:rPr>
      </w:pPr>
      <w:r w:rsidRPr="00BB4D40">
        <w:rPr>
          <w:rFonts w:ascii="Arial" w:hAnsi="Arial" w:cs="Arial"/>
          <w:b/>
          <w:bCs/>
          <w:iCs/>
          <w:sz w:val="24"/>
          <w:szCs w:val="24"/>
          <w:lang w:val="fr-FR"/>
        </w:rPr>
        <w:t>Table 6</w:t>
      </w:r>
      <w:r w:rsidRPr="00BB4D40">
        <w:rPr>
          <w:rFonts w:ascii="Arial" w:hAnsi="Arial" w:cs="Arial" w:hint="eastAsia"/>
          <w:b/>
          <w:bCs/>
          <w:iCs/>
          <w:sz w:val="24"/>
          <w:szCs w:val="24"/>
          <w:lang w:val="fr-FR"/>
        </w:rPr>
        <w:t> </w:t>
      </w:r>
      <w:r w:rsidRPr="00BB4D40">
        <w:rPr>
          <w:rFonts w:ascii="Arial" w:hAnsi="Arial" w:cs="Arial"/>
          <w:b/>
          <w:bCs/>
          <w:iCs/>
          <w:sz w:val="24"/>
          <w:szCs w:val="24"/>
          <w:lang w:val="fr-FR"/>
        </w:rPr>
        <w:t xml:space="preserve">: Passengers transport in the first five months of 2024 </w:t>
      </w:r>
      <w:r w:rsidRPr="00BB4D40">
        <w:rPr>
          <w:rFonts w:ascii="Arial" w:hAnsi="Arial" w:cs="Arial"/>
          <w:b/>
          <w:bCs/>
          <w:iCs/>
          <w:sz w:val="24"/>
          <w:szCs w:val="24"/>
          <w:lang w:val="fr-FR"/>
        </w:rPr>
        <w:br/>
      </w:r>
      <w:r w:rsidRPr="00BB4D40">
        <w:rPr>
          <w:rFonts w:ascii="Arial" w:hAnsi="Arial" w:cs="Arial"/>
          <w:b/>
          <w:bCs/>
          <w:sz w:val="24"/>
          <w:szCs w:val="24"/>
          <w:lang w:val="fr-FR"/>
        </w:rPr>
        <w:t>by types of transport</w:t>
      </w:r>
    </w:p>
    <w:tbl>
      <w:tblPr>
        <w:tblW w:w="9236" w:type="dxa"/>
        <w:jc w:val="center"/>
        <w:tblBorders>
          <w:top w:val="single" w:sz="4" w:space="0" w:color="auto"/>
        </w:tblBorders>
        <w:tblLook w:val="04A0" w:firstRow="1" w:lastRow="0" w:firstColumn="1" w:lastColumn="0" w:noHBand="0" w:noVBand="1"/>
      </w:tblPr>
      <w:tblGrid>
        <w:gridCol w:w="1887"/>
        <w:gridCol w:w="1886"/>
        <w:gridCol w:w="2394"/>
        <w:gridCol w:w="1666"/>
        <w:gridCol w:w="1403"/>
      </w:tblGrid>
      <w:tr w:rsidR="006A6832" w:rsidRPr="00BB4D40" w14:paraId="5ADDA581" w14:textId="77777777" w:rsidTr="007577DA">
        <w:trPr>
          <w:trHeight w:val="378"/>
          <w:jc w:val="center"/>
        </w:trPr>
        <w:tc>
          <w:tcPr>
            <w:tcW w:w="1887" w:type="dxa"/>
            <w:vAlign w:val="center"/>
            <w:hideMark/>
          </w:tcPr>
          <w:p w14:paraId="34FA7859" w14:textId="77777777" w:rsidR="006A6832" w:rsidRPr="00BB4D40" w:rsidRDefault="006A6832" w:rsidP="007577DA">
            <w:pPr>
              <w:spacing w:before="40" w:after="40"/>
              <w:ind w:firstLine="567"/>
              <w:rPr>
                <w:rFonts w:ascii="Times New Roman Bold" w:hAnsi="Times New Roman Bold"/>
                <w:b/>
                <w:bCs/>
                <w:lang w:val="fr-FR"/>
              </w:rPr>
            </w:pPr>
          </w:p>
        </w:tc>
        <w:tc>
          <w:tcPr>
            <w:tcW w:w="4280" w:type="dxa"/>
            <w:gridSpan w:val="2"/>
            <w:tcBorders>
              <w:top w:val="single" w:sz="4" w:space="0" w:color="auto"/>
              <w:bottom w:val="single" w:sz="4" w:space="0" w:color="auto"/>
            </w:tcBorders>
            <w:vAlign w:val="center"/>
            <w:hideMark/>
          </w:tcPr>
          <w:p w14:paraId="07E7B90A" w14:textId="77777777" w:rsidR="006A6832" w:rsidRPr="00BB4D40" w:rsidRDefault="006A6832" w:rsidP="007577DA">
            <w:pPr>
              <w:spacing w:before="40" w:after="40"/>
              <w:ind w:firstLine="205"/>
              <w:jc w:val="center"/>
              <w:rPr>
                <w:rFonts w:ascii="Arial" w:hAnsi="Arial" w:cs="Arial"/>
                <w:sz w:val="20"/>
                <w:szCs w:val="20"/>
                <w:lang w:eastAsia="vi-VN"/>
              </w:rPr>
            </w:pPr>
            <w:r w:rsidRPr="00BB4D40">
              <w:rPr>
                <w:rFonts w:ascii="Arial" w:hAnsi="Arial" w:cs="Arial"/>
                <w:iCs/>
                <w:sz w:val="20"/>
                <w:szCs w:val="20"/>
                <w:lang w:eastAsia="vi-VN"/>
              </w:rPr>
              <w:t>Number of passengers</w:t>
            </w:r>
          </w:p>
        </w:tc>
        <w:tc>
          <w:tcPr>
            <w:tcW w:w="3069" w:type="dxa"/>
            <w:gridSpan w:val="2"/>
            <w:tcBorders>
              <w:top w:val="single" w:sz="4" w:space="0" w:color="auto"/>
              <w:bottom w:val="single" w:sz="4" w:space="0" w:color="auto"/>
            </w:tcBorders>
            <w:vAlign w:val="center"/>
            <w:hideMark/>
          </w:tcPr>
          <w:p w14:paraId="5FB26BC7" w14:textId="77777777" w:rsidR="006A6832" w:rsidRPr="00BB4D40" w:rsidRDefault="006A6832" w:rsidP="007577DA">
            <w:pPr>
              <w:spacing w:before="40" w:after="40"/>
              <w:ind w:firstLine="77"/>
              <w:jc w:val="center"/>
              <w:rPr>
                <w:rFonts w:ascii="Arial" w:hAnsi="Arial" w:cs="Arial"/>
                <w:color w:val="000000"/>
                <w:sz w:val="20"/>
                <w:szCs w:val="20"/>
                <w:lang w:eastAsia="vi-VN"/>
              </w:rPr>
            </w:pPr>
            <w:r w:rsidRPr="00BB4D40">
              <w:rPr>
                <w:rFonts w:ascii="Arial" w:hAnsi="Arial" w:cs="Arial"/>
                <w:color w:val="000000"/>
                <w:sz w:val="20"/>
                <w:szCs w:val="20"/>
                <w:lang w:eastAsia="vi-VN"/>
              </w:rPr>
              <w:t>Growth rate compared to the same period last year (%)</w:t>
            </w:r>
          </w:p>
        </w:tc>
      </w:tr>
      <w:tr w:rsidR="006A6832" w:rsidRPr="00BB4D40" w14:paraId="29B654CF" w14:textId="77777777" w:rsidTr="007577DA">
        <w:trPr>
          <w:trHeight w:val="376"/>
          <w:jc w:val="center"/>
        </w:trPr>
        <w:tc>
          <w:tcPr>
            <w:tcW w:w="1887" w:type="dxa"/>
            <w:vAlign w:val="center"/>
            <w:hideMark/>
          </w:tcPr>
          <w:p w14:paraId="04233B81" w14:textId="77777777" w:rsidR="006A6832" w:rsidRPr="00BB4D40" w:rsidRDefault="006A6832" w:rsidP="007577DA">
            <w:pPr>
              <w:spacing w:before="40" w:after="40"/>
              <w:ind w:firstLine="567"/>
              <w:rPr>
                <w:rFonts w:ascii="Arial" w:hAnsi="Arial" w:cs="Arial"/>
                <w:color w:val="000000"/>
                <w:sz w:val="20"/>
                <w:szCs w:val="20"/>
                <w:lang w:eastAsia="vi-VN"/>
              </w:rPr>
            </w:pPr>
          </w:p>
        </w:tc>
        <w:tc>
          <w:tcPr>
            <w:tcW w:w="1886" w:type="dxa"/>
            <w:tcBorders>
              <w:top w:val="single" w:sz="4" w:space="0" w:color="auto"/>
              <w:bottom w:val="single" w:sz="4" w:space="0" w:color="auto"/>
            </w:tcBorders>
            <w:vAlign w:val="center"/>
            <w:hideMark/>
          </w:tcPr>
          <w:p w14:paraId="56AE7E15" w14:textId="77777777" w:rsidR="006A6832" w:rsidRPr="00BB4D40" w:rsidRDefault="006A6832" w:rsidP="007577DA">
            <w:pPr>
              <w:spacing w:before="40" w:after="40"/>
              <w:jc w:val="center"/>
              <w:rPr>
                <w:rFonts w:ascii="Arial" w:hAnsi="Arial" w:cs="Arial"/>
                <w:sz w:val="20"/>
                <w:szCs w:val="20"/>
                <w:lang w:eastAsia="vi-VN"/>
              </w:rPr>
            </w:pPr>
            <w:r w:rsidRPr="00BB4D40">
              <w:rPr>
                <w:rFonts w:ascii="Arial" w:hAnsi="Arial" w:cs="Arial"/>
                <w:sz w:val="20"/>
                <w:szCs w:val="20"/>
                <w:lang w:eastAsia="vi-VN"/>
              </w:rPr>
              <w:t>Carried</w:t>
            </w:r>
            <w:r w:rsidRPr="00BB4D40">
              <w:rPr>
                <w:rFonts w:ascii="Arial" w:hAnsi="Arial" w:cs="Arial"/>
                <w:sz w:val="20"/>
                <w:szCs w:val="20"/>
                <w:lang w:eastAsia="vi-VN"/>
              </w:rPr>
              <w:br/>
              <w:t>(Mill. passengers)</w:t>
            </w:r>
          </w:p>
        </w:tc>
        <w:tc>
          <w:tcPr>
            <w:tcW w:w="2394" w:type="dxa"/>
            <w:tcBorders>
              <w:top w:val="single" w:sz="4" w:space="0" w:color="auto"/>
              <w:bottom w:val="single" w:sz="4" w:space="0" w:color="auto"/>
            </w:tcBorders>
            <w:vAlign w:val="center"/>
            <w:hideMark/>
          </w:tcPr>
          <w:p w14:paraId="7F27CAA2" w14:textId="77777777" w:rsidR="006A6832" w:rsidRPr="00BB4D40" w:rsidRDefault="006A6832" w:rsidP="007577DA">
            <w:pPr>
              <w:spacing w:before="40" w:after="40"/>
              <w:ind w:hanging="214"/>
              <w:jc w:val="center"/>
              <w:rPr>
                <w:rFonts w:ascii="Arial" w:hAnsi="Arial" w:cs="Arial"/>
                <w:sz w:val="20"/>
                <w:szCs w:val="20"/>
                <w:lang w:eastAsia="vi-VN"/>
              </w:rPr>
            </w:pPr>
            <w:r w:rsidRPr="00BB4D40">
              <w:rPr>
                <w:rFonts w:ascii="Arial" w:hAnsi="Arial" w:cs="Arial"/>
                <w:sz w:val="20"/>
                <w:szCs w:val="20"/>
                <w:lang w:eastAsia="vi-VN"/>
              </w:rPr>
              <w:t>Traffic</w:t>
            </w:r>
            <w:r w:rsidRPr="00BB4D40">
              <w:rPr>
                <w:rFonts w:ascii="Arial" w:hAnsi="Arial" w:cs="Arial"/>
                <w:sz w:val="20"/>
                <w:szCs w:val="20"/>
                <w:lang w:eastAsia="vi-VN"/>
              </w:rPr>
              <w:br/>
              <w:t>(Bill. passengers-km)</w:t>
            </w:r>
          </w:p>
        </w:tc>
        <w:tc>
          <w:tcPr>
            <w:tcW w:w="1666" w:type="dxa"/>
            <w:tcBorders>
              <w:top w:val="single" w:sz="4" w:space="0" w:color="auto"/>
              <w:bottom w:val="single" w:sz="4" w:space="0" w:color="auto"/>
            </w:tcBorders>
            <w:vAlign w:val="center"/>
            <w:hideMark/>
          </w:tcPr>
          <w:p w14:paraId="3495B558" w14:textId="77777777" w:rsidR="006A6832" w:rsidRPr="00BB4D40" w:rsidRDefault="006A6832" w:rsidP="007577DA">
            <w:pPr>
              <w:spacing w:before="40" w:after="40"/>
              <w:ind w:firstLine="567"/>
              <w:jc w:val="center"/>
              <w:rPr>
                <w:rFonts w:ascii="Arial" w:hAnsi="Arial" w:cs="Arial"/>
                <w:sz w:val="20"/>
                <w:szCs w:val="20"/>
                <w:lang w:eastAsia="vi-VN"/>
              </w:rPr>
            </w:pPr>
            <w:bookmarkStart w:id="8" w:name="_Hlk116907733"/>
            <w:r w:rsidRPr="00BB4D40">
              <w:rPr>
                <w:rFonts w:ascii="Arial" w:hAnsi="Arial" w:cs="Arial"/>
                <w:sz w:val="20"/>
                <w:szCs w:val="20"/>
                <w:lang w:eastAsia="vi-VN"/>
              </w:rPr>
              <w:t>Carried</w:t>
            </w:r>
            <w:bookmarkEnd w:id="8"/>
          </w:p>
        </w:tc>
        <w:tc>
          <w:tcPr>
            <w:tcW w:w="1403" w:type="dxa"/>
            <w:tcBorders>
              <w:top w:val="single" w:sz="4" w:space="0" w:color="auto"/>
              <w:bottom w:val="single" w:sz="4" w:space="0" w:color="auto"/>
            </w:tcBorders>
            <w:vAlign w:val="center"/>
            <w:hideMark/>
          </w:tcPr>
          <w:p w14:paraId="6E5ABA9F" w14:textId="77777777" w:rsidR="006A6832" w:rsidRPr="00BB4D40" w:rsidRDefault="006A6832" w:rsidP="007577DA">
            <w:pPr>
              <w:spacing w:before="40" w:after="40"/>
              <w:ind w:firstLine="567"/>
              <w:jc w:val="center"/>
              <w:rPr>
                <w:rFonts w:ascii="Arial" w:hAnsi="Arial" w:cs="Arial"/>
                <w:sz w:val="20"/>
                <w:szCs w:val="20"/>
                <w:lang w:eastAsia="vi-VN"/>
              </w:rPr>
            </w:pPr>
            <w:r w:rsidRPr="00BB4D40">
              <w:rPr>
                <w:rFonts w:ascii="Arial" w:hAnsi="Arial" w:cs="Arial"/>
                <w:sz w:val="20"/>
                <w:szCs w:val="20"/>
                <w:lang w:eastAsia="vi-VN"/>
              </w:rPr>
              <w:t>Traffic</w:t>
            </w:r>
          </w:p>
        </w:tc>
      </w:tr>
      <w:tr w:rsidR="006A6832" w:rsidRPr="00BB4D40" w14:paraId="37C48BF5" w14:textId="77777777" w:rsidTr="007577DA">
        <w:trPr>
          <w:trHeight w:val="250"/>
          <w:jc w:val="center"/>
        </w:trPr>
        <w:tc>
          <w:tcPr>
            <w:tcW w:w="1887" w:type="dxa"/>
            <w:noWrap/>
            <w:vAlign w:val="center"/>
            <w:hideMark/>
          </w:tcPr>
          <w:p w14:paraId="52E0442B" w14:textId="77777777" w:rsidR="006A6832" w:rsidRPr="00BB4D40" w:rsidRDefault="006A6832" w:rsidP="007577DA">
            <w:pPr>
              <w:spacing w:before="100" w:after="40"/>
              <w:ind w:firstLine="142"/>
              <w:jc w:val="both"/>
              <w:rPr>
                <w:rFonts w:ascii="Arial" w:hAnsi="Arial" w:cs="Arial"/>
                <w:b/>
                <w:bCs/>
                <w:sz w:val="20"/>
                <w:szCs w:val="20"/>
                <w:lang w:eastAsia="vi-VN"/>
              </w:rPr>
            </w:pPr>
            <w:r w:rsidRPr="00BB4D40">
              <w:rPr>
                <w:rFonts w:ascii="Arial" w:hAnsi="Arial" w:cs="Arial"/>
                <w:b/>
                <w:bCs/>
                <w:sz w:val="20"/>
                <w:szCs w:val="20"/>
                <w:lang w:eastAsia="vi-VN"/>
              </w:rPr>
              <w:t>Total</w:t>
            </w:r>
          </w:p>
        </w:tc>
        <w:tc>
          <w:tcPr>
            <w:tcW w:w="1886" w:type="dxa"/>
            <w:tcBorders>
              <w:top w:val="single" w:sz="4" w:space="0" w:color="auto"/>
            </w:tcBorders>
            <w:shd w:val="clear" w:color="auto" w:fill="auto"/>
            <w:noWrap/>
            <w:vAlign w:val="center"/>
            <w:hideMark/>
          </w:tcPr>
          <w:p w14:paraId="00A3FD97" w14:textId="77777777" w:rsidR="006A6832" w:rsidRPr="00BB4D40" w:rsidRDefault="006A6832" w:rsidP="007577DA">
            <w:pPr>
              <w:spacing w:before="100" w:after="40"/>
              <w:ind w:right="600" w:firstLine="142"/>
              <w:jc w:val="right"/>
              <w:rPr>
                <w:rFonts w:ascii="Arial" w:hAnsi="Arial" w:cs="Arial"/>
                <w:b/>
                <w:bCs/>
                <w:sz w:val="20"/>
                <w:szCs w:val="20"/>
              </w:rPr>
            </w:pPr>
            <w:r w:rsidRPr="00BB4D40">
              <w:rPr>
                <w:rFonts w:ascii="Arial" w:hAnsi="Arial" w:cs="Arial"/>
                <w:b/>
                <w:bCs/>
                <w:sz w:val="20"/>
                <w:szCs w:val="20"/>
              </w:rPr>
              <w:t>1,935.1</w:t>
            </w:r>
          </w:p>
        </w:tc>
        <w:tc>
          <w:tcPr>
            <w:tcW w:w="2394" w:type="dxa"/>
            <w:tcBorders>
              <w:top w:val="single" w:sz="4" w:space="0" w:color="auto"/>
            </w:tcBorders>
            <w:shd w:val="clear" w:color="auto" w:fill="auto"/>
            <w:noWrap/>
            <w:vAlign w:val="center"/>
            <w:hideMark/>
          </w:tcPr>
          <w:p w14:paraId="2E4446C6" w14:textId="77777777" w:rsidR="006A6832" w:rsidRPr="00BB4D40" w:rsidRDefault="006A6832" w:rsidP="007577DA">
            <w:pPr>
              <w:spacing w:before="100" w:after="40"/>
              <w:ind w:right="940" w:firstLine="142"/>
              <w:jc w:val="right"/>
              <w:rPr>
                <w:rFonts w:ascii="Arial" w:hAnsi="Arial" w:cs="Arial"/>
                <w:b/>
                <w:bCs/>
                <w:sz w:val="20"/>
                <w:szCs w:val="20"/>
              </w:rPr>
            </w:pPr>
            <w:r w:rsidRPr="00BB4D40">
              <w:rPr>
                <w:rFonts w:ascii="Arial" w:hAnsi="Arial" w:cs="Arial"/>
                <w:b/>
                <w:bCs/>
                <w:sz w:val="20"/>
                <w:szCs w:val="20"/>
              </w:rPr>
              <w:t>111.4</w:t>
            </w:r>
          </w:p>
        </w:tc>
        <w:tc>
          <w:tcPr>
            <w:tcW w:w="1666" w:type="dxa"/>
            <w:tcBorders>
              <w:top w:val="single" w:sz="4" w:space="0" w:color="auto"/>
            </w:tcBorders>
            <w:shd w:val="clear" w:color="auto" w:fill="auto"/>
            <w:noWrap/>
            <w:vAlign w:val="center"/>
            <w:hideMark/>
          </w:tcPr>
          <w:p w14:paraId="0C5BE743" w14:textId="77777777" w:rsidR="006A6832" w:rsidRPr="00BB4D40" w:rsidRDefault="006A6832" w:rsidP="007577DA">
            <w:pPr>
              <w:spacing w:before="100" w:after="40"/>
              <w:ind w:right="209" w:firstLine="142"/>
              <w:jc w:val="right"/>
              <w:rPr>
                <w:rFonts w:ascii="Arial" w:hAnsi="Arial" w:cs="Arial"/>
                <w:b/>
                <w:bCs/>
                <w:sz w:val="20"/>
                <w:szCs w:val="20"/>
              </w:rPr>
            </w:pPr>
            <w:r w:rsidRPr="00BB4D40">
              <w:rPr>
                <w:rFonts w:ascii="Arial" w:hAnsi="Arial" w:cs="Arial"/>
                <w:b/>
                <w:bCs/>
                <w:sz w:val="20"/>
                <w:szCs w:val="20"/>
              </w:rPr>
              <w:t>6.1</w:t>
            </w:r>
          </w:p>
        </w:tc>
        <w:tc>
          <w:tcPr>
            <w:tcW w:w="1403" w:type="dxa"/>
            <w:tcBorders>
              <w:top w:val="single" w:sz="4" w:space="0" w:color="auto"/>
            </w:tcBorders>
            <w:shd w:val="clear" w:color="auto" w:fill="auto"/>
            <w:noWrap/>
            <w:vAlign w:val="center"/>
            <w:hideMark/>
          </w:tcPr>
          <w:p w14:paraId="3CC39F56" w14:textId="77777777" w:rsidR="006A6832" w:rsidRPr="00BB4D40" w:rsidRDefault="006A6832" w:rsidP="007577DA">
            <w:pPr>
              <w:spacing w:before="100" w:after="40"/>
              <w:ind w:right="41" w:firstLine="142"/>
              <w:jc w:val="right"/>
              <w:rPr>
                <w:rFonts w:ascii="Arial" w:hAnsi="Arial" w:cs="Arial"/>
                <w:b/>
                <w:bCs/>
                <w:sz w:val="20"/>
                <w:szCs w:val="20"/>
              </w:rPr>
            </w:pPr>
            <w:r w:rsidRPr="00BB4D40">
              <w:rPr>
                <w:rFonts w:ascii="Arial" w:hAnsi="Arial" w:cs="Arial"/>
                <w:b/>
                <w:bCs/>
                <w:sz w:val="20"/>
                <w:szCs w:val="20"/>
              </w:rPr>
              <w:t>12.7</w:t>
            </w:r>
          </w:p>
        </w:tc>
      </w:tr>
      <w:tr w:rsidR="006A6832" w:rsidRPr="00BB4D40" w14:paraId="1D237154" w14:textId="77777777" w:rsidTr="007577DA">
        <w:trPr>
          <w:trHeight w:val="212"/>
          <w:jc w:val="center"/>
        </w:trPr>
        <w:tc>
          <w:tcPr>
            <w:tcW w:w="1887" w:type="dxa"/>
            <w:noWrap/>
            <w:vAlign w:val="center"/>
            <w:hideMark/>
          </w:tcPr>
          <w:p w14:paraId="0A3A12C5" w14:textId="77777777" w:rsidR="006A6832" w:rsidRPr="00BB4D40" w:rsidRDefault="006A6832" w:rsidP="007577DA">
            <w:pPr>
              <w:tabs>
                <w:tab w:val="left" w:pos="407"/>
              </w:tabs>
              <w:spacing w:before="40" w:after="40"/>
              <w:ind w:firstLine="142"/>
              <w:jc w:val="both"/>
              <w:rPr>
                <w:rFonts w:ascii="Arial" w:hAnsi="Arial" w:cs="Arial"/>
                <w:sz w:val="20"/>
                <w:szCs w:val="20"/>
                <w:lang w:eastAsia="vi-VN"/>
              </w:rPr>
            </w:pPr>
            <w:proofErr w:type="gramStart"/>
            <w:r w:rsidRPr="00BB4D40">
              <w:rPr>
                <w:rFonts w:ascii="Arial" w:hAnsi="Arial" w:cs="Arial"/>
                <w:sz w:val="20"/>
                <w:szCs w:val="20"/>
                <w:lang w:eastAsia="vi-VN"/>
              </w:rPr>
              <w:t>Rail way</w:t>
            </w:r>
            <w:proofErr w:type="gramEnd"/>
          </w:p>
        </w:tc>
        <w:tc>
          <w:tcPr>
            <w:tcW w:w="1886" w:type="dxa"/>
            <w:shd w:val="clear" w:color="auto" w:fill="auto"/>
            <w:noWrap/>
            <w:vAlign w:val="center"/>
            <w:hideMark/>
          </w:tcPr>
          <w:p w14:paraId="70EEBE18" w14:textId="77777777" w:rsidR="006A6832" w:rsidRPr="00BB4D40" w:rsidRDefault="006A6832" w:rsidP="007577DA">
            <w:pPr>
              <w:spacing w:before="40" w:after="40"/>
              <w:ind w:right="600" w:firstLine="142"/>
              <w:jc w:val="right"/>
              <w:rPr>
                <w:rFonts w:ascii="Arial" w:hAnsi="Arial" w:cs="Arial"/>
                <w:sz w:val="20"/>
                <w:szCs w:val="20"/>
              </w:rPr>
            </w:pPr>
            <w:r w:rsidRPr="00BB4D40">
              <w:rPr>
                <w:rFonts w:ascii="Arial" w:hAnsi="Arial" w:cs="Arial"/>
                <w:sz w:val="20"/>
                <w:szCs w:val="20"/>
              </w:rPr>
              <w:t>2.8</w:t>
            </w:r>
          </w:p>
        </w:tc>
        <w:tc>
          <w:tcPr>
            <w:tcW w:w="2394" w:type="dxa"/>
            <w:shd w:val="clear" w:color="auto" w:fill="auto"/>
            <w:noWrap/>
            <w:vAlign w:val="center"/>
            <w:hideMark/>
          </w:tcPr>
          <w:p w14:paraId="11FF9735" w14:textId="77777777" w:rsidR="006A6832" w:rsidRPr="00BB4D40" w:rsidRDefault="006A6832" w:rsidP="007577DA">
            <w:pPr>
              <w:spacing w:before="40" w:after="40"/>
              <w:ind w:right="940" w:firstLine="142"/>
              <w:jc w:val="right"/>
              <w:rPr>
                <w:rFonts w:ascii="Arial" w:hAnsi="Arial" w:cs="Arial"/>
                <w:sz w:val="20"/>
                <w:szCs w:val="20"/>
              </w:rPr>
            </w:pPr>
            <w:r w:rsidRPr="00BB4D40">
              <w:rPr>
                <w:rFonts w:ascii="Arial" w:hAnsi="Arial" w:cs="Arial"/>
                <w:sz w:val="20"/>
                <w:szCs w:val="20"/>
              </w:rPr>
              <w:t>1.1</w:t>
            </w:r>
          </w:p>
        </w:tc>
        <w:tc>
          <w:tcPr>
            <w:tcW w:w="1666" w:type="dxa"/>
            <w:shd w:val="clear" w:color="auto" w:fill="auto"/>
            <w:noWrap/>
            <w:vAlign w:val="center"/>
            <w:hideMark/>
          </w:tcPr>
          <w:p w14:paraId="155882BB" w14:textId="77777777" w:rsidR="006A6832" w:rsidRPr="00BB4D40" w:rsidRDefault="006A6832" w:rsidP="007577DA">
            <w:pPr>
              <w:spacing w:before="40" w:after="40"/>
              <w:ind w:right="209" w:firstLine="142"/>
              <w:jc w:val="right"/>
              <w:rPr>
                <w:rFonts w:ascii="Arial" w:hAnsi="Arial" w:cs="Arial"/>
                <w:sz w:val="20"/>
                <w:szCs w:val="20"/>
              </w:rPr>
            </w:pPr>
            <w:r w:rsidRPr="00BB4D40">
              <w:rPr>
                <w:rFonts w:ascii="Arial" w:hAnsi="Arial" w:cs="Arial"/>
                <w:sz w:val="20"/>
                <w:szCs w:val="20"/>
              </w:rPr>
              <w:t>14.0</w:t>
            </w:r>
          </w:p>
        </w:tc>
        <w:tc>
          <w:tcPr>
            <w:tcW w:w="1403" w:type="dxa"/>
            <w:shd w:val="clear" w:color="auto" w:fill="auto"/>
            <w:noWrap/>
            <w:vAlign w:val="center"/>
            <w:hideMark/>
          </w:tcPr>
          <w:p w14:paraId="7F9BF56E" w14:textId="77777777" w:rsidR="006A6832" w:rsidRPr="00BB4D40" w:rsidRDefault="006A6832" w:rsidP="007577DA">
            <w:pPr>
              <w:spacing w:before="40" w:after="40"/>
              <w:ind w:right="41" w:firstLine="142"/>
              <w:jc w:val="right"/>
              <w:rPr>
                <w:rFonts w:ascii="Arial" w:hAnsi="Arial" w:cs="Arial"/>
                <w:sz w:val="20"/>
                <w:szCs w:val="20"/>
              </w:rPr>
            </w:pPr>
            <w:r w:rsidRPr="00BB4D40">
              <w:rPr>
                <w:rFonts w:ascii="Arial" w:hAnsi="Arial" w:cs="Arial"/>
                <w:sz w:val="20"/>
                <w:szCs w:val="20"/>
              </w:rPr>
              <w:t>16.6</w:t>
            </w:r>
          </w:p>
        </w:tc>
      </w:tr>
      <w:tr w:rsidR="006A6832" w:rsidRPr="00BB4D40" w14:paraId="2A660BDA" w14:textId="77777777" w:rsidTr="007577DA">
        <w:trPr>
          <w:trHeight w:val="212"/>
          <w:jc w:val="center"/>
        </w:trPr>
        <w:tc>
          <w:tcPr>
            <w:tcW w:w="1887" w:type="dxa"/>
            <w:noWrap/>
            <w:vAlign w:val="center"/>
            <w:hideMark/>
          </w:tcPr>
          <w:p w14:paraId="73BF5A6F" w14:textId="77777777" w:rsidR="006A6832" w:rsidRPr="00BB4D40" w:rsidRDefault="006A6832" w:rsidP="007577DA">
            <w:pPr>
              <w:tabs>
                <w:tab w:val="left" w:pos="407"/>
              </w:tabs>
              <w:spacing w:before="40" w:after="40"/>
              <w:ind w:firstLine="142"/>
              <w:jc w:val="both"/>
              <w:rPr>
                <w:rFonts w:ascii="Arial" w:hAnsi="Arial" w:cs="Arial"/>
                <w:sz w:val="20"/>
                <w:szCs w:val="20"/>
                <w:lang w:eastAsia="vi-VN"/>
              </w:rPr>
            </w:pPr>
            <w:r w:rsidRPr="00BB4D40">
              <w:rPr>
                <w:rFonts w:ascii="Arial" w:hAnsi="Arial" w:cs="Arial"/>
                <w:sz w:val="20"/>
                <w:szCs w:val="20"/>
                <w:lang w:eastAsia="vi-VN"/>
              </w:rPr>
              <w:t>Sea way</w:t>
            </w:r>
          </w:p>
        </w:tc>
        <w:tc>
          <w:tcPr>
            <w:tcW w:w="1886" w:type="dxa"/>
            <w:shd w:val="clear" w:color="auto" w:fill="auto"/>
            <w:noWrap/>
            <w:vAlign w:val="center"/>
            <w:hideMark/>
          </w:tcPr>
          <w:p w14:paraId="0EFD5A00" w14:textId="77777777" w:rsidR="006A6832" w:rsidRPr="00BB4D40" w:rsidRDefault="006A6832" w:rsidP="007577DA">
            <w:pPr>
              <w:spacing w:before="40" w:after="40"/>
              <w:ind w:right="600" w:firstLine="142"/>
              <w:jc w:val="right"/>
              <w:rPr>
                <w:rFonts w:ascii="Arial" w:hAnsi="Arial" w:cs="Arial"/>
                <w:sz w:val="20"/>
                <w:szCs w:val="20"/>
              </w:rPr>
            </w:pPr>
            <w:r w:rsidRPr="00BB4D40">
              <w:rPr>
                <w:rFonts w:ascii="Arial" w:hAnsi="Arial" w:cs="Arial"/>
                <w:sz w:val="20"/>
                <w:szCs w:val="20"/>
              </w:rPr>
              <w:t>6.4</w:t>
            </w:r>
          </w:p>
        </w:tc>
        <w:tc>
          <w:tcPr>
            <w:tcW w:w="2394" w:type="dxa"/>
            <w:shd w:val="clear" w:color="auto" w:fill="auto"/>
            <w:noWrap/>
            <w:vAlign w:val="center"/>
            <w:hideMark/>
          </w:tcPr>
          <w:p w14:paraId="28726747" w14:textId="77777777" w:rsidR="006A6832" w:rsidRPr="00BB4D40" w:rsidRDefault="006A6832" w:rsidP="007577DA">
            <w:pPr>
              <w:spacing w:before="40" w:after="40"/>
              <w:ind w:right="940" w:firstLine="142"/>
              <w:jc w:val="right"/>
              <w:rPr>
                <w:rFonts w:ascii="Arial" w:hAnsi="Arial" w:cs="Arial"/>
                <w:sz w:val="20"/>
                <w:szCs w:val="20"/>
              </w:rPr>
            </w:pPr>
            <w:r w:rsidRPr="00BB4D40">
              <w:rPr>
                <w:rFonts w:ascii="Arial" w:hAnsi="Arial" w:cs="Arial"/>
                <w:sz w:val="20"/>
                <w:szCs w:val="20"/>
              </w:rPr>
              <w:t>0.3</w:t>
            </w:r>
          </w:p>
        </w:tc>
        <w:tc>
          <w:tcPr>
            <w:tcW w:w="1666" w:type="dxa"/>
            <w:shd w:val="clear" w:color="auto" w:fill="auto"/>
            <w:noWrap/>
            <w:vAlign w:val="center"/>
            <w:hideMark/>
          </w:tcPr>
          <w:p w14:paraId="47F0C7E3" w14:textId="77777777" w:rsidR="006A6832" w:rsidRPr="00BB4D40" w:rsidRDefault="006A6832" w:rsidP="007577DA">
            <w:pPr>
              <w:spacing w:before="40" w:after="40"/>
              <w:ind w:right="209" w:firstLine="142"/>
              <w:jc w:val="right"/>
              <w:rPr>
                <w:rFonts w:ascii="Arial" w:hAnsi="Arial" w:cs="Arial"/>
                <w:sz w:val="20"/>
                <w:szCs w:val="20"/>
              </w:rPr>
            </w:pPr>
            <w:r w:rsidRPr="00BB4D40">
              <w:rPr>
                <w:rFonts w:ascii="Arial" w:hAnsi="Arial" w:cs="Arial"/>
                <w:sz w:val="20"/>
                <w:szCs w:val="20"/>
              </w:rPr>
              <w:t>-0.5</w:t>
            </w:r>
          </w:p>
        </w:tc>
        <w:tc>
          <w:tcPr>
            <w:tcW w:w="1403" w:type="dxa"/>
            <w:shd w:val="clear" w:color="auto" w:fill="auto"/>
            <w:noWrap/>
            <w:vAlign w:val="center"/>
            <w:hideMark/>
          </w:tcPr>
          <w:p w14:paraId="7B313909" w14:textId="77777777" w:rsidR="006A6832" w:rsidRPr="00BB4D40" w:rsidRDefault="006A6832" w:rsidP="007577DA">
            <w:pPr>
              <w:spacing w:before="40" w:after="40"/>
              <w:ind w:right="41" w:firstLine="142"/>
              <w:jc w:val="right"/>
              <w:rPr>
                <w:rFonts w:ascii="Arial" w:hAnsi="Arial" w:cs="Arial"/>
                <w:sz w:val="20"/>
                <w:szCs w:val="20"/>
              </w:rPr>
            </w:pPr>
            <w:r w:rsidRPr="00BB4D40">
              <w:rPr>
                <w:rFonts w:ascii="Arial" w:hAnsi="Arial" w:cs="Arial"/>
                <w:sz w:val="20"/>
                <w:szCs w:val="20"/>
              </w:rPr>
              <w:t>-0.4</w:t>
            </w:r>
          </w:p>
        </w:tc>
      </w:tr>
      <w:tr w:rsidR="006A6832" w:rsidRPr="00BB4D40" w14:paraId="58937CA8" w14:textId="77777777" w:rsidTr="007577DA">
        <w:trPr>
          <w:trHeight w:val="212"/>
          <w:jc w:val="center"/>
        </w:trPr>
        <w:tc>
          <w:tcPr>
            <w:tcW w:w="1887" w:type="dxa"/>
            <w:noWrap/>
            <w:vAlign w:val="center"/>
            <w:hideMark/>
          </w:tcPr>
          <w:p w14:paraId="27E16E28" w14:textId="77777777" w:rsidR="006A6832" w:rsidRPr="00BB4D40" w:rsidRDefault="006A6832" w:rsidP="007577DA">
            <w:pPr>
              <w:tabs>
                <w:tab w:val="left" w:pos="407"/>
              </w:tabs>
              <w:spacing w:before="40" w:after="40"/>
              <w:ind w:firstLine="142"/>
              <w:jc w:val="both"/>
              <w:rPr>
                <w:rFonts w:ascii="Arial" w:hAnsi="Arial" w:cs="Arial"/>
                <w:sz w:val="20"/>
                <w:szCs w:val="20"/>
                <w:lang w:eastAsia="vi-VN"/>
              </w:rPr>
            </w:pPr>
            <w:r w:rsidRPr="00BB4D40">
              <w:rPr>
                <w:rFonts w:ascii="Arial" w:hAnsi="Arial" w:cs="Arial"/>
                <w:sz w:val="20"/>
                <w:szCs w:val="20"/>
                <w:lang w:eastAsia="vi-VN"/>
              </w:rPr>
              <w:t>Inland water way</w:t>
            </w:r>
          </w:p>
        </w:tc>
        <w:tc>
          <w:tcPr>
            <w:tcW w:w="1886" w:type="dxa"/>
            <w:shd w:val="clear" w:color="auto" w:fill="auto"/>
            <w:noWrap/>
            <w:vAlign w:val="center"/>
            <w:hideMark/>
          </w:tcPr>
          <w:p w14:paraId="0E4BC4B5" w14:textId="77777777" w:rsidR="006A6832" w:rsidRPr="00BB4D40" w:rsidRDefault="006A6832" w:rsidP="007577DA">
            <w:pPr>
              <w:spacing w:before="40" w:after="40"/>
              <w:ind w:right="600" w:firstLine="142"/>
              <w:jc w:val="right"/>
              <w:rPr>
                <w:rFonts w:ascii="Arial" w:hAnsi="Arial" w:cs="Arial"/>
                <w:sz w:val="20"/>
                <w:szCs w:val="20"/>
              </w:rPr>
            </w:pPr>
            <w:r w:rsidRPr="00BB4D40">
              <w:rPr>
                <w:rFonts w:ascii="Arial" w:hAnsi="Arial" w:cs="Arial"/>
                <w:sz w:val="20"/>
                <w:szCs w:val="20"/>
              </w:rPr>
              <w:t>158.0</w:t>
            </w:r>
          </w:p>
        </w:tc>
        <w:tc>
          <w:tcPr>
            <w:tcW w:w="2394" w:type="dxa"/>
            <w:shd w:val="clear" w:color="auto" w:fill="auto"/>
            <w:noWrap/>
            <w:vAlign w:val="center"/>
            <w:hideMark/>
          </w:tcPr>
          <w:p w14:paraId="0BC614DF" w14:textId="77777777" w:rsidR="006A6832" w:rsidRPr="00BB4D40" w:rsidRDefault="006A6832" w:rsidP="007577DA">
            <w:pPr>
              <w:spacing w:before="40" w:after="40"/>
              <w:ind w:right="940" w:firstLine="142"/>
              <w:jc w:val="right"/>
              <w:rPr>
                <w:rFonts w:ascii="Arial" w:hAnsi="Arial" w:cs="Arial"/>
                <w:sz w:val="20"/>
                <w:szCs w:val="20"/>
              </w:rPr>
            </w:pPr>
            <w:r w:rsidRPr="00BB4D40">
              <w:rPr>
                <w:rFonts w:ascii="Arial" w:hAnsi="Arial" w:cs="Arial"/>
                <w:sz w:val="20"/>
                <w:szCs w:val="20"/>
              </w:rPr>
              <w:t>2.9</w:t>
            </w:r>
          </w:p>
        </w:tc>
        <w:tc>
          <w:tcPr>
            <w:tcW w:w="1666" w:type="dxa"/>
            <w:shd w:val="clear" w:color="auto" w:fill="auto"/>
            <w:noWrap/>
            <w:vAlign w:val="center"/>
            <w:hideMark/>
          </w:tcPr>
          <w:p w14:paraId="491B5C91" w14:textId="77777777" w:rsidR="006A6832" w:rsidRPr="00BB4D40" w:rsidRDefault="006A6832" w:rsidP="007577DA">
            <w:pPr>
              <w:spacing w:before="40" w:after="40"/>
              <w:ind w:right="209" w:firstLine="142"/>
              <w:jc w:val="right"/>
              <w:rPr>
                <w:rFonts w:ascii="Arial" w:hAnsi="Arial" w:cs="Arial"/>
                <w:sz w:val="20"/>
                <w:szCs w:val="20"/>
              </w:rPr>
            </w:pPr>
            <w:r w:rsidRPr="00BB4D40">
              <w:rPr>
                <w:rFonts w:ascii="Arial" w:hAnsi="Arial" w:cs="Arial"/>
                <w:sz w:val="20"/>
                <w:szCs w:val="20"/>
              </w:rPr>
              <w:t>8.3</w:t>
            </w:r>
          </w:p>
        </w:tc>
        <w:tc>
          <w:tcPr>
            <w:tcW w:w="1403" w:type="dxa"/>
            <w:shd w:val="clear" w:color="auto" w:fill="auto"/>
            <w:noWrap/>
            <w:vAlign w:val="center"/>
            <w:hideMark/>
          </w:tcPr>
          <w:p w14:paraId="39BB114D" w14:textId="77777777" w:rsidR="006A6832" w:rsidRPr="00BB4D40" w:rsidRDefault="006A6832" w:rsidP="007577DA">
            <w:pPr>
              <w:spacing w:before="40" w:after="40"/>
              <w:ind w:right="41" w:firstLine="142"/>
              <w:jc w:val="right"/>
              <w:rPr>
                <w:rFonts w:ascii="Arial" w:hAnsi="Arial" w:cs="Arial"/>
                <w:sz w:val="20"/>
                <w:szCs w:val="20"/>
              </w:rPr>
            </w:pPr>
            <w:r w:rsidRPr="00BB4D40">
              <w:rPr>
                <w:rFonts w:ascii="Arial" w:hAnsi="Arial" w:cs="Arial"/>
                <w:sz w:val="20"/>
                <w:szCs w:val="20"/>
              </w:rPr>
              <w:t>9.2</w:t>
            </w:r>
          </w:p>
        </w:tc>
      </w:tr>
      <w:tr w:rsidR="006A6832" w:rsidRPr="00BB4D40" w14:paraId="5F2D02C0" w14:textId="77777777" w:rsidTr="007577DA">
        <w:trPr>
          <w:trHeight w:val="212"/>
          <w:jc w:val="center"/>
        </w:trPr>
        <w:tc>
          <w:tcPr>
            <w:tcW w:w="1887" w:type="dxa"/>
            <w:tcBorders>
              <w:bottom w:val="nil"/>
            </w:tcBorders>
            <w:noWrap/>
            <w:vAlign w:val="center"/>
            <w:hideMark/>
          </w:tcPr>
          <w:p w14:paraId="2D221006" w14:textId="77777777" w:rsidR="006A6832" w:rsidRPr="00BB4D40" w:rsidRDefault="006A6832" w:rsidP="007577DA">
            <w:pPr>
              <w:tabs>
                <w:tab w:val="left" w:pos="407"/>
              </w:tabs>
              <w:spacing w:before="40" w:after="40"/>
              <w:ind w:firstLine="142"/>
              <w:jc w:val="both"/>
              <w:rPr>
                <w:rFonts w:ascii="Arial" w:hAnsi="Arial" w:cs="Arial"/>
                <w:sz w:val="20"/>
                <w:szCs w:val="20"/>
                <w:lang w:eastAsia="vi-VN"/>
              </w:rPr>
            </w:pPr>
            <w:r w:rsidRPr="00BB4D40">
              <w:rPr>
                <w:rFonts w:ascii="Arial" w:hAnsi="Arial" w:cs="Arial"/>
                <w:sz w:val="20"/>
                <w:szCs w:val="20"/>
                <w:lang w:eastAsia="vi-VN"/>
              </w:rPr>
              <w:t>Road</w:t>
            </w:r>
          </w:p>
        </w:tc>
        <w:tc>
          <w:tcPr>
            <w:tcW w:w="1886" w:type="dxa"/>
            <w:tcBorders>
              <w:bottom w:val="nil"/>
            </w:tcBorders>
            <w:shd w:val="clear" w:color="auto" w:fill="auto"/>
            <w:noWrap/>
            <w:vAlign w:val="center"/>
            <w:hideMark/>
          </w:tcPr>
          <w:p w14:paraId="0ECD8B9A" w14:textId="77777777" w:rsidR="006A6832" w:rsidRPr="00BB4D40" w:rsidRDefault="006A6832" w:rsidP="007577DA">
            <w:pPr>
              <w:spacing w:before="40" w:after="40"/>
              <w:ind w:right="600" w:firstLine="142"/>
              <w:jc w:val="right"/>
              <w:rPr>
                <w:rFonts w:ascii="Arial" w:hAnsi="Arial" w:cs="Arial"/>
                <w:sz w:val="20"/>
                <w:szCs w:val="20"/>
              </w:rPr>
            </w:pPr>
            <w:r w:rsidRPr="00BB4D40">
              <w:rPr>
                <w:rFonts w:ascii="Arial" w:hAnsi="Arial" w:cs="Arial"/>
                <w:sz w:val="20"/>
                <w:szCs w:val="20"/>
              </w:rPr>
              <w:t>1,745.6</w:t>
            </w:r>
          </w:p>
        </w:tc>
        <w:tc>
          <w:tcPr>
            <w:tcW w:w="2394" w:type="dxa"/>
            <w:tcBorders>
              <w:bottom w:val="nil"/>
            </w:tcBorders>
            <w:shd w:val="clear" w:color="auto" w:fill="auto"/>
            <w:noWrap/>
            <w:vAlign w:val="center"/>
            <w:hideMark/>
          </w:tcPr>
          <w:p w14:paraId="7E71491D" w14:textId="77777777" w:rsidR="006A6832" w:rsidRPr="00BB4D40" w:rsidRDefault="006A6832" w:rsidP="007577DA">
            <w:pPr>
              <w:spacing w:before="40" w:after="40"/>
              <w:ind w:right="940" w:firstLine="142"/>
              <w:jc w:val="right"/>
              <w:rPr>
                <w:rFonts w:ascii="Arial" w:hAnsi="Arial" w:cs="Arial"/>
                <w:sz w:val="20"/>
                <w:szCs w:val="20"/>
              </w:rPr>
            </w:pPr>
            <w:r w:rsidRPr="00BB4D40">
              <w:rPr>
                <w:rFonts w:ascii="Arial" w:hAnsi="Arial" w:cs="Arial"/>
                <w:sz w:val="20"/>
                <w:szCs w:val="20"/>
              </w:rPr>
              <w:t>69.3</w:t>
            </w:r>
          </w:p>
        </w:tc>
        <w:tc>
          <w:tcPr>
            <w:tcW w:w="1666" w:type="dxa"/>
            <w:tcBorders>
              <w:bottom w:val="nil"/>
            </w:tcBorders>
            <w:shd w:val="clear" w:color="auto" w:fill="auto"/>
            <w:noWrap/>
            <w:vAlign w:val="center"/>
            <w:hideMark/>
          </w:tcPr>
          <w:p w14:paraId="5B0EEA40" w14:textId="77777777" w:rsidR="006A6832" w:rsidRPr="00BB4D40" w:rsidRDefault="006A6832" w:rsidP="007577DA">
            <w:pPr>
              <w:spacing w:before="40" w:after="40"/>
              <w:ind w:right="209" w:firstLine="142"/>
              <w:jc w:val="right"/>
              <w:rPr>
                <w:rFonts w:ascii="Arial" w:hAnsi="Arial" w:cs="Arial"/>
                <w:sz w:val="20"/>
                <w:szCs w:val="20"/>
              </w:rPr>
            </w:pPr>
            <w:r w:rsidRPr="00BB4D40">
              <w:rPr>
                <w:rFonts w:ascii="Arial" w:hAnsi="Arial" w:cs="Arial"/>
                <w:sz w:val="20"/>
                <w:szCs w:val="20"/>
              </w:rPr>
              <w:t>6.1</w:t>
            </w:r>
          </w:p>
        </w:tc>
        <w:tc>
          <w:tcPr>
            <w:tcW w:w="1403" w:type="dxa"/>
            <w:tcBorders>
              <w:bottom w:val="nil"/>
            </w:tcBorders>
            <w:shd w:val="clear" w:color="auto" w:fill="auto"/>
            <w:noWrap/>
            <w:vAlign w:val="center"/>
            <w:hideMark/>
          </w:tcPr>
          <w:p w14:paraId="663D77E2" w14:textId="77777777" w:rsidR="006A6832" w:rsidRPr="00BB4D40" w:rsidRDefault="006A6832" w:rsidP="007577DA">
            <w:pPr>
              <w:spacing w:before="40" w:after="40"/>
              <w:ind w:right="41" w:firstLine="142"/>
              <w:jc w:val="right"/>
              <w:rPr>
                <w:rFonts w:ascii="Arial" w:hAnsi="Arial" w:cs="Arial"/>
                <w:sz w:val="20"/>
                <w:szCs w:val="20"/>
              </w:rPr>
            </w:pPr>
            <w:r w:rsidRPr="00BB4D40">
              <w:rPr>
                <w:rFonts w:ascii="Arial" w:hAnsi="Arial" w:cs="Arial"/>
                <w:sz w:val="20"/>
                <w:szCs w:val="20"/>
              </w:rPr>
              <w:t>9.1</w:t>
            </w:r>
          </w:p>
        </w:tc>
      </w:tr>
      <w:tr w:rsidR="006A6832" w:rsidRPr="00BB4D40" w14:paraId="31E9F25F" w14:textId="77777777" w:rsidTr="007577DA">
        <w:trPr>
          <w:trHeight w:val="245"/>
          <w:jc w:val="center"/>
        </w:trPr>
        <w:tc>
          <w:tcPr>
            <w:tcW w:w="1887" w:type="dxa"/>
            <w:tcBorders>
              <w:top w:val="nil"/>
              <w:bottom w:val="single" w:sz="4" w:space="0" w:color="auto"/>
            </w:tcBorders>
            <w:noWrap/>
            <w:vAlign w:val="center"/>
            <w:hideMark/>
          </w:tcPr>
          <w:p w14:paraId="5CCF5DEF" w14:textId="77777777" w:rsidR="006A6832" w:rsidRPr="00BB4D40" w:rsidRDefault="006A6832" w:rsidP="007577DA">
            <w:pPr>
              <w:tabs>
                <w:tab w:val="left" w:pos="407"/>
              </w:tabs>
              <w:spacing w:before="40" w:after="40"/>
              <w:ind w:firstLine="142"/>
              <w:jc w:val="both"/>
              <w:rPr>
                <w:rFonts w:ascii="Arial" w:hAnsi="Arial" w:cs="Arial"/>
                <w:sz w:val="20"/>
                <w:szCs w:val="20"/>
                <w:lang w:eastAsia="vi-VN"/>
              </w:rPr>
            </w:pPr>
            <w:r w:rsidRPr="00BB4D40">
              <w:rPr>
                <w:rFonts w:ascii="Arial" w:hAnsi="Arial" w:cs="Arial"/>
                <w:sz w:val="20"/>
                <w:szCs w:val="20"/>
                <w:lang w:eastAsia="vi-VN"/>
              </w:rPr>
              <w:t xml:space="preserve">Airway </w:t>
            </w:r>
          </w:p>
        </w:tc>
        <w:tc>
          <w:tcPr>
            <w:tcW w:w="1886" w:type="dxa"/>
            <w:tcBorders>
              <w:top w:val="nil"/>
              <w:bottom w:val="single" w:sz="4" w:space="0" w:color="auto"/>
            </w:tcBorders>
            <w:shd w:val="clear" w:color="auto" w:fill="auto"/>
            <w:noWrap/>
            <w:vAlign w:val="center"/>
            <w:hideMark/>
          </w:tcPr>
          <w:p w14:paraId="1A538007" w14:textId="77777777" w:rsidR="006A6832" w:rsidRPr="00BB4D40" w:rsidRDefault="006A6832" w:rsidP="007577DA">
            <w:pPr>
              <w:spacing w:before="40" w:after="40"/>
              <w:ind w:right="600" w:firstLine="142"/>
              <w:jc w:val="right"/>
              <w:rPr>
                <w:rFonts w:ascii="Arial" w:hAnsi="Arial" w:cs="Arial"/>
                <w:sz w:val="20"/>
                <w:szCs w:val="20"/>
              </w:rPr>
            </w:pPr>
            <w:r w:rsidRPr="00BB4D40">
              <w:rPr>
                <w:rFonts w:ascii="Arial" w:hAnsi="Arial" w:cs="Arial"/>
                <w:sz w:val="20"/>
                <w:szCs w:val="20"/>
              </w:rPr>
              <w:t>22.3</w:t>
            </w:r>
          </w:p>
        </w:tc>
        <w:tc>
          <w:tcPr>
            <w:tcW w:w="2394" w:type="dxa"/>
            <w:tcBorders>
              <w:top w:val="nil"/>
              <w:bottom w:val="single" w:sz="4" w:space="0" w:color="auto"/>
            </w:tcBorders>
            <w:shd w:val="clear" w:color="auto" w:fill="auto"/>
            <w:noWrap/>
            <w:vAlign w:val="center"/>
            <w:hideMark/>
          </w:tcPr>
          <w:p w14:paraId="10635D18" w14:textId="77777777" w:rsidR="006A6832" w:rsidRPr="00BB4D40" w:rsidRDefault="006A6832" w:rsidP="007577DA">
            <w:pPr>
              <w:spacing w:before="40" w:after="40"/>
              <w:ind w:right="940" w:firstLine="142"/>
              <w:jc w:val="right"/>
              <w:rPr>
                <w:rFonts w:ascii="Arial" w:hAnsi="Arial" w:cs="Arial"/>
                <w:sz w:val="20"/>
                <w:szCs w:val="20"/>
              </w:rPr>
            </w:pPr>
            <w:r w:rsidRPr="00BB4D40">
              <w:rPr>
                <w:rFonts w:ascii="Arial" w:hAnsi="Arial" w:cs="Arial"/>
                <w:sz w:val="20"/>
                <w:szCs w:val="20"/>
              </w:rPr>
              <w:t>37.8</w:t>
            </w:r>
          </w:p>
        </w:tc>
        <w:tc>
          <w:tcPr>
            <w:tcW w:w="1666" w:type="dxa"/>
            <w:tcBorders>
              <w:top w:val="nil"/>
              <w:bottom w:val="single" w:sz="4" w:space="0" w:color="auto"/>
            </w:tcBorders>
            <w:shd w:val="clear" w:color="auto" w:fill="auto"/>
            <w:noWrap/>
            <w:vAlign w:val="center"/>
            <w:hideMark/>
          </w:tcPr>
          <w:p w14:paraId="4EF71F4F" w14:textId="77777777" w:rsidR="006A6832" w:rsidRPr="00BB4D40" w:rsidRDefault="006A6832" w:rsidP="007577DA">
            <w:pPr>
              <w:spacing w:before="40" w:after="40"/>
              <w:ind w:right="209" w:firstLine="142"/>
              <w:jc w:val="right"/>
              <w:rPr>
                <w:rFonts w:ascii="Arial" w:hAnsi="Arial" w:cs="Arial"/>
                <w:sz w:val="20"/>
                <w:szCs w:val="20"/>
              </w:rPr>
            </w:pPr>
            <w:r w:rsidRPr="00BB4D40">
              <w:rPr>
                <w:rFonts w:ascii="Arial" w:hAnsi="Arial" w:cs="Arial"/>
                <w:sz w:val="20"/>
                <w:szCs w:val="20"/>
              </w:rPr>
              <w:t>-1.5</w:t>
            </w:r>
          </w:p>
        </w:tc>
        <w:tc>
          <w:tcPr>
            <w:tcW w:w="1403" w:type="dxa"/>
            <w:tcBorders>
              <w:top w:val="nil"/>
              <w:bottom w:val="single" w:sz="4" w:space="0" w:color="auto"/>
            </w:tcBorders>
            <w:shd w:val="clear" w:color="auto" w:fill="auto"/>
            <w:noWrap/>
            <w:vAlign w:val="center"/>
            <w:hideMark/>
          </w:tcPr>
          <w:p w14:paraId="7978FF60" w14:textId="77777777" w:rsidR="006A6832" w:rsidRPr="00BB4D40" w:rsidRDefault="006A6832" w:rsidP="007577DA">
            <w:pPr>
              <w:spacing w:before="40" w:after="40"/>
              <w:ind w:right="41" w:firstLine="142"/>
              <w:jc w:val="right"/>
              <w:rPr>
                <w:rFonts w:ascii="Arial" w:hAnsi="Arial" w:cs="Arial"/>
                <w:sz w:val="20"/>
                <w:szCs w:val="20"/>
              </w:rPr>
            </w:pPr>
            <w:r w:rsidRPr="00BB4D40">
              <w:rPr>
                <w:rFonts w:ascii="Arial" w:hAnsi="Arial" w:cs="Arial"/>
                <w:sz w:val="20"/>
                <w:szCs w:val="20"/>
              </w:rPr>
              <w:t>20.3</w:t>
            </w:r>
          </w:p>
        </w:tc>
      </w:tr>
    </w:tbl>
    <w:p w14:paraId="770400F2" w14:textId="77777777" w:rsidR="006A6832" w:rsidRPr="00BB4D40" w:rsidRDefault="006A6832" w:rsidP="006A6832">
      <w:pPr>
        <w:spacing w:beforeLines="40" w:before="96" w:afterLines="40" w:after="96" w:line="264" w:lineRule="auto"/>
        <w:ind w:firstLine="142"/>
        <w:jc w:val="both"/>
        <w:rPr>
          <w:bCs/>
          <w:i/>
          <w:iCs/>
          <w:sz w:val="8"/>
          <w:lang w:val="fr-FR"/>
        </w:rPr>
      </w:pPr>
    </w:p>
    <w:p w14:paraId="6FA54D54" w14:textId="77777777" w:rsidR="006A6832" w:rsidRPr="00BB4D40" w:rsidRDefault="006A6832" w:rsidP="006A6832">
      <w:pPr>
        <w:spacing w:beforeLines="40" w:before="96" w:afterLines="40" w:after="96" w:line="293" w:lineRule="auto"/>
        <w:ind w:firstLine="567"/>
        <w:jc w:val="both"/>
        <w:rPr>
          <w:color w:val="000000" w:themeColor="text1"/>
        </w:rPr>
      </w:pPr>
      <w:r w:rsidRPr="00BB4D40">
        <w:rPr>
          <w:i/>
          <w:lang w:val="pl-PL"/>
        </w:rPr>
        <w:t>Freight transport</w:t>
      </w:r>
      <w:r w:rsidRPr="00BB4D40">
        <w:rPr>
          <w:lang w:val="pl-PL"/>
        </w:rPr>
        <w:t xml:space="preserve"> in 5/2024 was estimated at </w:t>
      </w:r>
      <w:bookmarkStart w:id="9" w:name="_Hlk149633736"/>
      <w:r w:rsidRPr="00BB4D40">
        <w:rPr>
          <w:lang w:val="fr-FR"/>
        </w:rPr>
        <w:t xml:space="preserve">206.1 </w:t>
      </w:r>
      <w:bookmarkEnd w:id="9"/>
      <w:r w:rsidRPr="00BB4D40">
        <w:rPr>
          <w:lang w:val="pl-PL"/>
        </w:rPr>
        <w:t xml:space="preserve">million tons of </w:t>
      </w:r>
      <w:r w:rsidRPr="00BB4D40">
        <w:rPr>
          <w:color w:val="000000" w:themeColor="text1"/>
        </w:rPr>
        <w:t>freight carried</w:t>
      </w:r>
      <w:r w:rsidRPr="00BB4D40">
        <w:rPr>
          <w:lang w:val="pl-PL"/>
        </w:rPr>
        <w:t xml:space="preserve">, increased by </w:t>
      </w:r>
      <w:r w:rsidRPr="00BB4D40">
        <w:rPr>
          <w:lang w:val="fr-FR"/>
        </w:rPr>
        <w:t>2.2</w:t>
      </w:r>
      <w:r w:rsidRPr="00BB4D40">
        <w:rPr>
          <w:lang w:val="pl-PL"/>
        </w:rPr>
        <w:t xml:space="preserve">% and </w:t>
      </w:r>
      <w:bookmarkStart w:id="10" w:name="_Hlk149633763"/>
      <w:r w:rsidRPr="00BB4D40">
        <w:rPr>
          <w:lang w:val="fr-FR"/>
        </w:rPr>
        <w:t xml:space="preserve">39.9 </w:t>
      </w:r>
      <w:bookmarkEnd w:id="10"/>
      <w:r w:rsidRPr="00BB4D40">
        <w:rPr>
          <w:lang w:val="pl-PL"/>
        </w:rPr>
        <w:t xml:space="preserve">billion tons.km </w:t>
      </w:r>
      <w:r w:rsidRPr="00BB4D40">
        <w:rPr>
          <w:color w:val="000000" w:themeColor="text1"/>
        </w:rPr>
        <w:t>of freight traffic</w:t>
      </w:r>
      <w:r w:rsidRPr="00BB4D40">
        <w:rPr>
          <w:lang w:val="pl-PL"/>
        </w:rPr>
        <w:t xml:space="preserve">, decreased by 3.0% over the previous month - Mainly due to a decrease in </w:t>
      </w:r>
      <w:r w:rsidRPr="00BB4D40">
        <w:rPr>
          <w:color w:val="000000" w:themeColor="text1"/>
        </w:rPr>
        <w:t>freight traffic</w:t>
      </w:r>
      <w:r w:rsidRPr="00BB4D40">
        <w:rPr>
          <w:lang w:val="pl-PL"/>
        </w:rPr>
        <w:t xml:space="preserve"> by sea of </w:t>
      </w:r>
      <w:r w:rsidRPr="00BB4D40">
        <w:rPr>
          <w:lang w:val="pl-PL"/>
        </w:rPr>
        <w:lastRenderedPageBreak/>
        <w:t>7.7% compared to the previous month</w:t>
      </w:r>
      <w:r w:rsidRPr="00BB4D40">
        <w:rPr>
          <w:rStyle w:val="FootnoteReference"/>
          <w:rFonts w:eastAsiaTheme="majorEastAsia"/>
        </w:rPr>
        <w:footnoteReference w:id="21"/>
      </w:r>
      <w:r w:rsidRPr="00BB4D40">
        <w:t xml:space="preserve">. </w:t>
      </w:r>
      <w:r w:rsidRPr="00BB4D40">
        <w:rPr>
          <w:lang w:val="pl-PL"/>
        </w:rPr>
        <w:t>Generally for the firsr five months of 2024, fre</w:t>
      </w:r>
      <w:bookmarkStart w:id="11" w:name="_Hlk149633786"/>
      <w:r w:rsidRPr="00BB4D40">
        <w:rPr>
          <w:lang w:val="pl-PL"/>
        </w:rPr>
        <w:t xml:space="preserve">ight transport was estimated at </w:t>
      </w:r>
      <w:r w:rsidRPr="00BB4D40">
        <w:rPr>
          <w:lang w:val="fr-FR"/>
        </w:rPr>
        <w:t xml:space="preserve">1.028 </w:t>
      </w:r>
      <w:bookmarkEnd w:id="11"/>
      <w:r w:rsidRPr="00BB4D40">
        <w:rPr>
          <w:lang w:val="pl-PL"/>
        </w:rPr>
        <w:t xml:space="preserve">million tons of </w:t>
      </w:r>
      <w:r w:rsidRPr="00BB4D40">
        <w:rPr>
          <w:color w:val="000000" w:themeColor="text1"/>
        </w:rPr>
        <w:t>freight carried</w:t>
      </w:r>
      <w:r w:rsidRPr="00BB4D40">
        <w:rPr>
          <w:lang w:val="pl-PL"/>
        </w:rPr>
        <w:t xml:space="preserve">, up </w:t>
      </w:r>
      <w:r w:rsidRPr="00BB4D40">
        <w:rPr>
          <w:lang w:val="fr-FR"/>
        </w:rPr>
        <w:t>11.4</w:t>
      </w:r>
      <w:r w:rsidRPr="00BB4D40">
        <w:rPr>
          <w:lang w:val="pl-PL"/>
        </w:rPr>
        <w:t xml:space="preserve">% over the same period last year and </w:t>
      </w:r>
      <w:r w:rsidRPr="00BB4D40">
        <w:rPr>
          <w:lang w:val="fr-FR"/>
        </w:rPr>
        <w:t xml:space="preserve">208.4 </w:t>
      </w:r>
      <w:r w:rsidRPr="00BB4D40">
        <w:rPr>
          <w:lang w:val="pl-PL"/>
        </w:rPr>
        <w:t xml:space="preserve">billion tons.km </w:t>
      </w:r>
      <w:r w:rsidRPr="00BB4D40">
        <w:rPr>
          <w:color w:val="000000" w:themeColor="text1"/>
        </w:rPr>
        <w:t>of freight traffic</w:t>
      </w:r>
      <w:r w:rsidRPr="00BB4D40">
        <w:rPr>
          <w:lang w:val="pl-PL"/>
        </w:rPr>
        <w:t xml:space="preserve">, an increase of 7.9%. Of which, domestic transport reached </w:t>
      </w:r>
      <w:r w:rsidRPr="00BB4D40">
        <w:rPr>
          <w:lang w:val="fr-FR"/>
        </w:rPr>
        <w:t xml:space="preserve">1,008.9 </w:t>
      </w:r>
      <w:r w:rsidRPr="00BB4D40">
        <w:rPr>
          <w:lang w:val="pl-PL"/>
        </w:rPr>
        <w:t xml:space="preserve">million tons of </w:t>
      </w:r>
      <w:r w:rsidRPr="00BB4D40">
        <w:rPr>
          <w:color w:val="000000" w:themeColor="text1"/>
        </w:rPr>
        <w:t>freight carried</w:t>
      </w:r>
      <w:r w:rsidRPr="00BB4D40">
        <w:rPr>
          <w:lang w:val="pl-PL"/>
        </w:rPr>
        <w:t xml:space="preserve">, up </w:t>
      </w:r>
      <w:r w:rsidRPr="00BB4D40">
        <w:rPr>
          <w:lang w:val="fr-FR"/>
        </w:rPr>
        <w:t>11.6</w:t>
      </w:r>
      <w:r w:rsidRPr="00BB4D40">
        <w:rPr>
          <w:lang w:val="pl-PL"/>
        </w:rPr>
        <w:t xml:space="preserve">% and </w:t>
      </w:r>
      <w:r w:rsidRPr="00BB4D40">
        <w:rPr>
          <w:lang w:val="fr-FR"/>
        </w:rPr>
        <w:t xml:space="preserve">126.6 </w:t>
      </w:r>
      <w:r w:rsidRPr="00BB4D40">
        <w:rPr>
          <w:lang w:val="pl-PL"/>
        </w:rPr>
        <w:t xml:space="preserve">billion tons.km of </w:t>
      </w:r>
      <w:r w:rsidRPr="00BB4D40">
        <w:rPr>
          <w:color w:val="000000" w:themeColor="text1"/>
        </w:rPr>
        <w:t>freight traffic</w:t>
      </w:r>
      <w:r w:rsidRPr="00BB4D40">
        <w:rPr>
          <w:lang w:val="pl-PL"/>
        </w:rPr>
        <w:t xml:space="preserve">, up </w:t>
      </w:r>
      <w:r w:rsidRPr="00BB4D40">
        <w:rPr>
          <w:lang w:val="fr-FR"/>
        </w:rPr>
        <w:t>3.6</w:t>
      </w:r>
      <w:r w:rsidRPr="00BB4D40">
        <w:rPr>
          <w:lang w:val="pl-PL"/>
        </w:rPr>
        <w:t xml:space="preserve">%; overseas transport reached </w:t>
      </w:r>
      <w:r w:rsidRPr="00BB4D40">
        <w:rPr>
          <w:lang w:val="fr-FR"/>
        </w:rPr>
        <w:t xml:space="preserve">19.1 </w:t>
      </w:r>
      <w:r w:rsidRPr="00BB4D40">
        <w:rPr>
          <w:lang w:val="pl-PL"/>
        </w:rPr>
        <w:t xml:space="preserve">million </w:t>
      </w:r>
      <w:r w:rsidRPr="00BB4D40">
        <w:rPr>
          <w:color w:val="000000" w:themeColor="text1"/>
        </w:rPr>
        <w:t xml:space="preserve">tons of freight carried, up 4.3% and 81.8 billion tons.km of freight traffic, up 15.4%. </w:t>
      </w:r>
    </w:p>
    <w:p w14:paraId="339494D0" w14:textId="77777777" w:rsidR="006A6832" w:rsidRPr="00BB4D40" w:rsidRDefault="006A6832" w:rsidP="006A6832">
      <w:pPr>
        <w:spacing w:beforeLines="40" w:before="96" w:afterLines="40" w:after="96" w:line="264" w:lineRule="auto"/>
        <w:jc w:val="center"/>
        <w:rPr>
          <w:rFonts w:ascii="Arial" w:hAnsi="Arial" w:cs="Arial"/>
          <w:b/>
          <w:bCs/>
          <w:iCs/>
          <w:sz w:val="24"/>
          <w:szCs w:val="24"/>
          <w:lang w:val="fr-FR"/>
        </w:rPr>
      </w:pPr>
      <w:r w:rsidRPr="00BB4D40">
        <w:rPr>
          <w:rFonts w:ascii="Arial" w:hAnsi="Arial" w:cs="Arial"/>
          <w:b/>
          <w:bCs/>
          <w:iCs/>
          <w:sz w:val="24"/>
          <w:szCs w:val="24"/>
          <w:lang w:val="fr-FR"/>
        </w:rPr>
        <w:t>Table 7. Carriage of freight in the first five months of 2024</w:t>
      </w:r>
      <w:r w:rsidRPr="00BB4D40">
        <w:rPr>
          <w:rFonts w:ascii="Arial" w:hAnsi="Arial" w:cs="Arial"/>
          <w:b/>
          <w:bCs/>
          <w:iCs/>
          <w:sz w:val="24"/>
          <w:szCs w:val="24"/>
          <w:lang w:val="fr-FR"/>
        </w:rPr>
        <w:br/>
        <w:t>by types of transport</w:t>
      </w:r>
    </w:p>
    <w:p w14:paraId="661DCECB" w14:textId="77777777" w:rsidR="006A6832" w:rsidRPr="00BB4D40" w:rsidRDefault="006A6832" w:rsidP="006A6832">
      <w:pPr>
        <w:spacing w:beforeLines="40" w:before="96" w:afterLines="40" w:after="96" w:line="264" w:lineRule="auto"/>
        <w:ind w:firstLine="567"/>
        <w:jc w:val="center"/>
        <w:rPr>
          <w:rFonts w:ascii="Arial" w:hAnsi="Arial" w:cs="Arial"/>
          <w:b/>
          <w:bCs/>
          <w:sz w:val="2"/>
          <w:szCs w:val="24"/>
          <w:lang w:val="fr-FR"/>
        </w:rPr>
      </w:pPr>
    </w:p>
    <w:p w14:paraId="20933CC8" w14:textId="77777777" w:rsidR="006A6832" w:rsidRPr="00BB4D40" w:rsidRDefault="006A6832" w:rsidP="006A6832">
      <w:pPr>
        <w:pStyle w:val="NormalWeb"/>
        <w:shd w:val="clear" w:color="auto" w:fill="FFFFFF"/>
        <w:tabs>
          <w:tab w:val="left" w:pos="6540"/>
        </w:tabs>
        <w:spacing w:beforeLines="40" w:before="96" w:afterLines="40" w:after="96" w:line="264" w:lineRule="auto"/>
        <w:ind w:firstLine="567"/>
        <w:rPr>
          <w:b/>
          <w:bCs/>
          <w:sz w:val="2"/>
          <w:szCs w:val="28"/>
          <w:lang w:val="pt-BR"/>
        </w:rPr>
      </w:pPr>
    </w:p>
    <w:tbl>
      <w:tblPr>
        <w:tblW w:w="8080" w:type="dxa"/>
        <w:tblInd w:w="959" w:type="dxa"/>
        <w:tblLook w:val="04A0" w:firstRow="1" w:lastRow="0" w:firstColumn="1" w:lastColumn="0" w:noHBand="0" w:noVBand="1"/>
      </w:tblPr>
      <w:tblGrid>
        <w:gridCol w:w="1807"/>
        <w:gridCol w:w="1437"/>
        <w:gridCol w:w="1625"/>
        <w:gridCol w:w="294"/>
        <w:gridCol w:w="1499"/>
        <w:gridCol w:w="1418"/>
      </w:tblGrid>
      <w:tr w:rsidR="006A6832" w:rsidRPr="00BB4D40" w14:paraId="2CB86E6D" w14:textId="77777777" w:rsidTr="007577DA">
        <w:trPr>
          <w:trHeight w:val="580"/>
        </w:trPr>
        <w:tc>
          <w:tcPr>
            <w:tcW w:w="1807" w:type="dxa"/>
            <w:tcBorders>
              <w:top w:val="single" w:sz="8" w:space="0" w:color="auto"/>
              <w:left w:val="nil"/>
              <w:bottom w:val="nil"/>
              <w:right w:val="nil"/>
            </w:tcBorders>
            <w:shd w:val="clear" w:color="auto" w:fill="auto"/>
            <w:vAlign w:val="center"/>
            <w:hideMark/>
          </w:tcPr>
          <w:p w14:paraId="4B8F81DF" w14:textId="77777777" w:rsidR="006A6832" w:rsidRPr="00BB4D40" w:rsidRDefault="006A6832" w:rsidP="007577DA">
            <w:pPr>
              <w:rPr>
                <w:rFonts w:ascii="Arial" w:hAnsi="Arial" w:cs="Arial"/>
                <w:color w:val="000000"/>
                <w:sz w:val="20"/>
                <w:szCs w:val="20"/>
              </w:rPr>
            </w:pPr>
            <w:r w:rsidRPr="00BB4D40">
              <w:rPr>
                <w:rFonts w:ascii="Arial" w:hAnsi="Arial" w:cs="Arial"/>
                <w:color w:val="000000"/>
                <w:sz w:val="20"/>
                <w:szCs w:val="20"/>
                <w:lang w:val="fr-FR"/>
              </w:rPr>
              <w:t> </w:t>
            </w:r>
          </w:p>
        </w:tc>
        <w:tc>
          <w:tcPr>
            <w:tcW w:w="3062" w:type="dxa"/>
            <w:gridSpan w:val="2"/>
            <w:tcBorders>
              <w:top w:val="single" w:sz="8" w:space="0" w:color="auto"/>
              <w:left w:val="nil"/>
              <w:bottom w:val="single" w:sz="8" w:space="0" w:color="auto"/>
              <w:right w:val="nil"/>
            </w:tcBorders>
            <w:shd w:val="clear" w:color="auto" w:fill="auto"/>
            <w:vAlign w:val="center"/>
            <w:hideMark/>
          </w:tcPr>
          <w:p w14:paraId="5B763136" w14:textId="77777777" w:rsidR="006A6832" w:rsidRPr="00BB4D40" w:rsidRDefault="006A6832" w:rsidP="007577DA">
            <w:pPr>
              <w:jc w:val="center"/>
              <w:rPr>
                <w:rFonts w:ascii="Arial" w:hAnsi="Arial" w:cs="Arial"/>
                <w:color w:val="000000"/>
                <w:sz w:val="20"/>
                <w:szCs w:val="20"/>
              </w:rPr>
            </w:pPr>
            <w:r w:rsidRPr="00BB4D40">
              <w:rPr>
                <w:rFonts w:ascii="Arial" w:hAnsi="Arial" w:cs="Arial"/>
                <w:color w:val="000000"/>
                <w:sz w:val="20"/>
                <w:szCs w:val="20"/>
              </w:rPr>
              <w:t>Quantity of goods</w:t>
            </w:r>
          </w:p>
        </w:tc>
        <w:tc>
          <w:tcPr>
            <w:tcW w:w="294" w:type="dxa"/>
            <w:tcBorders>
              <w:top w:val="single" w:sz="8" w:space="0" w:color="auto"/>
              <w:left w:val="nil"/>
              <w:bottom w:val="nil"/>
              <w:right w:val="nil"/>
            </w:tcBorders>
            <w:shd w:val="clear" w:color="auto" w:fill="auto"/>
            <w:vAlign w:val="center"/>
            <w:hideMark/>
          </w:tcPr>
          <w:p w14:paraId="604ABF5B" w14:textId="77777777" w:rsidR="006A6832" w:rsidRPr="00BB4D40" w:rsidRDefault="006A6832" w:rsidP="007577DA">
            <w:pPr>
              <w:jc w:val="center"/>
              <w:rPr>
                <w:rFonts w:ascii="Arial" w:hAnsi="Arial" w:cs="Arial"/>
                <w:color w:val="000000"/>
                <w:sz w:val="20"/>
                <w:szCs w:val="20"/>
              </w:rPr>
            </w:pPr>
            <w:r w:rsidRPr="00BB4D40">
              <w:rPr>
                <w:rFonts w:ascii="Arial" w:hAnsi="Arial" w:cs="Arial"/>
                <w:color w:val="000000"/>
                <w:sz w:val="20"/>
                <w:szCs w:val="20"/>
              </w:rPr>
              <w:t> </w:t>
            </w:r>
          </w:p>
        </w:tc>
        <w:tc>
          <w:tcPr>
            <w:tcW w:w="2917" w:type="dxa"/>
            <w:gridSpan w:val="2"/>
            <w:tcBorders>
              <w:top w:val="single" w:sz="8" w:space="0" w:color="auto"/>
              <w:left w:val="nil"/>
              <w:bottom w:val="single" w:sz="8" w:space="0" w:color="auto"/>
              <w:right w:val="nil"/>
            </w:tcBorders>
            <w:shd w:val="clear" w:color="auto" w:fill="auto"/>
            <w:vAlign w:val="center"/>
            <w:hideMark/>
          </w:tcPr>
          <w:p w14:paraId="2E9BDEA0" w14:textId="77777777" w:rsidR="006A6832" w:rsidRPr="00BB4D40" w:rsidRDefault="006A6832" w:rsidP="007577DA">
            <w:pPr>
              <w:jc w:val="center"/>
              <w:rPr>
                <w:rFonts w:ascii="Arial" w:hAnsi="Arial" w:cs="Arial"/>
                <w:color w:val="000000"/>
                <w:sz w:val="20"/>
                <w:szCs w:val="20"/>
              </w:rPr>
            </w:pPr>
            <w:r w:rsidRPr="00BB4D40">
              <w:rPr>
                <w:rFonts w:ascii="Arial" w:hAnsi="Arial" w:cs="Arial"/>
                <w:color w:val="000000"/>
                <w:sz w:val="20"/>
                <w:szCs w:val="20"/>
              </w:rPr>
              <w:t>Growth rate compared to the same period last year (%)</w:t>
            </w:r>
          </w:p>
        </w:tc>
      </w:tr>
      <w:tr w:rsidR="006A6832" w:rsidRPr="00BB4D40" w14:paraId="440DCB66" w14:textId="77777777" w:rsidTr="007577DA">
        <w:trPr>
          <w:trHeight w:val="372"/>
        </w:trPr>
        <w:tc>
          <w:tcPr>
            <w:tcW w:w="1807" w:type="dxa"/>
            <w:vMerge w:val="restart"/>
            <w:tcBorders>
              <w:top w:val="nil"/>
              <w:left w:val="nil"/>
              <w:bottom w:val="nil"/>
              <w:right w:val="nil"/>
            </w:tcBorders>
            <w:shd w:val="clear" w:color="auto" w:fill="auto"/>
            <w:vAlign w:val="center"/>
            <w:hideMark/>
          </w:tcPr>
          <w:p w14:paraId="3A711E52" w14:textId="77777777" w:rsidR="006A6832" w:rsidRPr="00BB4D40" w:rsidRDefault="006A6832" w:rsidP="007577DA">
            <w:pPr>
              <w:jc w:val="center"/>
              <w:rPr>
                <w:rFonts w:ascii="Arial" w:hAnsi="Arial" w:cs="Arial"/>
                <w:color w:val="000000"/>
                <w:sz w:val="20"/>
                <w:szCs w:val="20"/>
              </w:rPr>
            </w:pPr>
          </w:p>
        </w:tc>
        <w:tc>
          <w:tcPr>
            <w:tcW w:w="1437" w:type="dxa"/>
            <w:tcBorders>
              <w:top w:val="nil"/>
              <w:left w:val="nil"/>
              <w:bottom w:val="nil"/>
              <w:right w:val="nil"/>
            </w:tcBorders>
            <w:shd w:val="clear" w:color="auto" w:fill="auto"/>
            <w:vAlign w:val="center"/>
            <w:hideMark/>
          </w:tcPr>
          <w:p w14:paraId="20A4F7A6" w14:textId="77777777" w:rsidR="006A6832" w:rsidRPr="00BB4D40" w:rsidRDefault="006A6832" w:rsidP="007577DA">
            <w:pPr>
              <w:jc w:val="center"/>
              <w:rPr>
                <w:rFonts w:ascii="Arial" w:hAnsi="Arial" w:cs="Arial"/>
                <w:color w:val="000000"/>
                <w:sz w:val="20"/>
                <w:szCs w:val="20"/>
              </w:rPr>
            </w:pPr>
            <w:r w:rsidRPr="00BB4D40">
              <w:rPr>
                <w:rFonts w:ascii="Arial" w:hAnsi="Arial" w:cs="Arial"/>
                <w:color w:val="000000"/>
                <w:sz w:val="20"/>
                <w:szCs w:val="20"/>
                <w:lang w:eastAsia="vi-VN"/>
              </w:rPr>
              <w:t xml:space="preserve">     Carried</w:t>
            </w:r>
          </w:p>
        </w:tc>
        <w:tc>
          <w:tcPr>
            <w:tcW w:w="1625" w:type="dxa"/>
            <w:tcBorders>
              <w:top w:val="nil"/>
              <w:left w:val="nil"/>
              <w:bottom w:val="nil"/>
              <w:right w:val="nil"/>
            </w:tcBorders>
            <w:shd w:val="clear" w:color="auto" w:fill="auto"/>
            <w:vAlign w:val="center"/>
            <w:hideMark/>
          </w:tcPr>
          <w:p w14:paraId="73BD5632" w14:textId="77777777" w:rsidR="006A6832" w:rsidRPr="00BB4D40" w:rsidRDefault="006A6832" w:rsidP="007577DA">
            <w:pPr>
              <w:jc w:val="center"/>
              <w:rPr>
                <w:rFonts w:ascii="Arial" w:hAnsi="Arial" w:cs="Arial"/>
                <w:color w:val="000000"/>
                <w:sz w:val="20"/>
                <w:szCs w:val="20"/>
              </w:rPr>
            </w:pPr>
            <w:r w:rsidRPr="00BB4D40">
              <w:rPr>
                <w:rFonts w:ascii="Arial" w:hAnsi="Arial" w:cs="Arial"/>
                <w:color w:val="000000"/>
                <w:sz w:val="20"/>
                <w:szCs w:val="20"/>
                <w:lang w:eastAsia="vi-VN"/>
              </w:rPr>
              <w:t>Traffic</w:t>
            </w:r>
          </w:p>
        </w:tc>
        <w:tc>
          <w:tcPr>
            <w:tcW w:w="294" w:type="dxa"/>
            <w:tcBorders>
              <w:top w:val="nil"/>
              <w:left w:val="nil"/>
              <w:bottom w:val="nil"/>
              <w:right w:val="nil"/>
            </w:tcBorders>
            <w:shd w:val="clear" w:color="auto" w:fill="auto"/>
            <w:vAlign w:val="center"/>
            <w:hideMark/>
          </w:tcPr>
          <w:p w14:paraId="41A0B386" w14:textId="77777777" w:rsidR="006A6832" w:rsidRPr="00BB4D40" w:rsidRDefault="006A6832" w:rsidP="007577DA">
            <w:pPr>
              <w:jc w:val="center"/>
              <w:rPr>
                <w:rFonts w:ascii="Arial" w:hAnsi="Arial" w:cs="Arial"/>
                <w:color w:val="000000"/>
                <w:sz w:val="20"/>
                <w:szCs w:val="20"/>
              </w:rPr>
            </w:pPr>
          </w:p>
        </w:tc>
        <w:tc>
          <w:tcPr>
            <w:tcW w:w="1499" w:type="dxa"/>
            <w:vMerge w:val="restart"/>
            <w:tcBorders>
              <w:top w:val="nil"/>
              <w:left w:val="nil"/>
              <w:bottom w:val="single" w:sz="4" w:space="0" w:color="000000"/>
              <w:right w:val="nil"/>
            </w:tcBorders>
            <w:shd w:val="clear" w:color="auto" w:fill="auto"/>
            <w:vAlign w:val="center"/>
            <w:hideMark/>
          </w:tcPr>
          <w:p w14:paraId="4D140328" w14:textId="77777777" w:rsidR="006A6832" w:rsidRPr="00BB4D40" w:rsidRDefault="006A6832" w:rsidP="007577DA">
            <w:pPr>
              <w:jc w:val="center"/>
              <w:rPr>
                <w:rFonts w:ascii="Arial" w:hAnsi="Arial" w:cs="Arial"/>
                <w:color w:val="000000"/>
                <w:sz w:val="20"/>
                <w:szCs w:val="20"/>
              </w:rPr>
            </w:pPr>
            <w:r w:rsidRPr="00BB4D40">
              <w:rPr>
                <w:rFonts w:ascii="Arial" w:hAnsi="Arial" w:cs="Arial"/>
                <w:color w:val="000000"/>
                <w:sz w:val="20"/>
                <w:szCs w:val="20"/>
                <w:lang w:eastAsia="vi-VN"/>
              </w:rPr>
              <w:t>Carried</w:t>
            </w:r>
          </w:p>
        </w:tc>
        <w:tc>
          <w:tcPr>
            <w:tcW w:w="1418" w:type="dxa"/>
            <w:vMerge w:val="restart"/>
            <w:tcBorders>
              <w:top w:val="nil"/>
              <w:left w:val="nil"/>
              <w:bottom w:val="single" w:sz="4" w:space="0" w:color="000000"/>
              <w:right w:val="nil"/>
            </w:tcBorders>
            <w:shd w:val="clear" w:color="auto" w:fill="auto"/>
            <w:vAlign w:val="center"/>
            <w:hideMark/>
          </w:tcPr>
          <w:p w14:paraId="13C9E974" w14:textId="77777777" w:rsidR="006A6832" w:rsidRPr="00BB4D40" w:rsidRDefault="006A6832" w:rsidP="007577DA">
            <w:pPr>
              <w:jc w:val="center"/>
              <w:rPr>
                <w:rFonts w:ascii="Arial" w:hAnsi="Arial" w:cs="Arial"/>
                <w:color w:val="000000"/>
                <w:sz w:val="20"/>
                <w:szCs w:val="20"/>
              </w:rPr>
            </w:pPr>
            <w:r w:rsidRPr="00BB4D40">
              <w:rPr>
                <w:rFonts w:ascii="Arial" w:hAnsi="Arial" w:cs="Arial"/>
                <w:color w:val="000000"/>
                <w:sz w:val="20"/>
                <w:szCs w:val="20"/>
                <w:lang w:eastAsia="vi-VN"/>
              </w:rPr>
              <w:t>Traffic</w:t>
            </w:r>
          </w:p>
        </w:tc>
      </w:tr>
      <w:tr w:rsidR="006A6832" w:rsidRPr="00BB4D40" w14:paraId="64A7D6E7" w14:textId="77777777" w:rsidTr="007577DA">
        <w:trPr>
          <w:trHeight w:val="165"/>
        </w:trPr>
        <w:tc>
          <w:tcPr>
            <w:tcW w:w="1807" w:type="dxa"/>
            <w:vMerge/>
            <w:tcBorders>
              <w:top w:val="nil"/>
              <w:left w:val="nil"/>
              <w:bottom w:val="nil"/>
              <w:right w:val="nil"/>
            </w:tcBorders>
            <w:vAlign w:val="center"/>
            <w:hideMark/>
          </w:tcPr>
          <w:p w14:paraId="6040F41A" w14:textId="77777777" w:rsidR="006A6832" w:rsidRPr="00BB4D40" w:rsidRDefault="006A6832" w:rsidP="007577DA">
            <w:pPr>
              <w:rPr>
                <w:rFonts w:ascii="Arial" w:hAnsi="Arial" w:cs="Arial"/>
                <w:color w:val="000000"/>
                <w:sz w:val="20"/>
                <w:szCs w:val="20"/>
              </w:rPr>
            </w:pPr>
          </w:p>
        </w:tc>
        <w:tc>
          <w:tcPr>
            <w:tcW w:w="1437" w:type="dxa"/>
            <w:tcBorders>
              <w:top w:val="nil"/>
              <w:left w:val="nil"/>
              <w:bottom w:val="single" w:sz="4" w:space="0" w:color="auto"/>
              <w:right w:val="nil"/>
            </w:tcBorders>
            <w:shd w:val="clear" w:color="auto" w:fill="auto"/>
            <w:vAlign w:val="center"/>
            <w:hideMark/>
          </w:tcPr>
          <w:p w14:paraId="36E16070" w14:textId="77777777" w:rsidR="006A6832" w:rsidRPr="00BB4D40" w:rsidRDefault="006A6832" w:rsidP="007577DA">
            <w:pPr>
              <w:jc w:val="right"/>
              <w:rPr>
                <w:rFonts w:ascii="Arial" w:hAnsi="Arial" w:cs="Arial"/>
                <w:color w:val="000000"/>
                <w:sz w:val="20"/>
                <w:szCs w:val="20"/>
              </w:rPr>
            </w:pPr>
            <w:r w:rsidRPr="00BB4D40">
              <w:rPr>
                <w:rFonts w:ascii="Arial" w:hAnsi="Arial" w:cs="Arial"/>
                <w:color w:val="000000"/>
                <w:sz w:val="20"/>
                <w:szCs w:val="20"/>
              </w:rPr>
              <w:t>(Mill. tons)</w:t>
            </w:r>
          </w:p>
        </w:tc>
        <w:tc>
          <w:tcPr>
            <w:tcW w:w="1625" w:type="dxa"/>
            <w:tcBorders>
              <w:top w:val="nil"/>
              <w:left w:val="nil"/>
              <w:bottom w:val="single" w:sz="4" w:space="0" w:color="auto"/>
              <w:right w:val="nil"/>
            </w:tcBorders>
            <w:shd w:val="clear" w:color="auto" w:fill="auto"/>
            <w:vAlign w:val="center"/>
            <w:hideMark/>
          </w:tcPr>
          <w:p w14:paraId="7F3D7E1A" w14:textId="77777777" w:rsidR="006A6832" w:rsidRPr="00BB4D40" w:rsidRDefault="006A6832" w:rsidP="007577DA">
            <w:pPr>
              <w:jc w:val="right"/>
              <w:rPr>
                <w:rFonts w:ascii="Arial" w:hAnsi="Arial" w:cs="Arial"/>
                <w:color w:val="000000"/>
                <w:sz w:val="20"/>
                <w:szCs w:val="20"/>
              </w:rPr>
            </w:pPr>
            <w:r w:rsidRPr="00BB4D40">
              <w:rPr>
                <w:rFonts w:ascii="Arial" w:hAnsi="Arial" w:cs="Arial"/>
                <w:color w:val="000000"/>
                <w:sz w:val="20"/>
                <w:szCs w:val="20"/>
              </w:rPr>
              <w:t>(Bill. tons-km)</w:t>
            </w:r>
          </w:p>
        </w:tc>
        <w:tc>
          <w:tcPr>
            <w:tcW w:w="294" w:type="dxa"/>
            <w:tcBorders>
              <w:top w:val="nil"/>
              <w:left w:val="nil"/>
              <w:bottom w:val="single" w:sz="4" w:space="0" w:color="auto"/>
              <w:right w:val="nil"/>
            </w:tcBorders>
            <w:shd w:val="clear" w:color="auto" w:fill="auto"/>
            <w:vAlign w:val="center"/>
            <w:hideMark/>
          </w:tcPr>
          <w:p w14:paraId="751BAE58" w14:textId="77777777" w:rsidR="006A6832" w:rsidRPr="00BB4D40" w:rsidRDefault="006A6832" w:rsidP="007577DA">
            <w:pPr>
              <w:jc w:val="center"/>
              <w:rPr>
                <w:rFonts w:ascii="Arial" w:hAnsi="Arial" w:cs="Arial"/>
                <w:color w:val="000000"/>
                <w:sz w:val="20"/>
                <w:szCs w:val="20"/>
              </w:rPr>
            </w:pPr>
            <w:r w:rsidRPr="00BB4D40">
              <w:rPr>
                <w:rFonts w:ascii="Arial" w:hAnsi="Arial" w:cs="Arial"/>
                <w:color w:val="000000"/>
                <w:sz w:val="20"/>
                <w:szCs w:val="20"/>
              </w:rPr>
              <w:t> </w:t>
            </w:r>
          </w:p>
        </w:tc>
        <w:tc>
          <w:tcPr>
            <w:tcW w:w="1499" w:type="dxa"/>
            <w:vMerge/>
            <w:tcBorders>
              <w:top w:val="nil"/>
              <w:left w:val="nil"/>
              <w:bottom w:val="single" w:sz="4" w:space="0" w:color="000000"/>
              <w:right w:val="nil"/>
            </w:tcBorders>
            <w:vAlign w:val="center"/>
            <w:hideMark/>
          </w:tcPr>
          <w:p w14:paraId="41FC4C65" w14:textId="77777777" w:rsidR="006A6832" w:rsidRPr="00BB4D40" w:rsidRDefault="006A6832" w:rsidP="007577DA">
            <w:pPr>
              <w:jc w:val="center"/>
              <w:rPr>
                <w:rFonts w:ascii="Arial" w:hAnsi="Arial" w:cs="Arial"/>
                <w:color w:val="000000"/>
                <w:sz w:val="20"/>
                <w:szCs w:val="20"/>
              </w:rPr>
            </w:pPr>
          </w:p>
        </w:tc>
        <w:tc>
          <w:tcPr>
            <w:tcW w:w="1418" w:type="dxa"/>
            <w:vMerge/>
            <w:tcBorders>
              <w:top w:val="nil"/>
              <w:left w:val="nil"/>
              <w:bottom w:val="single" w:sz="4" w:space="0" w:color="000000"/>
              <w:right w:val="nil"/>
            </w:tcBorders>
            <w:vAlign w:val="center"/>
            <w:hideMark/>
          </w:tcPr>
          <w:p w14:paraId="070BA439" w14:textId="77777777" w:rsidR="006A6832" w:rsidRPr="00BB4D40" w:rsidRDefault="006A6832" w:rsidP="007577DA">
            <w:pPr>
              <w:jc w:val="right"/>
              <w:rPr>
                <w:rFonts w:ascii="Arial" w:hAnsi="Arial" w:cs="Arial"/>
                <w:color w:val="000000"/>
                <w:sz w:val="20"/>
                <w:szCs w:val="20"/>
              </w:rPr>
            </w:pPr>
          </w:p>
        </w:tc>
      </w:tr>
      <w:tr w:rsidR="006A6832" w:rsidRPr="00BB4D40" w14:paraId="7CEC7A6A" w14:textId="77777777" w:rsidTr="007577DA">
        <w:trPr>
          <w:trHeight w:val="230"/>
        </w:trPr>
        <w:tc>
          <w:tcPr>
            <w:tcW w:w="1807" w:type="dxa"/>
            <w:tcBorders>
              <w:top w:val="nil"/>
              <w:left w:val="nil"/>
              <w:bottom w:val="nil"/>
              <w:right w:val="nil"/>
            </w:tcBorders>
            <w:shd w:val="clear" w:color="auto" w:fill="auto"/>
            <w:vAlign w:val="center"/>
            <w:hideMark/>
          </w:tcPr>
          <w:p w14:paraId="15EC3E9A" w14:textId="77777777" w:rsidR="006A6832" w:rsidRPr="00BB4D40" w:rsidRDefault="006A6832" w:rsidP="007577DA">
            <w:pPr>
              <w:jc w:val="center"/>
              <w:rPr>
                <w:rFonts w:ascii="Arial" w:hAnsi="Arial" w:cs="Arial"/>
                <w:color w:val="000000"/>
                <w:sz w:val="20"/>
                <w:szCs w:val="20"/>
              </w:rPr>
            </w:pPr>
          </w:p>
        </w:tc>
        <w:tc>
          <w:tcPr>
            <w:tcW w:w="1437" w:type="dxa"/>
            <w:tcBorders>
              <w:top w:val="nil"/>
              <w:left w:val="nil"/>
              <w:bottom w:val="nil"/>
              <w:right w:val="nil"/>
            </w:tcBorders>
            <w:shd w:val="clear" w:color="auto" w:fill="auto"/>
            <w:vAlign w:val="center"/>
            <w:hideMark/>
          </w:tcPr>
          <w:p w14:paraId="232A55E4" w14:textId="77777777" w:rsidR="006A6832" w:rsidRPr="00BB4D40" w:rsidRDefault="006A6832" w:rsidP="007577DA">
            <w:pPr>
              <w:rPr>
                <w:sz w:val="20"/>
                <w:szCs w:val="20"/>
              </w:rPr>
            </w:pPr>
          </w:p>
        </w:tc>
        <w:tc>
          <w:tcPr>
            <w:tcW w:w="1625" w:type="dxa"/>
            <w:tcBorders>
              <w:top w:val="nil"/>
              <w:left w:val="nil"/>
              <w:bottom w:val="nil"/>
              <w:right w:val="nil"/>
            </w:tcBorders>
            <w:shd w:val="clear" w:color="auto" w:fill="auto"/>
            <w:vAlign w:val="center"/>
            <w:hideMark/>
          </w:tcPr>
          <w:p w14:paraId="2A2DCB4B" w14:textId="77777777" w:rsidR="006A6832" w:rsidRPr="00BB4D40" w:rsidRDefault="006A6832" w:rsidP="007577DA">
            <w:pPr>
              <w:jc w:val="center"/>
              <w:rPr>
                <w:sz w:val="20"/>
                <w:szCs w:val="20"/>
              </w:rPr>
            </w:pPr>
          </w:p>
        </w:tc>
        <w:tc>
          <w:tcPr>
            <w:tcW w:w="294" w:type="dxa"/>
            <w:tcBorders>
              <w:top w:val="nil"/>
              <w:left w:val="nil"/>
              <w:bottom w:val="nil"/>
              <w:right w:val="nil"/>
            </w:tcBorders>
            <w:shd w:val="clear" w:color="auto" w:fill="auto"/>
            <w:vAlign w:val="center"/>
            <w:hideMark/>
          </w:tcPr>
          <w:p w14:paraId="39DCD051" w14:textId="77777777" w:rsidR="006A6832" w:rsidRPr="00BB4D40" w:rsidRDefault="006A6832" w:rsidP="007577DA">
            <w:pPr>
              <w:jc w:val="center"/>
              <w:rPr>
                <w:sz w:val="20"/>
                <w:szCs w:val="20"/>
              </w:rPr>
            </w:pPr>
          </w:p>
        </w:tc>
        <w:tc>
          <w:tcPr>
            <w:tcW w:w="1499" w:type="dxa"/>
            <w:tcBorders>
              <w:top w:val="nil"/>
              <w:left w:val="nil"/>
              <w:bottom w:val="nil"/>
              <w:right w:val="nil"/>
            </w:tcBorders>
            <w:shd w:val="clear" w:color="auto" w:fill="auto"/>
            <w:vAlign w:val="center"/>
            <w:hideMark/>
          </w:tcPr>
          <w:p w14:paraId="6730859F" w14:textId="77777777" w:rsidR="006A6832" w:rsidRPr="00BB4D40" w:rsidRDefault="006A6832" w:rsidP="007577DA">
            <w:pPr>
              <w:jc w:val="center"/>
              <w:rPr>
                <w:sz w:val="20"/>
                <w:szCs w:val="20"/>
              </w:rPr>
            </w:pPr>
          </w:p>
        </w:tc>
        <w:tc>
          <w:tcPr>
            <w:tcW w:w="1418" w:type="dxa"/>
            <w:tcBorders>
              <w:top w:val="nil"/>
              <w:left w:val="nil"/>
              <w:bottom w:val="nil"/>
              <w:right w:val="nil"/>
            </w:tcBorders>
            <w:shd w:val="clear" w:color="auto" w:fill="auto"/>
            <w:vAlign w:val="center"/>
            <w:hideMark/>
          </w:tcPr>
          <w:p w14:paraId="4B830891" w14:textId="77777777" w:rsidR="006A6832" w:rsidRPr="00BB4D40" w:rsidRDefault="006A6832" w:rsidP="007577DA">
            <w:pPr>
              <w:jc w:val="right"/>
              <w:rPr>
                <w:sz w:val="20"/>
                <w:szCs w:val="20"/>
              </w:rPr>
            </w:pPr>
          </w:p>
        </w:tc>
      </w:tr>
      <w:tr w:rsidR="006A6832" w:rsidRPr="00BB4D40" w14:paraId="49B7C6A5" w14:textId="77777777" w:rsidTr="007577DA">
        <w:trPr>
          <w:cantSplit/>
          <w:trHeight w:val="372"/>
        </w:trPr>
        <w:tc>
          <w:tcPr>
            <w:tcW w:w="1807" w:type="dxa"/>
            <w:tcBorders>
              <w:top w:val="nil"/>
              <w:left w:val="nil"/>
              <w:bottom w:val="nil"/>
              <w:right w:val="nil"/>
            </w:tcBorders>
            <w:shd w:val="clear" w:color="auto" w:fill="auto"/>
            <w:noWrap/>
            <w:vAlign w:val="center"/>
            <w:hideMark/>
          </w:tcPr>
          <w:p w14:paraId="17212940" w14:textId="77777777" w:rsidR="006A6832" w:rsidRPr="00BB4D40" w:rsidRDefault="006A6832" w:rsidP="007577DA">
            <w:pPr>
              <w:rPr>
                <w:rFonts w:ascii="Arial" w:hAnsi="Arial" w:cs="Arial"/>
                <w:b/>
                <w:bCs/>
                <w:color w:val="000000"/>
                <w:sz w:val="20"/>
                <w:szCs w:val="20"/>
              </w:rPr>
            </w:pPr>
            <w:r w:rsidRPr="00BB4D40">
              <w:rPr>
                <w:rFonts w:ascii="Arial" w:hAnsi="Arial" w:cs="Arial"/>
                <w:b/>
                <w:bCs/>
                <w:color w:val="000000"/>
                <w:sz w:val="20"/>
                <w:szCs w:val="20"/>
              </w:rPr>
              <w:t>Total</w:t>
            </w:r>
          </w:p>
        </w:tc>
        <w:tc>
          <w:tcPr>
            <w:tcW w:w="1437" w:type="dxa"/>
            <w:tcBorders>
              <w:top w:val="nil"/>
              <w:left w:val="nil"/>
              <w:bottom w:val="nil"/>
              <w:right w:val="nil"/>
            </w:tcBorders>
            <w:shd w:val="clear" w:color="auto" w:fill="auto"/>
            <w:noWrap/>
            <w:vAlign w:val="center"/>
            <w:hideMark/>
          </w:tcPr>
          <w:p w14:paraId="6E382FB9" w14:textId="77777777" w:rsidR="006A6832" w:rsidRPr="00BB4D40" w:rsidRDefault="006A6832" w:rsidP="007577DA">
            <w:pPr>
              <w:ind w:right="159"/>
              <w:jc w:val="right"/>
              <w:rPr>
                <w:rFonts w:ascii="Arial" w:hAnsi="Arial" w:cs="Arial"/>
                <w:b/>
                <w:bCs/>
                <w:color w:val="000000"/>
                <w:sz w:val="20"/>
                <w:szCs w:val="20"/>
              </w:rPr>
            </w:pPr>
            <w:r w:rsidRPr="00BB4D40">
              <w:rPr>
                <w:rFonts w:ascii="Arial" w:hAnsi="Arial" w:cs="Arial"/>
                <w:b/>
                <w:bCs/>
                <w:sz w:val="20"/>
                <w:szCs w:val="20"/>
              </w:rPr>
              <w:t>1,028.0</w:t>
            </w:r>
          </w:p>
        </w:tc>
        <w:tc>
          <w:tcPr>
            <w:tcW w:w="1625" w:type="dxa"/>
            <w:tcBorders>
              <w:top w:val="nil"/>
              <w:left w:val="nil"/>
              <w:bottom w:val="nil"/>
              <w:right w:val="nil"/>
            </w:tcBorders>
            <w:shd w:val="clear" w:color="auto" w:fill="auto"/>
            <w:noWrap/>
            <w:vAlign w:val="center"/>
            <w:hideMark/>
          </w:tcPr>
          <w:p w14:paraId="7C8BC43D" w14:textId="77777777" w:rsidR="006A6832" w:rsidRPr="00BB4D40" w:rsidRDefault="006A6832" w:rsidP="007577DA">
            <w:pPr>
              <w:ind w:right="373"/>
              <w:jc w:val="right"/>
              <w:rPr>
                <w:rFonts w:ascii="Arial" w:hAnsi="Arial" w:cs="Arial"/>
                <w:b/>
                <w:bCs/>
                <w:color w:val="000000"/>
                <w:sz w:val="20"/>
                <w:szCs w:val="20"/>
              </w:rPr>
            </w:pPr>
            <w:r w:rsidRPr="00BB4D40">
              <w:rPr>
                <w:rFonts w:ascii="Arial" w:hAnsi="Arial" w:cs="Arial"/>
                <w:b/>
                <w:bCs/>
                <w:sz w:val="20"/>
                <w:szCs w:val="20"/>
              </w:rPr>
              <w:t>208.4</w:t>
            </w:r>
          </w:p>
        </w:tc>
        <w:tc>
          <w:tcPr>
            <w:tcW w:w="294" w:type="dxa"/>
            <w:tcBorders>
              <w:top w:val="nil"/>
              <w:left w:val="nil"/>
              <w:bottom w:val="nil"/>
              <w:right w:val="nil"/>
            </w:tcBorders>
            <w:shd w:val="clear" w:color="auto" w:fill="auto"/>
            <w:noWrap/>
            <w:vAlign w:val="center"/>
          </w:tcPr>
          <w:p w14:paraId="18F45811" w14:textId="77777777" w:rsidR="006A6832" w:rsidRPr="00BB4D40" w:rsidRDefault="006A6832" w:rsidP="007577DA">
            <w:pPr>
              <w:jc w:val="center"/>
              <w:rPr>
                <w:rFonts w:ascii="Arial" w:hAnsi="Arial" w:cs="Arial"/>
                <w:b/>
                <w:bCs/>
                <w:color w:val="000000"/>
                <w:sz w:val="20"/>
                <w:szCs w:val="20"/>
              </w:rPr>
            </w:pPr>
          </w:p>
        </w:tc>
        <w:tc>
          <w:tcPr>
            <w:tcW w:w="1499" w:type="dxa"/>
            <w:tcBorders>
              <w:top w:val="nil"/>
              <w:left w:val="nil"/>
              <w:bottom w:val="nil"/>
              <w:right w:val="nil"/>
            </w:tcBorders>
            <w:shd w:val="clear" w:color="auto" w:fill="auto"/>
            <w:noWrap/>
            <w:vAlign w:val="center"/>
          </w:tcPr>
          <w:p w14:paraId="70E33A0C" w14:textId="77777777" w:rsidR="006A6832" w:rsidRPr="00BB4D40" w:rsidRDefault="006A6832" w:rsidP="007577DA">
            <w:pPr>
              <w:ind w:right="-108"/>
              <w:jc w:val="center"/>
              <w:rPr>
                <w:rFonts w:ascii="Arial" w:hAnsi="Arial" w:cs="Arial"/>
                <w:b/>
                <w:bCs/>
                <w:color w:val="000000"/>
                <w:sz w:val="20"/>
                <w:szCs w:val="20"/>
              </w:rPr>
            </w:pPr>
            <w:r w:rsidRPr="00BB4D40">
              <w:rPr>
                <w:rFonts w:ascii="Arial" w:hAnsi="Arial" w:cs="Arial"/>
                <w:b/>
                <w:bCs/>
                <w:sz w:val="20"/>
                <w:szCs w:val="20"/>
              </w:rPr>
              <w:t>11.4</w:t>
            </w:r>
          </w:p>
        </w:tc>
        <w:tc>
          <w:tcPr>
            <w:tcW w:w="1418" w:type="dxa"/>
            <w:tcBorders>
              <w:top w:val="nil"/>
              <w:left w:val="nil"/>
              <w:bottom w:val="nil"/>
              <w:right w:val="nil"/>
            </w:tcBorders>
            <w:shd w:val="clear" w:color="auto" w:fill="auto"/>
            <w:noWrap/>
            <w:vAlign w:val="center"/>
            <w:hideMark/>
          </w:tcPr>
          <w:p w14:paraId="5836CF33" w14:textId="77777777" w:rsidR="006A6832" w:rsidRPr="00BB4D40" w:rsidRDefault="006A6832" w:rsidP="007577DA">
            <w:pPr>
              <w:ind w:right="325"/>
              <w:jc w:val="right"/>
              <w:rPr>
                <w:rFonts w:ascii="Arial" w:hAnsi="Arial" w:cs="Arial"/>
                <w:b/>
                <w:bCs/>
                <w:color w:val="000000"/>
                <w:sz w:val="20"/>
                <w:szCs w:val="20"/>
              </w:rPr>
            </w:pPr>
            <w:r w:rsidRPr="00BB4D40">
              <w:rPr>
                <w:rFonts w:ascii="Arial" w:hAnsi="Arial" w:cs="Arial"/>
                <w:b/>
                <w:bCs/>
                <w:sz w:val="20"/>
                <w:szCs w:val="20"/>
              </w:rPr>
              <w:t>7.9</w:t>
            </w:r>
          </w:p>
        </w:tc>
      </w:tr>
      <w:tr w:rsidR="006A6832" w:rsidRPr="00BB4D40" w14:paraId="18219248" w14:textId="77777777" w:rsidTr="007577DA">
        <w:trPr>
          <w:cantSplit/>
          <w:trHeight w:val="372"/>
        </w:trPr>
        <w:tc>
          <w:tcPr>
            <w:tcW w:w="1807" w:type="dxa"/>
            <w:tcBorders>
              <w:top w:val="nil"/>
              <w:left w:val="nil"/>
              <w:bottom w:val="nil"/>
              <w:right w:val="nil"/>
            </w:tcBorders>
            <w:shd w:val="clear" w:color="auto" w:fill="auto"/>
            <w:noWrap/>
            <w:vAlign w:val="center"/>
            <w:hideMark/>
          </w:tcPr>
          <w:p w14:paraId="2A4C9018" w14:textId="77777777" w:rsidR="006A6832" w:rsidRPr="00BB4D40" w:rsidRDefault="006A6832" w:rsidP="007577DA">
            <w:pPr>
              <w:rPr>
                <w:rFonts w:ascii="Arial" w:hAnsi="Arial" w:cs="Arial"/>
                <w:color w:val="000000"/>
                <w:sz w:val="20"/>
                <w:szCs w:val="20"/>
              </w:rPr>
            </w:pPr>
            <w:proofErr w:type="gramStart"/>
            <w:r w:rsidRPr="00BB4D40">
              <w:rPr>
                <w:rFonts w:ascii="Arial" w:hAnsi="Arial" w:cs="Arial"/>
                <w:color w:val="000000"/>
                <w:sz w:val="20"/>
                <w:szCs w:val="20"/>
                <w:lang w:eastAsia="vi-VN"/>
              </w:rPr>
              <w:t>Rail way</w:t>
            </w:r>
            <w:proofErr w:type="gramEnd"/>
          </w:p>
        </w:tc>
        <w:tc>
          <w:tcPr>
            <w:tcW w:w="1437" w:type="dxa"/>
            <w:tcBorders>
              <w:top w:val="nil"/>
              <w:left w:val="nil"/>
              <w:bottom w:val="nil"/>
              <w:right w:val="nil"/>
            </w:tcBorders>
            <w:shd w:val="clear" w:color="auto" w:fill="auto"/>
            <w:noWrap/>
            <w:vAlign w:val="center"/>
            <w:hideMark/>
          </w:tcPr>
          <w:p w14:paraId="5640AEA0" w14:textId="77777777" w:rsidR="006A6832" w:rsidRPr="00BB4D40" w:rsidRDefault="006A6832" w:rsidP="007577DA">
            <w:pPr>
              <w:ind w:right="159"/>
              <w:jc w:val="right"/>
              <w:rPr>
                <w:rFonts w:ascii="Arial" w:hAnsi="Arial" w:cs="Arial"/>
                <w:color w:val="000000"/>
                <w:sz w:val="20"/>
                <w:szCs w:val="20"/>
              </w:rPr>
            </w:pPr>
            <w:r w:rsidRPr="00BB4D40">
              <w:rPr>
                <w:rFonts w:ascii="Arial" w:hAnsi="Arial" w:cs="Arial"/>
                <w:sz w:val="20"/>
                <w:szCs w:val="20"/>
              </w:rPr>
              <w:t>2.1</w:t>
            </w:r>
          </w:p>
        </w:tc>
        <w:tc>
          <w:tcPr>
            <w:tcW w:w="1625" w:type="dxa"/>
            <w:tcBorders>
              <w:top w:val="nil"/>
              <w:left w:val="nil"/>
              <w:bottom w:val="nil"/>
              <w:right w:val="nil"/>
            </w:tcBorders>
            <w:shd w:val="clear" w:color="auto" w:fill="auto"/>
            <w:noWrap/>
            <w:vAlign w:val="center"/>
            <w:hideMark/>
          </w:tcPr>
          <w:p w14:paraId="0A781C06" w14:textId="77777777" w:rsidR="006A6832" w:rsidRPr="00BB4D40" w:rsidRDefault="006A6832" w:rsidP="007577DA">
            <w:pPr>
              <w:ind w:right="373"/>
              <w:jc w:val="right"/>
              <w:rPr>
                <w:rFonts w:ascii="Arial" w:hAnsi="Arial" w:cs="Arial"/>
                <w:color w:val="000000"/>
                <w:sz w:val="20"/>
                <w:szCs w:val="20"/>
              </w:rPr>
            </w:pPr>
            <w:r w:rsidRPr="00BB4D40">
              <w:rPr>
                <w:rFonts w:ascii="Arial" w:hAnsi="Arial" w:cs="Arial"/>
                <w:sz w:val="20"/>
                <w:szCs w:val="20"/>
              </w:rPr>
              <w:t>1.6</w:t>
            </w:r>
          </w:p>
        </w:tc>
        <w:tc>
          <w:tcPr>
            <w:tcW w:w="294" w:type="dxa"/>
            <w:tcBorders>
              <w:top w:val="nil"/>
              <w:left w:val="nil"/>
              <w:bottom w:val="nil"/>
              <w:right w:val="nil"/>
            </w:tcBorders>
            <w:shd w:val="clear" w:color="auto" w:fill="auto"/>
            <w:noWrap/>
            <w:vAlign w:val="center"/>
          </w:tcPr>
          <w:p w14:paraId="3CD7DB3C" w14:textId="77777777" w:rsidR="006A6832" w:rsidRPr="00BB4D40" w:rsidRDefault="006A6832" w:rsidP="007577DA">
            <w:pPr>
              <w:jc w:val="center"/>
              <w:rPr>
                <w:rFonts w:ascii="Arial" w:hAnsi="Arial" w:cs="Arial"/>
                <w:color w:val="000000"/>
                <w:sz w:val="20"/>
                <w:szCs w:val="20"/>
              </w:rPr>
            </w:pPr>
          </w:p>
        </w:tc>
        <w:tc>
          <w:tcPr>
            <w:tcW w:w="1499" w:type="dxa"/>
            <w:tcBorders>
              <w:top w:val="nil"/>
              <w:left w:val="nil"/>
              <w:bottom w:val="nil"/>
              <w:right w:val="nil"/>
            </w:tcBorders>
            <w:shd w:val="clear" w:color="auto" w:fill="auto"/>
            <w:noWrap/>
            <w:vAlign w:val="center"/>
          </w:tcPr>
          <w:p w14:paraId="40026A75" w14:textId="77777777" w:rsidR="006A6832" w:rsidRPr="00BB4D40" w:rsidRDefault="006A6832" w:rsidP="007577DA">
            <w:pPr>
              <w:ind w:right="-108"/>
              <w:jc w:val="center"/>
              <w:rPr>
                <w:rFonts w:ascii="Arial" w:hAnsi="Arial" w:cs="Arial"/>
                <w:color w:val="000000"/>
                <w:sz w:val="20"/>
                <w:szCs w:val="20"/>
              </w:rPr>
            </w:pPr>
            <w:r w:rsidRPr="00BB4D40">
              <w:rPr>
                <w:rFonts w:ascii="Arial" w:hAnsi="Arial" w:cs="Arial"/>
                <w:sz w:val="20"/>
                <w:szCs w:val="20"/>
              </w:rPr>
              <w:t>14.0</w:t>
            </w:r>
          </w:p>
        </w:tc>
        <w:tc>
          <w:tcPr>
            <w:tcW w:w="1418" w:type="dxa"/>
            <w:tcBorders>
              <w:top w:val="nil"/>
              <w:left w:val="nil"/>
              <w:bottom w:val="nil"/>
              <w:right w:val="nil"/>
            </w:tcBorders>
            <w:shd w:val="clear" w:color="auto" w:fill="auto"/>
            <w:noWrap/>
            <w:vAlign w:val="center"/>
            <w:hideMark/>
          </w:tcPr>
          <w:p w14:paraId="37BAE64B" w14:textId="77777777" w:rsidR="006A6832" w:rsidRPr="00BB4D40" w:rsidRDefault="006A6832" w:rsidP="007577DA">
            <w:pPr>
              <w:ind w:right="325"/>
              <w:jc w:val="right"/>
              <w:rPr>
                <w:rFonts w:ascii="Arial" w:hAnsi="Arial" w:cs="Arial"/>
                <w:color w:val="000000"/>
                <w:sz w:val="20"/>
                <w:szCs w:val="20"/>
              </w:rPr>
            </w:pPr>
            <w:r w:rsidRPr="00BB4D40">
              <w:rPr>
                <w:rFonts w:ascii="Arial" w:hAnsi="Arial" w:cs="Arial"/>
                <w:sz w:val="20"/>
                <w:szCs w:val="20"/>
              </w:rPr>
              <w:t>6.4</w:t>
            </w:r>
          </w:p>
        </w:tc>
      </w:tr>
      <w:tr w:rsidR="006A6832" w:rsidRPr="00BB4D40" w14:paraId="2F45F683" w14:textId="77777777" w:rsidTr="007577DA">
        <w:trPr>
          <w:cantSplit/>
          <w:trHeight w:val="372"/>
        </w:trPr>
        <w:tc>
          <w:tcPr>
            <w:tcW w:w="1807" w:type="dxa"/>
            <w:tcBorders>
              <w:top w:val="nil"/>
              <w:left w:val="nil"/>
              <w:bottom w:val="nil"/>
              <w:right w:val="nil"/>
            </w:tcBorders>
            <w:shd w:val="clear" w:color="auto" w:fill="auto"/>
            <w:noWrap/>
            <w:vAlign w:val="center"/>
            <w:hideMark/>
          </w:tcPr>
          <w:p w14:paraId="5AF58F20" w14:textId="77777777" w:rsidR="006A6832" w:rsidRPr="00BB4D40" w:rsidRDefault="006A6832" w:rsidP="007577DA">
            <w:pPr>
              <w:rPr>
                <w:rFonts w:ascii="Arial" w:hAnsi="Arial" w:cs="Arial"/>
                <w:color w:val="000000"/>
                <w:sz w:val="20"/>
                <w:szCs w:val="20"/>
              </w:rPr>
            </w:pPr>
            <w:r w:rsidRPr="00BB4D40">
              <w:rPr>
                <w:rFonts w:ascii="Arial" w:hAnsi="Arial" w:cs="Arial"/>
                <w:color w:val="000000"/>
                <w:sz w:val="20"/>
                <w:szCs w:val="20"/>
                <w:lang w:eastAsia="vi-VN"/>
              </w:rPr>
              <w:t>Sea way</w:t>
            </w:r>
          </w:p>
        </w:tc>
        <w:tc>
          <w:tcPr>
            <w:tcW w:w="1437" w:type="dxa"/>
            <w:tcBorders>
              <w:top w:val="nil"/>
              <w:left w:val="nil"/>
              <w:bottom w:val="nil"/>
              <w:right w:val="nil"/>
            </w:tcBorders>
            <w:shd w:val="clear" w:color="auto" w:fill="auto"/>
            <w:noWrap/>
            <w:vAlign w:val="center"/>
            <w:hideMark/>
          </w:tcPr>
          <w:p w14:paraId="19809698" w14:textId="77777777" w:rsidR="006A6832" w:rsidRPr="00BB4D40" w:rsidRDefault="006A6832" w:rsidP="007577DA">
            <w:pPr>
              <w:ind w:right="159"/>
              <w:jc w:val="right"/>
              <w:rPr>
                <w:rFonts w:ascii="Arial" w:hAnsi="Arial" w:cs="Arial"/>
                <w:color w:val="000000"/>
                <w:sz w:val="20"/>
                <w:szCs w:val="20"/>
              </w:rPr>
            </w:pPr>
            <w:r w:rsidRPr="00BB4D40">
              <w:rPr>
                <w:rFonts w:ascii="Arial" w:hAnsi="Arial" w:cs="Arial"/>
                <w:sz w:val="20"/>
                <w:szCs w:val="20"/>
              </w:rPr>
              <w:t>53.1</w:t>
            </w:r>
          </w:p>
        </w:tc>
        <w:tc>
          <w:tcPr>
            <w:tcW w:w="1625" w:type="dxa"/>
            <w:tcBorders>
              <w:top w:val="nil"/>
              <w:left w:val="nil"/>
              <w:bottom w:val="nil"/>
              <w:right w:val="nil"/>
            </w:tcBorders>
            <w:shd w:val="clear" w:color="auto" w:fill="auto"/>
            <w:noWrap/>
            <w:vAlign w:val="center"/>
            <w:hideMark/>
          </w:tcPr>
          <w:p w14:paraId="751E0222" w14:textId="77777777" w:rsidR="006A6832" w:rsidRPr="00BB4D40" w:rsidRDefault="006A6832" w:rsidP="007577DA">
            <w:pPr>
              <w:ind w:right="373"/>
              <w:jc w:val="right"/>
              <w:rPr>
                <w:rFonts w:ascii="Arial" w:hAnsi="Arial" w:cs="Arial"/>
                <w:color w:val="000000"/>
                <w:sz w:val="20"/>
                <w:szCs w:val="20"/>
              </w:rPr>
            </w:pPr>
            <w:r w:rsidRPr="00BB4D40">
              <w:rPr>
                <w:rFonts w:ascii="Arial" w:hAnsi="Arial" w:cs="Arial"/>
                <w:sz w:val="20"/>
                <w:szCs w:val="20"/>
              </w:rPr>
              <w:t>108.1</w:t>
            </w:r>
          </w:p>
        </w:tc>
        <w:tc>
          <w:tcPr>
            <w:tcW w:w="294" w:type="dxa"/>
            <w:tcBorders>
              <w:top w:val="nil"/>
              <w:left w:val="nil"/>
              <w:bottom w:val="nil"/>
              <w:right w:val="nil"/>
            </w:tcBorders>
            <w:shd w:val="clear" w:color="auto" w:fill="auto"/>
            <w:noWrap/>
            <w:vAlign w:val="center"/>
          </w:tcPr>
          <w:p w14:paraId="1B44C60B" w14:textId="77777777" w:rsidR="006A6832" w:rsidRPr="00BB4D40" w:rsidRDefault="006A6832" w:rsidP="007577DA">
            <w:pPr>
              <w:jc w:val="center"/>
              <w:rPr>
                <w:rFonts w:ascii="Arial" w:hAnsi="Arial" w:cs="Arial"/>
                <w:color w:val="000000"/>
                <w:sz w:val="20"/>
                <w:szCs w:val="20"/>
              </w:rPr>
            </w:pPr>
          </w:p>
        </w:tc>
        <w:tc>
          <w:tcPr>
            <w:tcW w:w="1499" w:type="dxa"/>
            <w:tcBorders>
              <w:top w:val="nil"/>
              <w:left w:val="nil"/>
              <w:bottom w:val="nil"/>
              <w:right w:val="nil"/>
            </w:tcBorders>
            <w:shd w:val="clear" w:color="auto" w:fill="auto"/>
            <w:noWrap/>
            <w:vAlign w:val="center"/>
          </w:tcPr>
          <w:p w14:paraId="386E58DB" w14:textId="77777777" w:rsidR="006A6832" w:rsidRPr="00BB4D40" w:rsidRDefault="006A6832" w:rsidP="007577DA">
            <w:pPr>
              <w:ind w:right="-108"/>
              <w:jc w:val="center"/>
              <w:rPr>
                <w:rFonts w:ascii="Arial" w:hAnsi="Arial" w:cs="Arial"/>
                <w:color w:val="000000"/>
                <w:sz w:val="20"/>
                <w:szCs w:val="20"/>
              </w:rPr>
            </w:pPr>
            <w:r w:rsidRPr="00BB4D40">
              <w:rPr>
                <w:rFonts w:ascii="Arial" w:hAnsi="Arial" w:cs="Arial"/>
                <w:sz w:val="20"/>
                <w:szCs w:val="20"/>
              </w:rPr>
              <w:t>10.1</w:t>
            </w:r>
          </w:p>
        </w:tc>
        <w:tc>
          <w:tcPr>
            <w:tcW w:w="1418" w:type="dxa"/>
            <w:tcBorders>
              <w:top w:val="nil"/>
              <w:left w:val="nil"/>
              <w:bottom w:val="nil"/>
              <w:right w:val="nil"/>
            </w:tcBorders>
            <w:shd w:val="clear" w:color="auto" w:fill="auto"/>
            <w:noWrap/>
            <w:vAlign w:val="center"/>
            <w:hideMark/>
          </w:tcPr>
          <w:p w14:paraId="7C53A09F" w14:textId="77777777" w:rsidR="006A6832" w:rsidRPr="00BB4D40" w:rsidRDefault="006A6832" w:rsidP="007577DA">
            <w:pPr>
              <w:ind w:right="325"/>
              <w:jc w:val="right"/>
              <w:rPr>
                <w:rFonts w:ascii="Arial" w:hAnsi="Arial" w:cs="Arial"/>
                <w:color w:val="000000"/>
                <w:sz w:val="20"/>
                <w:szCs w:val="20"/>
              </w:rPr>
            </w:pPr>
            <w:r w:rsidRPr="00BB4D40">
              <w:rPr>
                <w:rFonts w:ascii="Arial" w:hAnsi="Arial" w:cs="Arial"/>
                <w:sz w:val="20"/>
                <w:szCs w:val="20"/>
              </w:rPr>
              <w:t>5.4</w:t>
            </w:r>
          </w:p>
        </w:tc>
      </w:tr>
      <w:tr w:rsidR="006A6832" w:rsidRPr="00BB4D40" w14:paraId="2B2CF4FE" w14:textId="77777777" w:rsidTr="007577DA">
        <w:trPr>
          <w:cantSplit/>
          <w:trHeight w:val="372"/>
        </w:trPr>
        <w:tc>
          <w:tcPr>
            <w:tcW w:w="1807" w:type="dxa"/>
            <w:tcBorders>
              <w:top w:val="nil"/>
              <w:left w:val="nil"/>
              <w:bottom w:val="nil"/>
              <w:right w:val="nil"/>
            </w:tcBorders>
            <w:shd w:val="clear" w:color="auto" w:fill="auto"/>
            <w:noWrap/>
            <w:vAlign w:val="center"/>
            <w:hideMark/>
          </w:tcPr>
          <w:p w14:paraId="2A0ED815" w14:textId="77777777" w:rsidR="006A6832" w:rsidRPr="00BB4D40" w:rsidRDefault="006A6832" w:rsidP="007577DA">
            <w:pPr>
              <w:rPr>
                <w:rFonts w:ascii="Arial" w:hAnsi="Arial" w:cs="Arial"/>
                <w:color w:val="000000"/>
                <w:sz w:val="20"/>
                <w:szCs w:val="20"/>
              </w:rPr>
            </w:pPr>
            <w:r w:rsidRPr="00BB4D40">
              <w:rPr>
                <w:rFonts w:ascii="Arial" w:hAnsi="Arial" w:cs="Arial"/>
                <w:color w:val="000000"/>
                <w:sz w:val="20"/>
                <w:szCs w:val="20"/>
                <w:lang w:eastAsia="vi-VN"/>
              </w:rPr>
              <w:t>Inland water way</w:t>
            </w:r>
          </w:p>
        </w:tc>
        <w:tc>
          <w:tcPr>
            <w:tcW w:w="1437" w:type="dxa"/>
            <w:tcBorders>
              <w:top w:val="nil"/>
              <w:left w:val="nil"/>
              <w:bottom w:val="nil"/>
              <w:right w:val="nil"/>
            </w:tcBorders>
            <w:shd w:val="clear" w:color="auto" w:fill="auto"/>
            <w:noWrap/>
            <w:vAlign w:val="center"/>
            <w:hideMark/>
          </w:tcPr>
          <w:p w14:paraId="168464F7" w14:textId="77777777" w:rsidR="006A6832" w:rsidRPr="00BB4D40" w:rsidRDefault="006A6832" w:rsidP="007577DA">
            <w:pPr>
              <w:ind w:right="159"/>
              <w:jc w:val="right"/>
              <w:rPr>
                <w:rFonts w:ascii="Arial" w:hAnsi="Arial" w:cs="Arial"/>
                <w:color w:val="000000"/>
                <w:sz w:val="20"/>
                <w:szCs w:val="20"/>
              </w:rPr>
            </w:pPr>
            <w:r w:rsidRPr="00BB4D40">
              <w:rPr>
                <w:rFonts w:ascii="Arial" w:hAnsi="Arial" w:cs="Arial"/>
                <w:sz w:val="20"/>
                <w:szCs w:val="20"/>
              </w:rPr>
              <w:t>215.4</w:t>
            </w:r>
          </w:p>
        </w:tc>
        <w:tc>
          <w:tcPr>
            <w:tcW w:w="1625" w:type="dxa"/>
            <w:tcBorders>
              <w:top w:val="nil"/>
              <w:left w:val="nil"/>
              <w:bottom w:val="nil"/>
              <w:right w:val="nil"/>
            </w:tcBorders>
            <w:shd w:val="clear" w:color="auto" w:fill="auto"/>
            <w:noWrap/>
            <w:vAlign w:val="center"/>
            <w:hideMark/>
          </w:tcPr>
          <w:p w14:paraId="70220835" w14:textId="77777777" w:rsidR="006A6832" w:rsidRPr="00BB4D40" w:rsidRDefault="006A6832" w:rsidP="007577DA">
            <w:pPr>
              <w:ind w:right="373"/>
              <w:jc w:val="right"/>
              <w:rPr>
                <w:rFonts w:ascii="Arial" w:hAnsi="Arial" w:cs="Arial"/>
                <w:color w:val="000000"/>
                <w:sz w:val="20"/>
                <w:szCs w:val="20"/>
              </w:rPr>
            </w:pPr>
            <w:r w:rsidRPr="00BB4D40">
              <w:rPr>
                <w:rFonts w:ascii="Arial" w:hAnsi="Arial" w:cs="Arial"/>
                <w:sz w:val="20"/>
                <w:szCs w:val="20"/>
              </w:rPr>
              <w:t>45.5</w:t>
            </w:r>
          </w:p>
        </w:tc>
        <w:tc>
          <w:tcPr>
            <w:tcW w:w="294" w:type="dxa"/>
            <w:tcBorders>
              <w:top w:val="nil"/>
              <w:left w:val="nil"/>
              <w:bottom w:val="nil"/>
              <w:right w:val="nil"/>
            </w:tcBorders>
            <w:shd w:val="clear" w:color="auto" w:fill="auto"/>
            <w:noWrap/>
            <w:vAlign w:val="center"/>
          </w:tcPr>
          <w:p w14:paraId="64A1C719" w14:textId="77777777" w:rsidR="006A6832" w:rsidRPr="00BB4D40" w:rsidRDefault="006A6832" w:rsidP="007577DA">
            <w:pPr>
              <w:jc w:val="center"/>
              <w:rPr>
                <w:rFonts w:ascii="Arial" w:hAnsi="Arial" w:cs="Arial"/>
                <w:color w:val="000000"/>
                <w:sz w:val="20"/>
                <w:szCs w:val="20"/>
              </w:rPr>
            </w:pPr>
          </w:p>
        </w:tc>
        <w:tc>
          <w:tcPr>
            <w:tcW w:w="1499" w:type="dxa"/>
            <w:tcBorders>
              <w:top w:val="nil"/>
              <w:left w:val="nil"/>
              <w:bottom w:val="nil"/>
              <w:right w:val="nil"/>
            </w:tcBorders>
            <w:shd w:val="clear" w:color="auto" w:fill="auto"/>
            <w:noWrap/>
            <w:vAlign w:val="center"/>
          </w:tcPr>
          <w:p w14:paraId="2D5FEF03" w14:textId="77777777" w:rsidR="006A6832" w:rsidRPr="00BB4D40" w:rsidRDefault="006A6832" w:rsidP="007577DA">
            <w:pPr>
              <w:ind w:right="-108"/>
              <w:jc w:val="center"/>
              <w:rPr>
                <w:rFonts w:ascii="Arial" w:hAnsi="Arial" w:cs="Arial"/>
                <w:color w:val="000000"/>
                <w:sz w:val="20"/>
                <w:szCs w:val="20"/>
              </w:rPr>
            </w:pPr>
            <w:r w:rsidRPr="00BB4D40">
              <w:rPr>
                <w:rFonts w:ascii="Arial" w:hAnsi="Arial" w:cs="Arial"/>
                <w:sz w:val="20"/>
                <w:szCs w:val="20"/>
              </w:rPr>
              <w:t>11.4</w:t>
            </w:r>
          </w:p>
        </w:tc>
        <w:tc>
          <w:tcPr>
            <w:tcW w:w="1418" w:type="dxa"/>
            <w:tcBorders>
              <w:top w:val="nil"/>
              <w:left w:val="nil"/>
              <w:bottom w:val="nil"/>
              <w:right w:val="nil"/>
            </w:tcBorders>
            <w:shd w:val="clear" w:color="auto" w:fill="auto"/>
            <w:noWrap/>
            <w:vAlign w:val="center"/>
            <w:hideMark/>
          </w:tcPr>
          <w:p w14:paraId="54611344" w14:textId="77777777" w:rsidR="006A6832" w:rsidRPr="00BB4D40" w:rsidRDefault="006A6832" w:rsidP="007577DA">
            <w:pPr>
              <w:ind w:right="325"/>
              <w:jc w:val="right"/>
              <w:rPr>
                <w:rFonts w:ascii="Arial" w:hAnsi="Arial" w:cs="Arial"/>
                <w:color w:val="000000"/>
                <w:sz w:val="20"/>
                <w:szCs w:val="20"/>
              </w:rPr>
            </w:pPr>
            <w:r w:rsidRPr="00BB4D40">
              <w:rPr>
                <w:rFonts w:ascii="Arial" w:hAnsi="Arial" w:cs="Arial"/>
                <w:sz w:val="20"/>
                <w:szCs w:val="20"/>
              </w:rPr>
              <w:t>10.3</w:t>
            </w:r>
          </w:p>
        </w:tc>
      </w:tr>
      <w:tr w:rsidR="006A6832" w:rsidRPr="00BB4D40" w14:paraId="2BA8A06C" w14:textId="77777777" w:rsidTr="007577DA">
        <w:trPr>
          <w:cantSplit/>
          <w:trHeight w:val="372"/>
        </w:trPr>
        <w:tc>
          <w:tcPr>
            <w:tcW w:w="1807" w:type="dxa"/>
            <w:tcBorders>
              <w:top w:val="nil"/>
              <w:left w:val="nil"/>
              <w:bottom w:val="nil"/>
              <w:right w:val="nil"/>
            </w:tcBorders>
            <w:shd w:val="clear" w:color="auto" w:fill="auto"/>
            <w:noWrap/>
            <w:vAlign w:val="center"/>
            <w:hideMark/>
          </w:tcPr>
          <w:p w14:paraId="76BF6D37" w14:textId="77777777" w:rsidR="006A6832" w:rsidRPr="00BB4D40" w:rsidRDefault="006A6832" w:rsidP="007577DA">
            <w:pPr>
              <w:rPr>
                <w:rFonts w:ascii="Arial" w:hAnsi="Arial" w:cs="Arial"/>
                <w:color w:val="000000"/>
                <w:sz w:val="20"/>
                <w:szCs w:val="20"/>
              </w:rPr>
            </w:pPr>
            <w:r w:rsidRPr="00BB4D40">
              <w:rPr>
                <w:rFonts w:ascii="Arial" w:hAnsi="Arial" w:cs="Arial"/>
                <w:color w:val="000000"/>
                <w:sz w:val="20"/>
                <w:szCs w:val="20"/>
                <w:lang w:eastAsia="vi-VN"/>
              </w:rPr>
              <w:t>Road</w:t>
            </w:r>
          </w:p>
        </w:tc>
        <w:tc>
          <w:tcPr>
            <w:tcW w:w="1437" w:type="dxa"/>
            <w:tcBorders>
              <w:top w:val="nil"/>
              <w:left w:val="nil"/>
              <w:bottom w:val="nil"/>
              <w:right w:val="nil"/>
            </w:tcBorders>
            <w:shd w:val="clear" w:color="auto" w:fill="auto"/>
            <w:noWrap/>
            <w:vAlign w:val="center"/>
            <w:hideMark/>
          </w:tcPr>
          <w:p w14:paraId="28CDD8FC" w14:textId="77777777" w:rsidR="006A6832" w:rsidRPr="00BB4D40" w:rsidRDefault="006A6832" w:rsidP="007577DA">
            <w:pPr>
              <w:ind w:right="159"/>
              <w:jc w:val="right"/>
              <w:rPr>
                <w:rFonts w:ascii="Arial" w:hAnsi="Arial" w:cs="Arial"/>
                <w:color w:val="000000"/>
                <w:sz w:val="20"/>
                <w:szCs w:val="20"/>
              </w:rPr>
            </w:pPr>
            <w:r w:rsidRPr="00BB4D40">
              <w:rPr>
                <w:rFonts w:ascii="Arial" w:hAnsi="Arial" w:cs="Arial"/>
                <w:sz w:val="20"/>
                <w:szCs w:val="20"/>
              </w:rPr>
              <w:t>757.2</w:t>
            </w:r>
          </w:p>
        </w:tc>
        <w:tc>
          <w:tcPr>
            <w:tcW w:w="1625" w:type="dxa"/>
            <w:tcBorders>
              <w:top w:val="nil"/>
              <w:left w:val="nil"/>
              <w:bottom w:val="nil"/>
              <w:right w:val="nil"/>
            </w:tcBorders>
            <w:shd w:val="clear" w:color="auto" w:fill="auto"/>
            <w:noWrap/>
            <w:vAlign w:val="center"/>
            <w:hideMark/>
          </w:tcPr>
          <w:p w14:paraId="7C09F4B7" w14:textId="77777777" w:rsidR="006A6832" w:rsidRPr="00BB4D40" w:rsidRDefault="006A6832" w:rsidP="007577DA">
            <w:pPr>
              <w:ind w:right="373"/>
              <w:jc w:val="right"/>
              <w:rPr>
                <w:rFonts w:ascii="Arial" w:hAnsi="Arial" w:cs="Arial"/>
                <w:color w:val="000000"/>
                <w:sz w:val="20"/>
                <w:szCs w:val="20"/>
              </w:rPr>
            </w:pPr>
            <w:r w:rsidRPr="00BB4D40">
              <w:rPr>
                <w:rFonts w:ascii="Arial" w:hAnsi="Arial" w:cs="Arial"/>
                <w:sz w:val="20"/>
                <w:szCs w:val="20"/>
              </w:rPr>
              <w:t>48.9</w:t>
            </w:r>
          </w:p>
        </w:tc>
        <w:tc>
          <w:tcPr>
            <w:tcW w:w="294" w:type="dxa"/>
            <w:tcBorders>
              <w:top w:val="nil"/>
              <w:left w:val="nil"/>
              <w:bottom w:val="nil"/>
              <w:right w:val="nil"/>
            </w:tcBorders>
            <w:shd w:val="clear" w:color="auto" w:fill="auto"/>
            <w:noWrap/>
            <w:vAlign w:val="center"/>
          </w:tcPr>
          <w:p w14:paraId="24FE0106" w14:textId="77777777" w:rsidR="006A6832" w:rsidRPr="00BB4D40" w:rsidRDefault="006A6832" w:rsidP="007577DA">
            <w:pPr>
              <w:jc w:val="center"/>
              <w:rPr>
                <w:rFonts w:ascii="Arial" w:hAnsi="Arial" w:cs="Arial"/>
                <w:color w:val="000000"/>
                <w:sz w:val="20"/>
                <w:szCs w:val="20"/>
              </w:rPr>
            </w:pPr>
          </w:p>
        </w:tc>
        <w:tc>
          <w:tcPr>
            <w:tcW w:w="1499" w:type="dxa"/>
            <w:tcBorders>
              <w:top w:val="nil"/>
              <w:left w:val="nil"/>
              <w:bottom w:val="nil"/>
              <w:right w:val="nil"/>
            </w:tcBorders>
            <w:shd w:val="clear" w:color="auto" w:fill="auto"/>
            <w:noWrap/>
            <w:vAlign w:val="center"/>
          </w:tcPr>
          <w:p w14:paraId="3F7A166D" w14:textId="77777777" w:rsidR="006A6832" w:rsidRPr="00BB4D40" w:rsidRDefault="006A6832" w:rsidP="007577DA">
            <w:pPr>
              <w:ind w:right="-108"/>
              <w:jc w:val="center"/>
              <w:rPr>
                <w:rFonts w:ascii="Arial" w:hAnsi="Arial" w:cs="Arial"/>
                <w:color w:val="000000"/>
                <w:sz w:val="20"/>
                <w:szCs w:val="20"/>
              </w:rPr>
            </w:pPr>
            <w:r w:rsidRPr="00BB4D40">
              <w:rPr>
                <w:rFonts w:ascii="Arial" w:hAnsi="Arial" w:cs="Arial"/>
                <w:sz w:val="20"/>
                <w:szCs w:val="20"/>
              </w:rPr>
              <w:t>11.5</w:t>
            </w:r>
          </w:p>
        </w:tc>
        <w:tc>
          <w:tcPr>
            <w:tcW w:w="1418" w:type="dxa"/>
            <w:tcBorders>
              <w:top w:val="nil"/>
              <w:left w:val="nil"/>
              <w:bottom w:val="nil"/>
              <w:right w:val="nil"/>
            </w:tcBorders>
            <w:shd w:val="clear" w:color="auto" w:fill="auto"/>
            <w:noWrap/>
            <w:vAlign w:val="center"/>
            <w:hideMark/>
          </w:tcPr>
          <w:p w14:paraId="49BB25DE" w14:textId="77777777" w:rsidR="006A6832" w:rsidRPr="00BB4D40" w:rsidRDefault="006A6832" w:rsidP="007577DA">
            <w:pPr>
              <w:ind w:right="325"/>
              <w:jc w:val="right"/>
              <w:rPr>
                <w:rFonts w:ascii="Arial" w:hAnsi="Arial" w:cs="Arial"/>
                <w:color w:val="000000"/>
                <w:sz w:val="20"/>
                <w:szCs w:val="20"/>
              </w:rPr>
            </w:pPr>
            <w:r w:rsidRPr="00BB4D40">
              <w:rPr>
                <w:rFonts w:ascii="Arial" w:hAnsi="Arial" w:cs="Arial"/>
                <w:sz w:val="20"/>
                <w:szCs w:val="20"/>
              </w:rPr>
              <w:t>9.5</w:t>
            </w:r>
          </w:p>
        </w:tc>
      </w:tr>
      <w:tr w:rsidR="006A6832" w:rsidRPr="00BB4D40" w14:paraId="010305A7" w14:textId="77777777" w:rsidTr="007577DA">
        <w:trPr>
          <w:cantSplit/>
          <w:trHeight w:val="372"/>
        </w:trPr>
        <w:tc>
          <w:tcPr>
            <w:tcW w:w="1807" w:type="dxa"/>
            <w:tcBorders>
              <w:top w:val="nil"/>
              <w:left w:val="nil"/>
              <w:bottom w:val="single" w:sz="4" w:space="0" w:color="auto"/>
              <w:right w:val="nil"/>
            </w:tcBorders>
            <w:shd w:val="clear" w:color="auto" w:fill="auto"/>
            <w:noWrap/>
            <w:vAlign w:val="center"/>
            <w:hideMark/>
          </w:tcPr>
          <w:p w14:paraId="7F1F22DA" w14:textId="77777777" w:rsidR="006A6832" w:rsidRPr="00BB4D40" w:rsidRDefault="006A6832" w:rsidP="007577DA">
            <w:pPr>
              <w:rPr>
                <w:rFonts w:ascii="Arial" w:hAnsi="Arial" w:cs="Arial"/>
                <w:color w:val="000000"/>
                <w:sz w:val="20"/>
                <w:szCs w:val="20"/>
              </w:rPr>
            </w:pPr>
            <w:r w:rsidRPr="00BB4D40">
              <w:rPr>
                <w:rFonts w:ascii="Arial" w:hAnsi="Arial" w:cs="Arial"/>
                <w:color w:val="000000"/>
                <w:sz w:val="20"/>
                <w:szCs w:val="20"/>
                <w:lang w:eastAsia="vi-VN"/>
              </w:rPr>
              <w:t xml:space="preserve">Airway </w:t>
            </w:r>
          </w:p>
        </w:tc>
        <w:tc>
          <w:tcPr>
            <w:tcW w:w="1437" w:type="dxa"/>
            <w:tcBorders>
              <w:top w:val="nil"/>
              <w:left w:val="nil"/>
              <w:bottom w:val="single" w:sz="4" w:space="0" w:color="auto"/>
              <w:right w:val="nil"/>
            </w:tcBorders>
            <w:shd w:val="clear" w:color="auto" w:fill="auto"/>
            <w:noWrap/>
            <w:vAlign w:val="center"/>
            <w:hideMark/>
          </w:tcPr>
          <w:p w14:paraId="6888FA4E" w14:textId="77777777" w:rsidR="006A6832" w:rsidRPr="00BB4D40" w:rsidRDefault="006A6832" w:rsidP="007577DA">
            <w:pPr>
              <w:ind w:right="159"/>
              <w:jc w:val="right"/>
              <w:rPr>
                <w:rFonts w:ascii="Arial" w:hAnsi="Arial" w:cs="Arial"/>
                <w:color w:val="000000"/>
                <w:sz w:val="20"/>
                <w:szCs w:val="20"/>
              </w:rPr>
            </w:pPr>
            <w:r w:rsidRPr="00BB4D40">
              <w:rPr>
                <w:rFonts w:ascii="Arial" w:hAnsi="Arial" w:cs="Arial"/>
                <w:sz w:val="20"/>
                <w:szCs w:val="20"/>
              </w:rPr>
              <w:t>0.2</w:t>
            </w:r>
          </w:p>
        </w:tc>
        <w:tc>
          <w:tcPr>
            <w:tcW w:w="1625" w:type="dxa"/>
            <w:tcBorders>
              <w:top w:val="nil"/>
              <w:left w:val="nil"/>
              <w:bottom w:val="single" w:sz="4" w:space="0" w:color="auto"/>
              <w:right w:val="nil"/>
            </w:tcBorders>
            <w:shd w:val="clear" w:color="auto" w:fill="auto"/>
            <w:noWrap/>
            <w:vAlign w:val="center"/>
            <w:hideMark/>
          </w:tcPr>
          <w:p w14:paraId="69F77EF0" w14:textId="77777777" w:rsidR="006A6832" w:rsidRPr="00BB4D40" w:rsidRDefault="006A6832" w:rsidP="007577DA">
            <w:pPr>
              <w:ind w:right="373"/>
              <w:jc w:val="right"/>
              <w:rPr>
                <w:rFonts w:ascii="Arial" w:hAnsi="Arial" w:cs="Arial"/>
                <w:color w:val="000000"/>
                <w:sz w:val="20"/>
                <w:szCs w:val="20"/>
              </w:rPr>
            </w:pPr>
            <w:r w:rsidRPr="00BB4D40">
              <w:rPr>
                <w:rFonts w:ascii="Arial" w:hAnsi="Arial" w:cs="Arial"/>
                <w:sz w:val="20"/>
                <w:szCs w:val="20"/>
              </w:rPr>
              <w:t>4.3</w:t>
            </w:r>
          </w:p>
        </w:tc>
        <w:tc>
          <w:tcPr>
            <w:tcW w:w="294" w:type="dxa"/>
            <w:tcBorders>
              <w:top w:val="nil"/>
              <w:left w:val="nil"/>
              <w:bottom w:val="single" w:sz="4" w:space="0" w:color="auto"/>
              <w:right w:val="nil"/>
            </w:tcBorders>
            <w:shd w:val="clear" w:color="auto" w:fill="auto"/>
            <w:noWrap/>
            <w:vAlign w:val="center"/>
          </w:tcPr>
          <w:p w14:paraId="56CDC003" w14:textId="77777777" w:rsidR="006A6832" w:rsidRPr="00BB4D40" w:rsidRDefault="006A6832" w:rsidP="007577DA">
            <w:pPr>
              <w:jc w:val="center"/>
              <w:rPr>
                <w:rFonts w:ascii="Arial" w:hAnsi="Arial" w:cs="Arial"/>
                <w:color w:val="000000"/>
                <w:sz w:val="20"/>
                <w:szCs w:val="20"/>
              </w:rPr>
            </w:pPr>
          </w:p>
        </w:tc>
        <w:tc>
          <w:tcPr>
            <w:tcW w:w="1499" w:type="dxa"/>
            <w:tcBorders>
              <w:top w:val="nil"/>
              <w:left w:val="nil"/>
              <w:bottom w:val="single" w:sz="4" w:space="0" w:color="auto"/>
              <w:right w:val="nil"/>
            </w:tcBorders>
            <w:shd w:val="clear" w:color="auto" w:fill="auto"/>
            <w:noWrap/>
            <w:vAlign w:val="center"/>
          </w:tcPr>
          <w:p w14:paraId="2E4C127A" w14:textId="77777777" w:rsidR="006A6832" w:rsidRPr="00BB4D40" w:rsidRDefault="006A6832" w:rsidP="007577DA">
            <w:pPr>
              <w:ind w:right="-108"/>
              <w:jc w:val="center"/>
              <w:rPr>
                <w:rFonts w:ascii="Arial" w:hAnsi="Arial" w:cs="Arial"/>
                <w:color w:val="000000"/>
                <w:sz w:val="20"/>
                <w:szCs w:val="20"/>
              </w:rPr>
            </w:pPr>
            <w:r w:rsidRPr="00BB4D40">
              <w:rPr>
                <w:rFonts w:ascii="Arial" w:hAnsi="Arial" w:cs="Arial"/>
                <w:sz w:val="20"/>
                <w:szCs w:val="20"/>
              </w:rPr>
              <w:t>47.5</w:t>
            </w:r>
          </w:p>
        </w:tc>
        <w:tc>
          <w:tcPr>
            <w:tcW w:w="1418" w:type="dxa"/>
            <w:tcBorders>
              <w:top w:val="nil"/>
              <w:left w:val="nil"/>
              <w:bottom w:val="single" w:sz="4" w:space="0" w:color="auto"/>
              <w:right w:val="nil"/>
            </w:tcBorders>
            <w:shd w:val="clear" w:color="auto" w:fill="auto"/>
            <w:noWrap/>
            <w:vAlign w:val="center"/>
            <w:hideMark/>
          </w:tcPr>
          <w:p w14:paraId="376D8E90" w14:textId="77777777" w:rsidR="006A6832" w:rsidRPr="00BB4D40" w:rsidRDefault="006A6832" w:rsidP="007577DA">
            <w:pPr>
              <w:ind w:right="325"/>
              <w:jc w:val="right"/>
              <w:rPr>
                <w:rFonts w:ascii="Arial" w:hAnsi="Arial" w:cs="Arial"/>
                <w:color w:val="000000"/>
                <w:sz w:val="20"/>
                <w:szCs w:val="20"/>
              </w:rPr>
            </w:pPr>
            <w:r w:rsidRPr="00BB4D40">
              <w:rPr>
                <w:rFonts w:ascii="Arial" w:hAnsi="Arial" w:cs="Arial"/>
                <w:sz w:val="20"/>
                <w:szCs w:val="20"/>
              </w:rPr>
              <w:t>35.7</w:t>
            </w:r>
          </w:p>
        </w:tc>
      </w:tr>
    </w:tbl>
    <w:p w14:paraId="6BFC9B40" w14:textId="77777777" w:rsidR="006A6832" w:rsidRPr="00BB4D40" w:rsidRDefault="006A6832" w:rsidP="006A6832">
      <w:pPr>
        <w:spacing w:beforeLines="40" w:before="96" w:afterLines="40" w:after="96" w:line="264" w:lineRule="auto"/>
        <w:ind w:firstLine="567"/>
        <w:jc w:val="center"/>
        <w:rPr>
          <w:rFonts w:ascii="Arial" w:hAnsi="Arial" w:cs="Arial"/>
          <w:b/>
          <w:bCs/>
          <w:sz w:val="2"/>
          <w:szCs w:val="24"/>
          <w:lang w:val="fr-FR"/>
        </w:rPr>
      </w:pPr>
    </w:p>
    <w:p w14:paraId="38961808" w14:textId="77777777" w:rsidR="006A6832" w:rsidRPr="00BB4D40" w:rsidRDefault="006A6832" w:rsidP="00345542">
      <w:pPr>
        <w:spacing w:beforeLines="40" w:before="96" w:afterLines="40" w:after="96" w:line="293" w:lineRule="auto"/>
        <w:jc w:val="both"/>
        <w:rPr>
          <w:b/>
          <w:bCs/>
          <w:i/>
        </w:rPr>
      </w:pPr>
      <w:r w:rsidRPr="00BB4D40">
        <w:rPr>
          <w:b/>
          <w:bCs/>
          <w:i/>
          <w:iCs/>
          <w:lang w:val="pt-BR"/>
        </w:rPr>
        <w:t xml:space="preserve">đ) </w:t>
      </w:r>
      <w:r w:rsidRPr="00BB4D40">
        <w:rPr>
          <w:rFonts w:ascii="Times New Roman Bold Italic" w:hAnsi="Times New Roman Bold Italic"/>
          <w:b/>
          <w:i/>
          <w:iCs/>
          <w:lang w:val="fr-FR"/>
        </w:rPr>
        <w:t>International visitors to Viet Nam</w:t>
      </w:r>
      <w:r w:rsidRPr="00BB4D40">
        <w:rPr>
          <w:rStyle w:val="FootnoteReference"/>
          <w:rFonts w:ascii="Times New Roman Bold Italic" w:eastAsiaTheme="majorEastAsia" w:hAnsi="Times New Roman Bold Italic"/>
          <w:b/>
          <w:i/>
          <w:iCs/>
        </w:rPr>
        <w:footnoteReference w:id="22"/>
      </w:r>
    </w:p>
    <w:p w14:paraId="7124C2DF" w14:textId="77777777" w:rsidR="006A6832" w:rsidRPr="00BB4D40" w:rsidRDefault="006A6832" w:rsidP="006A6832">
      <w:pPr>
        <w:shd w:val="clear" w:color="auto" w:fill="FFFFFF"/>
        <w:spacing w:beforeLines="40" w:before="96" w:afterLines="40" w:after="96" w:line="293" w:lineRule="auto"/>
        <w:ind w:firstLine="567"/>
        <w:jc w:val="both"/>
        <w:rPr>
          <w:i/>
          <w:iCs/>
          <w:lang w:val="fr-FR"/>
        </w:rPr>
      </w:pPr>
      <w:r w:rsidRPr="00BB4D40">
        <w:rPr>
          <w:i/>
          <w:iCs/>
          <w:lang w:val="fr-FR"/>
        </w:rPr>
        <w:t>Favorable visa policies and tourism promotion programs in 2024 have been promoted by localities across the country, attracting a high increase in international visitors to Vietnam compared to the same period last year. In 5/2024</w:t>
      </w:r>
      <w:r w:rsidRPr="00BB4D40">
        <w:rPr>
          <w:rStyle w:val="FootnoteReference"/>
          <w:rFonts w:eastAsiaTheme="majorEastAsia"/>
          <w:i/>
          <w:iCs/>
          <w:lang w:val="fr-FR"/>
        </w:rPr>
        <w:footnoteReference w:id="23"/>
      </w:r>
      <w:r w:rsidRPr="00BB4D40">
        <w:rPr>
          <w:i/>
          <w:iCs/>
          <w:lang w:val="fr-FR"/>
        </w:rPr>
        <w:t xml:space="preserve">, the number of international visitors to Viet Nam reached 1.4 million. </w:t>
      </w:r>
      <w:bookmarkStart w:id="12" w:name="_Hlk149633866"/>
      <w:proofErr w:type="gramStart"/>
      <w:r w:rsidRPr="00BB4D40">
        <w:rPr>
          <w:i/>
          <w:iCs/>
          <w:lang w:val="fr-FR"/>
        </w:rPr>
        <w:t>increased</w:t>
      </w:r>
      <w:proofErr w:type="gramEnd"/>
      <w:r w:rsidRPr="00BB4D40">
        <w:rPr>
          <w:i/>
          <w:iCs/>
          <w:lang w:val="fr-FR"/>
        </w:rPr>
        <w:t xml:space="preserve"> by 51.0% </w:t>
      </w:r>
      <w:bookmarkEnd w:id="12"/>
      <w:r w:rsidRPr="00BB4D40">
        <w:rPr>
          <w:i/>
          <w:iCs/>
          <w:lang w:val="fr-FR"/>
        </w:rPr>
        <w:t xml:space="preserve">compared to the same period last year. In the first five months of </w:t>
      </w:r>
      <w:proofErr w:type="gramStart"/>
      <w:r w:rsidRPr="00BB4D40">
        <w:rPr>
          <w:i/>
          <w:iCs/>
          <w:lang w:val="fr-FR"/>
        </w:rPr>
        <w:t>2024,  international</w:t>
      </w:r>
      <w:proofErr w:type="gramEnd"/>
      <w:r w:rsidRPr="00BB4D40">
        <w:rPr>
          <w:i/>
          <w:iCs/>
          <w:lang w:val="fr-FR"/>
        </w:rPr>
        <w:t xml:space="preserve"> visitors to our country reached</w:t>
      </w:r>
      <w:bookmarkStart w:id="13" w:name="_Hlk149633887"/>
      <w:r w:rsidRPr="00BB4D40">
        <w:rPr>
          <w:i/>
          <w:iCs/>
          <w:lang w:val="fr-FR"/>
        </w:rPr>
        <w:t xml:space="preserve"> nearly 7.6 million arrivals</w:t>
      </w:r>
      <w:bookmarkEnd w:id="13"/>
      <w:r w:rsidRPr="00BB4D40">
        <w:rPr>
          <w:i/>
          <w:iCs/>
          <w:lang w:val="fr-FR"/>
        </w:rPr>
        <w:t xml:space="preserve">, up 64.9% compared to </w:t>
      </w:r>
      <w:r w:rsidRPr="00BB4D40">
        <w:rPr>
          <w:i/>
          <w:iCs/>
          <w:lang w:val="fr-FR"/>
        </w:rPr>
        <w:lastRenderedPageBreak/>
        <w:t>the same period last year and up 3.9% compared to the same period of 2019 - the year before the Covid-19 pandemic.</w:t>
      </w:r>
    </w:p>
    <w:p w14:paraId="2A54C84B" w14:textId="77777777" w:rsidR="006A6832" w:rsidRPr="00BB4D40" w:rsidRDefault="006A6832" w:rsidP="006A6832">
      <w:pPr>
        <w:shd w:val="clear" w:color="auto" w:fill="FFFFFF"/>
        <w:spacing w:beforeLines="40" w:before="96" w:afterLines="40" w:after="96" w:line="300" w:lineRule="auto"/>
        <w:ind w:firstLine="567"/>
        <w:jc w:val="both"/>
        <w:rPr>
          <w:lang w:val="fr-FR"/>
        </w:rPr>
      </w:pPr>
      <w:r w:rsidRPr="00BB4D40">
        <w:rPr>
          <w:lang w:val="fr-FR"/>
        </w:rPr>
        <w:t xml:space="preserve">Out of a total of 7.6 million international arrivals to Viet Nam in the first five months of this year, arrivals by air reached nearly 6.3 million arrivals, accounting for 83.7% of international arrivals to Viet Nam and 1.6 times higher than the same period last </w:t>
      </w:r>
      <w:proofErr w:type="gramStart"/>
      <w:r w:rsidRPr="00BB4D40">
        <w:rPr>
          <w:lang w:val="fr-FR"/>
        </w:rPr>
        <w:t>year;</w:t>
      </w:r>
      <w:proofErr w:type="gramEnd"/>
      <w:r w:rsidRPr="00BB4D40">
        <w:rPr>
          <w:lang w:val="fr-FR"/>
        </w:rPr>
        <w:t xml:space="preserve"> by road reached 1.1</w:t>
      </w:r>
      <w:r w:rsidRPr="00BB4D40">
        <w:rPr>
          <w:bCs/>
          <w:lang w:val="pt-BR" w:eastAsia="en-GB"/>
        </w:rPr>
        <w:t xml:space="preserve"> </w:t>
      </w:r>
      <w:r w:rsidRPr="00BB4D40">
        <w:rPr>
          <w:lang w:val="fr-FR"/>
        </w:rPr>
        <w:t xml:space="preserve">million arrivals, accounting for 14.2% and 2.1 times higher; by sea reached </w:t>
      </w:r>
      <w:r w:rsidRPr="00BB4D40">
        <w:rPr>
          <w:bCs/>
          <w:lang w:val="pt-BR" w:eastAsia="en-GB"/>
        </w:rPr>
        <w:t xml:space="preserve">162.4 </w:t>
      </w:r>
      <w:r w:rsidRPr="00BB4D40">
        <w:rPr>
          <w:lang w:val="fr-FR"/>
        </w:rPr>
        <w:t xml:space="preserve">thousand arrivals, accounting for 2.1% and </w:t>
      </w:r>
      <w:r w:rsidRPr="00BB4D40">
        <w:rPr>
          <w:bCs/>
          <w:lang w:val="pt-BR" w:eastAsia="en-GB"/>
        </w:rPr>
        <w:t xml:space="preserve">3.2 </w:t>
      </w:r>
      <w:r w:rsidRPr="00BB4D40">
        <w:rPr>
          <w:lang w:val="fr-FR"/>
        </w:rPr>
        <w:t>times higher.</w:t>
      </w:r>
    </w:p>
    <w:p w14:paraId="1194B2A6" w14:textId="77777777" w:rsidR="006A6832" w:rsidRPr="00BB4D40" w:rsidRDefault="006A6832" w:rsidP="006A6832">
      <w:pPr>
        <w:spacing w:beforeLines="40" w:before="96" w:afterLines="40" w:after="96" w:line="264" w:lineRule="auto"/>
        <w:jc w:val="center"/>
        <w:rPr>
          <w:rFonts w:ascii="Arial" w:hAnsi="Arial" w:cs="Arial"/>
          <w:b/>
          <w:bCs/>
          <w:iCs/>
          <w:sz w:val="24"/>
          <w:szCs w:val="24"/>
          <w:lang w:val="fr-FR"/>
        </w:rPr>
      </w:pPr>
      <w:r w:rsidRPr="00BB4D40">
        <w:rPr>
          <w:rFonts w:ascii="Arial" w:hAnsi="Arial" w:cs="Arial"/>
          <w:b/>
          <w:bCs/>
          <w:iCs/>
          <w:sz w:val="24"/>
          <w:szCs w:val="24"/>
          <w:lang w:val="fr-FR"/>
        </w:rPr>
        <w:t xml:space="preserve">Figure 17. International visitors to Viet Nam in the first five months </w:t>
      </w:r>
      <w:r w:rsidRPr="00BB4D40">
        <w:rPr>
          <w:rFonts w:ascii="Arial" w:hAnsi="Arial" w:cs="Arial"/>
          <w:b/>
          <w:bCs/>
          <w:iCs/>
          <w:sz w:val="24"/>
          <w:szCs w:val="24"/>
          <w:lang w:val="fr-FR"/>
        </w:rPr>
        <w:br/>
        <w:t>of 2024 by territories</w:t>
      </w:r>
    </w:p>
    <w:p w14:paraId="10965623" w14:textId="77777777" w:rsidR="006A6832" w:rsidRDefault="006A6832" w:rsidP="006A6832">
      <w:pPr>
        <w:spacing w:beforeLines="40" w:before="96" w:afterLines="40" w:after="96" w:line="264" w:lineRule="auto"/>
        <w:ind w:firstLine="567"/>
        <w:jc w:val="both"/>
        <w:rPr>
          <w:b/>
          <w:bCs/>
          <w:lang w:val="pl-PL"/>
        </w:rPr>
      </w:pPr>
      <w:r w:rsidRPr="00BB4D40">
        <w:rPr>
          <w:b/>
          <w:bCs/>
          <w:noProof/>
        </w:rPr>
        <w:drawing>
          <wp:inline distT="0" distB="0" distL="0" distR="0" wp14:anchorId="4704255F" wp14:editId="051A828F">
            <wp:extent cx="5943600" cy="2976753"/>
            <wp:effectExtent l="0" t="0" r="0" b="0"/>
            <wp:docPr id="3" name="Picture 3" descr="Z:\01 Bao cao thang\2024\Thang 5\Chuyên viên\AI du lich\Artboard 1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01 Bao cao thang\2024\Thang 5\Chuyên viên\AI du lich\Artboard 1 copy.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2976753"/>
                    </a:xfrm>
                    <a:prstGeom prst="rect">
                      <a:avLst/>
                    </a:prstGeom>
                    <a:noFill/>
                    <a:ln>
                      <a:noFill/>
                    </a:ln>
                  </pic:spPr>
                </pic:pic>
              </a:graphicData>
            </a:graphic>
          </wp:inline>
        </w:drawing>
      </w:r>
    </w:p>
    <w:p w14:paraId="5301A721" w14:textId="7B80A73D" w:rsidR="006A6832" w:rsidRPr="003942F4" w:rsidRDefault="00164C93" w:rsidP="006A6832">
      <w:pPr>
        <w:ind w:firstLine="720"/>
        <w:jc w:val="both"/>
        <w:rPr>
          <w:b/>
        </w:rPr>
      </w:pPr>
      <w:r>
        <w:rPr>
          <w:b/>
        </w:rPr>
        <w:t>7</w:t>
      </w:r>
      <w:r w:rsidR="006A6832" w:rsidRPr="003942F4">
        <w:rPr>
          <w:b/>
        </w:rPr>
        <w:t>. Some social situations</w:t>
      </w:r>
    </w:p>
    <w:p w14:paraId="017573D6" w14:textId="77777777" w:rsidR="006A6832" w:rsidRPr="003942F4" w:rsidRDefault="006A6832" w:rsidP="006A6832">
      <w:pPr>
        <w:ind w:firstLine="720"/>
        <w:jc w:val="both"/>
        <w:rPr>
          <w:b/>
          <w:i/>
        </w:rPr>
      </w:pPr>
      <w:r w:rsidRPr="003942F4">
        <w:rPr>
          <w:b/>
          <w:i/>
        </w:rPr>
        <w:t xml:space="preserve">a) Residential life </w:t>
      </w:r>
    </w:p>
    <w:p w14:paraId="11E979DD" w14:textId="77777777" w:rsidR="006A6832" w:rsidRPr="003942F4" w:rsidRDefault="006A6832" w:rsidP="006A6832">
      <w:pPr>
        <w:ind w:firstLine="720"/>
        <w:jc w:val="both"/>
      </w:pPr>
      <w:r w:rsidRPr="003942F4">
        <w:t>According to the survey on the living situation of households in May 2024, the rate of assessment with income during the month remained unchanged and increased compared to the same period last year at 94.8%; The rate of assessments with reduced and undetermined income is 5.2%. This ratio did not change compared to the previous month's reporting period and the same period last year. However, the income assessment rate in May increased compared to the same month last year by 32.9% (an increase of 2.8 percent compared to the April 2024 reporting period and an increase of 6.4 percentage points). compared to the May 2023 reporting period) found positive changes in household income.</w:t>
      </w:r>
    </w:p>
    <w:p w14:paraId="44F4D1B4" w14:textId="77777777" w:rsidR="006A6832" w:rsidRPr="003942F4" w:rsidRDefault="006A6832" w:rsidP="006A6832">
      <w:pPr>
        <w:ind w:firstLine="720"/>
        <w:jc w:val="both"/>
      </w:pPr>
      <w:r w:rsidRPr="003942F4">
        <w:lastRenderedPageBreak/>
        <w:t>Households whose income in May decreased compared to the same period last year identified</w:t>
      </w:r>
      <w:r w:rsidRPr="00F73ED4">
        <w:rPr>
          <w:rStyle w:val="FootnoteReference"/>
          <w:bCs/>
          <w:snapToGrid w:val="0"/>
          <w:lang w:val="nl-NL"/>
        </w:rPr>
        <w:footnoteReference w:id="24"/>
      </w:r>
      <w:r w:rsidRPr="003942F4">
        <w:t xml:space="preserve"> the main reasons as: Some household members lost their jobs or temporarily quit their jobs (rate of 43.4%); due to increased input costs for household production and business activities (24.2%); due to the decrease in the scale of household production and business activities (24.7%); due to the decrease in selling prices of products from household production and business activities (20.9%).</w:t>
      </w:r>
    </w:p>
    <w:p w14:paraId="7F1DB121" w14:textId="77777777" w:rsidR="006A6832" w:rsidRPr="003942F4" w:rsidRDefault="006A6832" w:rsidP="006A6832">
      <w:pPr>
        <w:ind w:firstLine="720"/>
        <w:jc w:val="both"/>
      </w:pPr>
      <w:r w:rsidRPr="003942F4">
        <w:t>In the first five months of 2024, 31% of households reported experiencing at least one event that negatively affected family life, this rate decreased slightly by 0.2 percentage points compared to the April reporting period. /2024 and down 2.3 percentage points compared to the May 2023 reporting period. Among the households negatively affected by the events: 30.3% of households are suffering from the effects of rising prices of goods and services; 2.7% of households are negatively affected by epidemics on humans and 1.7% of households are negatively affected by epidemics on livestock and crops.</w:t>
      </w:r>
    </w:p>
    <w:p w14:paraId="31213321" w14:textId="77777777" w:rsidR="006A6832" w:rsidRPr="003942F4" w:rsidRDefault="006A6832" w:rsidP="006A6832">
      <w:pPr>
        <w:ind w:firstLine="720"/>
        <w:jc w:val="both"/>
      </w:pPr>
      <w:r w:rsidRPr="003942F4">
        <w:t>In the first five months of 2024, 12.4% of interviewed households received help from various support sources. Of which, the proportion of households receiving assistance from relatives is 8.4%; from local programs and policies is 4.4%; from general national programs and policies is 4.1%; from charitable activities of other organizations and individuals is 1.7% and 0.02% from other sources.</w:t>
      </w:r>
    </w:p>
    <w:p w14:paraId="61B34171" w14:textId="77777777" w:rsidR="006A6832" w:rsidRPr="003942F4" w:rsidRDefault="006A6832" w:rsidP="006A6832">
      <w:pPr>
        <w:ind w:firstLine="720"/>
        <w:jc w:val="both"/>
      </w:pPr>
      <w:r w:rsidRPr="003942F4">
        <w:t xml:space="preserve">The work of ensuring social security is always carried out promptly and effectively by all levels and sectors. According to a report from the Ministry of Labor, War Invalids and Social Affairs, in the first five months of this year, the Government, ministries, branches and localities supported people with nearly 18.5 thousand tons of rice. Of which, 10.4 thousand tons of rice were supported to relieve hunger </w:t>
      </w:r>
      <w:proofErr w:type="gramStart"/>
      <w:r w:rsidRPr="003942F4">
        <w:t>on the occasion of</w:t>
      </w:r>
      <w:proofErr w:type="gramEnd"/>
      <w:r w:rsidRPr="003942F4">
        <w:t xml:space="preserve"> the Lunar New Year of the Dragon for 103.7 thousand households with 693.4 thousand people; supporting nearly 3.1 thousand tons of rice to relieve hunger in 2024 for 44.5 thousand households with 205.5 thousand people. Localities proactively allocated budget and socialization resources to support nearly 5 thousand tons of rice for poor, near-poor </w:t>
      </w:r>
      <w:proofErr w:type="gramStart"/>
      <w:r w:rsidRPr="003942F4">
        <w:t>households</w:t>
      </w:r>
      <w:proofErr w:type="gramEnd"/>
      <w:r w:rsidRPr="003942F4">
        <w:t xml:space="preserve"> and people in difficult circumstances.</w:t>
      </w:r>
    </w:p>
    <w:p w14:paraId="34E27EB1" w14:textId="77777777" w:rsidR="006A6832" w:rsidRPr="003942F4" w:rsidRDefault="006A6832" w:rsidP="006A6832">
      <w:pPr>
        <w:ind w:firstLine="720"/>
        <w:jc w:val="both"/>
        <w:rPr>
          <w:b/>
          <w:i/>
        </w:rPr>
      </w:pPr>
      <w:r w:rsidRPr="003942F4">
        <w:rPr>
          <w:b/>
          <w:i/>
        </w:rPr>
        <w:t>b) Disease situation and food poisoning</w:t>
      </w:r>
    </w:p>
    <w:p w14:paraId="702322B1" w14:textId="77777777" w:rsidR="006A6832" w:rsidRPr="003942F4" w:rsidRDefault="006A6832" w:rsidP="006A6832">
      <w:pPr>
        <w:ind w:firstLine="720"/>
        <w:jc w:val="both"/>
      </w:pPr>
      <w:r w:rsidRPr="003942F4">
        <w:t xml:space="preserve">According to a report from the Ministry of Health, in the month (from April 19 to May 18, 2024), the whole country had 4,446 cases of dengue fever (03 deaths); 9,003 cases of hand, foot and mouth disease; 163 cases of typhus suspected of measles; 05 deaths due to rabies; 60 cases of viral encephalitis (02 deaths); 04 cases of meningococcal meningitis. In the first five months of 2024, the whole country has 19.9 thousand cases of dengue fever (03 deaths); 20.1 thousand cases of hand, </w:t>
      </w:r>
      <w:proofErr w:type="gramStart"/>
      <w:r w:rsidRPr="003942F4">
        <w:t>foot</w:t>
      </w:r>
      <w:proofErr w:type="gramEnd"/>
      <w:r w:rsidRPr="003942F4">
        <w:t xml:space="preserve"> </w:t>
      </w:r>
      <w:r w:rsidRPr="003942F4">
        <w:lastRenderedPageBreak/>
        <w:t>and mouth disease; 312 cases of typhus suspected of measles; 34 deaths due to rabies; 159 cases of viral encephalitis (06 deaths); 09 cases of meningococcal meningitis; 01 case of influenza A and died.</w:t>
      </w:r>
    </w:p>
    <w:p w14:paraId="0EF6CAB4" w14:textId="77777777" w:rsidR="006A6832" w:rsidRPr="003942F4" w:rsidRDefault="006A6832" w:rsidP="006A6832">
      <w:pPr>
        <w:ind w:firstLine="720"/>
        <w:jc w:val="both"/>
      </w:pPr>
      <w:r w:rsidRPr="003942F4">
        <w:t xml:space="preserve">The total number of people living with HIV in the country as of May 18, </w:t>
      </w:r>
      <w:proofErr w:type="gramStart"/>
      <w:r w:rsidRPr="003942F4">
        <w:t>2024</w:t>
      </w:r>
      <w:proofErr w:type="gramEnd"/>
      <w:r w:rsidRPr="003942F4">
        <w:t xml:space="preserve"> is nearly 237 thousand people; The number of deaths due to HIV/AIDS is 114.7 </w:t>
      </w:r>
    </w:p>
    <w:p w14:paraId="2CCB0C2C" w14:textId="77777777" w:rsidR="006A6832" w:rsidRPr="003942F4" w:rsidRDefault="006A6832" w:rsidP="006A6832">
      <w:pPr>
        <w:ind w:firstLine="720"/>
        <w:jc w:val="both"/>
      </w:pPr>
      <w:r w:rsidRPr="003942F4">
        <w:t>thousand people.</w:t>
      </w:r>
    </w:p>
    <w:p w14:paraId="049EB0FB" w14:textId="77777777" w:rsidR="006A6832" w:rsidRPr="003942F4" w:rsidRDefault="006A6832" w:rsidP="006A6832">
      <w:pPr>
        <w:ind w:firstLine="720"/>
        <w:jc w:val="both"/>
      </w:pPr>
      <w:r w:rsidRPr="003942F4">
        <w:t>Regarding food poisoning, in May 2024, there were 11 cases with 1,190 people poisoned. In the first five months of 2024, there were 35 cases nationwide with 2,025 people being poisoned (3 people died).</w:t>
      </w:r>
    </w:p>
    <w:p w14:paraId="56F83B1D" w14:textId="77777777" w:rsidR="006A6832" w:rsidRPr="003942F4" w:rsidRDefault="006A6832" w:rsidP="006A6832">
      <w:pPr>
        <w:ind w:firstLine="720"/>
        <w:jc w:val="both"/>
        <w:rPr>
          <w:b/>
          <w:i/>
        </w:rPr>
      </w:pPr>
      <w:r w:rsidRPr="003942F4">
        <w:rPr>
          <w:b/>
          <w:i/>
        </w:rPr>
        <w:t>c) Cultural and sports activities</w:t>
      </w:r>
    </w:p>
    <w:p w14:paraId="0C00AEA4" w14:textId="77777777" w:rsidR="006A6832" w:rsidRPr="003942F4" w:rsidRDefault="006A6832" w:rsidP="006A6832">
      <w:pPr>
        <w:ind w:firstLine="720"/>
        <w:jc w:val="both"/>
      </w:pPr>
      <w:r w:rsidRPr="003942F4">
        <w:t xml:space="preserve">Regarding cultural activities, during the month a series of activities commemorating the 70th anniversary of the Dien Bien Phu Victory took place: Special art programs, rallies, military parades, parades commemorating the 70th anniversary of the Dien Bien Phu Victory were organized. held on the morning of May 7, </w:t>
      </w:r>
      <w:proofErr w:type="gramStart"/>
      <w:r w:rsidRPr="003942F4">
        <w:t>2024</w:t>
      </w:r>
      <w:proofErr w:type="gramEnd"/>
      <w:r w:rsidRPr="003942F4">
        <w:t xml:space="preserve"> in Dien Bien Phu City. The 134th birthday anniversary of President Ho Chi Minh was organized by many localities across the country.</w:t>
      </w:r>
    </w:p>
    <w:p w14:paraId="11387AA9" w14:textId="77777777" w:rsidR="006A6832" w:rsidRPr="003942F4" w:rsidRDefault="006A6832" w:rsidP="006A6832">
      <w:pPr>
        <w:ind w:firstLine="720"/>
        <w:jc w:val="both"/>
      </w:pPr>
      <w:r w:rsidRPr="003942F4">
        <w:t>The mass sports movement in the first months of the year was promoted and took place across the country, a number of outstanding activities took place during the month: Vietnam Public Employees' Trade Union Sports Festival 2024 held from May 4 - May 18 at Cau Giay Gymnasium, attracting more than 1,500 athletes who are officials, civil servants, public employees, and workers working in ministries, departments, branches, unions, and central public service units. The central government has a union affiliated with the Vietnam Public Employees' Union; The mass sports tournament for agencies and businesses in Tuyen Quang province takes place from May 16 to May 18 in Tuyen Quang province; The 2024 Lotus Village Festival sports competition is taking place from May 15 to May 17 in Nghe An province with the participation of nearly 300 athletes from 17 districts, cities and towns in the province; The 10th National Phu Dong Health Festival 2024 takes place on May 23 in Thai Nguyen province...</w:t>
      </w:r>
    </w:p>
    <w:p w14:paraId="3EC657E6" w14:textId="77777777" w:rsidR="006A6832" w:rsidRPr="003942F4" w:rsidRDefault="006A6832" w:rsidP="006A6832">
      <w:pPr>
        <w:ind w:firstLine="720"/>
        <w:jc w:val="both"/>
      </w:pPr>
      <w:r w:rsidRPr="003942F4">
        <w:t xml:space="preserve">Regarding high-performance sports, </w:t>
      </w:r>
      <w:proofErr w:type="gramStart"/>
      <w:r w:rsidRPr="003942F4">
        <w:t>a number of</w:t>
      </w:r>
      <w:proofErr w:type="gramEnd"/>
      <w:r w:rsidRPr="003942F4">
        <w:t xml:space="preserve"> outstanding events took place during the month: The 2024 Asian Taekwondo Tournament took place from May 14 to May 19 at Tien Son Sports Palace - Da Nang with the participation of 1,026 athletes. athletes and coaches from 45 countries and territories; Vietnam karate team won the championship with 21 gold medals, 21 silver medals, 32 bronze medals at the Southeast Asian Karate Championship taking place from April 22 to April 27 in Bangkok - Thailand. ; Hanoi Grandmaster - International Grandmaster Chess Tournament 2024 round 2 opened on May 21 at the Hanoi Old Quarter Cultural Exchange Center; Vietnamese athletics won the Gold medal at the 2024 Asian Championship relay on May 21 in Thailand.</w:t>
      </w:r>
    </w:p>
    <w:p w14:paraId="5A26D65D" w14:textId="77777777" w:rsidR="006A6832" w:rsidRPr="001A533F" w:rsidRDefault="006A6832" w:rsidP="006A6832">
      <w:pPr>
        <w:spacing w:after="120" w:line="271" w:lineRule="auto"/>
        <w:ind w:firstLine="567"/>
        <w:jc w:val="both"/>
        <w:rPr>
          <w:b/>
          <w:i/>
          <w:lang w:val="nl-NL"/>
        </w:rPr>
      </w:pPr>
      <w:r w:rsidRPr="003942F4">
        <w:rPr>
          <w:b/>
          <w:i/>
        </w:rPr>
        <w:lastRenderedPageBreak/>
        <w:t>d) Traffic accident</w:t>
      </w:r>
      <w:r w:rsidRPr="00F73ED4">
        <w:rPr>
          <w:b/>
          <w:i/>
          <w:vertAlign w:val="superscript"/>
        </w:rPr>
        <w:footnoteReference w:id="25"/>
      </w:r>
      <w:r w:rsidRPr="003942F4">
        <w:rPr>
          <w:b/>
          <w:i/>
        </w:rPr>
        <w:t xml:space="preserve"> </w:t>
      </w:r>
    </w:p>
    <w:p w14:paraId="1EFA9663" w14:textId="77777777" w:rsidR="006A6832" w:rsidRPr="003942F4" w:rsidRDefault="006A6832" w:rsidP="006A6832">
      <w:pPr>
        <w:ind w:firstLine="720"/>
        <w:jc w:val="both"/>
      </w:pPr>
      <w:r w:rsidRPr="003942F4">
        <w:t>During the month (from April 15 to May 14, 2024), there were 1,879 traffic accidents nationwide, including 1,353 traffic accidents from less serious or more (causing 837 deaths, 840 deaths). injured people) and 526 traffic collisions caused 603 people with minor injuries. Compared to the previous month, the number of traffic accidents decreased by 5.8% (the number of traffic accidents from less serious or more decreased by 6.6% and the number of traffic collisions decreased by 3.8%); number of deaths decreased by 0.9%; The number of injured people decreased by 12.6% and the number of people with minor injuries increased by 4.7%. Compared to the same period last year, the number of traffic accidents in May increased by 12.8% (the number of traffic accidents from less serious or more decreased by 18.8% and the number of traffic collisions increased by 31.5%</w:t>
      </w:r>
      <w:proofErr w:type="gramStart"/>
      <w:r w:rsidRPr="003942F4">
        <w:t>. )</w:t>
      </w:r>
      <w:proofErr w:type="gramEnd"/>
      <w:r w:rsidRPr="003942F4">
        <w:t>; number of deaths decreased by 6.9%; The number of injured people increased by 12.4% and the number of people with minor injuries increased by 48.5%.</w:t>
      </w:r>
    </w:p>
    <w:p w14:paraId="0E681D53" w14:textId="77777777" w:rsidR="006A6832" w:rsidRPr="003942F4" w:rsidRDefault="006A6832" w:rsidP="006A6832">
      <w:pPr>
        <w:ind w:firstLine="720"/>
        <w:jc w:val="both"/>
      </w:pPr>
      <w:r w:rsidRPr="003942F4">
        <w:t>In the first five months of this year, there were 10,427 traffic accidents nationwide, including 7,267 less serious traffic accidents and 3,160 traffic collisions, causing 4,405 deaths and 4,725 deaths. people were injured and 3,501 people suffered minor injuries. Compared to the same period last year, the number of traffic accidents in the first five months of this year increased by 20% (the number of traffic accidents from less serious or more increased by 2.5%; the number of traffic collisions increased by 58, 5%); number of deaths decreased by 12.2%; The number of injured people increased by 28.9% and the number of people with minor injuries increased by 75.8%. On average, every day in the first five months of the year, there were 69 traffic accidents nationwide, including 48 traffic accidents of less serious severity and 21 traffic collisions, killing 29 people. 31 people were injured and 23 people suffered minor injuries.</w:t>
      </w:r>
    </w:p>
    <w:p w14:paraId="4B39A5F6" w14:textId="77777777" w:rsidR="006A6832" w:rsidRPr="003942F4" w:rsidRDefault="006A6832" w:rsidP="006A6832">
      <w:pPr>
        <w:ind w:firstLine="720"/>
        <w:jc w:val="both"/>
        <w:rPr>
          <w:b/>
          <w:i/>
        </w:rPr>
      </w:pPr>
      <w:r w:rsidRPr="003942F4">
        <w:rPr>
          <w:b/>
          <w:i/>
        </w:rPr>
        <w:t>d) Damage caused by natural disasters</w:t>
      </w:r>
      <w:r w:rsidRPr="00F73ED4">
        <w:rPr>
          <w:rStyle w:val="FootnoteReference"/>
          <w:i/>
          <w:lang w:val="pl-PL"/>
        </w:rPr>
        <w:footnoteReference w:id="26"/>
      </w:r>
      <w:r w:rsidRPr="003942F4">
        <w:rPr>
          <w:b/>
          <w:i/>
        </w:rPr>
        <w:t xml:space="preserve"> </w:t>
      </w:r>
    </w:p>
    <w:p w14:paraId="7DA099AB" w14:textId="77777777" w:rsidR="006A6832" w:rsidRPr="003942F4" w:rsidRDefault="006A6832" w:rsidP="006A6832">
      <w:pPr>
        <w:ind w:firstLine="720"/>
        <w:jc w:val="both"/>
      </w:pPr>
      <w:r w:rsidRPr="003942F4">
        <w:t xml:space="preserve">Damage caused by natural disasters in May was mainly due to the effects of tornadoes, lightning, hail, and landslides, causing 29 deaths and missing people, and 45 injuries; 16.4 thousand houses collapsed, swept away and damaged; 25.3 thousand hectares of rice and crops were flooded and damaged; The total value of property damage caused by natural disasters in the month was 772.1 billion VND, nearly 3 times higher than the same period last year. In the first five months of this year, natural disasters left 39 people dead or missing, and 50 injured; More than 25 thousand houses collapsed and damaged; 13.6 thousand cattle and poultry died; 20.8 </w:t>
      </w:r>
      <w:r w:rsidRPr="003942F4">
        <w:lastRenderedPageBreak/>
        <w:t>thousand hectares of crops and 9.9 thousand hectares of rice were flooded and damaged; The total value of property damage is estimated at 996.7 billion VND, nearly 2.3 times higher than the same period in 2023.</w:t>
      </w:r>
    </w:p>
    <w:p w14:paraId="15342405" w14:textId="77777777" w:rsidR="006A6832" w:rsidRPr="003942F4" w:rsidRDefault="006A6832" w:rsidP="006A6832">
      <w:pPr>
        <w:ind w:firstLine="720"/>
        <w:jc w:val="both"/>
        <w:rPr>
          <w:b/>
          <w:i/>
        </w:rPr>
      </w:pPr>
      <w:r w:rsidRPr="003942F4">
        <w:rPr>
          <w:b/>
          <w:i/>
        </w:rPr>
        <w:t>e) Environmental protection and fire and explosion prevention</w:t>
      </w:r>
    </w:p>
    <w:p w14:paraId="1D4D322F" w14:textId="77777777" w:rsidR="00345542" w:rsidRDefault="006A6832" w:rsidP="006A6832">
      <w:pPr>
        <w:ind w:firstLine="720"/>
        <w:jc w:val="both"/>
      </w:pPr>
      <w:r w:rsidRPr="003942F4">
        <w:t>During the month (from April 18 to May 17, 2024)</w:t>
      </w:r>
      <w:r w:rsidRPr="001A533F">
        <w:rPr>
          <w:rStyle w:val="FootnoteReference"/>
          <w:lang w:val="de-DE"/>
        </w:rPr>
        <w:t xml:space="preserve"> </w:t>
      </w:r>
      <w:r w:rsidRPr="00F73ED4">
        <w:rPr>
          <w:rStyle w:val="FootnoteReference"/>
          <w:lang w:val="de-DE"/>
        </w:rPr>
        <w:footnoteReference w:id="27"/>
      </w:r>
      <w:r w:rsidRPr="003942F4">
        <w:t>, the authorities discovered 1,993 cases of environmental violations in 56/63 localities</w:t>
      </w:r>
      <w:r w:rsidRPr="00F73ED4">
        <w:rPr>
          <w:rStyle w:val="FootnoteReference"/>
          <w:noProof/>
        </w:rPr>
        <w:footnoteReference w:id="28"/>
      </w:r>
      <w:r w:rsidRPr="003942F4">
        <w:t xml:space="preserve">, of which 1,754 cases were handled with a total fine of 19.3 billion VND. VND, down 30.4% over the previous month and down 18% over the same period last year. In the first five months of this year, the authorities discovered 9,964 cases of environmental violations, of which 8,834 cases were handled with a total fine of 129.5 billion VND, an increase of 8.8% over the same period last year. </w:t>
      </w:r>
    </w:p>
    <w:p w14:paraId="6D94254C" w14:textId="1E0768D3" w:rsidR="006A6832" w:rsidRPr="003942F4" w:rsidRDefault="006A6832" w:rsidP="006A6832">
      <w:pPr>
        <w:ind w:firstLine="720"/>
        <w:jc w:val="both"/>
      </w:pPr>
      <w:r w:rsidRPr="003942F4">
        <w:t>During the month</w:t>
      </w:r>
      <w:r w:rsidRPr="00F73ED4">
        <w:rPr>
          <w:rStyle w:val="FootnoteReference"/>
          <w:lang w:val="de-DE"/>
        </w:rPr>
        <w:footnoteReference w:id="29"/>
      </w:r>
      <w:r w:rsidRPr="003942F4">
        <w:t>, there were 425 fires and explosions nationwide, killing 8 people and injuring 11 people, with estimated damage of 26.5 billion VND, an increase of 41.8% compared to the previous month and an increase of 46.3% compared to the previous month. in the same period last year. In the first five months of this year, there were 1,980 fires and explosions nationwide, killing 36 people and injuring 37 people, with an estimated loss of 116.3 billion VND, down 31.7% over the same period last year./.</w:t>
      </w:r>
    </w:p>
    <w:p w14:paraId="028FFDED" w14:textId="77777777" w:rsidR="006A6832" w:rsidRPr="004F7D76" w:rsidRDefault="006A6832" w:rsidP="006A6832">
      <w:pPr>
        <w:spacing w:before="120" w:after="120" w:line="288" w:lineRule="auto"/>
        <w:jc w:val="center"/>
        <w:rPr>
          <w:b/>
          <w:bCs/>
        </w:rPr>
      </w:pPr>
      <w:r w:rsidRPr="004F7D76">
        <w:rPr>
          <w:b/>
          <w:bCs/>
        </w:rPr>
        <w:t>GENERAL STATISTICS OFFICE</w:t>
      </w:r>
    </w:p>
    <w:p w14:paraId="7A6E141B" w14:textId="77777777" w:rsidR="006A6832" w:rsidRPr="009620E0" w:rsidRDefault="006A6832" w:rsidP="006A6832">
      <w:pPr>
        <w:spacing w:beforeLines="40" w:before="96" w:afterLines="40" w:after="96" w:line="264" w:lineRule="auto"/>
        <w:jc w:val="both"/>
        <w:rPr>
          <w:b/>
          <w:bCs/>
          <w:lang w:val="pl-PL"/>
        </w:rPr>
      </w:pPr>
    </w:p>
    <w:p w14:paraId="2238D1F7" w14:textId="77777777" w:rsidR="006A6832" w:rsidRPr="00F73ED4" w:rsidRDefault="006A6832" w:rsidP="001D5E3A">
      <w:pPr>
        <w:spacing w:after="120" w:line="276" w:lineRule="auto"/>
        <w:ind w:firstLine="567"/>
        <w:jc w:val="both"/>
        <w:rPr>
          <w:b/>
          <w:bCs/>
          <w:lang w:val="af-ZA"/>
        </w:rPr>
      </w:pPr>
    </w:p>
    <w:p w14:paraId="14EC95DD" w14:textId="77777777" w:rsidR="001D5E3A" w:rsidRPr="00102CE9" w:rsidRDefault="001D5E3A" w:rsidP="001D5E3A">
      <w:pPr>
        <w:spacing w:after="120" w:line="283" w:lineRule="auto"/>
        <w:jc w:val="both"/>
      </w:pPr>
    </w:p>
    <w:p w14:paraId="6A63DCBF" w14:textId="77777777" w:rsidR="00781552" w:rsidRDefault="00781552" w:rsidP="00BC4708">
      <w:pPr>
        <w:spacing w:before="40" w:after="40" w:line="269" w:lineRule="auto"/>
        <w:ind w:firstLine="567"/>
        <w:jc w:val="both"/>
        <w:rPr>
          <w:bCs/>
          <w:spacing w:val="-2"/>
        </w:rPr>
      </w:pPr>
    </w:p>
    <w:p w14:paraId="15880F0C" w14:textId="77777777" w:rsidR="00C946BF" w:rsidRDefault="00C946BF"/>
    <w:sectPr w:rsidR="00C946B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472AE9" w14:textId="77777777" w:rsidR="000D530A" w:rsidRDefault="000D530A" w:rsidP="00E52C24">
      <w:r>
        <w:separator/>
      </w:r>
    </w:p>
  </w:endnote>
  <w:endnote w:type="continuationSeparator" w:id="0">
    <w:p w14:paraId="3584516A" w14:textId="77777777" w:rsidR="000D530A" w:rsidRDefault="000D530A" w:rsidP="00E52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Italic">
    <w:altName w:val="Snell Roundhand"/>
    <w:panose1 w:val="02020503050405090304"/>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font>
  <w:font w:name="Times New Roman Bold Ital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B333F6" w14:textId="77777777" w:rsidR="000D530A" w:rsidRDefault="000D530A" w:rsidP="00E52C24">
      <w:r>
        <w:separator/>
      </w:r>
    </w:p>
  </w:footnote>
  <w:footnote w:type="continuationSeparator" w:id="0">
    <w:p w14:paraId="14377FEF" w14:textId="77777777" w:rsidR="000D530A" w:rsidRDefault="000D530A" w:rsidP="00E52C24">
      <w:r>
        <w:continuationSeparator/>
      </w:r>
    </w:p>
  </w:footnote>
  <w:footnote w:id="1">
    <w:p w14:paraId="3A4B540B" w14:textId="77777777" w:rsidR="00BC4708" w:rsidRPr="0089739C" w:rsidRDefault="00BC4708" w:rsidP="00BC4708">
      <w:pPr>
        <w:ind w:left="142" w:hanging="142"/>
        <w:jc w:val="both"/>
        <w:rPr>
          <w:sz w:val="20"/>
          <w:szCs w:val="20"/>
        </w:rPr>
      </w:pPr>
      <w:r w:rsidRPr="00C86108">
        <w:rPr>
          <w:rStyle w:val="FootnoteReference"/>
          <w:sz w:val="20"/>
          <w:szCs w:val="20"/>
        </w:rPr>
        <w:footnoteRef/>
      </w:r>
      <w:r w:rsidRPr="00C86108">
        <w:rPr>
          <w:sz w:val="20"/>
          <w:szCs w:val="20"/>
        </w:rPr>
        <w:t xml:space="preserve"> </w:t>
      </w:r>
      <w:r w:rsidR="003568F3" w:rsidRPr="003568F3">
        <w:rPr>
          <w:sz w:val="20"/>
          <w:szCs w:val="20"/>
        </w:rPr>
        <w:t xml:space="preserve">Because raising buffaloes and cows for meat is not economically effective, people switch to other livestock. However, the dairy herd </w:t>
      </w:r>
      <w:r w:rsidR="003568F3">
        <w:rPr>
          <w:sz w:val="20"/>
          <w:szCs w:val="20"/>
        </w:rPr>
        <w:t>wa</w:t>
      </w:r>
      <w:r w:rsidR="003568F3" w:rsidRPr="003568F3">
        <w:rPr>
          <w:sz w:val="20"/>
          <w:szCs w:val="20"/>
        </w:rPr>
        <w:t>s still growing steadily</w:t>
      </w:r>
      <w:r w:rsidR="003568F3">
        <w:rPr>
          <w:sz w:val="20"/>
          <w:szCs w:val="20"/>
        </w:rPr>
        <w:t>.</w:t>
      </w:r>
    </w:p>
  </w:footnote>
  <w:footnote w:id="2">
    <w:p w14:paraId="76E405B5" w14:textId="77777777" w:rsidR="003568F3" w:rsidRPr="00BA21B7" w:rsidRDefault="003568F3" w:rsidP="003568F3">
      <w:pPr>
        <w:pStyle w:val="FootnoteText"/>
        <w:spacing w:after="40"/>
        <w:ind w:left="142" w:hanging="142"/>
        <w:jc w:val="both"/>
      </w:pPr>
      <w:r w:rsidRPr="00926277">
        <w:rPr>
          <w:rStyle w:val="FootnoteReference"/>
        </w:rPr>
        <w:footnoteRef/>
      </w:r>
      <w:r w:rsidRPr="00926277">
        <w:t xml:space="preserve"> </w:t>
      </w:r>
      <w:r w:rsidRPr="003568F3">
        <w:t>As of May 24, 2024, the price of live pork nationwide fluctuates between 64,000-68,000 VND/kg, an increase of 13,000-14,000 VND/kg compar</w:t>
      </w:r>
      <w:r>
        <w:t>ed to the same period last year</w:t>
      </w:r>
      <w:r w:rsidRPr="00926277">
        <w:rPr>
          <w:lang w:val="en-US"/>
        </w:rPr>
        <w:t>.</w:t>
      </w:r>
    </w:p>
  </w:footnote>
  <w:footnote w:id="3">
    <w:p w14:paraId="18FECE1E" w14:textId="77777777" w:rsidR="00781552" w:rsidRPr="00FC4ACE" w:rsidRDefault="00781552" w:rsidP="00781552">
      <w:pPr>
        <w:pStyle w:val="FootnoteText"/>
        <w:jc w:val="both"/>
        <w:rPr>
          <w:lang w:val="en-GB"/>
        </w:rPr>
      </w:pPr>
      <w:r>
        <w:rPr>
          <w:rStyle w:val="FootnoteReference"/>
        </w:rPr>
        <w:footnoteRef/>
      </w:r>
      <w:r>
        <w:t xml:space="preserve"> </w:t>
      </w:r>
      <w:r w:rsidRPr="00FC4ACE">
        <w:t>The decrease was mainly in Kien Giang, this locality reduced 840 thousand trees due to prolonged heat, late rainy season, lack of fresh water causing drought, at the same time forest fires increased, so this time is not suitable for planting scattered trees, the planting time of scattered trees was postponed to the following months.</w:t>
      </w:r>
    </w:p>
  </w:footnote>
  <w:footnote w:id="4">
    <w:p w14:paraId="02360D79" w14:textId="77777777" w:rsidR="00781552" w:rsidRPr="004302EF" w:rsidRDefault="00781552" w:rsidP="00781552">
      <w:pPr>
        <w:pStyle w:val="FootnoteText"/>
        <w:spacing w:after="40"/>
        <w:ind w:left="198" w:hanging="198"/>
      </w:pPr>
      <w:r w:rsidRPr="004302EF">
        <w:rPr>
          <w:rStyle w:val="FootnoteReference"/>
        </w:rPr>
        <w:footnoteRef/>
      </w:r>
      <w:r w:rsidRPr="004302EF">
        <w:t xml:space="preserve"> </w:t>
      </w:r>
      <w:r w:rsidRPr="004302EF">
        <w:t xml:space="preserve">According to the Ministry of Agriculture and Rural Development, </w:t>
      </w:r>
      <w:r w:rsidRPr="004302EF">
        <w:rPr>
          <w:lang w:val="en-US"/>
        </w:rPr>
        <w:t xml:space="preserve">as of </w:t>
      </w:r>
      <w:r w:rsidRPr="004302EF">
        <w:t>15/</w:t>
      </w:r>
      <w:r>
        <w:rPr>
          <w:lang w:val="en-US"/>
        </w:rPr>
        <w:t>5</w:t>
      </w:r>
      <w:r>
        <w:t>/2024</w:t>
      </w:r>
      <w:r w:rsidRPr="004302EF">
        <w:t>.</w:t>
      </w:r>
    </w:p>
  </w:footnote>
  <w:footnote w:id="5">
    <w:p w14:paraId="6EAF93C0" w14:textId="77777777" w:rsidR="00781552" w:rsidRPr="00FC4ACE" w:rsidRDefault="00781552" w:rsidP="00781552">
      <w:pPr>
        <w:pStyle w:val="FootnoteText"/>
        <w:rPr>
          <w:lang w:val="en-GB"/>
        </w:rPr>
      </w:pPr>
      <w:r>
        <w:rPr>
          <w:rStyle w:val="FootnoteReference"/>
        </w:rPr>
        <w:footnoteRef/>
      </w:r>
      <w:r>
        <w:t xml:space="preserve"> </w:t>
      </w:r>
      <w:r w:rsidRPr="00CA64CB">
        <w:t>http://agromonitor.vn/category/48/ca-tra</w:t>
      </w:r>
      <w:r w:rsidRPr="007369DF">
        <w:t>:</w:t>
      </w:r>
      <w:r w:rsidRPr="00FC4ACE">
        <w:t xml:space="preserve"> The price of raw pangasius fish in mid-May 2024 in the Mekong Delta fluctuated from 27,500-28,000 VND/kg.</w:t>
      </w:r>
    </w:p>
  </w:footnote>
  <w:footnote w:id="6">
    <w:p w14:paraId="58E355F7" w14:textId="77777777" w:rsidR="00781552" w:rsidRPr="004E3B23" w:rsidRDefault="00781552" w:rsidP="00781552">
      <w:pPr>
        <w:pStyle w:val="FootnoteText"/>
        <w:spacing w:after="40"/>
        <w:ind w:left="142" w:hanging="142"/>
        <w:jc w:val="both"/>
        <w:rPr>
          <w:lang w:val="en-US"/>
        </w:rPr>
      </w:pPr>
      <w:r w:rsidRPr="004E3B23">
        <w:rPr>
          <w:rStyle w:val="FootnoteReference"/>
        </w:rPr>
        <w:footnoteRef/>
      </w:r>
      <w:r w:rsidRPr="004E3B23">
        <w:t xml:space="preserve"> </w:t>
      </w:r>
      <w:r w:rsidRPr="00595F22">
        <w:rPr>
          <w:lang w:val="en-US"/>
        </w:rPr>
        <w:t>The growth rate of industrial production index in the first five months of 2020-2024 over the same period last year is: 1.7%; 10,0%; 8,1%; -2,0%; 6,8%.</w:t>
      </w:r>
    </w:p>
  </w:footnote>
  <w:footnote w:id="7">
    <w:p w14:paraId="2465D8B9" w14:textId="77777777" w:rsidR="00781552" w:rsidRPr="005A3354" w:rsidRDefault="00781552" w:rsidP="00781552">
      <w:pPr>
        <w:spacing w:after="40"/>
        <w:ind w:left="142" w:hanging="142"/>
        <w:jc w:val="both"/>
        <w:rPr>
          <w:color w:val="000000" w:themeColor="text1"/>
          <w:sz w:val="20"/>
          <w:szCs w:val="20"/>
        </w:rPr>
      </w:pPr>
      <w:r w:rsidRPr="005A3354">
        <w:rPr>
          <w:rStyle w:val="FootnoteReference"/>
          <w:rFonts w:eastAsiaTheme="majorEastAsia"/>
          <w:color w:val="000000" w:themeColor="text1"/>
          <w:sz w:val="20"/>
          <w:szCs w:val="20"/>
        </w:rPr>
        <w:footnoteRef/>
      </w:r>
      <w:r w:rsidRPr="005A3354">
        <w:rPr>
          <w:color w:val="000000" w:themeColor="text1"/>
          <w:sz w:val="20"/>
          <w:szCs w:val="20"/>
        </w:rPr>
        <w:t xml:space="preserve"> </w:t>
      </w:r>
      <w:r w:rsidRPr="00595F22">
        <w:rPr>
          <w:color w:val="000000" w:themeColor="text1"/>
          <w:sz w:val="20"/>
          <w:szCs w:val="20"/>
          <w:shd w:val="clear" w:color="auto" w:fill="FFFFFF"/>
        </w:rPr>
        <w:t>The locality has a high production index of the processing and manufacturing industry in the first five months of 2024 compared to the same period last year: Phu Tho will increase by 31.2%; Bac Giang increased by 24.9%; Binh Phuoc increased by 14.8%; Henan increased by 14.5%; Hai Phong increased by 14.4%. Localities with high production indexes of the electricity production and distribution industry: Khanh Hoa 5.4 times; Tra Vinh increased by 95.9%; Thanh Hoa increased by 33.3%; Hai Duong increased by 21.1%; Hai Phong increased by 17.2%; Phu Tho increased by 15.0%; Bac Giang increased by 14.6%.</w:t>
      </w:r>
    </w:p>
  </w:footnote>
  <w:footnote w:id="8">
    <w:p w14:paraId="7237EB93" w14:textId="77777777" w:rsidR="00781552" w:rsidRPr="005A3354" w:rsidRDefault="00781552" w:rsidP="00781552">
      <w:pPr>
        <w:spacing w:after="40"/>
        <w:ind w:left="198" w:hanging="198"/>
        <w:jc w:val="both"/>
        <w:rPr>
          <w:color w:val="000000" w:themeColor="text1"/>
        </w:rPr>
      </w:pPr>
      <w:r w:rsidRPr="005A3354">
        <w:rPr>
          <w:rStyle w:val="FootnoteReference"/>
          <w:rFonts w:eastAsiaTheme="majorEastAsia"/>
          <w:color w:val="000000" w:themeColor="text1"/>
          <w:sz w:val="20"/>
          <w:szCs w:val="20"/>
        </w:rPr>
        <w:footnoteRef/>
      </w:r>
      <w:r w:rsidRPr="005A3354">
        <w:rPr>
          <w:color w:val="000000" w:themeColor="text1"/>
          <w:sz w:val="20"/>
          <w:szCs w:val="20"/>
        </w:rPr>
        <w:t xml:space="preserve"> </w:t>
      </w:r>
      <w:r w:rsidRPr="006F7A5B">
        <w:rPr>
          <w:color w:val="000000" w:themeColor="text1"/>
          <w:spacing w:val="-2"/>
          <w:sz w:val="20"/>
          <w:szCs w:val="20"/>
        </w:rPr>
        <w:t>Localities with production indexes of the processing and manufacturing industry in the first five months of 2024 increased or decreased compared to the same period last year: Ha Giang increased by 0.4%; Bac Ninh increased by 0.05%; Ha Tinh decreased by 9.0%; Quang Ngai decreased by 8.2%; Ca Mau fell 2.5%. Localities with indexes of the electricity production and distribution industry in the first five months of 2024 decreased compared to the same period last year: Son La decreased by 40.1%; Peace decreased by 27.7%; Quang Ngai decreased by 19.9%; Lam Dong decreased by 9.3%; Lai prices fell 4.1%.</w:t>
      </w:r>
    </w:p>
  </w:footnote>
  <w:footnote w:id="9">
    <w:p w14:paraId="6AE25AA2" w14:textId="77777777" w:rsidR="001D5E3A" w:rsidRPr="00837379" w:rsidRDefault="001D5E3A" w:rsidP="001D5E3A">
      <w:pPr>
        <w:pStyle w:val="FootnoteText"/>
        <w:jc w:val="both"/>
        <w:rPr>
          <w:spacing w:val="-4"/>
          <w:lang w:val="vi-VN"/>
        </w:rPr>
      </w:pPr>
      <w:r w:rsidRPr="00837379">
        <w:rPr>
          <w:rStyle w:val="FootnoteReference"/>
        </w:rPr>
        <w:footnoteRef/>
      </w:r>
      <w:r w:rsidRPr="00837379">
        <w:rPr>
          <w:lang w:val="vi-VN"/>
        </w:rPr>
        <w:t xml:space="preserve"> </w:t>
      </w:r>
      <w:r w:rsidRPr="008417C7">
        <w:rPr>
          <w:spacing w:val="-4"/>
          <w:lang w:val="en-US"/>
        </w:rPr>
        <w:t xml:space="preserve">Source: National Enterprise Registration Information System, Business Registration Management Agency, Ministry of </w:t>
      </w:r>
      <w:proofErr w:type="gramStart"/>
      <w:r w:rsidRPr="008417C7">
        <w:rPr>
          <w:spacing w:val="-4"/>
          <w:lang w:val="en-US"/>
        </w:rPr>
        <w:t>Planning</w:t>
      </w:r>
      <w:proofErr w:type="gramEnd"/>
      <w:r w:rsidRPr="008417C7">
        <w:rPr>
          <w:spacing w:val="-4"/>
          <w:lang w:val="en-US"/>
        </w:rPr>
        <w:t xml:space="preserve"> and Investment on </w:t>
      </w:r>
      <w:r>
        <w:rPr>
          <w:spacing w:val="-4"/>
          <w:lang w:val="en-US"/>
        </w:rPr>
        <w:t>May 24</w:t>
      </w:r>
      <w:r w:rsidRPr="008417C7">
        <w:rPr>
          <w:spacing w:val="-4"/>
          <w:lang w:val="en-US"/>
        </w:rPr>
        <w:t>th, 202</w:t>
      </w:r>
      <w:r>
        <w:rPr>
          <w:spacing w:val="-4"/>
          <w:lang w:val="en-US"/>
        </w:rPr>
        <w:t>4</w:t>
      </w:r>
      <w:r>
        <w:t>.</w:t>
      </w:r>
    </w:p>
  </w:footnote>
  <w:footnote w:id="10">
    <w:p w14:paraId="3E0D056B" w14:textId="77777777" w:rsidR="001D5E3A" w:rsidRPr="0009661B" w:rsidRDefault="001D5E3A" w:rsidP="001D5E3A">
      <w:pPr>
        <w:pStyle w:val="FootnoteText"/>
      </w:pPr>
      <w:r w:rsidRPr="0009661B">
        <w:rPr>
          <w:rStyle w:val="FootnoteReference"/>
        </w:rPr>
        <w:footnoteRef/>
      </w:r>
      <w:r w:rsidRPr="0009661B">
        <w:t>According to the report of the Foreign Investment Department, Ministry of Planning and Investment, received on May 22, 2024.</w:t>
      </w:r>
    </w:p>
  </w:footnote>
  <w:footnote w:id="11">
    <w:p w14:paraId="3DCE3A39" w14:textId="77777777" w:rsidR="00164C93" w:rsidRPr="00722356" w:rsidRDefault="00164C93" w:rsidP="00164C93">
      <w:pPr>
        <w:pStyle w:val="FootnoteText"/>
        <w:ind w:left="198" w:hanging="198"/>
        <w:jc w:val="both"/>
        <w:rPr>
          <w:lang w:val="vi-VN"/>
        </w:rPr>
      </w:pPr>
      <w:r w:rsidRPr="00F9148F">
        <w:rPr>
          <w:rStyle w:val="FootnoteReference"/>
        </w:rPr>
        <w:footnoteRef/>
      </w:r>
      <w:r w:rsidRPr="00722356">
        <w:rPr>
          <w:lang w:val="vi-VN"/>
        </w:rPr>
        <w:t xml:space="preserve"> </w:t>
      </w:r>
      <w:r w:rsidRPr="00722356">
        <w:rPr>
          <w:lang w:val="vi-VN"/>
        </w:rPr>
        <w:t xml:space="preserve">Report on the implementation of Resolution No. 01/NQ-CP of the Government in the field of finance - State budget in May </w:t>
      </w:r>
      <w:r>
        <w:rPr>
          <w:lang w:val="en-US"/>
        </w:rPr>
        <w:t xml:space="preserve">and 5 </w:t>
      </w:r>
      <w:r w:rsidRPr="008C55F5">
        <w:rPr>
          <w:lang w:val="vi-VN"/>
        </w:rPr>
        <w:t xml:space="preserve">months </w:t>
      </w:r>
      <w:r>
        <w:rPr>
          <w:lang w:val="en-US"/>
        </w:rPr>
        <w:t xml:space="preserve">of 2024 </w:t>
      </w:r>
      <w:r w:rsidRPr="008C55F5">
        <w:rPr>
          <w:lang w:val="vi-VN"/>
        </w:rPr>
        <w:t>sent by the</w:t>
      </w:r>
      <w:r>
        <w:rPr>
          <w:lang w:val="vi-VN"/>
        </w:rPr>
        <w:t xml:space="preserve"> Ministry of Finance on May 2</w:t>
      </w:r>
      <w:r>
        <w:rPr>
          <w:lang w:val="en-US"/>
        </w:rPr>
        <w:t xml:space="preserve">8, </w:t>
      </w:r>
      <w:r w:rsidRPr="008C55F5">
        <w:rPr>
          <w:lang w:val="vi-VN"/>
        </w:rPr>
        <w:t>2024.</w:t>
      </w:r>
    </w:p>
  </w:footnote>
  <w:footnote w:id="12">
    <w:p w14:paraId="040D823E" w14:textId="77777777" w:rsidR="006A6832" w:rsidRDefault="006A6832" w:rsidP="006A6832">
      <w:pPr>
        <w:pStyle w:val="FootnoteText"/>
        <w:ind w:left="142" w:hanging="142"/>
        <w:jc w:val="both"/>
        <w:rPr>
          <w:rFonts w:ascii="Calibri" w:hAnsi="Calibri" w:cs="Calibri"/>
          <w:lang w:val="en-US"/>
        </w:rPr>
      </w:pPr>
      <w:r>
        <w:t xml:space="preserve"> </w:t>
      </w:r>
      <w:r>
        <w:rPr>
          <w:rStyle w:val="FootnoteReference"/>
          <w:rFonts w:ascii="Calibri" w:hAnsi="Calibri"/>
        </w:rPr>
        <w:footnoteRef/>
      </w:r>
      <w:r>
        <w:t xml:space="preserve"> </w:t>
      </w:r>
      <w:r>
        <w:t>The value of export turnover is calculated at F.O.B price and import turnover is calculated at C.I.F price (including transportation and insurance costs of imported goods). When calculating the economy's trade balance, import and export turnover is calculated according to the F.O.B price.</w:t>
      </w:r>
    </w:p>
  </w:footnote>
  <w:footnote w:id="13">
    <w:p w14:paraId="154A433E" w14:textId="77777777" w:rsidR="006A6832" w:rsidRDefault="006A6832" w:rsidP="006A6832">
      <w:pPr>
        <w:pStyle w:val="FootnoteText"/>
        <w:ind w:left="142" w:hanging="142"/>
        <w:jc w:val="both"/>
        <w:rPr>
          <w:lang w:val="en-US"/>
        </w:rPr>
      </w:pPr>
      <w:r>
        <w:t xml:space="preserve"> </w:t>
      </w:r>
      <w:r>
        <w:rPr>
          <w:rStyle w:val="FootnoteReference"/>
          <w:rFonts w:ascii="Calibri" w:hAnsi="Calibri"/>
        </w:rPr>
        <w:footnoteRef/>
      </w:r>
      <w:r>
        <w:t xml:space="preserve"> </w:t>
      </w:r>
      <w:r>
        <w:t>Estimated total export and import value in 5/2024 provided by the General Department of Customs on 28/5/2024. The General Statistics Office estimated the import and export value of key commodities in 5/2024 based on preliminary data provided by the General Department of Customs by 25/5/2024.</w:t>
      </w:r>
    </w:p>
  </w:footnote>
  <w:footnote w:id="14">
    <w:p w14:paraId="5D025646" w14:textId="77777777" w:rsidR="006A6832" w:rsidRDefault="006A6832" w:rsidP="006A6832">
      <w:pPr>
        <w:pStyle w:val="FootnoteText"/>
        <w:spacing w:before="20" w:after="20"/>
        <w:ind w:left="142" w:hanging="142"/>
        <w:jc w:val="both"/>
        <w:rPr>
          <w:lang w:val="vi-VN"/>
        </w:rPr>
      </w:pPr>
      <w:r>
        <w:rPr>
          <w:lang w:val="en-US"/>
        </w:rPr>
        <w:t xml:space="preserve"> </w:t>
      </w:r>
      <w:r>
        <w:rPr>
          <w:rStyle w:val="FootnoteReference"/>
        </w:rPr>
        <w:footnoteRef/>
      </w:r>
      <w:r>
        <w:rPr>
          <w:lang w:val="en-US"/>
        </w:rPr>
        <w:t xml:space="preserve"> </w:t>
      </w:r>
      <w:r>
        <w:rPr>
          <w:lang w:val="vi-VN"/>
        </w:rPr>
        <w:t xml:space="preserve">Total import and export turnover of goods in </w:t>
      </w:r>
      <w:r>
        <w:rPr>
          <w:lang w:val="en-US"/>
        </w:rPr>
        <w:t>the first five months</w:t>
      </w:r>
      <w:r>
        <w:rPr>
          <w:lang w:val="vi-VN"/>
        </w:rPr>
        <w:t xml:space="preserve"> of 202</w:t>
      </w:r>
      <w:r>
        <w:rPr>
          <w:lang w:val="en-US"/>
        </w:rPr>
        <w:t>3</w:t>
      </w:r>
      <w:r>
        <w:rPr>
          <w:lang w:val="vi-VN"/>
        </w:rPr>
        <w:t xml:space="preserve"> reached </w:t>
      </w:r>
      <w:r>
        <w:rPr>
          <w:lang w:val="en-US"/>
        </w:rPr>
        <w:t>261.95</w:t>
      </w:r>
      <w:r>
        <w:rPr>
          <w:lang w:val="vi-VN"/>
        </w:rPr>
        <w:t xml:space="preserve"> billion USD, down </w:t>
      </w:r>
      <w:r>
        <w:rPr>
          <w:lang w:val="en-US"/>
        </w:rPr>
        <w:t>14.9</w:t>
      </w:r>
      <w:r>
        <w:rPr>
          <w:lang w:val="vi-VN"/>
        </w:rPr>
        <w:t>% over the same period last year, of which export</w:t>
      </w:r>
      <w:r>
        <w:t>s</w:t>
      </w:r>
      <w:r>
        <w:rPr>
          <w:lang w:val="vi-VN"/>
        </w:rPr>
        <w:t xml:space="preserve"> reached </w:t>
      </w:r>
      <w:r>
        <w:rPr>
          <w:lang w:val="en-US"/>
        </w:rPr>
        <w:t>136.05</w:t>
      </w:r>
      <w:r>
        <w:rPr>
          <w:lang w:val="vi-VN"/>
        </w:rPr>
        <w:t xml:space="preserve"> billion USD, down </w:t>
      </w:r>
      <w:r>
        <w:rPr>
          <w:lang w:val="en-US"/>
        </w:rPr>
        <w:t>11.7</w:t>
      </w:r>
      <w:r>
        <w:rPr>
          <w:lang w:val="vi-VN"/>
        </w:rPr>
        <w:t xml:space="preserve">%; imports reached </w:t>
      </w:r>
      <w:r>
        <w:rPr>
          <w:lang w:val="en-US"/>
        </w:rPr>
        <w:t>125.9</w:t>
      </w:r>
      <w:r>
        <w:rPr>
          <w:lang w:val="vi-VN"/>
        </w:rPr>
        <w:t xml:space="preserve"> billion USD, down </w:t>
      </w:r>
      <w:r>
        <w:rPr>
          <w:lang w:val="en-US"/>
        </w:rPr>
        <w:t>18.2</w:t>
      </w:r>
      <w:r>
        <w:rPr>
          <w:lang w:val="vi-VN"/>
        </w:rPr>
        <w:t>%.</w:t>
      </w:r>
    </w:p>
  </w:footnote>
  <w:footnote w:id="15">
    <w:p w14:paraId="3DB49079" w14:textId="77777777" w:rsidR="006A6832" w:rsidRDefault="006A6832" w:rsidP="006A6832">
      <w:pPr>
        <w:pStyle w:val="FootnoteText"/>
        <w:ind w:left="720" w:hanging="720"/>
        <w:jc w:val="both"/>
        <w:rPr>
          <w:lang w:val="vi-VN"/>
        </w:rPr>
      </w:pPr>
      <w:r>
        <w:rPr>
          <w:rStyle w:val="FootnoteReference"/>
        </w:rPr>
        <w:footnoteRef/>
      </w:r>
      <w:r>
        <w:rPr>
          <w:lang w:val="vi-VN"/>
        </w:rPr>
        <w:t xml:space="preserve"> </w:t>
      </w:r>
      <w:r>
        <w:rPr>
          <w:lang w:val="en-US"/>
        </w:rPr>
        <w:t>April is estimated to have a trade surplus of 0.68 billion USD</w:t>
      </w:r>
      <w:r>
        <w:rPr>
          <w:lang w:val="vi-VN"/>
        </w:rPr>
        <w:t>.</w:t>
      </w:r>
    </w:p>
  </w:footnote>
  <w:footnote w:id="16">
    <w:p w14:paraId="1D131945" w14:textId="77777777" w:rsidR="006A6832" w:rsidRPr="00BA21B7" w:rsidRDefault="006A6832" w:rsidP="006A6832">
      <w:pPr>
        <w:pStyle w:val="FootnoteText"/>
        <w:spacing w:before="20" w:after="20"/>
        <w:ind w:left="198" w:hanging="198"/>
        <w:jc w:val="both"/>
        <w:rPr>
          <w:lang w:val="vi-VN"/>
        </w:rPr>
      </w:pPr>
      <w:r w:rsidRPr="009044DD">
        <w:rPr>
          <w:rStyle w:val="FootnoteReference"/>
        </w:rPr>
        <w:footnoteRef/>
      </w:r>
      <w:r w:rsidRPr="00BA21B7">
        <w:rPr>
          <w:lang w:val="vi-VN"/>
        </w:rPr>
        <w:t xml:space="preserve">Domestic rice prices decreased along with export rice prices and localities were in the process of harvesting the winter-spring crop, so rice supply increased. Accordingly </w:t>
      </w:r>
      <w:r>
        <w:rPr>
          <w:lang w:val="en-US"/>
        </w:rPr>
        <w:t xml:space="preserve">, </w:t>
      </w:r>
      <w:r w:rsidRPr="00BA21B7">
        <w:rPr>
          <w:lang w:val="vi-VN"/>
        </w:rPr>
        <w:t>the price index of the rice group decreased by 0.32% (Regular rice decreased by 0.38%; Sticky rice decreased by 0.26%; Delicious non-glutinous rice decreased by 0.11%). Besides, potato prices decreased by 4.61%; cassava decreased by 0.22%; ready-to-eat cereals decreased by 0.02%. On the contrary, some food items increased in price compared to the previous month such as corn increased by 1.31%; Other cereals increased by 0.52%; vermicelli, pho, and rice paper increased by 0.29%; Cornmeal increased 0.27% and bread increased 0.19%.</w:t>
      </w:r>
    </w:p>
  </w:footnote>
  <w:footnote w:id="17">
    <w:p w14:paraId="00BD2B89" w14:textId="77777777" w:rsidR="006A6832" w:rsidRPr="00BA21B7" w:rsidRDefault="006A6832" w:rsidP="006A6832">
      <w:pPr>
        <w:pStyle w:val="FootnoteText"/>
        <w:spacing w:before="20" w:after="20"/>
        <w:ind w:left="198" w:hanging="198"/>
        <w:jc w:val="both"/>
        <w:rPr>
          <w:lang w:val="vi-VN"/>
        </w:rPr>
      </w:pPr>
      <w:r w:rsidRPr="009044DD">
        <w:rPr>
          <w:rStyle w:val="FootnoteReference"/>
        </w:rPr>
        <w:footnoteRef/>
      </w:r>
      <w:r w:rsidRPr="009044DD">
        <w:t xml:space="preserve"> </w:t>
      </w:r>
      <w:r w:rsidRPr="00BA21B7">
        <w:rPr>
          <w:lang w:val="vi-VN"/>
        </w:rPr>
        <w:t xml:space="preserve">Prices of fresh, dried and processed </w:t>
      </w:r>
      <w:r>
        <w:rPr>
          <w:lang w:val="vi-VN"/>
        </w:rPr>
        <w:t>vegetables increased by 2.19%; p</w:t>
      </w:r>
      <w:r w:rsidRPr="00BA21B7">
        <w:rPr>
          <w:lang w:val="vi-VN"/>
        </w:rPr>
        <w:t xml:space="preserve">ork prices increased by 1.94%; prices of tea, coffee, and cocoa increased by 0.38%; milk, butter, cheese increased by 0.2%; </w:t>
      </w:r>
      <w:r>
        <w:rPr>
          <w:lang w:val="vi-VN"/>
        </w:rPr>
        <w:t>seasonings increased by 0.18%; f</w:t>
      </w:r>
      <w:r w:rsidRPr="00BA21B7">
        <w:rPr>
          <w:lang w:val="vi-VN"/>
        </w:rPr>
        <w:t>resh seafood prices increased by 0.11%. In addition to the increased prices, some food items during the month had a decrease in price compared to the previous month: Poultry m</w:t>
      </w:r>
      <w:r>
        <w:rPr>
          <w:lang w:val="vi-VN"/>
        </w:rPr>
        <w:t>eat prices decreased by 0.12%; f</w:t>
      </w:r>
      <w:r w:rsidRPr="00BA21B7">
        <w:rPr>
          <w:lang w:val="vi-VN"/>
        </w:rPr>
        <w:t>resh and processed fruit prices decreased by 0.28%.</w:t>
      </w:r>
    </w:p>
  </w:footnote>
  <w:footnote w:id="18">
    <w:p w14:paraId="743BD479" w14:textId="77777777" w:rsidR="006A6832" w:rsidRPr="00BA21B7" w:rsidRDefault="006A6832" w:rsidP="006A6832">
      <w:pPr>
        <w:pStyle w:val="FootnoteText"/>
        <w:spacing w:before="20" w:after="20"/>
        <w:ind w:left="198" w:hanging="198"/>
        <w:jc w:val="both"/>
        <w:rPr>
          <w:lang w:val="vi-VN"/>
        </w:rPr>
      </w:pPr>
      <w:r>
        <w:rPr>
          <w:rStyle w:val="FootnoteReference"/>
        </w:rPr>
        <w:footnoteRef/>
      </w:r>
      <w:r>
        <w:t xml:space="preserve"> </w:t>
      </w:r>
      <w:r w:rsidRPr="00BA21B7">
        <w:rPr>
          <w:lang w:val="vi-VN"/>
        </w:rPr>
        <w:t>Due to the hot weather and the extended holiday from April 30 to May 1, consumer demand increased. In particular, the price of drinks outside the home increased by 0.39%; takeaway fast food increased by 0.2%; The price of eating out at home increased by 0.1%.</w:t>
      </w:r>
    </w:p>
  </w:footnote>
  <w:footnote w:id="19">
    <w:p w14:paraId="36531E85" w14:textId="77777777" w:rsidR="006A6832" w:rsidRPr="00BA21B7" w:rsidRDefault="006A6832" w:rsidP="006A6832">
      <w:pPr>
        <w:pStyle w:val="FootnoteText"/>
        <w:ind w:left="198" w:hanging="198"/>
        <w:jc w:val="both"/>
        <w:rPr>
          <w:lang w:val="en-US"/>
        </w:rPr>
      </w:pPr>
      <w:r>
        <w:rPr>
          <w:rStyle w:val="FootnoteReference"/>
        </w:rPr>
        <w:footnoteRef/>
      </w:r>
      <w:r>
        <w:t xml:space="preserve"> </w:t>
      </w:r>
      <w:r>
        <w:t xml:space="preserve">Some </w:t>
      </w:r>
      <w:r w:rsidRPr="00982BF0">
        <w:rPr>
          <w:lang w:val="vi-VN"/>
        </w:rPr>
        <w:t xml:space="preserve">localities had a decrease in the educational service price index in </w:t>
      </w:r>
      <w:r>
        <w:t xml:space="preserve">May </w:t>
      </w:r>
      <w:r>
        <w:rPr>
          <w:lang w:val="vi-VN"/>
        </w:rPr>
        <w:t xml:space="preserve">2024 compared to the previous month: </w:t>
      </w:r>
      <w:r w:rsidRPr="00C72DBC">
        <w:t>Cao Bang decreased by 28.79%; Gia Lai decreased by 22.32%; Quang Ninh decreased by 5.2%.</w:t>
      </w:r>
    </w:p>
  </w:footnote>
  <w:footnote w:id="20">
    <w:p w14:paraId="2DC69D5F" w14:textId="77777777" w:rsidR="006A6832" w:rsidRDefault="006A6832" w:rsidP="006A6832">
      <w:pPr>
        <w:pStyle w:val="FootnoteText"/>
        <w:spacing w:before="20" w:after="20"/>
        <w:ind w:left="142" w:hanging="142"/>
        <w:jc w:val="both"/>
      </w:pPr>
      <w:r>
        <w:rPr>
          <w:rStyle w:val="FootnoteReference"/>
        </w:rPr>
        <w:footnoteRef/>
      </w:r>
      <w:r>
        <w:t>CPI after excluding food, fresh food, energy and State-managed goods including health services and education.</w:t>
      </w:r>
    </w:p>
  </w:footnote>
  <w:footnote w:id="21">
    <w:p w14:paraId="650F61A4" w14:textId="77777777" w:rsidR="006A6832" w:rsidRPr="0099257D" w:rsidRDefault="006A6832" w:rsidP="006A6832">
      <w:pPr>
        <w:jc w:val="both"/>
      </w:pPr>
      <w:r w:rsidRPr="00BA21B7">
        <w:rPr>
          <w:rStyle w:val="FootnoteReference"/>
          <w:rFonts w:eastAsiaTheme="majorEastAsia"/>
          <w:sz w:val="20"/>
          <w:szCs w:val="20"/>
        </w:rPr>
        <w:footnoteRef/>
      </w:r>
      <w:r w:rsidRPr="00BA21B7">
        <w:rPr>
          <w:sz w:val="20"/>
          <w:szCs w:val="20"/>
        </w:rPr>
        <w:t xml:space="preserve"> </w:t>
      </w:r>
      <w:r>
        <w:rPr>
          <w:sz w:val="20"/>
          <w:szCs w:val="20"/>
        </w:rPr>
        <w:t>F</w:t>
      </w:r>
      <w:r w:rsidRPr="00E15E53">
        <w:rPr>
          <w:sz w:val="20"/>
          <w:szCs w:val="20"/>
        </w:rPr>
        <w:t>reight traffic by sea in May 2024 decreased compared to the previous month in some localities: Da Nang decreased by 33.8%; Ho Chi Minh City decreased by 23.2%; Nghe An decreased by 20.0%; Khanh Hoa decreased by 6.3%; Ba Ria Vung Tau decreased by 0.2%.</w:t>
      </w:r>
    </w:p>
  </w:footnote>
  <w:footnote w:id="22">
    <w:p w14:paraId="1A21CB8A" w14:textId="77777777" w:rsidR="006A6832" w:rsidRDefault="006A6832" w:rsidP="006A6832">
      <w:pPr>
        <w:pStyle w:val="FootnoteText"/>
        <w:jc w:val="both"/>
        <w:rPr>
          <w:sz w:val="18"/>
          <w:szCs w:val="18"/>
        </w:rPr>
      </w:pPr>
      <w:r>
        <w:rPr>
          <w:rStyle w:val="FootnoteReference"/>
        </w:rPr>
        <w:footnoteRef/>
      </w:r>
      <w:r>
        <w:rPr>
          <w:spacing w:val="2"/>
        </w:rPr>
        <w:t xml:space="preserve"> </w:t>
      </w:r>
      <w:r>
        <w:rPr>
          <w:spacing w:val="2"/>
        </w:rPr>
        <w:t>According to the report of the Border Gate Department, the Border Guard Command, the Ministry of National Defense and the Immigration Department.</w:t>
      </w:r>
    </w:p>
  </w:footnote>
  <w:footnote w:id="23">
    <w:p w14:paraId="1D8A2362" w14:textId="77777777" w:rsidR="006A6832" w:rsidRPr="00672651" w:rsidRDefault="006A6832" w:rsidP="006A6832">
      <w:pPr>
        <w:pStyle w:val="FootnoteText"/>
        <w:rPr>
          <w:lang w:val="en-US"/>
        </w:rPr>
      </w:pPr>
      <w:r>
        <w:rPr>
          <w:rStyle w:val="FootnoteReference"/>
        </w:rPr>
        <w:footnoteRef/>
      </w:r>
      <w:r>
        <w:t xml:space="preserve"> </w:t>
      </w:r>
      <w:r>
        <w:rPr>
          <w:lang w:val="en-US"/>
        </w:rPr>
        <w:t>T</w:t>
      </w:r>
      <w:r>
        <w:rPr>
          <w:lang w:val="nl-NL"/>
        </w:rPr>
        <w:t xml:space="preserve">he reporting period was from April 21, </w:t>
      </w:r>
      <w:proofErr w:type="gramStart"/>
      <w:r>
        <w:rPr>
          <w:lang w:val="nl-NL"/>
        </w:rPr>
        <w:t>2024</w:t>
      </w:r>
      <w:proofErr w:type="gramEnd"/>
      <w:r>
        <w:rPr>
          <w:lang w:val="nl-NL"/>
        </w:rPr>
        <w:t xml:space="preserve"> to May 20, 2024.</w:t>
      </w:r>
    </w:p>
  </w:footnote>
  <w:footnote w:id="24">
    <w:p w14:paraId="6767BF61" w14:textId="77777777" w:rsidR="006A6832" w:rsidRPr="00BA21B7" w:rsidRDefault="006A6832" w:rsidP="006A6832">
      <w:pPr>
        <w:pStyle w:val="FootnoteText"/>
        <w:rPr>
          <w:lang w:val="nl-NL"/>
        </w:rPr>
      </w:pPr>
      <w:r w:rsidRPr="00150C59">
        <w:rPr>
          <w:rStyle w:val="FootnoteReference"/>
        </w:rPr>
        <w:footnoteRef/>
      </w:r>
      <w:r w:rsidRPr="00150C59">
        <w:t xml:space="preserve"> </w:t>
      </w:r>
      <w:r w:rsidRPr="003942F4">
        <w:t>A household can choose many reasons to reduce income.</w:t>
      </w:r>
    </w:p>
  </w:footnote>
  <w:footnote w:id="25">
    <w:p w14:paraId="1225E64D" w14:textId="77777777" w:rsidR="006A6832" w:rsidRPr="00232635" w:rsidRDefault="006A6832" w:rsidP="006A6832">
      <w:pPr>
        <w:pStyle w:val="FootnoteText"/>
        <w:ind w:left="198" w:hanging="198"/>
        <w:jc w:val="both"/>
      </w:pPr>
      <w:r w:rsidRPr="00CF6D82">
        <w:rPr>
          <w:rStyle w:val="FootnoteReference"/>
        </w:rPr>
        <w:footnoteRef/>
      </w:r>
      <w:r w:rsidRPr="00CF6D82">
        <w:t xml:space="preserve"> </w:t>
      </w:r>
      <w:r w:rsidRPr="003942F4">
        <w:t>According to a quick report from the Office of the Ministry of Public Security and the Vietnam Maritime Administration (Ministry of Transport) on May 23, 2024.</w:t>
      </w:r>
    </w:p>
  </w:footnote>
  <w:footnote w:id="26">
    <w:p w14:paraId="5300C754" w14:textId="77777777" w:rsidR="006A6832" w:rsidRPr="001224C3" w:rsidRDefault="006A6832" w:rsidP="006A6832">
      <w:pPr>
        <w:pStyle w:val="FootnoteText"/>
        <w:jc w:val="both"/>
        <w:rPr>
          <w:spacing w:val="-2"/>
        </w:rPr>
      </w:pPr>
      <w:r w:rsidRPr="001224C3">
        <w:rPr>
          <w:rStyle w:val="FootnoteReference"/>
          <w:spacing w:val="-2"/>
        </w:rPr>
        <w:footnoteRef/>
      </w:r>
      <w:r w:rsidRPr="001224C3">
        <w:rPr>
          <w:spacing w:val="-2"/>
        </w:rPr>
        <w:t xml:space="preserve"> </w:t>
      </w:r>
      <w:r w:rsidRPr="003942F4">
        <w:rPr>
          <w:spacing w:val="-2"/>
        </w:rPr>
        <w:t>Summary of reports from 63 Departments of Agriculture and Rural Development, reporting period from April 19 to May 18, 2024.</w:t>
      </w:r>
    </w:p>
  </w:footnote>
  <w:footnote w:id="27">
    <w:p w14:paraId="5FEBB38F" w14:textId="77777777" w:rsidR="006A6832" w:rsidRPr="001A533F" w:rsidRDefault="006A6832" w:rsidP="006A6832">
      <w:pPr>
        <w:pStyle w:val="FootnoteText"/>
        <w:spacing w:after="40"/>
        <w:ind w:left="198" w:hanging="198"/>
        <w:jc w:val="both"/>
      </w:pPr>
      <w:r>
        <w:rPr>
          <w:rStyle w:val="FootnoteReference"/>
        </w:rPr>
        <w:footnoteRef/>
      </w:r>
      <w:r>
        <w:t xml:space="preserve"> </w:t>
      </w:r>
      <w:r>
        <w:t>According to a report from the Department of Natural Resources and Environment, the Police of provinces and centrally run cities Department of General Statistics.</w:t>
      </w:r>
    </w:p>
  </w:footnote>
  <w:footnote w:id="28">
    <w:p w14:paraId="7054712D" w14:textId="77777777" w:rsidR="006A6832" w:rsidRPr="006C49EE" w:rsidRDefault="006A6832" w:rsidP="006A6832">
      <w:pPr>
        <w:tabs>
          <w:tab w:val="left" w:pos="426"/>
          <w:tab w:val="left" w:pos="900"/>
        </w:tabs>
        <w:spacing w:after="40"/>
        <w:ind w:left="198" w:hanging="198"/>
        <w:jc w:val="both"/>
      </w:pPr>
      <w:r w:rsidRPr="00BA21B7">
        <w:rPr>
          <w:rStyle w:val="FootnoteReference"/>
          <w:sz w:val="20"/>
          <w:szCs w:val="20"/>
        </w:rPr>
        <w:footnoteRef/>
      </w:r>
      <w:r w:rsidRPr="00BA21B7">
        <w:rPr>
          <w:sz w:val="20"/>
          <w:szCs w:val="20"/>
        </w:rPr>
        <w:t xml:space="preserve"> </w:t>
      </w:r>
      <w:r w:rsidRPr="001A533F">
        <w:rPr>
          <w:sz w:val="20"/>
          <w:szCs w:val="20"/>
        </w:rPr>
        <w:t>There are 7 localities that did not detect environmental violations in May 2024: Khanh Hoa, Ninh Thuan, Dak Nong, Lam Dong, Tay Ninh, Dong Thap, Hau Giang.</w:t>
      </w:r>
    </w:p>
  </w:footnote>
  <w:footnote w:id="29">
    <w:p w14:paraId="7286D1B1" w14:textId="77777777" w:rsidR="006A6832" w:rsidRPr="00232635" w:rsidRDefault="006A6832" w:rsidP="006A6832">
      <w:pPr>
        <w:pStyle w:val="FootnoteText"/>
        <w:spacing w:after="40"/>
        <w:ind w:left="198" w:hanging="198"/>
      </w:pPr>
      <w:r w:rsidRPr="001224C3">
        <w:rPr>
          <w:rStyle w:val="FootnoteReference"/>
        </w:rPr>
        <w:footnoteRef/>
      </w:r>
      <w:r w:rsidRPr="001224C3">
        <w:t xml:space="preserve"> </w:t>
      </w:r>
      <w:r w:rsidRPr="001A533F">
        <w:t>According to a quick report from the Ministry of Public Security on May 23,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F719FB"/>
    <w:multiLevelType w:val="hybridMultilevel"/>
    <w:tmpl w:val="50A65E40"/>
    <w:lvl w:ilvl="0" w:tplc="0409000F">
      <w:start w:val="1"/>
      <w:numFmt w:val="decimal"/>
      <w:lvlText w:val="%1."/>
      <w:lvlJc w:val="left"/>
      <w:pPr>
        <w:ind w:left="1356" w:hanging="360"/>
      </w:p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1" w15:restartNumberingAfterBreak="0">
    <w:nsid w:val="71C31312"/>
    <w:multiLevelType w:val="hybridMultilevel"/>
    <w:tmpl w:val="B686D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6775830">
    <w:abstractNumId w:val="1"/>
  </w:num>
  <w:num w:numId="2" w16cid:durableId="2070227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C24"/>
    <w:rsid w:val="000402BB"/>
    <w:rsid w:val="0005038D"/>
    <w:rsid w:val="000D530A"/>
    <w:rsid w:val="00164C93"/>
    <w:rsid w:val="001D5E3A"/>
    <w:rsid w:val="001F753D"/>
    <w:rsid w:val="00227754"/>
    <w:rsid w:val="00245561"/>
    <w:rsid w:val="002A18AD"/>
    <w:rsid w:val="00345542"/>
    <w:rsid w:val="003568F3"/>
    <w:rsid w:val="005305BD"/>
    <w:rsid w:val="005A1B70"/>
    <w:rsid w:val="00600F5E"/>
    <w:rsid w:val="006A6832"/>
    <w:rsid w:val="00781552"/>
    <w:rsid w:val="00920B46"/>
    <w:rsid w:val="009369BD"/>
    <w:rsid w:val="009800EF"/>
    <w:rsid w:val="00990FD0"/>
    <w:rsid w:val="00AE451A"/>
    <w:rsid w:val="00BC4708"/>
    <w:rsid w:val="00C736A2"/>
    <w:rsid w:val="00C946BF"/>
    <w:rsid w:val="00E27F4A"/>
    <w:rsid w:val="00E52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D1007"/>
  <w15:chartTrackingRefBased/>
  <w15:docId w15:val="{41F4DD21-890E-4B69-AC74-60CFD0618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C24"/>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E52C24"/>
    <w:rPr>
      <w:rFonts w:eastAsia="Calibri"/>
      <w:sz w:val="20"/>
      <w:szCs w:val="20"/>
      <w:lang w:val="x-none" w:eastAsia="x-none"/>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E52C24"/>
    <w:rPr>
      <w:rFonts w:ascii="Times New Roman" w:eastAsia="Calibri" w:hAnsi="Times New Roman" w:cs="Times New Roman"/>
      <w:sz w:val="20"/>
      <w:szCs w:val="20"/>
      <w:lang w:val="x-none" w:eastAsia="x-none"/>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link w:val="CharChar1CharCharCharChar1CharCharCharCharCharCharCharChar"/>
    <w:uiPriority w:val="99"/>
    <w:qFormat/>
    <w:rsid w:val="00E52C24"/>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E52C24"/>
    <w:pPr>
      <w:spacing w:before="100" w:beforeAutospacing="1" w:after="100" w:afterAutospacing="1"/>
    </w:pPr>
    <w:rPr>
      <w:rFonts w:eastAsia="Calibri"/>
      <w:sz w:val="24"/>
      <w:szCs w:val="24"/>
      <w:lang w:val="x-none" w:eastAsia="x-non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E52C24"/>
    <w:pPr>
      <w:spacing w:after="160" w:line="240" w:lineRule="exact"/>
    </w:pPr>
    <w:rPr>
      <w:rFonts w:asciiTheme="minorHAnsi" w:eastAsiaTheme="minorHAnsi" w:hAnsiTheme="minorHAnsi" w:cstheme="minorBidi"/>
      <w:sz w:val="22"/>
      <w:szCs w:val="22"/>
      <w:vertAlign w:val="superscript"/>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E52C24"/>
    <w:rPr>
      <w:rFonts w:ascii="Times New Roman" w:eastAsia="Calibri" w:hAnsi="Times New Roman" w:cs="Times New Roman"/>
      <w:sz w:val="24"/>
      <w:szCs w:val="24"/>
      <w:lang w:val="x-none" w:eastAsia="x-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E52C24"/>
    <w:pPr>
      <w:spacing w:after="200" w:line="276" w:lineRule="auto"/>
      <w:ind w:left="720"/>
      <w:contextualSpacing/>
    </w:pPr>
    <w:rPr>
      <w:rFonts w:eastAsia="Calibri"/>
      <w:lang w:val="e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52C24"/>
    <w:rPr>
      <w:rFonts w:ascii="Times New Roman" w:eastAsia="Calibri" w:hAnsi="Times New Roman" w:cs="Times New Roman"/>
      <w:sz w:val="28"/>
      <w:szCs w:val="28"/>
      <w:lang w:val="en"/>
    </w:rPr>
  </w:style>
  <w:style w:type="table" w:styleId="TableGrid">
    <w:name w:val="Table Grid"/>
    <w:basedOn w:val="TableNormal"/>
    <w:uiPriority w:val="39"/>
    <w:rsid w:val="00781552"/>
    <w:pPr>
      <w:spacing w:after="0" w:line="240" w:lineRule="auto"/>
    </w:pPr>
    <w:rPr>
      <w:rFonts w:ascii="Calibri" w:eastAsia="Calibri" w:hAnsi="Calibri" w:cs="Times New Roman"/>
      <w:lang w:val="vi-V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6A6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A6832"/>
    <w:rPr>
      <w:rFonts w:ascii="Courier New" w:eastAsia="Times New Roman" w:hAnsi="Courier New" w:cs="Courier New"/>
      <w:sz w:val="20"/>
      <w:szCs w:val="20"/>
    </w:rPr>
  </w:style>
  <w:style w:type="character" w:customStyle="1" w:styleId="rynqvb">
    <w:name w:val="rynqvb"/>
    <w:basedOn w:val="DefaultParagraphFont"/>
    <w:rsid w:val="006A6832"/>
  </w:style>
  <w:style w:type="character" w:styleId="Strong">
    <w:name w:val="Strong"/>
    <w:qFormat/>
    <w:rsid w:val="006A6832"/>
    <w:rPr>
      <w:b/>
      <w:bCs/>
    </w:rPr>
  </w:style>
  <w:style w:type="paragraph" w:styleId="BodyText">
    <w:name w:val="Body Text"/>
    <w:basedOn w:val="Normal"/>
    <w:link w:val="BodyTextChar"/>
    <w:uiPriority w:val="99"/>
    <w:unhideWhenUsed/>
    <w:rsid w:val="006A6832"/>
    <w:pPr>
      <w:spacing w:after="120"/>
    </w:pPr>
    <w:rPr>
      <w:lang w:val="en"/>
    </w:rPr>
  </w:style>
  <w:style w:type="character" w:customStyle="1" w:styleId="BodyTextChar">
    <w:name w:val="Body Text Char"/>
    <w:basedOn w:val="DefaultParagraphFont"/>
    <w:link w:val="BodyText"/>
    <w:uiPriority w:val="99"/>
    <w:rsid w:val="006A6832"/>
    <w:rPr>
      <w:rFonts w:ascii="Times New Roman" w:eastAsia="Times New Roman" w:hAnsi="Times New Roman" w:cs="Times New Roman"/>
      <w:sz w:val="28"/>
      <w:szCs w:val="28"/>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chart" Target="charts/chart4.xml"/><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1.wm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8.jpeg"/><Relationship Id="rId25" Type="http://schemas.openxmlformats.org/officeDocument/2006/relationships/chart" Target="charts/chart7.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image" Target="media/image10.sv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chart" Target="charts/chart6.xml"/><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chart" Target="charts/chart5.xm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1.xml"/><Relationship Id="rId22" Type="http://schemas.openxmlformats.org/officeDocument/2006/relationships/image" Target="media/image12.wmf"/><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btphuong\Desktop\D&#7883;ch\Bi&#7875;u%20&#273;&#7891;%20th&#225;ng%20ti&#7871;ng%20T5%202024.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btphuong\Desktop\Ph&#432;&#7907;ng%202024\B&#225;o%20c&#225;o%20th&#225;ng\THNGA%205%202024\bi&#7875;u%20&#273;&#7891;%20FDI%20T4%202024.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anhtu\OneDrive\Desktop\N&#258;M%202024%20PHUONG\THNGA%205%202024\bi&#7875;u%20&#273;&#7891;%20FDI%202.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gsofs05\tkth02\01%20Bao%20cao%20thang\2024\Thang%205\Chuy&#234;n%20vi&#234;n\&#272;&#244;&#768;%20thi&#803;%20t&#244;&#777;ng%20m&#432;&#769;c%205.2024.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D:\02%20BAO%20CAO\NAM2024\Th&#225;ng%205.2024\V&#7909;%20TH\Bi&#7875;u%20&#273;&#7891;%20XNK%20T5.20241.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D:\02%20BAO%20CAO\NAM2024\Th&#225;ng%205.2024\V&#7909;%20TH\Bi&#7875;u%20&#273;&#7891;%20XNK%20T5.20241.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D:\BAO%20CAO%20THANG\Loi%20van\2024\T5\&#273;&#7891;%20th&#7883;%20gi&#225;%20CPI.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701543582866915E-2"/>
          <c:y val="0.12987603202472423"/>
          <c:w val="0.89996767604437333"/>
          <c:h val="0.66574137320055682"/>
        </c:manualLayout>
      </c:layout>
      <c:barChart>
        <c:barDir val="col"/>
        <c:grouping val="clustered"/>
        <c:varyColors val="0"/>
        <c:ser>
          <c:idx val="0"/>
          <c:order val="0"/>
          <c:tx>
            <c:strRef>
              <c:f>'Hình 7. Địa phương'!$D$4</c:f>
              <c:strCache>
                <c:ptCount val="1"/>
                <c:pt idx="0">
                  <c:v>5 tháng đầu năm 2023</c:v>
                </c:pt>
              </c:strCache>
            </c:strRef>
          </c:tx>
          <c:spPr>
            <a:solidFill>
              <a:srgbClr val="CFB09D"/>
            </a:solidFill>
            <a:ln>
              <a:noFill/>
            </a:ln>
            <a:effectLst/>
          </c:spPr>
          <c:invertIfNegative val="0"/>
          <c:cat>
            <c:strRef>
              <c:f>'Hình 7. Địa phương'!$C$5:$C$13</c:f>
              <c:strCache>
                <c:ptCount val="9"/>
                <c:pt idx="0">
                  <c:v>Ha Noi</c:v>
                </c:pt>
                <c:pt idx="1">
                  <c:v>Ho Chi Minh city</c:v>
                </c:pt>
                <c:pt idx="2">
                  <c:v>Binh Duong</c:v>
                </c:pt>
                <c:pt idx="3">
                  <c:v>Ba Ria - Vung Tau</c:v>
                </c:pt>
                <c:pt idx="4">
                  <c:v>Hai Phong</c:v>
                </c:pt>
                <c:pt idx="5">
                  <c:v>Hung Yen</c:v>
                </c:pt>
                <c:pt idx="6">
                  <c:v>Quang Ninh</c:v>
                </c:pt>
                <c:pt idx="7">
                  <c:v>Dong Nai</c:v>
                </c:pt>
                <c:pt idx="8">
                  <c:v>Thanh Hoa</c:v>
                </c:pt>
              </c:strCache>
            </c:strRef>
          </c:cat>
          <c:val>
            <c:numRef>
              <c:f>'Hình 7. Địa phương'!$D$5:$D$13</c:f>
              <c:numCache>
                <c:formatCode>0.0</c:formatCode>
                <c:ptCount val="9"/>
                <c:pt idx="0">
                  <c:v>14942.485000000001</c:v>
                </c:pt>
                <c:pt idx="1">
                  <c:v>10454.114</c:v>
                </c:pt>
                <c:pt idx="2">
                  <c:v>6091.3209999999999</c:v>
                </c:pt>
                <c:pt idx="3">
                  <c:v>5600.9199399999998</c:v>
                </c:pt>
                <c:pt idx="4">
                  <c:v>4538.2969999999996</c:v>
                </c:pt>
                <c:pt idx="5">
                  <c:v>4508.5889999999999</c:v>
                </c:pt>
                <c:pt idx="6">
                  <c:v>4256.2550000000001</c:v>
                </c:pt>
                <c:pt idx="7">
                  <c:v>3258.5459999999998</c:v>
                </c:pt>
                <c:pt idx="8">
                  <c:v>3163.3339999999998</c:v>
                </c:pt>
              </c:numCache>
            </c:numRef>
          </c:val>
          <c:extLst>
            <c:ext xmlns:c16="http://schemas.microsoft.com/office/drawing/2014/chart" uri="{C3380CC4-5D6E-409C-BE32-E72D297353CC}">
              <c16:uniqueId val="{00000000-2899-4312-B964-B1A30C5DB1BC}"/>
            </c:ext>
          </c:extLst>
        </c:ser>
        <c:ser>
          <c:idx val="1"/>
          <c:order val="1"/>
          <c:tx>
            <c:strRef>
              <c:f>'Hình 7. Địa phương'!$E$4</c:f>
              <c:strCache>
                <c:ptCount val="1"/>
                <c:pt idx="0">
                  <c:v>5 tháng đầu năm 2024</c:v>
                </c:pt>
              </c:strCache>
            </c:strRef>
          </c:tx>
          <c:spPr>
            <a:solidFill>
              <a:srgbClr val="C84863"/>
            </a:solidFill>
            <a:ln>
              <a:noFill/>
            </a:ln>
            <a:effectLst/>
          </c:spPr>
          <c:invertIfNegative val="0"/>
          <c:dLbls>
            <c:dLbl>
              <c:idx val="2"/>
              <c:layout>
                <c:manualLayout>
                  <c:x val="1.3714284068777314E-2"/>
                  <c:y val="-2.560655269667337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899-4312-B964-B1A30C5DB1BC}"/>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7. Địa phương'!$C$5:$C$13</c:f>
              <c:strCache>
                <c:ptCount val="9"/>
                <c:pt idx="0">
                  <c:v>Ha Noi</c:v>
                </c:pt>
                <c:pt idx="1">
                  <c:v>Ho Chi Minh city</c:v>
                </c:pt>
                <c:pt idx="2">
                  <c:v>Binh Duong</c:v>
                </c:pt>
                <c:pt idx="3">
                  <c:v>Ba Ria - Vung Tau</c:v>
                </c:pt>
                <c:pt idx="4">
                  <c:v>Hai Phong</c:v>
                </c:pt>
                <c:pt idx="5">
                  <c:v>Hung Yen</c:v>
                </c:pt>
                <c:pt idx="6">
                  <c:v>Quang Ninh</c:v>
                </c:pt>
                <c:pt idx="7">
                  <c:v>Dong Nai</c:v>
                </c:pt>
                <c:pt idx="8">
                  <c:v>Thanh Hoa</c:v>
                </c:pt>
              </c:strCache>
            </c:strRef>
          </c:cat>
          <c:val>
            <c:numRef>
              <c:f>'Hình 7. Địa phương'!$E$5:$E$13</c:f>
              <c:numCache>
                <c:formatCode>0.0</c:formatCode>
                <c:ptCount val="9"/>
                <c:pt idx="0">
                  <c:v>18682.232</c:v>
                </c:pt>
                <c:pt idx="1">
                  <c:v>12937.34</c:v>
                </c:pt>
                <c:pt idx="2">
                  <c:v>6443.1009999999997</c:v>
                </c:pt>
                <c:pt idx="3">
                  <c:v>6358.2872200000002</c:v>
                </c:pt>
                <c:pt idx="4">
                  <c:v>4777.8140000000003</c:v>
                </c:pt>
                <c:pt idx="5">
                  <c:v>4711.5630000000001</c:v>
                </c:pt>
                <c:pt idx="6">
                  <c:v>4223.21</c:v>
                </c:pt>
                <c:pt idx="7">
                  <c:v>3838.4279999999999</c:v>
                </c:pt>
                <c:pt idx="8">
                  <c:v>3789.297</c:v>
                </c:pt>
              </c:numCache>
            </c:numRef>
          </c:val>
          <c:extLst>
            <c:ext xmlns:c16="http://schemas.microsoft.com/office/drawing/2014/chart" uri="{C3380CC4-5D6E-409C-BE32-E72D297353CC}">
              <c16:uniqueId val="{00000002-2899-4312-B964-B1A30C5DB1BC}"/>
            </c:ext>
          </c:extLst>
        </c:ser>
        <c:dLbls>
          <c:showLegendKey val="0"/>
          <c:showVal val="0"/>
          <c:showCatName val="0"/>
          <c:showSerName val="0"/>
          <c:showPercent val="0"/>
          <c:showBubbleSize val="0"/>
        </c:dLbls>
        <c:gapWidth val="36"/>
        <c:axId val="1071631488"/>
        <c:axId val="1071632032"/>
      </c:barChart>
      <c:catAx>
        <c:axId val="1071631488"/>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71632032"/>
        <c:crosses val="autoZero"/>
        <c:auto val="1"/>
        <c:lblAlgn val="ctr"/>
        <c:lblOffset val="100"/>
        <c:noMultiLvlLbl val="0"/>
      </c:catAx>
      <c:valAx>
        <c:axId val="107163203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071631488"/>
        <c:crosses val="autoZero"/>
        <c:crossBetween val="between"/>
      </c:valAx>
      <c:spPr>
        <a:noFill/>
        <a:ln>
          <a:noFill/>
        </a:ln>
        <a:effectLst/>
      </c:spPr>
    </c:plotArea>
    <c:legend>
      <c:legendPos val="b"/>
      <c:layout>
        <c:manualLayout>
          <c:xMode val="edge"/>
          <c:yMode val="edge"/>
          <c:x val="9.8974536306017394E-2"/>
          <c:y val="0.8907966715509098"/>
          <c:w val="0.79532792856957735"/>
          <c:h val="3.9670390664644672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0" cap="flat" cmpd="sng" algn="ctr">
      <a:solidFill>
        <a:schemeClr val="tx1">
          <a:lumMod val="15000"/>
          <a:lumOff val="85000"/>
        </a:schemeClr>
      </a:solidFill>
      <a:round/>
    </a:ln>
    <a:effectLst/>
  </c:spPr>
  <c:txPr>
    <a:bodyPr/>
    <a:lstStyle/>
    <a:p>
      <a:pPr>
        <a:defRPr b="1"/>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48964776558304"/>
          <c:y val="2.3068050749711605E-2"/>
          <c:w val="0.81632143903237475"/>
          <c:h val="0.68828706100318771"/>
        </c:manualLayout>
      </c:layout>
      <c:barChart>
        <c:barDir val="bar"/>
        <c:grouping val="stacked"/>
        <c:varyColors val="0"/>
        <c:ser>
          <c:idx val="0"/>
          <c:order val="0"/>
          <c:tx>
            <c:strRef>
              <c:f>'04. FDI SO SANH '!$A$16</c:f>
              <c:strCache>
                <c:ptCount val="1"/>
                <c:pt idx="0">
                  <c:v>Newly register capital</c:v>
                </c:pt>
              </c:strCache>
            </c:strRef>
          </c:tx>
          <c:invertIfNegative val="0"/>
          <c:dLbls>
            <c:dLbl>
              <c:idx val="0"/>
              <c:tx>
                <c:rich>
                  <a:bodyPr/>
                  <a:lstStyle/>
                  <a:p>
                    <a:r>
                      <a:rPr lang="en-US"/>
                      <a:t>7.44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911-47AC-AFBF-EE38DD182AEF}"/>
                </c:ext>
              </c:extLst>
            </c:dLbl>
            <c:dLbl>
              <c:idx val="1"/>
              <c:tx>
                <c:rich>
                  <a:bodyPr/>
                  <a:lstStyle/>
                  <a:p>
                    <a:r>
                      <a:rPr lang="en-US"/>
                      <a:t>8.83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911-47AC-AFBF-EE38DD182AEF}"/>
                </c:ext>
              </c:extLst>
            </c:dLbl>
            <c:dLbl>
              <c:idx val="2"/>
              <c:tx>
                <c:rich>
                  <a:bodyPr/>
                  <a:lstStyle/>
                  <a:p>
                    <a:r>
                      <a:rPr lang="en-US"/>
                      <a:t>4.12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8911-47AC-AFBF-EE38DD182AEF}"/>
                </c:ext>
              </c:extLst>
            </c:dLbl>
            <c:dLbl>
              <c:idx val="3"/>
              <c:tx>
                <c:rich>
                  <a:bodyPr/>
                  <a:lstStyle/>
                  <a:p>
                    <a:r>
                      <a:rPr lang="en-US"/>
                      <a:t>5.26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8911-47AC-AFBF-EE38DD182AEF}"/>
                </c:ext>
              </c:extLst>
            </c:dLbl>
            <c:dLbl>
              <c:idx val="4"/>
              <c:tx>
                <c:rich>
                  <a:bodyPr/>
                  <a:lstStyle/>
                  <a:p>
                    <a:r>
                      <a:rPr lang="en-US"/>
                      <a:t>7.94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8911-47AC-AFBF-EE38DD182AE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'04. FDI SO SANH '!$B$15:$F$15</c:f>
              <c:numCache>
                <c:formatCode>General</c:formatCode>
                <c:ptCount val="5"/>
                <c:pt idx="0">
                  <c:v>2020</c:v>
                </c:pt>
                <c:pt idx="1">
                  <c:v>2021</c:v>
                </c:pt>
                <c:pt idx="2">
                  <c:v>2022</c:v>
                </c:pt>
                <c:pt idx="3">
                  <c:v>2023</c:v>
                </c:pt>
                <c:pt idx="4">
                  <c:v>2024</c:v>
                </c:pt>
              </c:numCache>
            </c:numRef>
          </c:cat>
          <c:val>
            <c:numRef>
              <c:f>'04. FDI SO SANH '!$B$16:$F$16</c:f>
              <c:numCache>
                <c:formatCode>0.00</c:formatCode>
                <c:ptCount val="5"/>
                <c:pt idx="0">
                  <c:v>6.7802049950000001</c:v>
                </c:pt>
                <c:pt idx="1">
                  <c:v>8.4561690810000023</c:v>
                </c:pt>
                <c:pt idx="2">
                  <c:v>3.6971879558499996</c:v>
                </c:pt>
                <c:pt idx="3">
                  <c:v>4.1057489051900005</c:v>
                </c:pt>
                <c:pt idx="4">
                  <c:v>7.1102128659999995</c:v>
                </c:pt>
              </c:numCache>
            </c:numRef>
          </c:val>
          <c:extLst>
            <c:ext xmlns:c16="http://schemas.microsoft.com/office/drawing/2014/chart" uri="{C3380CC4-5D6E-409C-BE32-E72D297353CC}">
              <c16:uniqueId val="{00000005-8911-47AC-AFBF-EE38DD182AEF}"/>
            </c:ext>
          </c:extLst>
        </c:ser>
        <c:ser>
          <c:idx val="1"/>
          <c:order val="1"/>
          <c:tx>
            <c:strRef>
              <c:f>'04. FDI SO SANH '!$A$17</c:f>
              <c:strCache>
                <c:ptCount val="1"/>
                <c:pt idx="0">
                  <c:v>Adjust register capital</c:v>
                </c:pt>
              </c:strCache>
            </c:strRef>
          </c:tx>
          <c:invertIfNegative val="0"/>
          <c:dLbls>
            <c:dLbl>
              <c:idx val="0"/>
              <c:tx>
                <c:rich>
                  <a:bodyPr/>
                  <a:lstStyle/>
                  <a:p>
                    <a:r>
                      <a:rPr lang="en-US"/>
                      <a:t>3.46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8911-47AC-AFBF-EE38DD182AEF}"/>
                </c:ext>
              </c:extLst>
            </c:dLbl>
            <c:dLbl>
              <c:idx val="1"/>
              <c:tx>
                <c:rich>
                  <a:bodyPr/>
                  <a:lstStyle/>
                  <a:p>
                    <a:r>
                      <a:rPr lang="en-US"/>
                      <a:t>3.86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8911-47AC-AFBF-EE38DD182AEF}"/>
                </c:ext>
              </c:extLst>
            </c:dLbl>
            <c:dLbl>
              <c:idx val="2"/>
              <c:tx>
                <c:rich>
                  <a:bodyPr wrap="square" lIns="38100" tIns="19050" rIns="38100" bIns="19050" anchor="ctr">
                    <a:noAutofit/>
                  </a:bodyPr>
                  <a:lstStyle/>
                  <a:p>
                    <a:pPr>
                      <a:defRPr/>
                    </a:pPr>
                    <a:r>
                      <a:rPr lang="en-US"/>
                      <a:t>5.61</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8-8911-47AC-AFBF-EE38DD182AEF}"/>
                </c:ext>
              </c:extLst>
            </c:dLbl>
            <c:dLbl>
              <c:idx val="3"/>
              <c:layout>
                <c:manualLayout>
                  <c:x val="7.207205843852202E-3"/>
                  <c:y val="0"/>
                </c:manualLayout>
              </c:layout>
              <c:tx>
                <c:rich>
                  <a:bodyPr/>
                  <a:lstStyle/>
                  <a:p>
                    <a:r>
                      <a:rPr lang="en-US"/>
                      <a:t>2.28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8911-47AC-AFBF-EE38DD182AEF}"/>
                </c:ext>
              </c:extLst>
            </c:dLbl>
            <c:dLbl>
              <c:idx val="4"/>
              <c:tx>
                <c:rich>
                  <a:bodyPr/>
                  <a:lstStyle/>
                  <a:p>
                    <a:r>
                      <a:rPr lang="en-US"/>
                      <a:t>2.08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8911-47AC-AFBF-EE38DD182AE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2020</c:v>
                </c:pt>
                <c:pt idx="1">
                  <c:v>2021</c:v>
                </c:pt>
                <c:pt idx="2">
                  <c:v>2022</c:v>
                </c:pt>
                <c:pt idx="3">
                  <c:v>2023</c:v>
                </c:pt>
                <c:pt idx="4">
                  <c:v>2024</c:v>
                </c:pt>
              </c:numCache>
            </c:numRef>
          </c:cat>
          <c:val>
            <c:numRef>
              <c:f>'04. FDI SO SANH '!$B$17:$F$17</c:f>
              <c:numCache>
                <c:formatCode>0.00</c:formatCode>
                <c:ptCount val="5"/>
                <c:pt idx="0">
                  <c:v>3.0736828959999998</c:v>
                </c:pt>
                <c:pt idx="1">
                  <c:v>2.7477871092812496</c:v>
                </c:pt>
                <c:pt idx="2">
                  <c:v>5.2890776313113239</c:v>
                </c:pt>
                <c:pt idx="3">
                  <c:v>1.6593908474179686</c:v>
                </c:pt>
                <c:pt idx="4">
                  <c:v>1.2346289316636916</c:v>
                </c:pt>
              </c:numCache>
            </c:numRef>
          </c:val>
          <c:extLst>
            <c:ext xmlns:c16="http://schemas.microsoft.com/office/drawing/2014/chart" uri="{C3380CC4-5D6E-409C-BE32-E72D297353CC}">
              <c16:uniqueId val="{0000000B-8911-47AC-AFBF-EE38DD182AEF}"/>
            </c:ext>
          </c:extLst>
        </c:ser>
        <c:ser>
          <c:idx val="2"/>
          <c:order val="2"/>
          <c:tx>
            <c:strRef>
              <c:f>'04. FDI SO SANH '!$A$18</c:f>
              <c:strCache>
                <c:ptCount val="1"/>
                <c:pt idx="0">
                  <c:v>Total value of capital contribution and share purchases of foreign investor</c:v>
                </c:pt>
              </c:strCache>
            </c:strRef>
          </c:tx>
          <c:invertIfNegative val="0"/>
          <c:dLbls>
            <c:dLbl>
              <c:idx val="0"/>
              <c:tx>
                <c:rich>
                  <a:bodyPr/>
                  <a:lstStyle/>
                  <a:p>
                    <a:r>
                      <a:rPr lang="en-US"/>
                      <a:t>2.99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8911-47AC-AFBF-EE38DD182AEF}"/>
                </c:ext>
              </c:extLst>
            </c:dLbl>
            <c:dLbl>
              <c:idx val="1"/>
              <c:tx>
                <c:rich>
                  <a:bodyPr/>
                  <a:lstStyle/>
                  <a:p>
                    <a:r>
                      <a:rPr lang="en-US" baseline="0"/>
                      <a:t>1.31</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8911-47AC-AFBF-EE38DD182AEF}"/>
                </c:ext>
              </c:extLst>
            </c:dLbl>
            <c:dLbl>
              <c:idx val="2"/>
              <c:tx>
                <c:rich>
                  <a:bodyPr/>
                  <a:lstStyle/>
                  <a:p>
                    <a:r>
                      <a:rPr lang="en-US"/>
                      <a:t>1.98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8911-47AC-AFBF-EE38DD182AEF}"/>
                </c:ext>
              </c:extLst>
            </c:dLbl>
            <c:dLbl>
              <c:idx val="3"/>
              <c:tx>
                <c:rich>
                  <a:bodyPr wrap="square" lIns="38100" tIns="19050" rIns="38100" bIns="19050" anchor="ctr">
                    <a:noAutofit/>
                  </a:bodyPr>
                  <a:lstStyle/>
                  <a:p>
                    <a:pPr>
                      <a:defRPr/>
                    </a:pPr>
                    <a:r>
                      <a:rPr lang="en-US"/>
                      <a:t>3.32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F-8911-47AC-AFBF-EE38DD182AEF}"/>
                </c:ext>
              </c:extLst>
            </c:dLbl>
            <c:dLbl>
              <c:idx val="4"/>
              <c:layout>
                <c:manualLayout>
                  <c:x val="2.4024019479507323E-2"/>
                  <c:y val="0"/>
                </c:manualLayout>
              </c:layout>
              <c:tx>
                <c:rich>
                  <a:bodyPr/>
                  <a:lstStyle/>
                  <a:p>
                    <a:r>
                      <a:rPr lang="en-US"/>
                      <a:t> 1.05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8911-47AC-AFBF-EE38DD182AE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2020</c:v>
                </c:pt>
                <c:pt idx="1">
                  <c:v>2021</c:v>
                </c:pt>
                <c:pt idx="2">
                  <c:v>2022</c:v>
                </c:pt>
                <c:pt idx="3">
                  <c:v>2023</c:v>
                </c:pt>
                <c:pt idx="4">
                  <c:v>2024</c:v>
                </c:pt>
              </c:numCache>
            </c:numRef>
          </c:cat>
          <c:val>
            <c:numRef>
              <c:f>'04. FDI SO SANH '!$B$18:$F$18</c:f>
              <c:numCache>
                <c:formatCode>0.00</c:formatCode>
                <c:ptCount val="5"/>
                <c:pt idx="0">
                  <c:v>2.4786096414807499</c:v>
                </c:pt>
                <c:pt idx="1">
                  <c:v>1.047156869378661</c:v>
                </c:pt>
                <c:pt idx="2">
                  <c:v>1.8274167558199998</c:v>
                </c:pt>
                <c:pt idx="3">
                  <c:v>3.1132775498300007</c:v>
                </c:pt>
                <c:pt idx="4">
                  <c:v>0.92956403866999993</c:v>
                </c:pt>
              </c:numCache>
            </c:numRef>
          </c:val>
          <c:extLst>
            <c:ext xmlns:c16="http://schemas.microsoft.com/office/drawing/2014/chart" uri="{C3380CC4-5D6E-409C-BE32-E72D297353CC}">
              <c16:uniqueId val="{00000011-8911-47AC-AFBF-EE38DD182AEF}"/>
            </c:ext>
          </c:extLst>
        </c:ser>
        <c:dLbls>
          <c:showLegendKey val="0"/>
          <c:showVal val="0"/>
          <c:showCatName val="0"/>
          <c:showSerName val="0"/>
          <c:showPercent val="0"/>
          <c:showBubbleSize val="0"/>
        </c:dLbls>
        <c:gapWidth val="150"/>
        <c:overlap val="100"/>
        <c:axId val="-1874218784"/>
        <c:axId val="-1874232928"/>
      </c:barChart>
      <c:catAx>
        <c:axId val="-1874218784"/>
        <c:scaling>
          <c:orientation val="minMax"/>
        </c:scaling>
        <c:delete val="0"/>
        <c:axPos val="l"/>
        <c:numFmt formatCode="General" sourceLinked="1"/>
        <c:majorTickMark val="out"/>
        <c:minorTickMark val="none"/>
        <c:tickLblPos val="nextTo"/>
        <c:crossAx val="-1874232928"/>
        <c:crosses val="autoZero"/>
        <c:auto val="1"/>
        <c:lblAlgn val="ctr"/>
        <c:lblOffset val="100"/>
        <c:noMultiLvlLbl val="0"/>
      </c:catAx>
      <c:valAx>
        <c:axId val="-1874232928"/>
        <c:scaling>
          <c:orientation val="minMax"/>
        </c:scaling>
        <c:delete val="0"/>
        <c:axPos val="b"/>
        <c:majorGridlines/>
        <c:numFmt formatCode="0.00" sourceLinked="1"/>
        <c:majorTickMark val="out"/>
        <c:minorTickMark val="none"/>
        <c:tickLblPos val="nextTo"/>
        <c:crossAx val="-1874218784"/>
        <c:crosses val="autoZero"/>
        <c:crossBetween val="between"/>
      </c:valAx>
    </c:plotArea>
    <c:legend>
      <c:legendPos val="b"/>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Sheet1!$B$4:$F$4</c:f>
              <c:numCache>
                <c:formatCode>General</c:formatCode>
                <c:ptCount val="5"/>
                <c:pt idx="0">
                  <c:v>2020</c:v>
                </c:pt>
                <c:pt idx="1">
                  <c:v>2021</c:v>
                </c:pt>
                <c:pt idx="2">
                  <c:v>2022</c:v>
                </c:pt>
                <c:pt idx="3">
                  <c:v>2023</c:v>
                </c:pt>
                <c:pt idx="4">
                  <c:v>2024</c:v>
                </c:pt>
              </c:numCache>
            </c:numRef>
          </c:cat>
          <c:val>
            <c:numRef>
              <c:f>Sheet1!$B$5:$F$5</c:f>
              <c:numCache>
                <c:formatCode>0.00</c:formatCode>
                <c:ptCount val="5"/>
                <c:pt idx="0">
                  <c:v>6.7</c:v>
                </c:pt>
                <c:pt idx="1">
                  <c:v>7.15</c:v>
                </c:pt>
                <c:pt idx="2">
                  <c:v>7.71</c:v>
                </c:pt>
                <c:pt idx="3">
                  <c:v>7.65</c:v>
                </c:pt>
                <c:pt idx="4">
                  <c:v>8.25</c:v>
                </c:pt>
              </c:numCache>
            </c:numRef>
          </c:val>
          <c:extLst>
            <c:ext xmlns:c16="http://schemas.microsoft.com/office/drawing/2014/chart" uri="{C3380CC4-5D6E-409C-BE32-E72D297353CC}">
              <c16:uniqueId val="{00000000-2E4F-48B8-A4EA-11FC74772E28}"/>
            </c:ext>
          </c:extLst>
        </c:ser>
        <c:dLbls>
          <c:showLegendKey val="0"/>
          <c:showVal val="0"/>
          <c:showCatName val="0"/>
          <c:showSerName val="0"/>
          <c:showPercent val="0"/>
          <c:showBubbleSize val="0"/>
        </c:dLbls>
        <c:gapWidth val="219"/>
        <c:overlap val="-27"/>
        <c:axId val="108849792"/>
        <c:axId val="108971136"/>
      </c:barChart>
      <c:catAx>
        <c:axId val="10884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8971136"/>
        <c:crosses val="autoZero"/>
        <c:auto val="1"/>
        <c:lblAlgn val="ctr"/>
        <c:lblOffset val="100"/>
        <c:noMultiLvlLbl val="0"/>
      </c:catAx>
      <c:valAx>
        <c:axId val="108971136"/>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08849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EN!$A$4</c:f>
              <c:strCache>
                <c:ptCount val="1"/>
                <c:pt idx="0">
                  <c:v>Total (Trillion dongs)</c:v>
                </c:pt>
              </c:strCache>
            </c:strRef>
          </c:tx>
          <c:spPr>
            <a:solidFill>
              <a:schemeClr val="accent1"/>
            </a:solidFill>
            <a:ln>
              <a:noFill/>
            </a:ln>
            <a:effectLst/>
          </c:spPr>
          <c:invertIfNegative val="0"/>
          <c:dLbls>
            <c:dLbl>
              <c:idx val="2"/>
              <c:layout>
                <c:manualLayout>
                  <c:x val="0"/>
                  <c:y val="-9.72222222222222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089-4EF3-9D85-EA2EAA676968}"/>
                </c:ext>
              </c:extLst>
            </c:dLbl>
            <c:dLbl>
              <c:idx val="3"/>
              <c:layout>
                <c:manualLayout>
                  <c:x val="0"/>
                  <c:y val="-8.79629629629629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089-4EF3-9D85-EA2EAA67696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EN!$B$3:$F$3</c:f>
              <c:numCache>
                <c:formatCode>General</c:formatCode>
                <c:ptCount val="5"/>
                <c:pt idx="0">
                  <c:v>2020</c:v>
                </c:pt>
                <c:pt idx="1">
                  <c:v>2021</c:v>
                </c:pt>
                <c:pt idx="2">
                  <c:v>2022</c:v>
                </c:pt>
                <c:pt idx="3">
                  <c:v>2023</c:v>
                </c:pt>
                <c:pt idx="4">
                  <c:v>2024</c:v>
                </c:pt>
              </c:numCache>
            </c:numRef>
          </c:cat>
          <c:val>
            <c:numRef>
              <c:f>EN!$B$4:$F$4</c:f>
              <c:numCache>
                <c:formatCode>0.0</c:formatCode>
                <c:ptCount val="5"/>
                <c:pt idx="0">
                  <c:v>1889.4045062374651</c:v>
                </c:pt>
                <c:pt idx="1">
                  <c:v>1910.2091817770679</c:v>
                </c:pt>
                <c:pt idx="2">
                  <c:v>2115.3537145675591</c:v>
                </c:pt>
                <c:pt idx="3">
                  <c:v>2374.6977042748831</c:v>
                </c:pt>
                <c:pt idx="4">
                  <c:v>2580.1752212341084</c:v>
                </c:pt>
              </c:numCache>
            </c:numRef>
          </c:val>
          <c:extLst>
            <c:ext xmlns:c16="http://schemas.microsoft.com/office/drawing/2014/chart" uri="{C3380CC4-5D6E-409C-BE32-E72D297353CC}">
              <c16:uniqueId val="{00000002-C089-4EF3-9D85-EA2EAA676968}"/>
            </c:ext>
          </c:extLst>
        </c:ser>
        <c:dLbls>
          <c:showLegendKey val="0"/>
          <c:showVal val="0"/>
          <c:showCatName val="0"/>
          <c:showSerName val="0"/>
          <c:showPercent val="0"/>
          <c:showBubbleSize val="0"/>
        </c:dLbls>
        <c:gapWidth val="122"/>
        <c:overlap val="-27"/>
        <c:axId val="-1088186544"/>
        <c:axId val="-1088186000"/>
      </c:barChart>
      <c:lineChart>
        <c:grouping val="stacked"/>
        <c:varyColors val="0"/>
        <c:ser>
          <c:idx val="1"/>
          <c:order val="1"/>
          <c:tx>
            <c:strRef>
              <c:f>EN!$A$5</c:f>
              <c:strCache>
                <c:ptCount val="1"/>
                <c:pt idx="0">
                  <c:v>Growth rate over the same period last year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3.7383177570093455E-2"/>
                  <c:y val="-7.407407407407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089-4EF3-9D85-EA2EAA676968}"/>
                </c:ext>
              </c:extLst>
            </c:dLbl>
            <c:dLbl>
              <c:idx val="1"/>
              <c:layout>
                <c:manualLayout>
                  <c:x val="-3.7383177570093504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089-4EF3-9D85-EA2EAA676968}"/>
                </c:ext>
              </c:extLst>
            </c:dLbl>
            <c:dLbl>
              <c:idx val="2"/>
              <c:layout>
                <c:manualLayout>
                  <c:x val="-4.2367601246105918E-2"/>
                  <c:y val="0.1388888888888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089-4EF3-9D85-EA2EAA676968}"/>
                </c:ext>
              </c:extLst>
            </c:dLbl>
            <c:dLbl>
              <c:idx val="3"/>
              <c:layout>
                <c:manualLayout>
                  <c:x val="-4.3587803860966071E-2"/>
                  <c:y val="0.1388888888888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089-4EF3-9D85-EA2EAA676968}"/>
                </c:ext>
              </c:extLst>
            </c:dLbl>
            <c:dLbl>
              <c:idx val="4"/>
              <c:layout>
                <c:manualLayout>
                  <c:x val="-3.4890965732087227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089-4EF3-9D85-EA2EAA67696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EN!$B$3:$F$3</c:f>
              <c:numCache>
                <c:formatCode>General</c:formatCode>
                <c:ptCount val="5"/>
                <c:pt idx="0">
                  <c:v>2020</c:v>
                </c:pt>
                <c:pt idx="1">
                  <c:v>2021</c:v>
                </c:pt>
                <c:pt idx="2">
                  <c:v>2022</c:v>
                </c:pt>
                <c:pt idx="3">
                  <c:v>2023</c:v>
                </c:pt>
                <c:pt idx="4">
                  <c:v>2024</c:v>
                </c:pt>
              </c:numCache>
            </c:numRef>
          </c:cat>
          <c:val>
            <c:numRef>
              <c:f>EN!$B$5:$F$5</c:f>
              <c:numCache>
                <c:formatCode>0.0</c:formatCode>
                <c:ptCount val="5"/>
                <c:pt idx="0">
                  <c:v>-4.0742037867279635</c:v>
                </c:pt>
                <c:pt idx="1">
                  <c:v>1.1011234212113123</c:v>
                </c:pt>
                <c:pt idx="2">
                  <c:v>10.739375286618881</c:v>
                </c:pt>
                <c:pt idx="3">
                  <c:v>12.260076786275988</c:v>
                </c:pt>
                <c:pt idx="4">
                  <c:v>8.6527862720938771</c:v>
                </c:pt>
              </c:numCache>
            </c:numRef>
          </c:val>
          <c:smooth val="0"/>
          <c:extLst>
            <c:ext xmlns:c16="http://schemas.microsoft.com/office/drawing/2014/chart" uri="{C3380CC4-5D6E-409C-BE32-E72D297353CC}">
              <c16:uniqueId val="{00000008-C089-4EF3-9D85-EA2EAA676968}"/>
            </c:ext>
          </c:extLst>
        </c:ser>
        <c:dLbls>
          <c:showLegendKey val="0"/>
          <c:showVal val="0"/>
          <c:showCatName val="0"/>
          <c:showSerName val="0"/>
          <c:showPercent val="0"/>
          <c:showBubbleSize val="0"/>
        </c:dLbls>
        <c:marker val="1"/>
        <c:smooth val="0"/>
        <c:axId val="-1088179472"/>
        <c:axId val="-1088185456"/>
      </c:lineChart>
      <c:catAx>
        <c:axId val="-1088186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88186000"/>
        <c:crosses val="autoZero"/>
        <c:auto val="1"/>
        <c:lblAlgn val="ctr"/>
        <c:lblOffset val="100"/>
        <c:noMultiLvlLbl val="0"/>
      </c:catAx>
      <c:valAx>
        <c:axId val="-10881860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1">
                    <a:lumMod val="75000"/>
                  </a:schemeClr>
                </a:solidFill>
                <a:latin typeface="Arial" panose="020B0604020202020204" pitchFamily="34" charset="0"/>
                <a:ea typeface="+mn-ea"/>
                <a:cs typeface="Arial" panose="020B0604020202020204" pitchFamily="34" charset="0"/>
              </a:defRPr>
            </a:pPr>
            <a:endParaRPr lang="en-US"/>
          </a:p>
        </c:txPr>
        <c:crossAx val="-1088186544"/>
        <c:crosses val="autoZero"/>
        <c:crossBetween val="between"/>
      </c:valAx>
      <c:valAx>
        <c:axId val="-1088185456"/>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2">
                    <a:lumMod val="75000"/>
                  </a:schemeClr>
                </a:solidFill>
                <a:latin typeface="Arial" panose="020B0604020202020204" pitchFamily="34" charset="0"/>
                <a:ea typeface="+mn-ea"/>
                <a:cs typeface="Arial" panose="020B0604020202020204" pitchFamily="34" charset="0"/>
              </a:defRPr>
            </a:pPr>
            <a:endParaRPr lang="en-US"/>
          </a:p>
        </c:txPr>
        <c:crossAx val="-1088179472"/>
        <c:crosses val="max"/>
        <c:crossBetween val="between"/>
      </c:valAx>
      <c:catAx>
        <c:axId val="-1088179472"/>
        <c:scaling>
          <c:orientation val="minMax"/>
        </c:scaling>
        <c:delete val="1"/>
        <c:axPos val="b"/>
        <c:numFmt formatCode="General" sourceLinked="1"/>
        <c:majorTickMark val="out"/>
        <c:minorTickMark val="none"/>
        <c:tickLblPos val="nextTo"/>
        <c:crossAx val="-10881854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Export and import turnover of goods</a:t>
            </a:r>
          </a:p>
          <a:p>
            <a:pPr>
              <a:defRPr sz="900">
                <a:solidFill>
                  <a:sysClr val="windowText" lastClr="000000"/>
                </a:solidFill>
                <a:latin typeface="Arial" panose="020B0604020202020204" pitchFamily="34" charset="0"/>
                <a:cs typeface="Arial" panose="020B0604020202020204" pitchFamily="34" charset="0"/>
              </a:defRPr>
            </a:pPr>
            <a:r>
              <a:rPr lang="en-US" sz="900" b="1" i="1" baseline="0">
                <a:solidFill>
                  <a:sysClr val="windowText" lastClr="000000"/>
                </a:solidFill>
                <a:effectLst/>
                <a:latin typeface="Arial" panose="020B0604020202020204" pitchFamily="34" charset="0"/>
                <a:cs typeface="Arial" panose="020B0604020202020204" pitchFamily="34" charset="0"/>
              </a:rPr>
              <a:t>(Billion USD)</a:t>
            </a:r>
          </a:p>
        </c:rich>
      </c:tx>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v>Xuất khẩu hàng hóa</c:v>
          </c:tx>
          <c:spPr>
            <a:solidFill>
              <a:srgbClr val="C00000"/>
            </a:solidFill>
            <a:ln w="3175">
              <a:solidFill>
                <a:schemeClr val="bg2">
                  <a:lumMod val="2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EN'!$B$3:$B$8</c:f>
              <c:numCache>
                <c:formatCode>0.0</c:formatCode>
                <c:ptCount val="6"/>
                <c:pt idx="0">
                  <c:v>22.6</c:v>
                </c:pt>
                <c:pt idx="1">
                  <c:v>44</c:v>
                </c:pt>
                <c:pt idx="2">
                  <c:v>15.3</c:v>
                </c:pt>
                <c:pt idx="3">
                  <c:v>10.4</c:v>
                </c:pt>
                <c:pt idx="4">
                  <c:v>20.7</c:v>
                </c:pt>
                <c:pt idx="5">
                  <c:v>9.5</c:v>
                </c:pt>
              </c:numCache>
            </c:numRef>
          </c:val>
          <c:extLst>
            <c:ext xmlns:c16="http://schemas.microsoft.com/office/drawing/2014/chart" uri="{C3380CC4-5D6E-409C-BE32-E72D297353CC}">
              <c16:uniqueId val="{00000000-A7F8-4D74-9C62-DBD33C9E92B3}"/>
            </c:ext>
          </c:extLst>
        </c:ser>
        <c:ser>
          <c:idx val="1"/>
          <c:order val="1"/>
          <c:tx>
            <c:v>Nhập khẩu hàng hóa</c:v>
          </c:tx>
          <c:spPr>
            <a:solidFill>
              <a:srgbClr val="FFFF00"/>
            </a:solidFill>
            <a:ln w="3175">
              <a:solidFill>
                <a:schemeClr val="bg2">
                  <a:lumMod val="25000"/>
                </a:schemeClr>
              </a:solidFill>
            </a:ln>
            <a:effectLst/>
          </c:spPr>
          <c:invertIfNegative val="0"/>
          <c:dLbls>
            <c:dLbl>
              <c:idx val="1"/>
              <c:layout>
                <c:manualLayout>
                  <c:x val="-4.8966670800076898E-17"/>
                  <c:y val="9.27213722763096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7F8-4D74-9C62-DBD33C9E92B3}"/>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EN'!$D$3:$D$8</c:f>
              <c:numCache>
                <c:formatCode>0.0</c:formatCode>
                <c:ptCount val="6"/>
                <c:pt idx="0">
                  <c:v>54.9</c:v>
                </c:pt>
                <c:pt idx="1">
                  <c:v>5.9</c:v>
                </c:pt>
                <c:pt idx="2">
                  <c:v>19.5</c:v>
                </c:pt>
                <c:pt idx="3">
                  <c:v>21.5</c:v>
                </c:pt>
                <c:pt idx="4">
                  <c:v>6.4</c:v>
                </c:pt>
                <c:pt idx="5">
                  <c:v>9.3000000000000007</c:v>
                </c:pt>
              </c:numCache>
            </c:numRef>
          </c:val>
          <c:extLst>
            <c:ext xmlns:c16="http://schemas.microsoft.com/office/drawing/2014/chart" uri="{C3380CC4-5D6E-409C-BE32-E72D297353CC}">
              <c16:uniqueId val="{00000002-A7F8-4D74-9C62-DBD33C9E92B3}"/>
            </c:ext>
          </c:extLst>
        </c:ser>
        <c:dLbls>
          <c:showLegendKey val="0"/>
          <c:showVal val="0"/>
          <c:showCatName val="0"/>
          <c:showSerName val="0"/>
          <c:showPercent val="0"/>
          <c:showBubbleSize val="0"/>
        </c:dLbls>
        <c:gapWidth val="75"/>
        <c:overlap val="100"/>
        <c:axId val="319683056"/>
        <c:axId val="319688048"/>
      </c:barChart>
      <c:catAx>
        <c:axId val="31968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19688048"/>
        <c:crosses val="autoZero"/>
        <c:auto val="1"/>
        <c:lblAlgn val="ctr"/>
        <c:lblOffset val="100"/>
        <c:noMultiLvlLbl val="0"/>
      </c:catAx>
      <c:valAx>
        <c:axId val="319688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
                <a:ea typeface="+mn-ea"/>
                <a:cs typeface="+mn-cs"/>
              </a:defRPr>
            </a:pPr>
            <a:endParaRPr lang="en-US"/>
          </a:p>
        </c:txPr>
        <c:crossAx val="319683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Growth rate of exports and imports of goods over the same period last year </a:t>
            </a:r>
            <a:r>
              <a:rPr lang="en-US" sz="900" b="1" i="1" baseline="0">
                <a:solidFill>
                  <a:sysClr val="windowText" lastClr="000000"/>
                </a:solidFill>
                <a:effectLst/>
                <a:latin typeface="Arial" panose="020B0604020202020204" pitchFamily="34" charset="0"/>
                <a:cs typeface="Arial" panose="020B0604020202020204" pitchFamily="34" charset="0"/>
              </a:rPr>
              <a:t>(%)</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v>Xuất khẩu hàng hóa</c:v>
          </c:tx>
          <c:spPr>
            <a:solidFill>
              <a:srgbClr val="C00000"/>
            </a:solidFill>
            <a:ln w="3175">
              <a:solidFill>
                <a:schemeClr val="bg2">
                  <a:lumMod val="25000"/>
                </a:schemeClr>
              </a:solid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EN'!$C$3:$C$8</c:f>
              <c:numCache>
                <c:formatCode>0.0</c:formatCode>
                <c:ptCount val="6"/>
                <c:pt idx="0" formatCode="General">
                  <c:v>10.199999999999999</c:v>
                </c:pt>
                <c:pt idx="1">
                  <c:v>21</c:v>
                </c:pt>
                <c:pt idx="2">
                  <c:v>12</c:v>
                </c:pt>
                <c:pt idx="3">
                  <c:v>12.8</c:v>
                </c:pt>
                <c:pt idx="4" formatCode="General">
                  <c:v>16.100000000000001</c:v>
                </c:pt>
                <c:pt idx="5">
                  <c:v>4.7</c:v>
                </c:pt>
              </c:numCache>
            </c:numRef>
          </c:val>
          <c:extLst>
            <c:ext xmlns:c16="http://schemas.microsoft.com/office/drawing/2014/chart" uri="{C3380CC4-5D6E-409C-BE32-E72D297353CC}">
              <c16:uniqueId val="{00000000-E32A-4BC2-AB8E-447A79521B5C}"/>
            </c:ext>
          </c:extLst>
        </c:ser>
        <c:ser>
          <c:idx val="1"/>
          <c:order val="1"/>
          <c:tx>
            <c:v>Nhập khẩu hàng hóa</c:v>
          </c:tx>
          <c:spPr>
            <a:solidFill>
              <a:srgbClr val="FFFF00"/>
            </a:solidFill>
            <a:ln w="3175">
              <a:solidFill>
                <a:schemeClr val="bg2">
                  <a:lumMod val="25000"/>
                </a:schemeClr>
              </a:solidFill>
            </a:ln>
            <a:effectLst/>
          </c:spPr>
          <c:invertIfNegative val="0"/>
          <c:dLbls>
            <c:dLbl>
              <c:idx val="1"/>
              <c:layout>
                <c:manualLayout>
                  <c:x val="3.5813458100346151E-4"/>
                  <c:y val="-3.78668575518969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32A-4BC2-AB8E-447A79521B5C}"/>
                </c:ext>
              </c:extLst>
            </c:dLbl>
            <c:dLbl>
              <c:idx val="4"/>
              <c:layout>
                <c:manualLayout>
                  <c:x val="7.6045627376424927E-3"/>
                  <c:y val="1.13648293963254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32A-4BC2-AB8E-447A79521B5C}"/>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EN'!$E$3:$E$8</c:f>
              <c:numCache>
                <c:formatCode>General</c:formatCode>
                <c:ptCount val="6"/>
                <c:pt idx="0" formatCode="0.0">
                  <c:v>33.1</c:v>
                </c:pt>
                <c:pt idx="1">
                  <c:v>3.7</c:v>
                </c:pt>
                <c:pt idx="2">
                  <c:v>17</c:v>
                </c:pt>
                <c:pt idx="3">
                  <c:v>6.6</c:v>
                </c:pt>
                <c:pt idx="4" formatCode="0.0">
                  <c:v>11.3</c:v>
                </c:pt>
                <c:pt idx="5" formatCode="0.0">
                  <c:v>10.7</c:v>
                </c:pt>
              </c:numCache>
            </c:numRef>
          </c:val>
          <c:extLst>
            <c:ext xmlns:c16="http://schemas.microsoft.com/office/drawing/2014/chart" uri="{C3380CC4-5D6E-409C-BE32-E72D297353CC}">
              <c16:uniqueId val="{00000003-E32A-4BC2-AB8E-447A79521B5C}"/>
            </c:ext>
          </c:extLst>
        </c:ser>
        <c:dLbls>
          <c:showLegendKey val="0"/>
          <c:showVal val="0"/>
          <c:showCatName val="0"/>
          <c:showSerName val="0"/>
          <c:showPercent val="0"/>
          <c:showBubbleSize val="0"/>
        </c:dLbls>
        <c:gapWidth val="30"/>
        <c:overlap val="-30"/>
        <c:axId val="464358304"/>
        <c:axId val="464351232"/>
      </c:barChart>
      <c:catAx>
        <c:axId val="4643583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64351232"/>
        <c:crosses val="autoZero"/>
        <c:auto val="1"/>
        <c:lblAlgn val="ctr"/>
        <c:lblOffset val="100"/>
        <c:noMultiLvlLbl val="0"/>
      </c:catAx>
      <c:valAx>
        <c:axId val="464351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
                <a:ea typeface="+mn-ea"/>
                <a:cs typeface="+mn-cs"/>
              </a:defRPr>
            </a:pPr>
            <a:endParaRPr lang="en-US"/>
          </a:p>
        </c:txPr>
        <c:crossAx val="464358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99129165145748"/>
          <c:y val="2.4169503564529682E-2"/>
          <c:w val="0.85555161565069271"/>
          <c:h val="0.53272246909730347"/>
        </c:manualLayout>
      </c:layout>
      <c:barChart>
        <c:barDir val="col"/>
        <c:grouping val="clustered"/>
        <c:varyColors val="0"/>
        <c:ser>
          <c:idx val="0"/>
          <c:order val="0"/>
          <c:spPr>
            <a:solidFill>
              <a:srgbClr val="FF0000"/>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7627-482D-A7B7-5C387F78C8CA}"/>
              </c:ext>
            </c:extLst>
          </c:dPt>
          <c:dPt>
            <c:idx val="1"/>
            <c:invertIfNegative val="0"/>
            <c:bubble3D val="0"/>
            <c:spPr>
              <a:solidFill>
                <a:srgbClr val="FF0000"/>
              </a:solidFill>
              <a:ln>
                <a:noFill/>
              </a:ln>
              <a:effectLst/>
            </c:spPr>
            <c:extLst>
              <c:ext xmlns:c16="http://schemas.microsoft.com/office/drawing/2014/chart" uri="{C3380CC4-5D6E-409C-BE32-E72D297353CC}">
                <c16:uniqueId val="{00000003-7627-482D-A7B7-5C387F78C8CA}"/>
              </c:ext>
            </c:extLst>
          </c:dPt>
          <c:dPt>
            <c:idx val="2"/>
            <c:invertIfNegative val="0"/>
            <c:bubble3D val="0"/>
            <c:spPr>
              <a:solidFill>
                <a:srgbClr val="FF0000"/>
              </a:solidFill>
              <a:ln>
                <a:noFill/>
              </a:ln>
              <a:effectLst/>
            </c:spPr>
            <c:extLst>
              <c:ext xmlns:c16="http://schemas.microsoft.com/office/drawing/2014/chart" uri="{C3380CC4-5D6E-409C-BE32-E72D297353CC}">
                <c16:uniqueId val="{00000005-7627-482D-A7B7-5C387F78C8CA}"/>
              </c:ext>
            </c:extLst>
          </c:dPt>
          <c:dPt>
            <c:idx val="3"/>
            <c:invertIfNegative val="0"/>
            <c:bubble3D val="0"/>
            <c:spPr>
              <a:solidFill>
                <a:srgbClr val="FF0000"/>
              </a:solidFill>
              <a:ln>
                <a:noFill/>
              </a:ln>
              <a:effectLst/>
            </c:spPr>
            <c:extLst>
              <c:ext xmlns:c16="http://schemas.microsoft.com/office/drawing/2014/chart" uri="{C3380CC4-5D6E-409C-BE32-E72D297353CC}">
                <c16:uniqueId val="{00000007-7627-482D-A7B7-5C387F78C8CA}"/>
              </c:ext>
            </c:extLst>
          </c:dPt>
          <c:dPt>
            <c:idx val="4"/>
            <c:invertIfNegative val="0"/>
            <c:bubble3D val="0"/>
            <c:spPr>
              <a:solidFill>
                <a:srgbClr val="FF0000"/>
              </a:solidFill>
              <a:ln>
                <a:solidFill>
                  <a:srgbClr val="00B050"/>
                </a:solidFill>
              </a:ln>
              <a:effectLst/>
            </c:spPr>
            <c:extLst>
              <c:ext xmlns:c16="http://schemas.microsoft.com/office/drawing/2014/chart" uri="{C3380CC4-5D6E-409C-BE32-E72D297353CC}">
                <c16:uniqueId val="{00000009-7627-482D-A7B7-5C387F78C8CA}"/>
              </c:ext>
            </c:extLst>
          </c:dPt>
          <c:dPt>
            <c:idx val="6"/>
            <c:invertIfNegative val="0"/>
            <c:bubble3D val="0"/>
            <c:spPr>
              <a:solidFill>
                <a:srgbClr val="FF0000"/>
              </a:solidFill>
              <a:ln>
                <a:noFill/>
              </a:ln>
              <a:effectLst/>
            </c:spPr>
            <c:extLst>
              <c:ext xmlns:c16="http://schemas.microsoft.com/office/drawing/2014/chart" uri="{C3380CC4-5D6E-409C-BE32-E72D297353CC}">
                <c16:uniqueId val="{0000000B-7627-482D-A7B7-5C387F78C8CA}"/>
              </c:ext>
            </c:extLst>
          </c:dPt>
          <c:dPt>
            <c:idx val="8"/>
            <c:invertIfNegative val="0"/>
            <c:bubble3D val="0"/>
            <c:spPr>
              <a:solidFill>
                <a:srgbClr val="FF0000"/>
              </a:solidFill>
              <a:ln>
                <a:noFill/>
              </a:ln>
              <a:effectLst/>
            </c:spPr>
            <c:extLst>
              <c:ext xmlns:c16="http://schemas.microsoft.com/office/drawing/2014/chart" uri="{C3380CC4-5D6E-409C-BE32-E72D297353CC}">
                <c16:uniqueId val="{0000000D-7627-482D-A7B7-5C387F78C8CA}"/>
              </c:ext>
            </c:extLst>
          </c:dPt>
          <c:dPt>
            <c:idx val="9"/>
            <c:invertIfNegative val="0"/>
            <c:bubble3D val="0"/>
            <c:spPr>
              <a:solidFill>
                <a:srgbClr val="00B050"/>
              </a:solidFill>
              <a:ln>
                <a:noFill/>
              </a:ln>
              <a:effectLst/>
            </c:spPr>
            <c:extLst>
              <c:ext xmlns:c16="http://schemas.microsoft.com/office/drawing/2014/chart" uri="{C3380CC4-5D6E-409C-BE32-E72D297353CC}">
                <c16:uniqueId val="{0000000F-7627-482D-A7B7-5C387F78C8CA}"/>
              </c:ext>
            </c:extLst>
          </c:dPt>
          <c:dPt>
            <c:idx val="10"/>
            <c:invertIfNegative val="0"/>
            <c:bubble3D val="0"/>
            <c:spPr>
              <a:solidFill>
                <a:srgbClr val="00B050"/>
              </a:solidFill>
              <a:ln>
                <a:noFill/>
              </a:ln>
              <a:effectLst/>
            </c:spPr>
            <c:extLst>
              <c:ext xmlns:c16="http://schemas.microsoft.com/office/drawing/2014/chart" uri="{C3380CC4-5D6E-409C-BE32-E72D297353CC}">
                <c16:uniqueId val="{00000011-7627-482D-A7B7-5C387F78C8CA}"/>
              </c:ext>
            </c:extLst>
          </c:dPt>
          <c:dPt>
            <c:idx val="11"/>
            <c:invertIfNegative val="0"/>
            <c:bubble3D val="0"/>
            <c:spPr>
              <a:solidFill>
                <a:srgbClr val="FF0000"/>
              </a:solidFill>
              <a:ln>
                <a:noFill/>
              </a:ln>
              <a:effectLst/>
            </c:spPr>
            <c:extLst>
              <c:ext xmlns:c16="http://schemas.microsoft.com/office/drawing/2014/chart" uri="{C3380CC4-5D6E-409C-BE32-E72D297353CC}">
                <c16:uniqueId val="{00000013-7627-482D-A7B7-5C387F78C8CA}"/>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Sheet2!$B$2:$B$13</c:f>
              <c:strCache>
                <c:ptCount val="12"/>
                <c:pt idx="0">
                  <c:v>Consumer price index</c:v>
                </c:pt>
                <c:pt idx="1">
                  <c:v>I. Food and foodstuff</c:v>
                </c:pt>
                <c:pt idx="2">
                  <c:v>IV. Housing and construction materials</c:v>
                </c:pt>
                <c:pt idx="3">
                  <c:v>X. Culture, entertainments and tourism</c:v>
                </c:pt>
                <c:pt idx="4">
                  <c:v>XI. Other consumer goods and services</c:v>
                </c:pt>
                <c:pt idx="5">
                  <c:v>II. Beverage and cigarette</c:v>
                </c:pt>
                <c:pt idx="6">
                  <c:v>V. Household equipment and goods</c:v>
                </c:pt>
                <c:pt idx="7">
                  <c:v>VI. Medicine and health care services</c:v>
                </c:pt>
                <c:pt idx="8">
                  <c:v>III. Garment, hat, footwear</c:v>
                </c:pt>
                <c:pt idx="9">
                  <c:v>VIII. Post and communication</c:v>
                </c:pt>
                <c:pt idx="10">
                  <c:v>IX. Education </c:v>
                </c:pt>
                <c:pt idx="11">
                  <c:v>VII. Transport</c:v>
                </c:pt>
              </c:strCache>
            </c:strRef>
          </c:cat>
          <c:val>
            <c:numRef>
              <c:f>Sheet2!$C$2:$C$13</c:f>
              <c:numCache>
                <c:formatCode>0.00%</c:formatCode>
                <c:ptCount val="12"/>
                <c:pt idx="0">
                  <c:v>4.6899999999993724E-4</c:v>
                </c:pt>
                <c:pt idx="1">
                  <c:v>3.8450000000000272E-3</c:v>
                </c:pt>
                <c:pt idx="2">
                  <c:v>3.8110000000000353E-3</c:v>
                </c:pt>
                <c:pt idx="3">
                  <c:v>3.0740000000000125E-3</c:v>
                </c:pt>
                <c:pt idx="4">
                  <c:v>2.0080000000000098E-3</c:v>
                </c:pt>
                <c:pt idx="5">
                  <c:v>1.3989999999999725E-3</c:v>
                </c:pt>
                <c:pt idx="6">
                  <c:v>1.162999999999954E-3</c:v>
                </c:pt>
                <c:pt idx="7">
                  <c:v>1.1499999999998068E-4</c:v>
                </c:pt>
                <c:pt idx="8">
                  <c:v>1.4000000000038426E-5</c:v>
                </c:pt>
                <c:pt idx="9">
                  <c:v>-9.0299999999999159E-4</c:v>
                </c:pt>
                <c:pt idx="10">
                  <c:v>-2.5100000000000478E-3</c:v>
                </c:pt>
                <c:pt idx="11">
                  <c:v>-1.7272999999999997E-2</c:v>
                </c:pt>
              </c:numCache>
            </c:numRef>
          </c:val>
          <c:extLst>
            <c:ext xmlns:c16="http://schemas.microsoft.com/office/drawing/2014/chart" uri="{C3380CC4-5D6E-409C-BE32-E72D297353CC}">
              <c16:uniqueId val="{00000014-7627-482D-A7B7-5C387F78C8CA}"/>
            </c:ext>
          </c:extLst>
        </c:ser>
        <c:dLbls>
          <c:showLegendKey val="0"/>
          <c:showVal val="0"/>
          <c:showCatName val="0"/>
          <c:showSerName val="0"/>
          <c:showPercent val="0"/>
          <c:showBubbleSize val="0"/>
        </c:dLbls>
        <c:gapWidth val="150"/>
        <c:overlap val="-25"/>
        <c:axId val="124467008"/>
        <c:axId val="120957152"/>
      </c:barChart>
      <c:catAx>
        <c:axId val="1244670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0957152"/>
        <c:crosses val="autoZero"/>
        <c:auto val="1"/>
        <c:lblAlgn val="ctr"/>
        <c:lblOffset val="100"/>
        <c:noMultiLvlLbl val="0"/>
      </c:catAx>
      <c:valAx>
        <c:axId val="1209571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467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0.18303</cdr:x>
      <cdr:y>0.12744</cdr:y>
    </cdr:from>
    <cdr:to>
      <cdr:x>0.2516</cdr:x>
      <cdr:y>0.16535</cdr:y>
    </cdr:to>
    <cdr:sp macro="" textlink="">
      <cdr:nvSpPr>
        <cdr:cNvPr id="4" name="Rectangle 3">
          <a:extLst xmlns:a="http://schemas.openxmlformats.org/drawingml/2006/main">
            <a:ext uri="{FF2B5EF4-FFF2-40B4-BE49-F238E27FC236}">
              <a16:creationId xmlns:a16="http://schemas.microsoft.com/office/drawing/2014/main" id="{74DF8E20-E5C2-D015-9566-587CFDFAB363}"/>
            </a:ext>
          </a:extLst>
        </cdr:cNvPr>
        <cdr:cNvSpPr/>
      </cdr:nvSpPr>
      <cdr:spPr>
        <a:xfrm xmlns:a="http://schemas.openxmlformats.org/drawingml/2006/main">
          <a:off x="1087857" y="462484"/>
          <a:ext cx="407568" cy="13759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25%</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0.72405</cdr:x>
      <cdr:y>0.56949</cdr:y>
    </cdr:from>
    <cdr:to>
      <cdr:x>0.79909</cdr:x>
      <cdr:y>0.63027</cdr:y>
    </cdr:to>
    <cdr:sp macro="" textlink="">
      <cdr:nvSpPr>
        <cdr:cNvPr id="5" name="Rectangle 4">
          <a:extLst xmlns:a="http://schemas.openxmlformats.org/drawingml/2006/main">
            <a:ext uri="{FF2B5EF4-FFF2-40B4-BE49-F238E27FC236}">
              <a16:creationId xmlns:a16="http://schemas.microsoft.com/office/drawing/2014/main" id="{0880D7C8-9B92-7079-8B94-D704261C72FA}"/>
            </a:ext>
          </a:extLst>
        </cdr:cNvPr>
        <cdr:cNvSpPr/>
      </cdr:nvSpPr>
      <cdr:spPr>
        <a:xfrm xmlns:a="http://schemas.openxmlformats.org/drawingml/2006/main">
          <a:off x="6740715" y="2677478"/>
          <a:ext cx="698603" cy="28574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0,8%</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0.01753</cdr:x>
      <cdr:y>0.03114</cdr:y>
    </cdr:from>
    <cdr:to>
      <cdr:x>0.11695</cdr:x>
      <cdr:y>0.08644</cdr:y>
    </cdr:to>
    <cdr:sp macro="" textlink="">
      <cdr:nvSpPr>
        <cdr:cNvPr id="6" name="Text Box 1">
          <a:extLst xmlns:a="http://schemas.openxmlformats.org/drawingml/2006/main">
            <a:ext uri="{FF2B5EF4-FFF2-40B4-BE49-F238E27FC236}">
              <a16:creationId xmlns:a16="http://schemas.microsoft.com/office/drawing/2014/main" id="{7CFA4185-AC5D-A44F-2CBB-DC19495B8A69}"/>
            </a:ext>
          </a:extLst>
        </cdr:cNvPr>
        <cdr:cNvSpPr txBox="1"/>
      </cdr:nvSpPr>
      <cdr:spPr>
        <a:xfrm xmlns:a="http://schemas.openxmlformats.org/drawingml/2006/main">
          <a:off x="146088" y="155555"/>
          <a:ext cx="828615" cy="27626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US" sz="900" b="1" i="1">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0.18033</cdr:x>
      <cdr:y>0.13196</cdr:y>
    </cdr:from>
    <cdr:to>
      <cdr:x>0.19951</cdr:x>
      <cdr:y>0.16737</cdr:y>
    </cdr:to>
    <cdr:sp macro="" textlink="">
      <cdr:nvSpPr>
        <cdr:cNvPr id="7" name="Arrow: Right 6">
          <a:extLst xmlns:a="http://schemas.openxmlformats.org/drawingml/2006/main">
            <a:ext uri="{FF2B5EF4-FFF2-40B4-BE49-F238E27FC236}">
              <a16:creationId xmlns:a16="http://schemas.microsoft.com/office/drawing/2014/main" id="{97CF3DA6-C0D4-EEB5-6CEC-E48D4D955573}"/>
            </a:ext>
          </a:extLst>
        </cdr:cNvPr>
        <cdr:cNvSpPr/>
      </cdr:nvSpPr>
      <cdr:spPr>
        <a:xfrm xmlns:a="http://schemas.openxmlformats.org/drawingml/2006/main" rot="16200000">
          <a:off x="1064544" y="486156"/>
          <a:ext cx="128504"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0.42674</cdr:x>
      <cdr:y>0.50343</cdr:y>
    </cdr:from>
    <cdr:to>
      <cdr:x>0.44592</cdr:x>
      <cdr:y>0.53884</cdr:y>
    </cdr:to>
    <cdr:sp macro="" textlink="">
      <cdr:nvSpPr>
        <cdr:cNvPr id="11" name="Arrow: Right 10">
          <a:extLst xmlns:a="http://schemas.openxmlformats.org/drawingml/2006/main">
            <a:ext uri="{FF2B5EF4-FFF2-40B4-BE49-F238E27FC236}">
              <a16:creationId xmlns:a16="http://schemas.microsoft.com/office/drawing/2014/main" id="{2069DF1B-87D3-7189-B4C4-DFA2B71A37EC}"/>
            </a:ext>
          </a:extLst>
        </cdr:cNvPr>
        <cdr:cNvSpPr/>
      </cdr:nvSpPr>
      <cdr:spPr>
        <a:xfrm xmlns:a="http://schemas.openxmlformats.org/drawingml/2006/main" rot="16200000">
          <a:off x="4550598" y="2158572"/>
          <a:ext cx="153580" cy="203407"/>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0.62633</cdr:x>
      <cdr:y>0.54772</cdr:y>
    </cdr:from>
    <cdr:to>
      <cdr:x>0.64551</cdr:x>
      <cdr:y>0.58313</cdr:y>
    </cdr:to>
    <cdr:sp macro="" textlink="">
      <cdr:nvSpPr>
        <cdr:cNvPr id="13" name="Arrow: Right 12">
          <a:extLst xmlns:a="http://schemas.openxmlformats.org/drawingml/2006/main">
            <a:ext uri="{FF2B5EF4-FFF2-40B4-BE49-F238E27FC236}">
              <a16:creationId xmlns:a16="http://schemas.microsoft.com/office/drawing/2014/main" id="{B3E23A0A-4E44-37BF-8991-C46BEDBBAFD5}"/>
            </a:ext>
          </a:extLst>
        </cdr:cNvPr>
        <cdr:cNvSpPr/>
      </cdr:nvSpPr>
      <cdr:spPr>
        <a:xfrm xmlns:a="http://schemas.openxmlformats.org/drawingml/2006/main" rot="16200000">
          <a:off x="5870207" y="2281927"/>
          <a:ext cx="148522" cy="179292"/>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0.27677</cdr:x>
      <cdr:y>0.31256</cdr:y>
    </cdr:from>
    <cdr:to>
      <cdr:x>0.3962</cdr:x>
      <cdr:y>0.35343</cdr:y>
    </cdr:to>
    <cdr:sp macro="" textlink="">
      <cdr:nvSpPr>
        <cdr:cNvPr id="14" name="Rectangle 13">
          <a:extLst xmlns:a="http://schemas.openxmlformats.org/drawingml/2006/main">
            <a:ext uri="{FF2B5EF4-FFF2-40B4-BE49-F238E27FC236}">
              <a16:creationId xmlns:a16="http://schemas.microsoft.com/office/drawing/2014/main" id="{DF40C718-A3E0-1AB3-8BEF-853B18AE7F7E}"/>
            </a:ext>
          </a:extLst>
        </cdr:cNvPr>
        <cdr:cNvSpPr/>
      </cdr:nvSpPr>
      <cdr:spPr>
        <a:xfrm xmlns:a="http://schemas.openxmlformats.org/drawingml/2006/main">
          <a:off x="2935153" y="1355645"/>
          <a:ext cx="1266571" cy="17726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23,8%</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0.34347</cdr:x>
      <cdr:y>0.49072</cdr:y>
    </cdr:from>
    <cdr:to>
      <cdr:x>0.44104</cdr:x>
      <cdr:y>0.59084</cdr:y>
    </cdr:to>
    <cdr:sp macro="" textlink="">
      <cdr:nvSpPr>
        <cdr:cNvPr id="15" name="Rectangle 14">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3642546" y="2128350"/>
          <a:ext cx="1034744" cy="43424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5,8%</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0.44027</cdr:x>
      <cdr:y>0.49895</cdr:y>
    </cdr:from>
    <cdr:to>
      <cdr:x>0.53784</cdr:x>
      <cdr:y>0.57682</cdr:y>
    </cdr:to>
    <cdr:sp macro="" textlink="">
      <cdr:nvSpPr>
        <cdr:cNvPr id="16" name="Rectangle 15">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4669092" y="2164062"/>
          <a:ext cx="1034744" cy="33773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13,5%</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0.54095</cdr:x>
      <cdr:y>0.51629</cdr:y>
    </cdr:from>
    <cdr:to>
      <cdr:x>0.63852</cdr:x>
      <cdr:y>0.60168</cdr:y>
    </cdr:to>
    <cdr:sp macro="" textlink="">
      <cdr:nvSpPr>
        <cdr:cNvPr id="17" name="Rectangle 16">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5056712" y="2165510"/>
          <a:ext cx="912069" cy="35813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5,3%</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0.63421</cdr:x>
      <cdr:y>0.55036</cdr:y>
    </cdr:from>
    <cdr:to>
      <cdr:x>0.73178</cdr:x>
      <cdr:y>0.62627</cdr:y>
    </cdr:to>
    <cdr:sp macro="" textlink="">
      <cdr:nvSpPr>
        <cdr:cNvPr id="18" name="Rectangle 17">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5928492" y="2308385"/>
          <a:ext cx="912068" cy="31840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baseline="0">
              <a:solidFill>
                <a:sysClr val="windowText" lastClr="000000"/>
              </a:solidFill>
              <a:latin typeface="Arial" panose="020B0604020202020204" pitchFamily="34" charset="0"/>
              <a:cs typeface="Arial" panose="020B0604020202020204" pitchFamily="34" charset="0"/>
            </a:rPr>
            <a:t>   4</a:t>
          </a:r>
          <a:r>
            <a:rPr lang="en-US" sz="800">
              <a:solidFill>
                <a:sysClr val="windowText" lastClr="000000"/>
              </a:solidFill>
              <a:latin typeface="Arial" panose="020B0604020202020204" pitchFamily="34" charset="0"/>
              <a:cs typeface="Arial" panose="020B0604020202020204" pitchFamily="34" charset="0"/>
            </a:rPr>
            <a:t>,5%</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0.83213</cdr:x>
      <cdr:y>0.57307</cdr:y>
    </cdr:from>
    <cdr:to>
      <cdr:x>0.94014</cdr:x>
      <cdr:y>0.63395</cdr:y>
    </cdr:to>
    <cdr:sp macro="" textlink="">
      <cdr:nvSpPr>
        <cdr:cNvPr id="19" name="Rectangle 18">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7778593" y="2403635"/>
          <a:ext cx="1009650" cy="25536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17,8%</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0.91186</cdr:x>
      <cdr:y>0.55381</cdr:y>
    </cdr:from>
    <cdr:to>
      <cdr:x>1</cdr:x>
      <cdr:y>0.62992</cdr:y>
    </cdr:to>
    <cdr:sp macro="" textlink="">
      <cdr:nvSpPr>
        <cdr:cNvPr id="20" name="Rectangle 19">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5419725" y="2009776"/>
          <a:ext cx="523875" cy="27622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19,8%</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0.33393</cdr:x>
      <cdr:y>0.49031</cdr:y>
    </cdr:from>
    <cdr:to>
      <cdr:x>0.35311</cdr:x>
      <cdr:y>0.52572</cdr:y>
    </cdr:to>
    <cdr:sp macro="" textlink="">
      <cdr:nvSpPr>
        <cdr:cNvPr id="24"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3566247" y="2101659"/>
          <a:ext cx="153581" cy="203407"/>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0.53132</cdr:x>
      <cdr:y>0.52051</cdr:y>
    </cdr:from>
    <cdr:to>
      <cdr:x>0.5505</cdr:x>
      <cdr:y>0.55592</cdr:y>
    </cdr:to>
    <cdr:sp macro="" textlink="">
      <cdr:nvSpPr>
        <cdr:cNvPr id="25"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4982045" y="2167807"/>
          <a:ext cx="148521" cy="179291"/>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0.26476</cdr:x>
      <cdr:y>0.31926</cdr:y>
    </cdr:from>
    <cdr:to>
      <cdr:x>0.28394</cdr:x>
      <cdr:y>0.35467</cdr:y>
    </cdr:to>
    <cdr:sp macro="" textlink="">
      <cdr:nvSpPr>
        <cdr:cNvPr id="21" name="Arrow: Right 6">
          <a:extLst xmlns:a="http://schemas.openxmlformats.org/drawingml/2006/main">
            <a:ext uri="{FF2B5EF4-FFF2-40B4-BE49-F238E27FC236}">
              <a16:creationId xmlns:a16="http://schemas.microsoft.com/office/drawing/2014/main" id="{97CF3DA6-C0D4-EEB5-6CEC-E48D4D955573}"/>
            </a:ext>
          </a:extLst>
        </cdr:cNvPr>
        <cdr:cNvSpPr/>
      </cdr:nvSpPr>
      <cdr:spPr>
        <a:xfrm xmlns:a="http://schemas.openxmlformats.org/drawingml/2006/main" rot="16200000">
          <a:off x="2832726" y="1359775"/>
          <a:ext cx="153581" cy="20340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0.82123</cdr:x>
      <cdr:y>0.5772</cdr:y>
    </cdr:from>
    <cdr:to>
      <cdr:x>0.84041</cdr:x>
      <cdr:y>0.61261</cdr:y>
    </cdr:to>
    <cdr:sp macro="" textlink="">
      <cdr:nvSpPr>
        <cdr:cNvPr id="27"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7692113" y="2405593"/>
          <a:ext cx="148521" cy="179291"/>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0.91211</cdr:x>
      <cdr:y>0.56502</cdr:y>
    </cdr:from>
    <cdr:to>
      <cdr:x>0.93129</cdr:x>
      <cdr:y>0.60043</cdr:y>
    </cdr:to>
    <cdr:sp macro="" textlink="">
      <cdr:nvSpPr>
        <cdr:cNvPr id="29"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5413964" y="2057716"/>
          <a:ext cx="128504" cy="113999"/>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0.71523</cdr:x>
      <cdr:y>0.57831</cdr:y>
    </cdr:from>
    <cdr:to>
      <cdr:x>0.73006</cdr:x>
      <cdr:y>0.60917</cdr:y>
    </cdr:to>
    <cdr:sp macro="" textlink="">
      <cdr:nvSpPr>
        <cdr:cNvPr id="23" name="Arrow: Right 14">
          <a:extLst xmlns:a="http://schemas.openxmlformats.org/drawingml/2006/main">
            <a:ext uri="{FF2B5EF4-FFF2-40B4-BE49-F238E27FC236}">
              <a16:creationId xmlns:a16="http://schemas.microsoft.com/office/drawing/2014/main" id="{4FDFFF9F-F3B4-F68C-E0B9-B14B90A21B49}"/>
            </a:ext>
          </a:extLst>
        </cdr:cNvPr>
        <cdr:cNvSpPr/>
      </cdr:nvSpPr>
      <cdr:spPr>
        <a:xfrm xmlns:a="http://schemas.openxmlformats.org/drawingml/2006/main" rot="5400000" flipV="1">
          <a:off x="7596803" y="2496522"/>
          <a:ext cx="133867" cy="157323"/>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userShapes>
</file>

<file path=word/drawings/drawing2.xml><?xml version="1.0" encoding="utf-8"?>
<c:userShapes xmlns:c="http://schemas.openxmlformats.org/drawingml/2006/chart">
  <cdr:relSizeAnchor xmlns:cdr="http://schemas.openxmlformats.org/drawingml/2006/chartDrawing">
    <cdr:from>
      <cdr:x>0.67207</cdr:x>
      <cdr:y>0.05278</cdr:y>
    </cdr:from>
    <cdr:to>
      <cdr:x>0.77658</cdr:x>
      <cdr:y>0.1271</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3552813" y="186009"/>
          <a:ext cx="552461"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11.07</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0.64685</cdr:x>
      <cdr:y>0.19444</cdr:y>
    </cdr:from>
    <cdr:to>
      <cdr:x>0.78378</cdr:x>
      <cdr:y>0.26876</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3419492" y="685255"/>
          <a:ext cx="723864"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10.86</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0.71532</cdr:x>
      <cdr:y>0.32188</cdr:y>
    </cdr:from>
    <cdr:to>
      <cdr:x>0.85405</cdr:x>
      <cdr:y>0.3962</cdr:y>
    </cdr:to>
    <cdr:sp macro="" textlink="">
      <cdr:nvSpPr>
        <cdr:cNvPr id="4" name="Text Box 2"/>
        <cdr:cNvSpPr txBox="1">
          <a:spLocks xmlns:a="http://schemas.openxmlformats.org/drawingml/2006/main" noChangeArrowheads="1"/>
        </cdr:cNvSpPr>
      </cdr:nvSpPr>
      <cdr:spPr bwMode="auto">
        <a:xfrm xmlns:a="http://schemas.openxmlformats.org/drawingml/2006/main" flipH="1">
          <a:off x="3781450" y="1134386"/>
          <a:ext cx="733379"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US" sz="1000" b="1">
              <a:effectLst/>
              <a:latin typeface="Arial" panose="020B0604020202020204" pitchFamily="34" charset="0"/>
              <a:ea typeface="Times New Roman" panose="02020603050405020304" pitchFamily="18" charset="0"/>
              <a:cs typeface="Arial" panose="020B0604020202020204" pitchFamily="34" charset="0"/>
            </a:rPr>
            <a:t>11.71</a:t>
          </a:r>
        </a:p>
      </cdr:txBody>
    </cdr:sp>
  </cdr:relSizeAnchor>
  <cdr:relSizeAnchor xmlns:cdr="http://schemas.openxmlformats.org/drawingml/2006/chartDrawing">
    <cdr:from>
      <cdr:x>0.86126</cdr:x>
      <cdr:y>0.46367</cdr:y>
    </cdr:from>
    <cdr:to>
      <cdr:x>0.96036</cdr:x>
      <cdr:y>0.53799</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4552944" y="1634089"/>
          <a:ext cx="523880"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14.00</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0.84144</cdr:x>
      <cdr:y>0.60625</cdr:y>
    </cdr:from>
    <cdr:to>
      <cdr:x>0.96396</cdr:x>
      <cdr:y>0.68057</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4448168" y="2136577"/>
          <a:ext cx="647687"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13.89</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35</Pages>
  <Words>9156</Words>
  <Characters>52194</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Thu Trang</dc:creator>
  <cp:keywords/>
  <dc:description/>
  <cp:lastModifiedBy>Bùi Trâm Anh</cp:lastModifiedBy>
  <cp:revision>8</cp:revision>
  <dcterms:created xsi:type="dcterms:W3CDTF">2024-06-06T07:21:00Z</dcterms:created>
  <dcterms:modified xsi:type="dcterms:W3CDTF">2024-06-10T01:37:00Z</dcterms:modified>
</cp:coreProperties>
</file>