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DAE06" w14:textId="77777777" w:rsidR="003A35EA" w:rsidRPr="003D1613" w:rsidRDefault="003A35EA" w:rsidP="0016207C">
      <w:pPr>
        <w:spacing w:line="276" w:lineRule="auto"/>
        <w:jc w:val="center"/>
        <w:rPr>
          <w:rFonts w:ascii=".VnArialH" w:hAnsi=".VnArialH" w:cs=".VnArialH"/>
          <w:b/>
          <w:bCs/>
          <w:sz w:val="2"/>
          <w:szCs w:val="2"/>
        </w:rPr>
      </w:pPr>
    </w:p>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FF1CD8" w:rsidRPr="00974B69" w14:paraId="2FF6887C" w14:textId="77777777" w:rsidTr="00C15289">
        <w:trPr>
          <w:trHeight w:val="1026"/>
        </w:trPr>
        <w:tc>
          <w:tcPr>
            <w:tcW w:w="5490" w:type="dxa"/>
          </w:tcPr>
          <w:p w14:paraId="28F0DC3B" w14:textId="77777777" w:rsidR="00FF1CD8" w:rsidRDefault="00FF1CD8" w:rsidP="00C15289">
            <w:pPr>
              <w:ind w:left="72" w:right="-115"/>
              <w:jc w:val="center"/>
              <w:rPr>
                <w:spacing w:val="-6"/>
                <w:sz w:val="24"/>
                <w:szCs w:val="24"/>
              </w:rPr>
            </w:pPr>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3B3D945B" w14:textId="77777777" w:rsidR="00FF1CD8" w:rsidRPr="00974B69" w:rsidRDefault="00FF1CD8" w:rsidP="00C15289">
            <w:pPr>
              <w:ind w:left="72" w:right="-115"/>
              <w:jc w:val="center"/>
              <w:rPr>
                <w:b/>
                <w:bCs/>
                <w:spacing w:val="-6"/>
                <w:sz w:val="24"/>
                <w:szCs w:val="24"/>
              </w:rPr>
            </w:pPr>
            <w:r>
              <w:rPr>
                <w:rFonts w:ascii="Calibri" w:hAnsi="Calibri" w:cs="Calibri"/>
                <w:noProof/>
                <w:sz w:val="22"/>
                <w:szCs w:val="22"/>
                <w:lang w:val="en-US"/>
              </w:rPr>
              <mc:AlternateContent>
                <mc:Choice Requires="wps">
                  <w:drawing>
                    <wp:anchor distT="4294967291" distB="4294967291" distL="114300" distR="114300" simplePos="0" relativeHeight="251659776" behindDoc="0" locked="0" layoutInCell="1" allowOverlap="1" wp14:anchorId="1FDED9A9" wp14:editId="4350EF5A">
                      <wp:simplePos x="0" y="0"/>
                      <wp:positionH relativeFrom="column">
                        <wp:posOffset>1145540</wp:posOffset>
                      </wp:positionH>
                      <wp:positionV relativeFrom="paragraph">
                        <wp:posOffset>203199</wp:posOffset>
                      </wp:positionV>
                      <wp:extent cx="9715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A7FFFA" id="Straight Connector 28" o:spid="_x0000_s1026" style="position:absolute;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48D07DD8" w14:textId="2EADDA3B" w:rsidR="00FF1CD8" w:rsidRPr="00974B69" w:rsidRDefault="00FF1CD8" w:rsidP="00C15289">
            <w:pPr>
              <w:spacing w:before="120"/>
              <w:ind w:left="16" w:right="-18"/>
              <w:jc w:val="center"/>
              <w:rPr>
                <w:sz w:val="26"/>
                <w:szCs w:val="26"/>
              </w:rPr>
            </w:pPr>
            <w:r w:rsidRPr="00974B69">
              <w:rPr>
                <w:sz w:val="26"/>
                <w:szCs w:val="26"/>
              </w:rPr>
              <w:t xml:space="preserve">No: </w:t>
            </w:r>
            <w:r w:rsidR="00C15289">
              <w:rPr>
                <w:sz w:val="26"/>
                <w:szCs w:val="26"/>
              </w:rPr>
              <w:t xml:space="preserve">       </w:t>
            </w:r>
            <w:r w:rsidRPr="00974B69">
              <w:rPr>
                <w:sz w:val="26"/>
                <w:szCs w:val="26"/>
              </w:rPr>
              <w:t>/BC-TCTK</w:t>
            </w:r>
          </w:p>
        </w:tc>
        <w:tc>
          <w:tcPr>
            <w:tcW w:w="5220" w:type="dxa"/>
          </w:tcPr>
          <w:p w14:paraId="0178B5D8" w14:textId="77777777" w:rsidR="00FF1CD8" w:rsidRPr="00974B69" w:rsidRDefault="00FF1CD8" w:rsidP="00C15289">
            <w:pPr>
              <w:rPr>
                <w:b/>
                <w:bCs/>
                <w:sz w:val="24"/>
                <w:szCs w:val="24"/>
              </w:rPr>
            </w:pPr>
            <w:r w:rsidRPr="00974B69">
              <w:rPr>
                <w:b/>
                <w:bCs/>
                <w:sz w:val="24"/>
                <w:szCs w:val="24"/>
              </w:rPr>
              <w:t>SOCIALIST REPUBLIC OF VIET NAM</w:t>
            </w:r>
          </w:p>
          <w:p w14:paraId="0EE4C1F0" w14:textId="77777777" w:rsidR="00FF1CD8" w:rsidRPr="00974B69" w:rsidRDefault="00FF1CD8" w:rsidP="00C15289">
            <w:pPr>
              <w:rPr>
                <w:b/>
                <w:bCs/>
                <w:sz w:val="24"/>
                <w:szCs w:val="24"/>
              </w:rPr>
            </w:pPr>
            <w:r>
              <w:rPr>
                <w:rFonts w:ascii="Calibri" w:hAnsi="Calibri" w:cs="Calibri"/>
                <w:noProof/>
                <w:sz w:val="22"/>
                <w:szCs w:val="22"/>
                <w:lang w:val="en-US"/>
              </w:rPr>
              <mc:AlternateContent>
                <mc:Choice Requires="wps">
                  <w:drawing>
                    <wp:anchor distT="4294967291" distB="4294967291" distL="114300" distR="114300" simplePos="0" relativeHeight="251660800" behindDoc="0" locked="0" layoutInCell="1" allowOverlap="1" wp14:anchorId="12FB2A10" wp14:editId="48895D89">
                      <wp:simplePos x="0" y="0"/>
                      <wp:positionH relativeFrom="column">
                        <wp:posOffset>336550</wp:posOffset>
                      </wp:positionH>
                      <wp:positionV relativeFrom="paragraph">
                        <wp:posOffset>203199</wp:posOffset>
                      </wp:positionV>
                      <wp:extent cx="188404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584AEB" id="Straight Connector 12"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74B69">
              <w:rPr>
                <w:b/>
                <w:bCs/>
                <w:sz w:val="24"/>
                <w:szCs w:val="24"/>
              </w:rPr>
              <w:t>Independence-Freedom-Happiness</w:t>
            </w:r>
          </w:p>
          <w:p w14:paraId="78F0DCF1" w14:textId="77777777" w:rsidR="00FF1CD8" w:rsidRDefault="00FF1CD8" w:rsidP="00C15289">
            <w:pPr>
              <w:ind w:left="72"/>
              <w:jc w:val="center"/>
              <w:rPr>
                <w:i/>
                <w:iCs/>
                <w:sz w:val="26"/>
                <w:szCs w:val="26"/>
              </w:rPr>
            </w:pPr>
          </w:p>
          <w:p w14:paraId="4B58FD34" w14:textId="64ADCDEE" w:rsidR="00FF1CD8" w:rsidRPr="00974B69" w:rsidRDefault="00FF1CD8" w:rsidP="00C15289">
            <w:pPr>
              <w:ind w:left="72" w:right="849"/>
              <w:jc w:val="center"/>
              <w:rPr>
                <w:b/>
                <w:bCs/>
                <w:i/>
                <w:iCs/>
                <w:sz w:val="26"/>
                <w:szCs w:val="26"/>
              </w:rPr>
            </w:pPr>
            <w:r w:rsidRPr="00974B69">
              <w:rPr>
                <w:i/>
                <w:iCs/>
                <w:sz w:val="26"/>
                <w:szCs w:val="26"/>
              </w:rPr>
              <w:t>Ha Noi, 2</w:t>
            </w:r>
            <w:r w:rsidR="006677E6">
              <w:rPr>
                <w:i/>
                <w:iCs/>
                <w:sz w:val="26"/>
                <w:szCs w:val="26"/>
              </w:rPr>
              <w:t>8</w:t>
            </w:r>
            <w:r w:rsidRPr="00974B69">
              <w:rPr>
                <w:i/>
                <w:iCs/>
                <w:sz w:val="26"/>
                <w:szCs w:val="26"/>
                <w:vertAlign w:val="superscript"/>
              </w:rPr>
              <w:t>th</w:t>
            </w:r>
            <w:r w:rsidRPr="00974B69">
              <w:rPr>
                <w:i/>
                <w:iCs/>
                <w:sz w:val="26"/>
                <w:szCs w:val="26"/>
              </w:rPr>
              <w:t xml:space="preserve"> </w:t>
            </w:r>
            <w:r>
              <w:rPr>
                <w:i/>
                <w:iCs/>
                <w:sz w:val="26"/>
                <w:szCs w:val="26"/>
              </w:rPr>
              <w:t>July</w:t>
            </w:r>
            <w:r w:rsidRPr="00974B69">
              <w:rPr>
                <w:i/>
                <w:iCs/>
                <w:sz w:val="26"/>
                <w:szCs w:val="26"/>
              </w:rPr>
              <w:t xml:space="preserve"> 202</w:t>
            </w:r>
            <w:r w:rsidR="00C15289">
              <w:rPr>
                <w:i/>
                <w:iCs/>
                <w:sz w:val="26"/>
                <w:szCs w:val="26"/>
              </w:rPr>
              <w:t>4</w:t>
            </w:r>
          </w:p>
        </w:tc>
      </w:tr>
    </w:tbl>
    <w:p w14:paraId="1EE9EEE7" w14:textId="77777777" w:rsidR="003A35EA" w:rsidRPr="003D1613" w:rsidRDefault="003A35EA" w:rsidP="0016207C">
      <w:pPr>
        <w:jc w:val="center"/>
        <w:rPr>
          <w:b/>
          <w:bCs/>
          <w:sz w:val="16"/>
          <w:szCs w:val="48"/>
        </w:rPr>
      </w:pPr>
    </w:p>
    <w:p w14:paraId="72BA62B2" w14:textId="77777777" w:rsidR="00FF1CD8" w:rsidRDefault="00FF1CD8" w:rsidP="004859DF">
      <w:pPr>
        <w:spacing w:line="245" w:lineRule="auto"/>
        <w:jc w:val="center"/>
        <w:rPr>
          <w:b/>
          <w:bCs/>
          <w:sz w:val="32"/>
          <w:szCs w:val="32"/>
          <w:lang w:val="pt-BR"/>
        </w:rPr>
      </w:pPr>
    </w:p>
    <w:p w14:paraId="2691E25B" w14:textId="77777777" w:rsidR="00D47BBA" w:rsidRDefault="00D47BBA" w:rsidP="004859DF">
      <w:pPr>
        <w:spacing w:line="245" w:lineRule="auto"/>
        <w:jc w:val="center"/>
        <w:rPr>
          <w:b/>
          <w:bCs/>
          <w:sz w:val="32"/>
          <w:szCs w:val="32"/>
          <w:lang w:val="pt-BR"/>
        </w:rPr>
      </w:pPr>
    </w:p>
    <w:p w14:paraId="1573BDF9" w14:textId="52411A11" w:rsidR="004859DF" w:rsidRDefault="004859DF" w:rsidP="004859DF">
      <w:pPr>
        <w:spacing w:line="245" w:lineRule="auto"/>
        <w:jc w:val="center"/>
        <w:rPr>
          <w:b/>
          <w:bCs/>
          <w:sz w:val="32"/>
          <w:szCs w:val="32"/>
          <w:lang w:val="pt-BR"/>
        </w:rPr>
      </w:pPr>
      <w:r w:rsidRPr="006D7720">
        <w:rPr>
          <w:b/>
          <w:bCs/>
          <w:sz w:val="32"/>
          <w:szCs w:val="32"/>
          <w:lang w:val="pt-BR"/>
        </w:rPr>
        <w:t xml:space="preserve">Socio-economic situation report </w:t>
      </w:r>
    </w:p>
    <w:p w14:paraId="144BB1CE" w14:textId="016C8A23" w:rsidR="004859DF" w:rsidRPr="00D2474C" w:rsidRDefault="004859DF" w:rsidP="004859DF">
      <w:pPr>
        <w:spacing w:line="245" w:lineRule="auto"/>
        <w:jc w:val="center"/>
        <w:rPr>
          <w:b/>
          <w:bCs/>
          <w:sz w:val="34"/>
          <w:szCs w:val="34"/>
        </w:rPr>
      </w:pPr>
      <w:r>
        <w:rPr>
          <w:b/>
          <w:bCs/>
          <w:sz w:val="32"/>
          <w:szCs w:val="32"/>
          <w:lang w:val="pt-BR"/>
        </w:rPr>
        <w:t>in July and the 7 months of 202</w:t>
      </w:r>
      <w:r w:rsidR="00C15289">
        <w:rPr>
          <w:b/>
          <w:bCs/>
          <w:sz w:val="32"/>
          <w:szCs w:val="32"/>
          <w:lang w:val="pt-BR"/>
        </w:rPr>
        <w:t>4</w:t>
      </w:r>
    </w:p>
    <w:p w14:paraId="44C23FBA" w14:textId="77777777" w:rsidR="003A35EA" w:rsidRPr="003D1613" w:rsidRDefault="009F6E57" w:rsidP="0016207C">
      <w:pPr>
        <w:spacing w:before="20"/>
        <w:jc w:val="center"/>
        <w:rPr>
          <w:rFonts w:ascii="Arial" w:hAnsi="Arial" w:cs="Arial"/>
          <w:b/>
          <w:bCs/>
          <w:sz w:val="30"/>
          <w:szCs w:val="52"/>
        </w:rPr>
      </w:pPr>
      <w:r w:rsidRPr="003D1613">
        <w:rPr>
          <w:rFonts w:ascii="Arial" w:hAnsi="Arial" w:cs="Arial"/>
          <w:b/>
          <w:bCs/>
          <w:noProof/>
          <w:sz w:val="50"/>
          <w:szCs w:val="52"/>
          <w:lang w:val="en-US"/>
        </w:rPr>
        <mc:AlternateContent>
          <mc:Choice Requires="wps">
            <w:drawing>
              <wp:anchor distT="0" distB="0" distL="114300" distR="114300" simplePos="0" relativeHeight="251657728" behindDoc="0" locked="0" layoutInCell="1" allowOverlap="1" wp14:anchorId="51B2983A" wp14:editId="4B86C3A9">
                <wp:simplePos x="0" y="0"/>
                <wp:positionH relativeFrom="column">
                  <wp:posOffset>2136140</wp:posOffset>
                </wp:positionH>
                <wp:positionV relativeFrom="paragraph">
                  <wp:posOffset>26035</wp:posOffset>
                </wp:positionV>
                <wp:extent cx="1412875" cy="0"/>
                <wp:effectExtent l="10160" t="6985" r="5715"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3995F7"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"/>
            </w:pict>
          </mc:Fallback>
        </mc:AlternateContent>
      </w:r>
    </w:p>
    <w:p w14:paraId="23E0D2C5" w14:textId="77777777" w:rsidR="00C15289" w:rsidRPr="00C15289" w:rsidRDefault="00C15289" w:rsidP="00C15289">
      <w:pPr>
        <w:spacing w:before="120" w:after="120" w:line="271" w:lineRule="auto"/>
        <w:ind w:firstLine="567"/>
        <w:jc w:val="both"/>
        <w:rPr>
          <w:b/>
          <w:lang w:val="fr-FR"/>
        </w:rPr>
      </w:pPr>
      <w:r w:rsidRPr="00C15289">
        <w:rPr>
          <w:b/>
          <w:lang w:val="fr-FR"/>
        </w:rPr>
        <w:t>1. Agriculture, forestry, and fishery</w:t>
      </w:r>
    </w:p>
    <w:p w14:paraId="0302A344" w14:textId="77777777" w:rsidR="00C15289" w:rsidRPr="00C15289" w:rsidRDefault="00C15289" w:rsidP="00C15289">
      <w:pPr>
        <w:tabs>
          <w:tab w:val="left" w:pos="720"/>
        </w:tabs>
        <w:spacing w:before="120" w:after="120" w:line="271" w:lineRule="auto"/>
        <w:ind w:firstLine="720"/>
        <w:jc w:val="both"/>
        <w:rPr>
          <w:i/>
          <w:lang w:val="sv-SE"/>
        </w:rPr>
      </w:pPr>
      <w:r w:rsidRPr="00C15289">
        <w:rPr>
          <w:i/>
          <w:lang w:val="sv-SE"/>
        </w:rPr>
        <w:t>Agricultural production in the month focused on accelerating the progress of planting summer rice, autumn-winter rice, caring for summer-autumn rice and harvesting summer-autumn rice early. Livestock development is stable, livestock and poultry epidemics are controlled. Forestry production has promoted concentrated afforestation and timber exploitation activities due to high wood prices. Aquaculture was growing positively due to the application of advanced and effective farming methods. Marine fisheries exploitation was quite good due to relatively favorable weather.</w:t>
      </w:r>
    </w:p>
    <w:p w14:paraId="173E1710" w14:textId="77777777" w:rsidR="00C15289" w:rsidRPr="00C15289" w:rsidRDefault="00C15289" w:rsidP="00C15289">
      <w:pPr>
        <w:tabs>
          <w:tab w:val="left" w:pos="720"/>
        </w:tabs>
        <w:spacing w:before="120" w:after="120" w:line="271" w:lineRule="auto"/>
        <w:ind w:firstLine="720"/>
        <w:jc w:val="both"/>
        <w:rPr>
          <w:b/>
          <w:bCs/>
          <w:i/>
          <w:iCs/>
          <w:lang w:val="en-US"/>
        </w:rPr>
      </w:pPr>
      <w:r w:rsidRPr="00C15289">
        <w:rPr>
          <w:b/>
          <w:bCs/>
          <w:i/>
          <w:iCs/>
          <w:lang w:val="en-US"/>
        </w:rPr>
        <w:t xml:space="preserve">a) </w:t>
      </w:r>
      <w:r w:rsidRPr="00C15289">
        <w:rPr>
          <w:b/>
          <w:i/>
          <w:lang w:val="fr-FR"/>
        </w:rPr>
        <w:t>Agriculture</w:t>
      </w:r>
    </w:p>
    <w:p w14:paraId="44076C80" w14:textId="77777777" w:rsidR="00C15289" w:rsidRPr="00C15289" w:rsidRDefault="00C15289" w:rsidP="00C15289">
      <w:pPr>
        <w:spacing w:before="120" w:after="120" w:line="271" w:lineRule="auto"/>
        <w:ind w:firstLine="567"/>
        <w:jc w:val="both"/>
        <w:rPr>
          <w:i/>
          <w:lang w:val="sv-SE"/>
        </w:rPr>
      </w:pPr>
      <w:r w:rsidRPr="00C15289">
        <w:rPr>
          <w:i/>
          <w:lang w:val="sv-SE"/>
        </w:rPr>
        <w:t>Winter rice</w:t>
      </w:r>
    </w:p>
    <w:p w14:paraId="6BDA3101" w14:textId="77777777" w:rsidR="00C15289" w:rsidRPr="00C15289" w:rsidRDefault="00C15289" w:rsidP="00C15289">
      <w:pPr>
        <w:spacing w:before="120" w:after="120" w:line="271" w:lineRule="auto"/>
        <w:ind w:firstLine="567"/>
        <w:jc w:val="both"/>
        <w:rPr>
          <w:lang w:val="sv-SE"/>
        </w:rPr>
      </w:pPr>
      <w:r w:rsidRPr="00C15289">
        <w:rPr>
          <w:lang w:val="sv-SE"/>
        </w:rPr>
        <w:t>As of July 15, 2024, the whole country has planted 1,206.9 thousand hectares of winter rice, equal to 99.5% of the same period last year, of which: Northern localities have planted 852.5 thousand hectares, equal to 99.5% of the same period last year; Southern localities planted 354.4 thousand hectares, equivalent to the same period last year. Currently, the planted rice plants are in a relatively good stage of development. According to forecasts, in the coming time the weather will be complicated and unpredictable, with the possibility of many unusual storms and tropical depressions in northern localities and severe heat and drought in southern localities. Therefore, the Agriculture sector and localities need to strengthen production direction and guide the farmer on rice care measures; Regularly maintain water levels, proactively prevent waterlogging and local droughts in a timely manner.</w:t>
      </w:r>
    </w:p>
    <w:p w14:paraId="2C96F0A5" w14:textId="77777777" w:rsidR="00C15289" w:rsidRPr="00C15289" w:rsidRDefault="00C15289" w:rsidP="00C15289">
      <w:pPr>
        <w:spacing w:before="120" w:after="120" w:line="271" w:lineRule="auto"/>
        <w:ind w:firstLine="567"/>
        <w:jc w:val="both"/>
        <w:rPr>
          <w:i/>
          <w:lang w:val="sv-SE"/>
        </w:rPr>
      </w:pPr>
      <w:r w:rsidRPr="00C15289">
        <w:rPr>
          <w:i/>
          <w:lang w:val="sv-SE"/>
        </w:rPr>
        <w:t>Summer-autumn rice</w:t>
      </w:r>
    </w:p>
    <w:p w14:paraId="359AB864" w14:textId="77777777" w:rsidR="00C15289" w:rsidRPr="00C15289" w:rsidRDefault="00C15289" w:rsidP="00C15289">
      <w:pPr>
        <w:spacing w:before="120" w:after="120" w:line="271" w:lineRule="auto"/>
        <w:ind w:firstLine="567"/>
        <w:jc w:val="both"/>
        <w:rPr>
          <w:lang w:val="sv-SE"/>
        </w:rPr>
      </w:pPr>
      <w:r w:rsidRPr="00C15289">
        <w:rPr>
          <w:lang w:val="sv-SE"/>
        </w:rPr>
        <w:t xml:space="preserve">By mid-July, the whole country had planted 1,902.2 thousand hectares of summer-autumn rice, equal to 99.6% of the same period last year. Of which, Northern localities reached 173.6 thousand hectares, equal to 100.6%; Southern localities reached 1,728.6 thousand hectares, equal to 99.5%, the Mekong Delta region alone reached 1,465.9 thousand hectares, equal to 99.5%. This year's summer-autumn rice seeding progress was slower than the same period last year, </w:t>
      </w:r>
      <w:r w:rsidRPr="00C15289">
        <w:rPr>
          <w:lang w:val="sv-SE"/>
        </w:rPr>
        <w:lastRenderedPageBreak/>
        <w:t>mainly due to the impact of drought and saltwater intrusion since the beginning of the year. Up to now, most of the summer-autumn rice has been being in the growing, branching, and flowering stage. The area of ​​early summer-autumn rice harvest reached 510.6 thousand hectares, equal to 105.7% of the same period last year, of which the Mekong Delta region harvested 496.6 thousand hectares, equal to 105.6%.Autumn and winter rice.</w:t>
      </w:r>
    </w:p>
    <w:p w14:paraId="0BA0B4FD" w14:textId="77777777" w:rsidR="00C15289" w:rsidRPr="00C15289" w:rsidRDefault="00C15289" w:rsidP="00C15289">
      <w:pPr>
        <w:spacing w:before="120" w:after="120" w:line="271" w:lineRule="auto"/>
        <w:ind w:firstLine="567"/>
        <w:jc w:val="both"/>
        <w:rPr>
          <w:lang w:val="sv-SE"/>
        </w:rPr>
      </w:pPr>
      <w:r w:rsidRPr="00C15289">
        <w:rPr>
          <w:lang w:val="sv-SE"/>
        </w:rPr>
        <w:t>As of July 15, 2024, the Mekong Delta region has sown 297.1 thousand hectares of autumn-winter rice, equal to 110.7% of the same period last year because some localities have increased the area which harvested early of the summer-autumn crop in 2024. Currently, the autumn-winter rice crop is in the seedling, tillering and tillering stages, growing and developing well. Due to the rainy weather, high humidity and temperature, which was favorable for the development of fungal diseases, the local Agriculture sector needs to advise farmers to regularly visit their fields and implement good prevention and treatment measures pests and diseases to ensure the best autumn-winter rice crop production.</w:t>
      </w:r>
    </w:p>
    <w:p w14:paraId="2F4C0D87" w14:textId="77777777" w:rsidR="00C15289" w:rsidRPr="00C15289" w:rsidRDefault="00C15289" w:rsidP="00C15289">
      <w:pPr>
        <w:spacing w:before="120" w:after="120" w:line="271" w:lineRule="auto"/>
        <w:ind w:firstLine="567"/>
        <w:jc w:val="both"/>
        <w:rPr>
          <w:i/>
          <w:lang w:val="en-US"/>
        </w:rPr>
      </w:pPr>
      <w:r w:rsidRPr="00C15289">
        <w:rPr>
          <w:i/>
          <w:lang w:val="en-US"/>
        </w:rPr>
        <w:t xml:space="preserve"> Annual crops</w:t>
      </w:r>
    </w:p>
    <w:p w14:paraId="13AFAFB0" w14:textId="77777777" w:rsidR="00C15289" w:rsidRPr="00C15289" w:rsidRDefault="00C15289" w:rsidP="00C15289">
      <w:pPr>
        <w:spacing w:before="120" w:after="120" w:line="271" w:lineRule="auto"/>
        <w:ind w:firstLine="720"/>
        <w:jc w:val="both"/>
        <w:rPr>
          <w:b/>
          <w:lang w:val="de-DE"/>
        </w:rPr>
      </w:pPr>
      <w:r w:rsidRPr="00C15289">
        <w:rPr>
          <w:lang w:val="en-US"/>
        </w:rPr>
        <w:t>Along with rice cultivation, localities across the country were planting annual crops. However, the area of maize, peanuts and soybeans continued to decrease compared to the same period last year mainly due to low economic efficiency; the area planted with vegetables and beans of all kinds has decreased due to unfavorable weather, prolonged heat in the early summer months and heavy rain recently. Particularly, the area of ​​sweet potatoes increased slightly because recently there have been many good quality sweet potato varieties that bring higher economic efficiency, so farmers increased new planting areas.</w:t>
      </w:r>
    </w:p>
    <w:p w14:paraId="55F3BCE4" w14:textId="77777777" w:rsidR="00C15289" w:rsidRPr="00C15289" w:rsidRDefault="00C15289" w:rsidP="00C15289">
      <w:pPr>
        <w:spacing w:before="120" w:after="120" w:line="271" w:lineRule="auto"/>
        <w:jc w:val="center"/>
        <w:rPr>
          <w:lang w:val="de-DE"/>
        </w:rPr>
      </w:pPr>
      <w:r w:rsidRPr="00C15289">
        <w:rPr>
          <w:b/>
          <w:lang w:val="de-DE"/>
        </w:rPr>
        <w:t>Figure 1: Cultivation of main annual crops</w:t>
      </w:r>
    </w:p>
    <w:p w14:paraId="02A25B63" w14:textId="77777777" w:rsidR="00C15289" w:rsidRPr="00C15289" w:rsidRDefault="00C15289" w:rsidP="00C15289">
      <w:pPr>
        <w:tabs>
          <w:tab w:val="left" w:pos="567"/>
        </w:tabs>
        <w:spacing w:before="120" w:after="120" w:line="271" w:lineRule="auto"/>
        <w:jc w:val="center"/>
        <w:rPr>
          <w:lang w:val="en-US"/>
        </w:rPr>
      </w:pPr>
      <w:r w:rsidRPr="00C15289">
        <w:rPr>
          <w:bCs/>
          <w:i/>
          <w:iCs/>
          <w:lang w:val="vi-VN"/>
        </w:rPr>
        <w:t>(</w:t>
      </w:r>
      <w:r w:rsidRPr="00C15289">
        <w:rPr>
          <w:i/>
          <w:lang w:val="de-DE"/>
        </w:rPr>
        <w:t>As of 15/7/2024</w:t>
      </w:r>
      <w:r w:rsidRPr="00C15289">
        <w:rPr>
          <w:bCs/>
          <w:i/>
          <w:iCs/>
          <w:lang w:val="vi-VN"/>
        </w:rPr>
        <w:t>)</w:t>
      </w:r>
      <w:r w:rsidRPr="00C15289">
        <w:rPr>
          <w:noProof/>
          <w:lang w:val="en-US"/>
        </w:rPr>
        <w:drawing>
          <wp:inline distT="0" distB="0" distL="0" distR="0" wp14:anchorId="392C4135" wp14:editId="5EA7CEB1">
            <wp:extent cx="5895975" cy="2324100"/>
            <wp:effectExtent l="0" t="0" r="9525" b="0"/>
            <wp:docPr id="185210994" name="Picture 18521099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0994" name="Picture 185210994"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975" cy="2324100"/>
                    </a:xfrm>
                    <a:prstGeom prst="rect">
                      <a:avLst/>
                    </a:prstGeom>
                    <a:noFill/>
                    <a:ln>
                      <a:noFill/>
                    </a:ln>
                  </pic:spPr>
                </pic:pic>
              </a:graphicData>
            </a:graphic>
          </wp:inline>
        </w:drawing>
      </w:r>
    </w:p>
    <w:p w14:paraId="29988F4D" w14:textId="77777777" w:rsidR="00C15289" w:rsidRPr="00C15289" w:rsidRDefault="00C15289" w:rsidP="00C15289">
      <w:pPr>
        <w:spacing w:before="120" w:after="120" w:line="271" w:lineRule="auto"/>
        <w:ind w:firstLine="567"/>
        <w:jc w:val="both"/>
        <w:rPr>
          <w:i/>
          <w:lang w:val="en-US"/>
        </w:rPr>
      </w:pPr>
      <w:r w:rsidRPr="00C15289">
        <w:rPr>
          <w:i/>
          <w:lang w:val="en-US"/>
        </w:rPr>
        <w:t>Livestock</w:t>
      </w:r>
    </w:p>
    <w:p w14:paraId="5CBE4880" w14:textId="77777777" w:rsidR="00C15289" w:rsidRPr="00C15289" w:rsidRDefault="00C15289" w:rsidP="00C15289">
      <w:pPr>
        <w:tabs>
          <w:tab w:val="left" w:pos="900"/>
        </w:tabs>
        <w:spacing w:before="120" w:after="120" w:line="271" w:lineRule="auto"/>
        <w:ind w:firstLine="720"/>
        <w:jc w:val="both"/>
        <w:rPr>
          <w:b/>
          <w:lang w:val="es-AR"/>
        </w:rPr>
      </w:pPr>
      <w:r w:rsidRPr="00C15289">
        <w:rPr>
          <w:lang w:val="de-DE"/>
        </w:rPr>
        <w:lastRenderedPageBreak/>
        <w:t>Buffalo and cow husbandry during the month tended to decrease</w:t>
      </w:r>
      <w:r w:rsidRPr="00C15289">
        <w:rPr>
          <w:vertAlign w:val="superscript"/>
          <w:lang w:val="pt-BR"/>
        </w:rPr>
        <w:footnoteReference w:id="1"/>
      </w:r>
      <w:r w:rsidRPr="00C15289">
        <w:rPr>
          <w:lang w:val="de-DE"/>
        </w:rPr>
        <w:t>. Pig and poultry farming was developing stably because farmers were proactive in breeding sources and pork prices have increased in recent months</w:t>
      </w:r>
      <w:r w:rsidRPr="00C15289">
        <w:rPr>
          <w:vertAlign w:val="superscript"/>
          <w:lang w:val="en-US"/>
        </w:rPr>
        <w:footnoteReference w:id="2"/>
      </w:r>
      <w:r w:rsidRPr="00C15289">
        <w:rPr>
          <w:lang w:val="de-DE"/>
        </w:rPr>
        <w:t xml:space="preserve">. However, livestock farmers still need to closely monitor the market situation, and authorities need to provide timely information and well manage the local livestock situation. </w:t>
      </w:r>
    </w:p>
    <w:p w14:paraId="0AF04AF1" w14:textId="77777777" w:rsidR="00C15289" w:rsidRPr="00C15289" w:rsidRDefault="00C15289" w:rsidP="00C15289">
      <w:pPr>
        <w:spacing w:before="120" w:after="120"/>
        <w:ind w:firstLine="567"/>
        <w:jc w:val="center"/>
        <w:rPr>
          <w:b/>
          <w:lang w:val="en-US"/>
        </w:rPr>
      </w:pPr>
      <w:r w:rsidRPr="00C15289">
        <w:rPr>
          <w:b/>
          <w:lang w:val="en-US"/>
        </w:rPr>
        <w:t>Figure 2. The growth rate of the population of livestock</w:t>
      </w:r>
    </w:p>
    <w:p w14:paraId="3F77BD5E" w14:textId="77777777" w:rsidR="00C15289" w:rsidRPr="00C15289" w:rsidRDefault="00C15289" w:rsidP="00C15289">
      <w:pPr>
        <w:spacing w:before="120" w:after="120"/>
        <w:ind w:firstLine="567"/>
        <w:jc w:val="center"/>
        <w:rPr>
          <w:b/>
          <w:lang w:val="en-US"/>
        </w:rPr>
      </w:pPr>
      <w:r w:rsidRPr="00C15289">
        <w:rPr>
          <w:b/>
          <w:lang w:val="en-US"/>
        </w:rPr>
        <w:t xml:space="preserve">at the end of </w:t>
      </w:r>
      <w:proofErr w:type="gramStart"/>
      <w:r w:rsidRPr="00C15289">
        <w:rPr>
          <w:b/>
          <w:lang w:val="en-US"/>
        </w:rPr>
        <w:t>July,</w:t>
      </w:r>
      <w:proofErr w:type="gramEnd"/>
      <w:r w:rsidRPr="00C15289">
        <w:rPr>
          <w:b/>
          <w:lang w:val="en-US"/>
        </w:rPr>
        <w:t xml:space="preserve"> 2024 compared to the same time last year</w:t>
      </w:r>
    </w:p>
    <w:p w14:paraId="6FA8935E" w14:textId="77777777" w:rsidR="00C15289" w:rsidRPr="00C15289" w:rsidRDefault="00C15289" w:rsidP="00C15289">
      <w:pPr>
        <w:spacing w:before="120" w:after="120" w:line="271" w:lineRule="auto"/>
        <w:jc w:val="center"/>
        <w:rPr>
          <w:b/>
          <w:lang w:val="es-AR"/>
        </w:rPr>
      </w:pPr>
      <w:r w:rsidRPr="00C15289">
        <w:rPr>
          <w:noProof/>
          <w:lang w:val="en-US"/>
        </w:rPr>
        <w:drawing>
          <wp:inline distT="0" distB="0" distL="0" distR="0" wp14:anchorId="13181973" wp14:editId="66B139A9">
            <wp:extent cx="5762625" cy="1533525"/>
            <wp:effectExtent l="0" t="0" r="9525" b="9525"/>
            <wp:docPr id="4" name="Picture 4" descr="A comparison of animal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mparison of animals with text&#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1533525"/>
                    </a:xfrm>
                    <a:prstGeom prst="rect">
                      <a:avLst/>
                    </a:prstGeom>
                    <a:noFill/>
                    <a:ln>
                      <a:noFill/>
                    </a:ln>
                  </pic:spPr>
                </pic:pic>
              </a:graphicData>
            </a:graphic>
          </wp:inline>
        </w:drawing>
      </w:r>
    </w:p>
    <w:p w14:paraId="41496ECB" w14:textId="37FDEEAC" w:rsidR="00C15289" w:rsidRPr="00C15289" w:rsidRDefault="00C15289" w:rsidP="00C15289">
      <w:pPr>
        <w:tabs>
          <w:tab w:val="left" w:pos="720"/>
        </w:tabs>
        <w:spacing w:before="120" w:after="120" w:line="271" w:lineRule="auto"/>
        <w:ind w:firstLine="720"/>
        <w:jc w:val="both"/>
        <w:rPr>
          <w:lang w:val="en-US"/>
        </w:rPr>
      </w:pPr>
      <w:r w:rsidRPr="00C15289">
        <w:rPr>
          <w:bCs/>
          <w:spacing w:val="-2"/>
          <w:lang w:val="en-US"/>
        </w:rPr>
        <w:t>As of July 23, 2024, the whole country has no longer blue-ear disease; foot-and-mouth disease and avian flu disease were still in Tien Giang; LSD was still in 8 localities and African swine fever was reported in 25 localities for less than 21 days.</w:t>
      </w:r>
    </w:p>
    <w:p w14:paraId="6AAB417C" w14:textId="77777777" w:rsidR="0078584B" w:rsidRPr="005D222E" w:rsidRDefault="0078584B" w:rsidP="0078584B">
      <w:pPr>
        <w:tabs>
          <w:tab w:val="left" w:pos="0"/>
        </w:tabs>
        <w:spacing w:after="40" w:line="288" w:lineRule="auto"/>
        <w:ind w:firstLine="567"/>
        <w:jc w:val="both"/>
        <w:rPr>
          <w:b/>
          <w:i/>
        </w:rPr>
      </w:pPr>
      <w:r w:rsidRPr="005D222E">
        <w:rPr>
          <w:b/>
          <w:i/>
        </w:rPr>
        <w:t>b</w:t>
      </w:r>
      <w:r>
        <w:rPr>
          <w:b/>
          <w:i/>
        </w:rPr>
        <w:t>) Forestry</w:t>
      </w:r>
    </w:p>
    <w:p w14:paraId="46FC2CEE" w14:textId="77777777" w:rsidR="0078584B" w:rsidRDefault="0078584B" w:rsidP="0078584B">
      <w:pPr>
        <w:shd w:val="clear" w:color="auto" w:fill="FFFFFF"/>
        <w:spacing w:after="40" w:line="288" w:lineRule="auto"/>
        <w:ind w:firstLine="567"/>
        <w:jc w:val="both"/>
      </w:pPr>
      <w:bookmarkStart w:id="0" w:name="_Hlk134107173"/>
      <w:r w:rsidRPr="00DE65F0">
        <w:t xml:space="preserve">The area of concentrated newly planted forests nationwide in </w:t>
      </w:r>
      <w:r>
        <w:t>July 2024</w:t>
      </w:r>
      <w:r w:rsidRPr="00DE65F0">
        <w:t xml:space="preserve"> was </w:t>
      </w:r>
      <w:bookmarkStart w:id="1" w:name="_Hlk134107230"/>
      <w:bookmarkEnd w:id="0"/>
      <w:r w:rsidRPr="00320C6F">
        <w:t xml:space="preserve">estimated at </w:t>
      </w:r>
      <w:r w:rsidRPr="00FC383C">
        <w:t>13,8</w:t>
      </w:r>
      <w:r w:rsidRPr="00320C6F">
        <w:t xml:space="preserve"> thousand hectares, an increase of </w:t>
      </w:r>
      <w:r>
        <w:t>6,9</w:t>
      </w:r>
      <w:r w:rsidRPr="00320C6F">
        <w:t xml:space="preserve">% over the same period last year. Some provinces have high forest planting progress: </w:t>
      </w:r>
      <w:r w:rsidRPr="003F7E0B">
        <w:t>Quang Binh increased by 7.3%, Nghe An increased by 6.4%, especially Yen Bai and Phu Tho increased by 8 times and 43 times respectively (respectively increased by 111 hectares and 593 hectares).</w:t>
      </w:r>
      <w:r>
        <w:rPr>
          <w:rStyle w:val="FootnoteReference"/>
        </w:rPr>
        <w:footnoteReference w:id="3"/>
      </w:r>
      <w:r w:rsidRPr="00320C6F">
        <w:t xml:space="preserve"> </w:t>
      </w:r>
      <w:r>
        <w:t>T</w:t>
      </w:r>
      <w:r w:rsidRPr="00DE65F0">
        <w:t xml:space="preserve">he number of scattered forest trees reached </w:t>
      </w:r>
      <w:r>
        <w:t>6.5</w:t>
      </w:r>
      <w:r w:rsidRPr="00DE65F0">
        <w:t xml:space="preserve"> million trees, up </w:t>
      </w:r>
      <w:r>
        <w:t>4</w:t>
      </w:r>
      <w:r w:rsidRPr="00DE65F0">
        <w:t>%</w:t>
      </w:r>
      <w:r w:rsidRPr="00CF5381">
        <w:t xml:space="preserve"> </w:t>
      </w:r>
      <w:r w:rsidRPr="00320C6F">
        <w:t>over the same period last year</w:t>
      </w:r>
      <w:r>
        <w:t>. T</w:t>
      </w:r>
      <w:r w:rsidRPr="00320C6F">
        <w:t>he ou</w:t>
      </w:r>
      <w:r>
        <w:t>tput of exploited wood reached 1,945.7 thousand m3, up 7.8</w:t>
      </w:r>
      <w:r w:rsidRPr="00320C6F">
        <w:t xml:space="preserve">% </w:t>
      </w:r>
      <w:r>
        <w:t>d</w:t>
      </w:r>
      <w:r w:rsidRPr="00CF5381">
        <w:t xml:space="preserve">ue to the increasing trend of raw wood prices, people have increased the exploitation of wood at harvest age. Some localities have high timber exploitation output compared to the same period last year: Yen Bai increased by 17.4%; Tuyen Quang increased by 12.7%; Nghe An </w:t>
      </w:r>
      <w:r w:rsidRPr="00CF5381">
        <w:lastRenderedPageBreak/>
        <w:t>increased by 9.7%; Quang Ngai increased by 7.9%; Quang Ninh increased by 7.7%.</w:t>
      </w:r>
    </w:p>
    <w:p w14:paraId="53547C1A" w14:textId="77777777" w:rsidR="0078584B" w:rsidRDefault="0078584B" w:rsidP="0078584B">
      <w:pPr>
        <w:shd w:val="clear" w:color="auto" w:fill="FFFFFF"/>
        <w:spacing w:after="40" w:line="288" w:lineRule="auto"/>
        <w:ind w:firstLine="567"/>
        <w:jc w:val="both"/>
      </w:pPr>
      <w:r w:rsidRPr="00CF5381">
        <w:t>Total seven months of 2024</w:t>
      </w:r>
      <w:r>
        <w:t>,</w:t>
      </w:r>
      <w:r w:rsidRPr="00CF5381">
        <w:t xml:space="preserve"> </w:t>
      </w:r>
      <w:r>
        <w:t>t</w:t>
      </w:r>
      <w:r w:rsidRPr="00DE65F0">
        <w:t>he area of concentrated newly planted forests</w:t>
      </w:r>
      <w:r w:rsidRPr="00CF5381">
        <w:t xml:space="preserve"> </w:t>
      </w:r>
      <w:r w:rsidRPr="00DE65F0">
        <w:t xml:space="preserve">was </w:t>
      </w:r>
      <w:r w:rsidRPr="00320C6F">
        <w:t xml:space="preserve">estimated at </w:t>
      </w:r>
      <w:r w:rsidRPr="00FC383C">
        <w:t>1</w:t>
      </w:r>
      <w:r>
        <w:t>43,4</w:t>
      </w:r>
      <w:r w:rsidRPr="00320C6F">
        <w:t xml:space="preserve"> thousand hectares, an increase of </w:t>
      </w:r>
      <w:r>
        <w:t>4,6</w:t>
      </w:r>
      <w:r w:rsidRPr="00320C6F">
        <w:t>% over the same period last year</w:t>
      </w:r>
      <w:r>
        <w:t>; t</w:t>
      </w:r>
      <w:r w:rsidRPr="00DE65F0">
        <w:t xml:space="preserve">he number of scattered forest trees reached </w:t>
      </w:r>
      <w:r>
        <w:t>51.1</w:t>
      </w:r>
      <w:r w:rsidRPr="00DE65F0">
        <w:t xml:space="preserve"> million trees, up </w:t>
      </w:r>
      <w:r>
        <w:t>3</w:t>
      </w:r>
      <w:r w:rsidRPr="00DE65F0">
        <w:t>%</w:t>
      </w:r>
      <w:r>
        <w:t>;</w:t>
      </w:r>
      <w:r w:rsidRPr="0026538B">
        <w:t xml:space="preserve"> </w:t>
      </w:r>
      <w:r>
        <w:t>t</w:t>
      </w:r>
      <w:r w:rsidRPr="00320C6F">
        <w:t>he ou</w:t>
      </w:r>
      <w:r>
        <w:t>tput of exploited wood reached 11,943.2 thousand m3, up 7.1</w:t>
      </w:r>
      <w:r w:rsidRPr="00320C6F">
        <w:t>%</w:t>
      </w:r>
    </w:p>
    <w:p w14:paraId="6B29E2E2" w14:textId="77777777" w:rsidR="0078584B" w:rsidRPr="00DE65F0" w:rsidRDefault="0078584B" w:rsidP="0078584B">
      <w:pPr>
        <w:shd w:val="clear" w:color="auto" w:fill="FFFFFF"/>
        <w:spacing w:after="40" w:line="288" w:lineRule="auto"/>
        <w:ind w:firstLine="567"/>
        <w:jc w:val="both"/>
        <w:rPr>
          <w:spacing w:val="-4"/>
          <w:lang w:val="de-DE"/>
        </w:rPr>
      </w:pPr>
      <w:r w:rsidRPr="00DE65F0">
        <w:rPr>
          <w:lang w:val="de-DE"/>
        </w:rPr>
        <w:t>The damaged forest area</w:t>
      </w:r>
      <w:r w:rsidRPr="005D222E">
        <w:rPr>
          <w:rStyle w:val="FootnoteReference"/>
        </w:rPr>
        <w:footnoteReference w:id="4"/>
      </w:r>
      <w:r w:rsidRPr="00DE65F0">
        <w:rPr>
          <w:lang w:val="de-DE"/>
        </w:rPr>
        <w:t xml:space="preserve"> </w:t>
      </w:r>
      <w:r w:rsidRPr="00DE65F0">
        <w:t xml:space="preserve">in </w:t>
      </w:r>
      <w:r>
        <w:t>July</w:t>
      </w:r>
      <w:r>
        <w:rPr>
          <w:lang w:val="de-DE"/>
        </w:rPr>
        <w:t xml:space="preserve"> </w:t>
      </w:r>
      <w:r w:rsidRPr="00DE65F0">
        <w:rPr>
          <w:lang w:val="de-DE"/>
        </w:rPr>
        <w:t>was</w:t>
      </w:r>
      <w:r w:rsidRPr="00DE65F0">
        <w:rPr>
          <w:spacing w:val="4"/>
          <w:lang w:val="de-DE"/>
        </w:rPr>
        <w:t xml:space="preserve"> </w:t>
      </w:r>
      <w:r>
        <w:rPr>
          <w:spacing w:val="4"/>
          <w:lang w:val="de-DE"/>
        </w:rPr>
        <w:t>80.5 hectares, down 61.1</w:t>
      </w:r>
      <w:r w:rsidRPr="00320C6F">
        <w:rPr>
          <w:spacing w:val="4"/>
          <w:lang w:val="de-DE"/>
        </w:rPr>
        <w:t>% over the sa</w:t>
      </w:r>
      <w:r>
        <w:rPr>
          <w:spacing w:val="4"/>
          <w:lang w:val="de-DE"/>
        </w:rPr>
        <w:t xml:space="preserve">me period last year. Of which, </w:t>
      </w:r>
      <w:r w:rsidRPr="00DE65F0">
        <w:t xml:space="preserve">the forest was destroyed with </w:t>
      </w:r>
      <w:r>
        <w:rPr>
          <w:spacing w:val="-4"/>
          <w:lang w:val="de-DE"/>
        </w:rPr>
        <w:t>49.7</w:t>
      </w:r>
      <w:r w:rsidRPr="00DE65F0">
        <w:rPr>
          <w:spacing w:val="-4"/>
          <w:lang w:val="de-DE"/>
        </w:rPr>
        <w:t xml:space="preserve"> </w:t>
      </w:r>
      <w:r w:rsidRPr="00DE65F0">
        <w:t xml:space="preserve">hectares, </w:t>
      </w:r>
      <w:r>
        <w:t>down 64.1</w:t>
      </w:r>
      <w:r w:rsidRPr="00DE65F0">
        <w:rPr>
          <w:spacing w:val="-4"/>
          <w:lang w:val="de-DE"/>
        </w:rPr>
        <w:t xml:space="preserve">%; </w:t>
      </w:r>
      <w:r w:rsidRPr="00DE65F0">
        <w:t xml:space="preserve">the burned forest area was </w:t>
      </w:r>
      <w:r>
        <w:rPr>
          <w:spacing w:val="-4"/>
          <w:lang w:val="de-DE"/>
        </w:rPr>
        <w:t>30.8</w:t>
      </w:r>
      <w:r w:rsidRPr="00DE65F0">
        <w:rPr>
          <w:spacing w:val="-4"/>
          <w:lang w:val="de-DE"/>
        </w:rPr>
        <w:t xml:space="preserve"> </w:t>
      </w:r>
      <w:r w:rsidRPr="00DE65F0">
        <w:t xml:space="preserve">hectares, </w:t>
      </w:r>
      <w:r>
        <w:t>down 55.1</w:t>
      </w:r>
      <w:r w:rsidRPr="00DE65F0">
        <w:rPr>
          <w:spacing w:val="-4"/>
          <w:lang w:val="de-DE"/>
        </w:rPr>
        <w:t>%</w:t>
      </w:r>
      <w:r w:rsidRPr="00320C6F">
        <w:rPr>
          <w:spacing w:val="4"/>
          <w:lang w:val="de-DE"/>
        </w:rPr>
        <w:t xml:space="preserve">. </w:t>
      </w:r>
      <w:r w:rsidRPr="00DE65F0">
        <w:t xml:space="preserve">Generally, in </w:t>
      </w:r>
      <w:r>
        <w:t>7 months of 2024</w:t>
      </w:r>
      <w:r w:rsidRPr="00320C6F">
        <w:rPr>
          <w:spacing w:val="4"/>
          <w:lang w:val="de-DE"/>
        </w:rPr>
        <w:t xml:space="preserve">, the whole country had </w:t>
      </w:r>
      <w:r>
        <w:rPr>
          <w:spacing w:val="4"/>
          <w:lang w:val="de-DE"/>
        </w:rPr>
        <w:t>1.303.0</w:t>
      </w:r>
      <w:r w:rsidRPr="00320C6F">
        <w:rPr>
          <w:spacing w:val="4"/>
          <w:lang w:val="de-DE"/>
        </w:rPr>
        <w:t xml:space="preserve"> hec</w:t>
      </w:r>
      <w:r>
        <w:rPr>
          <w:spacing w:val="4"/>
          <w:lang w:val="de-DE"/>
        </w:rPr>
        <w:t>tares of damaged forest, down 5.3</w:t>
      </w:r>
      <w:r w:rsidRPr="00320C6F">
        <w:rPr>
          <w:spacing w:val="4"/>
          <w:lang w:val="de-DE"/>
        </w:rPr>
        <w:t>%</w:t>
      </w:r>
      <w:r>
        <w:rPr>
          <w:spacing w:val="4"/>
          <w:lang w:val="de-DE"/>
        </w:rPr>
        <w:t xml:space="preserve"> over the same period last year. O</w:t>
      </w:r>
      <w:r w:rsidRPr="00320C6F">
        <w:rPr>
          <w:spacing w:val="4"/>
          <w:lang w:val="de-DE"/>
        </w:rPr>
        <w:t xml:space="preserve">f which </w:t>
      </w:r>
      <w:r w:rsidRPr="00DE65F0">
        <w:t xml:space="preserve">the forest was destroyed with </w:t>
      </w:r>
      <w:r>
        <w:rPr>
          <w:spacing w:val="-4"/>
          <w:lang w:val="de-DE"/>
        </w:rPr>
        <w:t>588.0</w:t>
      </w:r>
      <w:r w:rsidRPr="00DE65F0">
        <w:rPr>
          <w:spacing w:val="-4"/>
          <w:lang w:val="de-DE"/>
        </w:rPr>
        <w:t xml:space="preserve"> </w:t>
      </w:r>
      <w:r w:rsidRPr="00DE65F0">
        <w:t xml:space="preserve">hectares, </w:t>
      </w:r>
      <w:r>
        <w:t>down 23.0</w:t>
      </w:r>
      <w:r w:rsidRPr="00DE65F0">
        <w:rPr>
          <w:spacing w:val="-4"/>
          <w:lang w:val="de-DE"/>
        </w:rPr>
        <w:t xml:space="preserve">%; </w:t>
      </w:r>
      <w:r w:rsidRPr="00DE65F0">
        <w:t xml:space="preserve">the burned forest area was </w:t>
      </w:r>
      <w:r>
        <w:rPr>
          <w:spacing w:val="-4"/>
          <w:lang w:val="de-DE"/>
        </w:rPr>
        <w:t>715.0</w:t>
      </w:r>
      <w:r w:rsidRPr="00DE65F0">
        <w:rPr>
          <w:spacing w:val="-4"/>
          <w:lang w:val="de-DE"/>
        </w:rPr>
        <w:t xml:space="preserve"> </w:t>
      </w:r>
      <w:r w:rsidRPr="00DE65F0">
        <w:t xml:space="preserve">hectares, </w:t>
      </w:r>
      <w:r>
        <w:t>down 16.8</w:t>
      </w:r>
      <w:r w:rsidRPr="00DE65F0">
        <w:rPr>
          <w:spacing w:val="-4"/>
          <w:lang w:val="de-DE"/>
        </w:rPr>
        <w:t>%</w:t>
      </w:r>
      <w:r w:rsidRPr="00320C6F">
        <w:rPr>
          <w:spacing w:val="4"/>
          <w:lang w:val="de-DE"/>
        </w:rPr>
        <w:t>.</w:t>
      </w:r>
    </w:p>
    <w:bookmarkEnd w:id="1"/>
    <w:p w14:paraId="40F1F874" w14:textId="77777777" w:rsidR="0078584B" w:rsidRPr="00722356" w:rsidRDefault="0078584B" w:rsidP="0078584B">
      <w:pPr>
        <w:spacing w:after="40" w:line="288" w:lineRule="auto"/>
        <w:ind w:firstLine="567"/>
        <w:jc w:val="both"/>
        <w:rPr>
          <w:b/>
          <w:bCs/>
          <w:i/>
          <w:iCs/>
          <w:lang w:val="de-DE"/>
        </w:rPr>
      </w:pPr>
      <w:r w:rsidRPr="00722356">
        <w:rPr>
          <w:b/>
          <w:bCs/>
          <w:i/>
          <w:iCs/>
          <w:lang w:val="de-DE"/>
        </w:rPr>
        <w:t xml:space="preserve">c) </w:t>
      </w:r>
      <w:r>
        <w:rPr>
          <w:b/>
          <w:bCs/>
          <w:i/>
          <w:iCs/>
          <w:lang w:val="de-DE"/>
        </w:rPr>
        <w:t>Fishery</w:t>
      </w:r>
    </w:p>
    <w:p w14:paraId="1DD559D4" w14:textId="77777777" w:rsidR="0078584B" w:rsidRDefault="0078584B" w:rsidP="0078584B">
      <w:pPr>
        <w:spacing w:before="40" w:after="40" w:line="288" w:lineRule="auto"/>
        <w:ind w:right="1" w:firstLine="567"/>
        <w:jc w:val="both"/>
        <w:rPr>
          <w:lang w:val="de-DE"/>
        </w:rPr>
      </w:pPr>
      <w:bookmarkStart w:id="2" w:name="_Hlk134107280"/>
      <w:r w:rsidRPr="00073FA5">
        <w:rPr>
          <w:bCs/>
          <w:spacing w:val="-2"/>
        </w:rPr>
        <w:t xml:space="preserve">Fishery output in </w:t>
      </w:r>
      <w:r>
        <w:t>July</w:t>
      </w:r>
      <w:r>
        <w:rPr>
          <w:bCs/>
          <w:spacing w:val="-2"/>
        </w:rPr>
        <w:t xml:space="preserve"> 2024</w:t>
      </w:r>
      <w:r w:rsidRPr="00073FA5">
        <w:rPr>
          <w:bCs/>
          <w:spacing w:val="-2"/>
        </w:rPr>
        <w:t xml:space="preserve"> was estimated at </w:t>
      </w:r>
      <w:bookmarkStart w:id="3" w:name="_Hlk134107302"/>
      <w:bookmarkEnd w:id="2"/>
      <w:r>
        <w:rPr>
          <w:lang w:val="de-DE"/>
        </w:rPr>
        <w:t>841.3 thousand tons, up 2.2</w:t>
      </w:r>
      <w:r w:rsidRPr="00320C6F">
        <w:rPr>
          <w:lang w:val="de-DE"/>
        </w:rPr>
        <w:t>% over the same period last y</w:t>
      </w:r>
      <w:r>
        <w:rPr>
          <w:lang w:val="de-DE"/>
        </w:rPr>
        <w:t>ear, including: Fish reached 588.0 thousand tons, up 2.0</w:t>
      </w:r>
      <w:r w:rsidRPr="00320C6F">
        <w:rPr>
          <w:lang w:val="de-DE"/>
        </w:rPr>
        <w:t xml:space="preserve">%; </w:t>
      </w:r>
      <w:r>
        <w:rPr>
          <w:lang w:val="de-DE"/>
        </w:rPr>
        <w:t>shrimp reached 139.2 thousand tons, up 3.2</w:t>
      </w:r>
      <w:r w:rsidRPr="00320C6F">
        <w:rPr>
          <w:lang w:val="de-DE"/>
        </w:rPr>
        <w:t>%; ot</w:t>
      </w:r>
      <w:r>
        <w:rPr>
          <w:lang w:val="de-DE"/>
        </w:rPr>
        <w:t>her aquatic products reached 113.9 thousand tons, up 1.9</w:t>
      </w:r>
      <w:r w:rsidRPr="00320C6F">
        <w:rPr>
          <w:lang w:val="de-DE"/>
        </w:rPr>
        <w:t>%.</w:t>
      </w:r>
    </w:p>
    <w:bookmarkEnd w:id="3"/>
    <w:p w14:paraId="1CE3CBC5" w14:textId="77777777" w:rsidR="0078584B" w:rsidRDefault="0078584B" w:rsidP="0078584B">
      <w:pPr>
        <w:spacing w:before="60" w:after="120" w:line="288" w:lineRule="auto"/>
        <w:ind w:firstLine="567"/>
        <w:jc w:val="both"/>
        <w:rPr>
          <w:bCs/>
          <w:spacing w:val="-2"/>
        </w:rPr>
      </w:pPr>
      <w:r w:rsidRPr="00396F67">
        <w:rPr>
          <w:bCs/>
          <w:spacing w:val="-2"/>
        </w:rPr>
        <w:t xml:space="preserve">Aquaculture </w:t>
      </w:r>
      <w:r w:rsidRPr="00487239">
        <w:rPr>
          <w:bCs/>
          <w:spacing w:val="2"/>
          <w:lang w:val="pt-BR"/>
        </w:rPr>
        <w:t>production</w:t>
      </w:r>
      <w:r>
        <w:rPr>
          <w:bCs/>
          <w:spacing w:val="-2"/>
        </w:rPr>
        <w:t xml:space="preserve"> in July was estimated at 490.7 thousand tons, up 3.4</w:t>
      </w:r>
      <w:r w:rsidRPr="00396F67">
        <w:rPr>
          <w:bCs/>
          <w:spacing w:val="-2"/>
        </w:rPr>
        <w:t xml:space="preserve">% over the same period last </w:t>
      </w:r>
      <w:r>
        <w:rPr>
          <w:bCs/>
          <w:spacing w:val="-2"/>
        </w:rPr>
        <w:t>year, of which: Fish reached 307.9</w:t>
      </w:r>
      <w:r w:rsidRPr="00396F67">
        <w:rPr>
          <w:bCs/>
          <w:spacing w:val="-2"/>
        </w:rPr>
        <w:t xml:space="preserve"> thousand tons</w:t>
      </w:r>
      <w:r>
        <w:rPr>
          <w:bCs/>
          <w:spacing w:val="-2"/>
        </w:rPr>
        <w:t>, up 3.2%; shrimp reached 127.7 thousand tons, up 3.5</w:t>
      </w:r>
      <w:r w:rsidRPr="00396F67">
        <w:rPr>
          <w:bCs/>
          <w:spacing w:val="-2"/>
        </w:rPr>
        <w:t>%</w:t>
      </w:r>
    </w:p>
    <w:p w14:paraId="6A0D0F6B" w14:textId="77777777" w:rsidR="0078584B" w:rsidRDefault="0078584B" w:rsidP="0078584B">
      <w:pPr>
        <w:spacing w:after="40" w:line="288" w:lineRule="auto"/>
        <w:ind w:firstLine="567"/>
        <w:jc w:val="both"/>
        <w:rPr>
          <w:lang w:val="de-DE"/>
        </w:rPr>
      </w:pPr>
      <w:r w:rsidRPr="00396F67">
        <w:rPr>
          <w:lang w:val="de-DE"/>
        </w:rPr>
        <w:t xml:space="preserve">Pangasius </w:t>
      </w:r>
      <w:r w:rsidRPr="00487239">
        <w:rPr>
          <w:bCs/>
          <w:spacing w:val="2"/>
          <w:lang w:val="pt-BR"/>
        </w:rPr>
        <w:t>production</w:t>
      </w:r>
      <w:r w:rsidRPr="00396F67">
        <w:rPr>
          <w:lang w:val="de-DE"/>
        </w:rPr>
        <w:t xml:space="preserve"> in </w:t>
      </w:r>
      <w:r>
        <w:rPr>
          <w:bCs/>
          <w:spacing w:val="-2"/>
        </w:rPr>
        <w:t>July</w:t>
      </w:r>
      <w:r w:rsidRPr="00396F67">
        <w:rPr>
          <w:lang w:val="de-DE"/>
        </w:rPr>
        <w:t xml:space="preserve"> </w:t>
      </w:r>
      <w:r>
        <w:rPr>
          <w:bCs/>
          <w:spacing w:val="-2"/>
        </w:rPr>
        <w:t>was estimated at 139.0 thousand tons, up 4.5</w:t>
      </w:r>
      <w:r w:rsidRPr="00396F67">
        <w:rPr>
          <w:bCs/>
          <w:spacing w:val="-2"/>
        </w:rPr>
        <w:t xml:space="preserve">% over the same period last </w:t>
      </w:r>
      <w:r>
        <w:rPr>
          <w:bCs/>
          <w:spacing w:val="-2"/>
        </w:rPr>
        <w:t xml:space="preserve">year due </w:t>
      </w:r>
      <w:r w:rsidRPr="0040738C">
        <w:rPr>
          <w:bCs/>
          <w:spacing w:val="-2"/>
        </w:rPr>
        <w:t>the price of raw pangasius remains stable at a high level</w:t>
      </w:r>
      <w:r>
        <w:rPr>
          <w:rStyle w:val="FootnoteReference"/>
          <w:lang w:val="de-DE"/>
        </w:rPr>
        <w:t xml:space="preserve"> </w:t>
      </w:r>
      <w:r>
        <w:rPr>
          <w:rStyle w:val="FootnoteReference"/>
          <w:lang w:val="de-DE"/>
        </w:rPr>
        <w:footnoteReference w:id="5"/>
      </w:r>
      <w:r w:rsidRPr="00396F67">
        <w:rPr>
          <w:lang w:val="de-DE"/>
        </w:rPr>
        <w:t xml:space="preserve"> </w:t>
      </w:r>
      <w:r w:rsidRPr="0040738C">
        <w:rPr>
          <w:lang w:val="de-DE"/>
        </w:rPr>
        <w:t>and pangasius exports are showing signs of recovery, fish farmers and businesses are adjusting farming output accordingly to meet export demand.</w:t>
      </w:r>
    </w:p>
    <w:p w14:paraId="12156752" w14:textId="77777777" w:rsidR="0078584B" w:rsidRDefault="0078584B" w:rsidP="0078584B">
      <w:pPr>
        <w:spacing w:after="40" w:line="288" w:lineRule="auto"/>
        <w:ind w:firstLine="567"/>
        <w:jc w:val="both"/>
        <w:rPr>
          <w:bCs/>
          <w:spacing w:val="2"/>
          <w:lang w:val="pt-BR"/>
        </w:rPr>
      </w:pPr>
      <w:r w:rsidRPr="00487239">
        <w:rPr>
          <w:bCs/>
          <w:spacing w:val="2"/>
          <w:lang w:val="pt-BR"/>
        </w:rPr>
        <w:t xml:space="preserve">Shrimp production </w:t>
      </w:r>
      <w:r w:rsidRPr="000F22B6">
        <w:rPr>
          <w:bCs/>
          <w:spacing w:val="2"/>
          <w:lang w:val="pt-BR"/>
        </w:rPr>
        <w:t xml:space="preserve">in </w:t>
      </w:r>
      <w:r>
        <w:rPr>
          <w:bCs/>
          <w:spacing w:val="-2"/>
        </w:rPr>
        <w:t>July</w:t>
      </w:r>
      <w:r w:rsidRPr="000F22B6">
        <w:rPr>
          <w:bCs/>
          <w:spacing w:val="2"/>
          <w:lang w:val="pt-BR"/>
        </w:rPr>
        <w:t xml:space="preserve"> increased compared to the same period last year </w:t>
      </w:r>
      <w:r w:rsidRPr="0040738C">
        <w:rPr>
          <w:bCs/>
          <w:spacing w:val="2"/>
          <w:lang w:val="pt-BR"/>
        </w:rPr>
        <w:t>due to the harvest season.</w:t>
      </w:r>
      <w:r w:rsidRPr="000F22B6">
        <w:rPr>
          <w:bCs/>
          <w:spacing w:val="2"/>
          <w:lang w:val="pt-BR"/>
        </w:rPr>
        <w:t xml:space="preserve"> White-leg </w:t>
      </w:r>
      <w:r>
        <w:rPr>
          <w:bCs/>
          <w:spacing w:val="2"/>
          <w:lang w:val="pt-BR"/>
        </w:rPr>
        <w:t>shrimp output is estimated at 93.1 thousand tons, up 4</w:t>
      </w:r>
      <w:r w:rsidRPr="000F22B6">
        <w:rPr>
          <w:bCs/>
          <w:spacing w:val="2"/>
          <w:lang w:val="pt-BR"/>
        </w:rPr>
        <w:t xml:space="preserve">.1% over the same period last year; black tiger </w:t>
      </w:r>
      <w:r>
        <w:rPr>
          <w:bCs/>
          <w:spacing w:val="2"/>
          <w:lang w:val="pt-BR"/>
        </w:rPr>
        <w:t>shrimp output is estimated at 29.1 thousand tons, up 2.4</w:t>
      </w:r>
      <w:r w:rsidRPr="000F22B6">
        <w:rPr>
          <w:bCs/>
          <w:spacing w:val="2"/>
          <w:lang w:val="pt-BR"/>
        </w:rPr>
        <w:t>%.</w:t>
      </w:r>
    </w:p>
    <w:p w14:paraId="5A297A65" w14:textId="77777777" w:rsidR="0078584B" w:rsidRDefault="0078584B" w:rsidP="0078584B">
      <w:pPr>
        <w:spacing w:after="40" w:line="288" w:lineRule="auto"/>
        <w:ind w:firstLine="567"/>
        <w:jc w:val="both"/>
        <w:rPr>
          <w:lang w:val="de-DE"/>
        </w:rPr>
      </w:pPr>
      <w:r w:rsidRPr="00210C6B">
        <w:rPr>
          <w:lang w:val="de-DE"/>
        </w:rPr>
        <w:t>In July</w:t>
      </w:r>
      <w:r>
        <w:rPr>
          <w:lang w:val="de-DE"/>
        </w:rPr>
        <w:t>, t</w:t>
      </w:r>
      <w:r w:rsidRPr="00616620">
        <w:rPr>
          <w:lang w:val="de-DE"/>
        </w:rPr>
        <w:t xml:space="preserve">he caught fishery </w:t>
      </w:r>
      <w:r w:rsidRPr="00487239">
        <w:rPr>
          <w:bCs/>
          <w:spacing w:val="2"/>
          <w:lang w:val="pt-BR"/>
        </w:rPr>
        <w:t>production</w:t>
      </w:r>
      <w:r w:rsidRPr="00A87BEC">
        <w:rPr>
          <w:lang w:val="de-DE"/>
        </w:rPr>
        <w:t xml:space="preserve"> was estimated at </w:t>
      </w:r>
      <w:r>
        <w:rPr>
          <w:lang w:val="de-DE"/>
        </w:rPr>
        <w:t>350.4 thousand tons, up 0.6</w:t>
      </w:r>
      <w:r w:rsidRPr="00513F7F">
        <w:rPr>
          <w:lang w:val="de-DE"/>
        </w:rPr>
        <w:t>% over the same period last year</w:t>
      </w:r>
      <w:r>
        <w:rPr>
          <w:lang w:val="de-DE"/>
        </w:rPr>
        <w:t>, including: Fish reached 280.1 thousand tons, up 0.7%; shrimp reached 11.5</w:t>
      </w:r>
      <w:r w:rsidRPr="00513F7F">
        <w:rPr>
          <w:lang w:val="de-DE"/>
        </w:rPr>
        <w:t xml:space="preserve"> thousand tons</w:t>
      </w:r>
      <w:r w:rsidRPr="00210C6B">
        <w:t xml:space="preserve"> </w:t>
      </w:r>
      <w:r>
        <w:rPr>
          <w:lang w:val="de-DE"/>
        </w:rPr>
        <w:t>s</w:t>
      </w:r>
      <w:r w:rsidRPr="00210C6B">
        <w:rPr>
          <w:lang w:val="de-DE"/>
        </w:rPr>
        <w:t>ame period last year</w:t>
      </w:r>
      <w:r>
        <w:rPr>
          <w:lang w:val="de-DE"/>
        </w:rPr>
        <w:t>;</w:t>
      </w:r>
      <w:r w:rsidRPr="00210C6B">
        <w:rPr>
          <w:lang w:val="de-DE"/>
        </w:rPr>
        <w:t xml:space="preserve"> </w:t>
      </w:r>
      <w:r w:rsidRPr="00513F7F">
        <w:rPr>
          <w:lang w:val="de-DE"/>
        </w:rPr>
        <w:t xml:space="preserve">other </w:t>
      </w:r>
      <w:r w:rsidRPr="00513F7F">
        <w:rPr>
          <w:lang w:val="de-DE"/>
        </w:rPr>
        <w:lastRenderedPageBreak/>
        <w:t>aqu</w:t>
      </w:r>
      <w:r>
        <w:rPr>
          <w:lang w:val="de-DE"/>
        </w:rPr>
        <w:t>atic products reached 58.8 thousand tons, up 0.2</w:t>
      </w:r>
      <w:r w:rsidRPr="00513F7F">
        <w:rPr>
          <w:lang w:val="de-DE"/>
        </w:rPr>
        <w:t>%.</w:t>
      </w:r>
      <w:r w:rsidRPr="00616620">
        <w:rPr>
          <w:lang w:val="de-DE"/>
        </w:rPr>
        <w:t xml:space="preserve"> Marine fishing output wasestimated </w:t>
      </w:r>
      <w:r>
        <w:rPr>
          <w:lang w:val="de-DE"/>
        </w:rPr>
        <w:t>at 336.2 thousand tons, up 0.7</w:t>
      </w:r>
      <w:r w:rsidRPr="00513F7F">
        <w:rPr>
          <w:lang w:val="de-DE"/>
        </w:rPr>
        <w:t>% over the same period last year.</w:t>
      </w:r>
    </w:p>
    <w:p w14:paraId="04496B15" w14:textId="77777777" w:rsidR="0078584B" w:rsidRPr="00A00632" w:rsidRDefault="0078584B" w:rsidP="0078584B">
      <w:pPr>
        <w:spacing w:after="40" w:line="288" w:lineRule="auto"/>
        <w:ind w:firstLine="567"/>
        <w:jc w:val="center"/>
        <w:rPr>
          <w:rFonts w:ascii="Arial" w:hAnsi="Arial" w:cs="Arial"/>
          <w:b/>
          <w:bCs/>
          <w:sz w:val="24"/>
          <w:szCs w:val="24"/>
          <w:lang w:val="de-DE"/>
        </w:rPr>
      </w:pPr>
      <w:r w:rsidRPr="00A00632">
        <w:rPr>
          <w:rFonts w:ascii="Arial" w:hAnsi="Arial" w:cs="Arial"/>
          <w:b/>
          <w:bCs/>
          <w:sz w:val="24"/>
          <w:szCs w:val="24"/>
          <w:lang w:val="de-DE"/>
        </w:rPr>
        <w:t xml:space="preserve">Figure 3. Fishery production in </w:t>
      </w:r>
      <w:r>
        <w:rPr>
          <w:rFonts w:ascii="Arial" w:hAnsi="Arial" w:cs="Arial"/>
          <w:b/>
          <w:bCs/>
          <w:sz w:val="24"/>
          <w:szCs w:val="24"/>
          <w:lang w:val="de-DE"/>
        </w:rPr>
        <w:t>7 months</w:t>
      </w:r>
      <w:r w:rsidRPr="00A00632">
        <w:rPr>
          <w:rFonts w:ascii="Arial" w:hAnsi="Arial" w:cs="Arial"/>
          <w:b/>
          <w:bCs/>
          <w:sz w:val="24"/>
          <w:szCs w:val="24"/>
          <w:lang w:val="de-DE"/>
        </w:rPr>
        <w:t xml:space="preserve"> of 202</w:t>
      </w:r>
      <w:r>
        <w:rPr>
          <w:rFonts w:ascii="Arial" w:hAnsi="Arial" w:cs="Arial"/>
          <w:b/>
          <w:bCs/>
          <w:sz w:val="24"/>
          <w:szCs w:val="24"/>
          <w:lang w:val="de-DE"/>
        </w:rPr>
        <w:t>4</w:t>
      </w:r>
    </w:p>
    <w:p w14:paraId="0F9DB7CF" w14:textId="77777777" w:rsidR="0078584B" w:rsidRPr="0073295B" w:rsidRDefault="0078584B" w:rsidP="0078584B">
      <w:pPr>
        <w:shd w:val="clear" w:color="auto" w:fill="FFFFFF"/>
        <w:tabs>
          <w:tab w:val="left" w:pos="9360"/>
        </w:tabs>
        <w:jc w:val="center"/>
        <w:rPr>
          <w:rFonts w:ascii="Arial" w:hAnsi="Arial" w:cs="Arial"/>
          <w:b/>
          <w:bCs/>
          <w:sz w:val="24"/>
          <w:szCs w:val="24"/>
          <w:lang w:val="de-DE"/>
        </w:rPr>
      </w:pPr>
      <w:r w:rsidRPr="00A00632">
        <w:rPr>
          <w:rFonts w:ascii="Arial" w:hAnsi="Arial" w:cs="Arial"/>
          <w:b/>
          <w:bCs/>
          <w:sz w:val="24"/>
          <w:szCs w:val="24"/>
          <w:lang w:val="de-DE"/>
        </w:rPr>
        <w:t>over the same period last year</w:t>
      </w:r>
    </w:p>
    <w:p w14:paraId="30A13600" w14:textId="77777777" w:rsidR="0078584B" w:rsidRPr="0073295B" w:rsidRDefault="0078584B" w:rsidP="0078584B">
      <w:pPr>
        <w:pStyle w:val="NormalWeb"/>
      </w:pPr>
      <w:r>
        <w:rPr>
          <w:b/>
          <w:bCs/>
          <w:noProof/>
        </w:rPr>
        <w:drawing>
          <wp:inline distT="0" distB="0" distL="0" distR="0" wp14:anchorId="5126AB51" wp14:editId="53871C44">
            <wp:extent cx="19050" cy="28575"/>
            <wp:effectExtent l="0" t="0" r="0" b="9525"/>
            <wp:docPr id="1173053544" name="Picture 117305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56642D">
        <w:rPr>
          <w:snapToGrid w:val="0"/>
          <w:color w:val="000000"/>
          <w:w w:val="0"/>
          <w:sz w:val="0"/>
          <w:szCs w:val="0"/>
          <w:u w:color="000000"/>
          <w:bdr w:val="none" w:sz="0" w:space="0" w:color="000000"/>
          <w:shd w:val="clear" w:color="000000" w:fill="000000"/>
          <w:lang w:val="x-none" w:bidi="x-none"/>
        </w:rPr>
        <w:t xml:space="preserve"> </w:t>
      </w:r>
      <w:r>
        <w:rPr>
          <w:noProof/>
        </w:rPr>
        <w:drawing>
          <wp:inline distT="0" distB="0" distL="0" distR="0" wp14:anchorId="01542E61" wp14:editId="1583F244">
            <wp:extent cx="5699051" cy="1669415"/>
            <wp:effectExtent l="0" t="0" r="0" b="6985"/>
            <wp:docPr id="6" name="Picture 6" descr="C:\Users\tvvinh\AppData\Local\Packages\Microsoft.Windows.Photos_8wekyb3d8bbwe\TempState\ShareServiceTempFolder\Hình TS T7. EN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vvinh\AppData\Local\Packages\Microsoft.Windows.Photos_8wekyb3d8bbwe\TempState\ShareServiceTempFolder\Hình TS T7. EN 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1722" cy="1673127"/>
                    </a:xfrm>
                    <a:prstGeom prst="rect">
                      <a:avLst/>
                    </a:prstGeom>
                    <a:noFill/>
                    <a:ln>
                      <a:noFill/>
                    </a:ln>
                  </pic:spPr>
                </pic:pic>
              </a:graphicData>
            </a:graphic>
          </wp:inline>
        </w:drawing>
      </w:r>
    </w:p>
    <w:p w14:paraId="33A16183" w14:textId="77777777" w:rsidR="0078584B" w:rsidRDefault="0078584B" w:rsidP="0078584B">
      <w:pPr>
        <w:spacing w:after="120" w:line="360" w:lineRule="atLeast"/>
        <w:ind w:right="1" w:firstLine="720"/>
        <w:jc w:val="both"/>
      </w:pPr>
      <w:bookmarkStart w:id="4" w:name="_Hlk134187656"/>
      <w:r w:rsidRPr="00616620">
        <w:rPr>
          <w:spacing w:val="4"/>
          <w:lang w:val="sv-SE"/>
        </w:rPr>
        <w:t xml:space="preserve">Generally, </w:t>
      </w:r>
      <w:r>
        <w:t>in 7 months of 2024</w:t>
      </w:r>
      <w:r w:rsidRPr="00616620">
        <w:t>,</w:t>
      </w:r>
      <w:r w:rsidRPr="00616620">
        <w:rPr>
          <w:bCs/>
          <w:spacing w:val="-2"/>
        </w:rPr>
        <w:t xml:space="preserve"> fishery output was estimated </w:t>
      </w:r>
      <w:bookmarkEnd w:id="4"/>
      <w:r>
        <w:rPr>
          <w:bCs/>
          <w:spacing w:val="-2"/>
        </w:rPr>
        <w:t>at 5,225.8</w:t>
      </w:r>
      <w:r w:rsidRPr="00916B7B">
        <w:rPr>
          <w:bCs/>
          <w:spacing w:val="-2"/>
        </w:rPr>
        <w:t xml:space="preserve"> thousand tons, up 2.6% over the same period last</w:t>
      </w:r>
      <w:r>
        <w:rPr>
          <w:bCs/>
          <w:spacing w:val="-2"/>
        </w:rPr>
        <w:t xml:space="preserve"> year, including: Fish reached 3,</w:t>
      </w:r>
      <w:r w:rsidRPr="00916B7B">
        <w:rPr>
          <w:bCs/>
          <w:spacing w:val="-2"/>
        </w:rPr>
        <w:t>7</w:t>
      </w:r>
      <w:r>
        <w:rPr>
          <w:bCs/>
          <w:spacing w:val="-2"/>
        </w:rPr>
        <w:t>60.2 thousand tons, up 2.5%; shrimp reached 699.0 thousand tons, up 3.9</w:t>
      </w:r>
      <w:r w:rsidRPr="00916B7B">
        <w:rPr>
          <w:bCs/>
          <w:spacing w:val="-2"/>
        </w:rPr>
        <w:t>%; o</w:t>
      </w:r>
      <w:r>
        <w:rPr>
          <w:bCs/>
          <w:spacing w:val="-2"/>
        </w:rPr>
        <w:t>ther aquatic products reached 76</w:t>
      </w:r>
      <w:r w:rsidRPr="00916B7B">
        <w:rPr>
          <w:bCs/>
          <w:spacing w:val="-2"/>
        </w:rPr>
        <w:t>6.6 th</w:t>
      </w:r>
      <w:r>
        <w:rPr>
          <w:bCs/>
          <w:spacing w:val="-2"/>
        </w:rPr>
        <w:t>ousand tons, up 2.1</w:t>
      </w:r>
      <w:r w:rsidRPr="00916B7B">
        <w:rPr>
          <w:bCs/>
          <w:spacing w:val="-2"/>
        </w:rPr>
        <w:t>%.</w:t>
      </w:r>
    </w:p>
    <w:p w14:paraId="329E8438" w14:textId="77777777" w:rsidR="005E3B18" w:rsidRPr="00FC383C" w:rsidRDefault="005E3B18" w:rsidP="005E3B18">
      <w:pPr>
        <w:widowControl w:val="0"/>
        <w:spacing w:after="120" w:line="276" w:lineRule="auto"/>
        <w:ind w:firstLine="720"/>
        <w:jc w:val="both"/>
        <w:rPr>
          <w:b/>
          <w:bCs/>
          <w:lang w:val="pl-PL"/>
        </w:rPr>
      </w:pPr>
      <w:r w:rsidRPr="00FC383C">
        <w:rPr>
          <w:b/>
          <w:bCs/>
          <w:lang w:val="pl-PL"/>
        </w:rPr>
        <w:t xml:space="preserve">2. </w:t>
      </w:r>
      <w:r>
        <w:rPr>
          <w:b/>
          <w:bCs/>
          <w:lang w:val="pl-PL"/>
        </w:rPr>
        <w:t>Industrial Production</w:t>
      </w:r>
    </w:p>
    <w:p w14:paraId="06432E37" w14:textId="77777777" w:rsidR="005E3B18" w:rsidRPr="00FC383C" w:rsidRDefault="005E3B18" w:rsidP="005E3B18">
      <w:pPr>
        <w:shd w:val="clear" w:color="auto" w:fill="FFFFFF"/>
        <w:spacing w:after="120" w:line="276" w:lineRule="auto"/>
        <w:ind w:firstLine="720"/>
        <w:jc w:val="both"/>
        <w:rPr>
          <w:i/>
          <w:iCs/>
          <w:shd w:val="clear" w:color="auto" w:fill="FFFFFF"/>
        </w:rPr>
      </w:pPr>
      <w:r w:rsidRPr="004E1408">
        <w:rPr>
          <w:i/>
          <w:lang w:val="sv-SE"/>
        </w:rPr>
        <w:t>Industrial production maintained a positive growth momentum, it is estimated that the industrial production index in July increased by 0.7% compared to the previous month and increased by 11.2% over the same period last year. Generally, in the first seven months of 2024, the production index of the whole industry is estimated to increase by 8.5% over the same period last yea</w:t>
      </w:r>
      <w:r>
        <w:rPr>
          <w:i/>
          <w:lang w:val="sv-SE"/>
        </w:rPr>
        <w:t>r</w:t>
      </w:r>
      <w:r w:rsidRPr="00FC383C">
        <w:rPr>
          <w:rStyle w:val="FootnoteReference"/>
          <w:rFonts w:eastAsiaTheme="majorEastAsia"/>
          <w:i/>
          <w:lang w:val="sv-SE"/>
        </w:rPr>
        <w:footnoteReference w:id="6"/>
      </w:r>
      <w:r w:rsidRPr="00FC383C">
        <w:rPr>
          <w:i/>
          <w:lang w:val="sv-SE"/>
        </w:rPr>
        <w:t>.</w:t>
      </w:r>
    </w:p>
    <w:p w14:paraId="5A50AD99" w14:textId="77777777" w:rsidR="005E3B18" w:rsidRDefault="005E3B18" w:rsidP="005E3B18">
      <w:pPr>
        <w:widowControl w:val="0"/>
        <w:shd w:val="clear" w:color="auto" w:fill="FFFFFF"/>
        <w:tabs>
          <w:tab w:val="left" w:pos="8931"/>
        </w:tabs>
        <w:spacing w:after="120" w:line="288" w:lineRule="auto"/>
        <w:ind w:firstLine="720"/>
        <w:jc w:val="both"/>
        <w:rPr>
          <w:lang w:val="pl-PL"/>
        </w:rPr>
      </w:pPr>
      <w:r w:rsidRPr="001A4BEA">
        <w:rPr>
          <w:lang w:val="pl-PL"/>
        </w:rPr>
        <w:t>The index of industrial production (IIP) in July 2024 is estimated to increase by 0.7% compared to the previous month and increase by 11.2% over the same period last year. In which, compared to the same period last year, the processing and manufacturing industry increased by 13.3%; the electricity production and distribution industry increased by 9.9%; water supply, waste and wastewater management and treatment activities increased by 12.1%; the mining industry alone decreased by 7.0%.</w:t>
      </w:r>
    </w:p>
    <w:p w14:paraId="6420BA92" w14:textId="77777777" w:rsidR="005E3B18" w:rsidRDefault="005E3B18" w:rsidP="005E3B18">
      <w:pPr>
        <w:widowControl w:val="0"/>
        <w:shd w:val="clear" w:color="auto" w:fill="FFFFFF"/>
        <w:tabs>
          <w:tab w:val="left" w:pos="8931"/>
        </w:tabs>
        <w:spacing w:after="120" w:line="288" w:lineRule="auto"/>
        <w:ind w:firstLine="720"/>
        <w:jc w:val="both"/>
        <w:rPr>
          <w:lang w:val="pl-PL"/>
        </w:rPr>
      </w:pPr>
      <w:r w:rsidRPr="001A4BEA">
        <w:rPr>
          <w:lang w:val="pl-PL"/>
        </w:rPr>
        <w:t xml:space="preserve">Generally, in the first seven months of 2024, IIP is estimated to increase by 8.5% over the same period last year (the same period in 2023 decreased by 0.8%). In which, manufacturing industry increased by 9.5% (the same period in 2023 decreased by 1.2%), contributing 8.2 percentage points to the overall </w:t>
      </w:r>
      <w:r w:rsidRPr="001A4BEA">
        <w:rPr>
          <w:lang w:val="pl-PL"/>
        </w:rPr>
        <w:lastRenderedPageBreak/>
        <w:t xml:space="preserve">increase; </w:t>
      </w:r>
      <w:r>
        <w:rPr>
          <w:lang w:val="pl-PL"/>
        </w:rPr>
        <w:t>e</w:t>
      </w:r>
      <w:r w:rsidRPr="001A4BEA">
        <w:rPr>
          <w:lang w:val="pl-PL"/>
        </w:rPr>
        <w:t>lectricity, gas, steam and air conditioning supply</w:t>
      </w:r>
      <w:r>
        <w:rPr>
          <w:lang w:val="pl-PL"/>
        </w:rPr>
        <w:t xml:space="preserve"> </w:t>
      </w:r>
      <w:r w:rsidRPr="001A4BEA">
        <w:rPr>
          <w:lang w:val="pl-PL"/>
        </w:rPr>
        <w:t xml:space="preserve">increased by 12.4% (the same period in 2023 increased by 1.4%), contributing 1.1 percentage points; </w:t>
      </w:r>
      <w:r>
        <w:rPr>
          <w:lang w:val="pl-PL"/>
        </w:rPr>
        <w:t>w</w:t>
      </w:r>
      <w:r w:rsidRPr="001A4BEA">
        <w:rPr>
          <w:lang w:val="pl-PL"/>
        </w:rPr>
        <w:t>ater supply; sewerage, waste management and remediation activitiesincreased by 7.2% (the same period in 2023 increased by 5.2%), contributing 0.1 percentage points;</w:t>
      </w:r>
      <w:r>
        <w:rPr>
          <w:lang w:val="pl-PL"/>
        </w:rPr>
        <w:t xml:space="preserve"> m</w:t>
      </w:r>
      <w:r w:rsidRPr="001A4BEA">
        <w:rPr>
          <w:lang w:val="pl-PL"/>
        </w:rPr>
        <w:t>ining and quarying alone decreased by 6.2% (the same period in 2023 decreased by 2.0%), reducing by 0.9 percentage points.</w:t>
      </w:r>
    </w:p>
    <w:p w14:paraId="56A253C5" w14:textId="77777777" w:rsidR="005E3B18" w:rsidRDefault="005E3B18" w:rsidP="005E3B18">
      <w:pPr>
        <w:widowControl w:val="0"/>
        <w:shd w:val="clear" w:color="auto" w:fill="FFFFFF"/>
        <w:tabs>
          <w:tab w:val="left" w:pos="8931"/>
        </w:tabs>
        <w:spacing w:after="120" w:line="288" w:lineRule="auto"/>
        <w:ind w:firstLine="720"/>
        <w:jc w:val="both"/>
        <w:rPr>
          <w:lang w:val="pl-PL"/>
        </w:rPr>
      </w:pPr>
      <w:r w:rsidRPr="001A4BEA">
        <w:rPr>
          <w:i/>
          <w:lang w:val="pl-PL"/>
        </w:rPr>
        <w:t xml:space="preserve">The production index in the first seven months of 2024 of a number of key industries at level II increased sharply compared to the same period last year: </w:t>
      </w:r>
      <w:r w:rsidRPr="001A4BEA">
        <w:rPr>
          <w:iCs/>
          <w:lang w:val="pl-PL"/>
        </w:rPr>
        <w:t>Manufacture of rubber and plastics products</w:t>
      </w:r>
      <w:r>
        <w:rPr>
          <w:iCs/>
          <w:lang w:val="pl-PL"/>
        </w:rPr>
        <w:t xml:space="preserve"> </w:t>
      </w:r>
      <w:r w:rsidRPr="001A4BEA">
        <w:rPr>
          <w:iCs/>
          <w:lang w:val="pl-PL"/>
        </w:rPr>
        <w:t>increased by 28.7</w:t>
      </w:r>
      <w:r>
        <w:rPr>
          <w:iCs/>
          <w:lang w:val="pl-PL"/>
        </w:rPr>
        <w:t>;</w:t>
      </w:r>
      <w:r w:rsidRPr="001A4BEA">
        <w:t xml:space="preserve"> </w:t>
      </w:r>
      <w:r>
        <w:rPr>
          <w:iCs/>
          <w:lang w:val="pl-PL"/>
        </w:rPr>
        <w:t>m</w:t>
      </w:r>
      <w:r w:rsidRPr="001A4BEA">
        <w:rPr>
          <w:iCs/>
          <w:lang w:val="pl-PL"/>
        </w:rPr>
        <w:t xml:space="preserve">anufacture of furniture increased by 21.5%; </w:t>
      </w:r>
      <w:r>
        <w:rPr>
          <w:iCs/>
          <w:lang w:val="pl-PL"/>
        </w:rPr>
        <w:t>m</w:t>
      </w:r>
      <w:r w:rsidRPr="001A4BEA">
        <w:rPr>
          <w:iCs/>
          <w:lang w:val="pl-PL"/>
        </w:rPr>
        <w:t>anufacture of chemicals and chemical products</w:t>
      </w:r>
      <w:r>
        <w:rPr>
          <w:iCs/>
          <w:lang w:val="pl-PL"/>
        </w:rPr>
        <w:t xml:space="preserve"> </w:t>
      </w:r>
      <w:r w:rsidRPr="001A4BEA">
        <w:rPr>
          <w:iCs/>
          <w:lang w:val="pl-PL"/>
        </w:rPr>
        <w:t xml:space="preserve">increased by 17.3%; </w:t>
      </w:r>
      <w:r>
        <w:rPr>
          <w:iCs/>
          <w:lang w:val="pl-PL"/>
        </w:rPr>
        <w:t>m</w:t>
      </w:r>
      <w:r w:rsidRPr="001A4BEA">
        <w:rPr>
          <w:iCs/>
          <w:lang w:val="pl-PL"/>
        </w:rPr>
        <w:t>ining of metal ores</w:t>
      </w:r>
      <w:r>
        <w:rPr>
          <w:iCs/>
          <w:lang w:val="pl-PL"/>
        </w:rPr>
        <w:t xml:space="preserve"> </w:t>
      </w:r>
      <w:r w:rsidRPr="001A4BEA">
        <w:rPr>
          <w:iCs/>
          <w:lang w:val="pl-PL"/>
        </w:rPr>
        <w:t xml:space="preserve">increased by 15.0%; </w:t>
      </w:r>
      <w:r>
        <w:rPr>
          <w:iCs/>
          <w:lang w:val="pl-PL"/>
        </w:rPr>
        <w:t>m</w:t>
      </w:r>
      <w:r w:rsidRPr="001A4BEA">
        <w:rPr>
          <w:iCs/>
          <w:lang w:val="pl-PL"/>
        </w:rPr>
        <w:t xml:space="preserve">anufacture of fabricated metal products, except machinery and equipment increased by 13.0%; </w:t>
      </w:r>
      <w:r>
        <w:rPr>
          <w:iCs/>
          <w:lang w:val="pl-PL"/>
        </w:rPr>
        <w:t>m</w:t>
      </w:r>
      <w:r w:rsidRPr="001A4BEA">
        <w:rPr>
          <w:iCs/>
          <w:lang w:val="pl-PL"/>
        </w:rPr>
        <w:t xml:space="preserve">anufacture of basic metalsincreased by 12.8%; </w:t>
      </w:r>
      <w:r>
        <w:rPr>
          <w:iCs/>
          <w:lang w:val="pl-PL"/>
        </w:rPr>
        <w:t>m</w:t>
      </w:r>
      <w:r w:rsidRPr="001A4BEA">
        <w:rPr>
          <w:iCs/>
          <w:lang w:val="pl-PL"/>
        </w:rPr>
        <w:t>anufacture of electrical equipment increased by 12.5%</w:t>
      </w:r>
      <w:r w:rsidRPr="00FC383C">
        <w:rPr>
          <w:lang w:val="pl-PL"/>
        </w:rPr>
        <w:t xml:space="preserve">; </w:t>
      </w:r>
      <w:r>
        <w:rPr>
          <w:lang w:val="pl-PL"/>
        </w:rPr>
        <w:t>m</w:t>
      </w:r>
      <w:r w:rsidRPr="001A4BEA">
        <w:rPr>
          <w:lang w:val="pl-PL"/>
        </w:rPr>
        <w:t>anufacture of textiles</w:t>
      </w:r>
      <w:r>
        <w:rPr>
          <w:lang w:val="pl-PL"/>
        </w:rPr>
        <w:t xml:space="preserve"> and e</w:t>
      </w:r>
      <w:r w:rsidRPr="001A4BEA">
        <w:rPr>
          <w:lang w:val="pl-PL"/>
        </w:rPr>
        <w:t>lectricity, gas, steam</w:t>
      </w:r>
      <w:r>
        <w:rPr>
          <w:lang w:val="pl-PL"/>
        </w:rPr>
        <w:t>,</w:t>
      </w:r>
      <w:r w:rsidRPr="001A4BEA">
        <w:rPr>
          <w:lang w:val="pl-PL"/>
        </w:rPr>
        <w:t xml:space="preserve"> air conditioning supply both increased by 12.4%; </w:t>
      </w:r>
      <w:r>
        <w:rPr>
          <w:lang w:val="pl-PL"/>
        </w:rPr>
        <w:t>m</w:t>
      </w:r>
      <w:r w:rsidRPr="001A4BEA">
        <w:rPr>
          <w:lang w:val="pl-PL"/>
        </w:rPr>
        <w:t>anufacture of computer, electronic and optical products</w:t>
      </w:r>
      <w:r>
        <w:rPr>
          <w:lang w:val="pl-PL"/>
        </w:rPr>
        <w:t xml:space="preserve"> </w:t>
      </w:r>
      <w:r w:rsidRPr="001A4BEA">
        <w:rPr>
          <w:lang w:val="pl-PL"/>
        </w:rPr>
        <w:t xml:space="preserve">increased by 11.1%; </w:t>
      </w:r>
      <w:r>
        <w:rPr>
          <w:lang w:val="pl-PL"/>
        </w:rPr>
        <w:t>m</w:t>
      </w:r>
      <w:r w:rsidRPr="001A4BEA">
        <w:rPr>
          <w:lang w:val="pl-PL"/>
        </w:rPr>
        <w:t xml:space="preserve">anufacture of food products increased by 7.4%. In the opposite direction, the IIP index of some industries decreased: </w:t>
      </w:r>
      <w:r w:rsidRPr="00DD4D63">
        <w:rPr>
          <w:lang w:val="pl-PL"/>
        </w:rPr>
        <w:t>Extraction of crude petroleum and natural gas</w:t>
      </w:r>
      <w:r w:rsidRPr="001A4BEA">
        <w:rPr>
          <w:lang w:val="pl-PL"/>
        </w:rPr>
        <w:t xml:space="preserve"> decreased by 12.4%; </w:t>
      </w:r>
      <w:r>
        <w:rPr>
          <w:lang w:val="pl-PL"/>
        </w:rPr>
        <w:t>r</w:t>
      </w:r>
      <w:r w:rsidRPr="00DD4D63">
        <w:rPr>
          <w:lang w:val="pl-PL"/>
        </w:rPr>
        <w:t>epair and installation of machinery and equipment</w:t>
      </w:r>
      <w:r>
        <w:rPr>
          <w:lang w:val="pl-PL"/>
        </w:rPr>
        <w:t xml:space="preserve"> </w:t>
      </w:r>
      <w:r w:rsidRPr="001A4BEA">
        <w:rPr>
          <w:lang w:val="pl-PL"/>
        </w:rPr>
        <w:t xml:space="preserve">decreased by 2.9%; </w:t>
      </w:r>
      <w:r>
        <w:rPr>
          <w:lang w:val="pl-PL"/>
        </w:rPr>
        <w:t>m</w:t>
      </w:r>
      <w:r w:rsidRPr="00DD4D63">
        <w:rPr>
          <w:lang w:val="pl-PL"/>
        </w:rPr>
        <w:t>anufacture of other non-metallic mineral products</w:t>
      </w:r>
      <w:r w:rsidRPr="001A4BEA">
        <w:rPr>
          <w:lang w:val="pl-PL"/>
        </w:rPr>
        <w:t xml:space="preserve"> decreased by 1.8%; </w:t>
      </w:r>
      <w:r>
        <w:rPr>
          <w:lang w:val="pl-PL"/>
        </w:rPr>
        <w:t>m</w:t>
      </w:r>
      <w:r w:rsidRPr="00DD4D63">
        <w:rPr>
          <w:lang w:val="pl-PL"/>
        </w:rPr>
        <w:t>ining of coal and lignite</w:t>
      </w:r>
      <w:r w:rsidRPr="001A4BEA">
        <w:rPr>
          <w:lang w:val="pl-PL"/>
        </w:rPr>
        <w:t xml:space="preserve"> decreased by 1.3%.</w:t>
      </w:r>
    </w:p>
    <w:p w14:paraId="2C749983" w14:textId="77777777" w:rsidR="005E3B18" w:rsidRPr="00DD4D63" w:rsidRDefault="005E3B18" w:rsidP="005E3B18">
      <w:pPr>
        <w:shd w:val="clear" w:color="auto" w:fill="FFFFFF"/>
        <w:tabs>
          <w:tab w:val="left" w:pos="8931"/>
        </w:tabs>
        <w:ind w:right="45"/>
        <w:jc w:val="center"/>
        <w:rPr>
          <w:rFonts w:ascii="Arial" w:hAnsi="Arial" w:cs="Arial"/>
          <w:b/>
          <w:spacing w:val="-2"/>
          <w:sz w:val="24"/>
          <w:szCs w:val="24"/>
          <w:lang w:val="pl-PL"/>
        </w:rPr>
      </w:pPr>
      <w:r w:rsidRPr="00DD4D63">
        <w:rPr>
          <w:rFonts w:ascii="Arial" w:hAnsi="Arial" w:cs="Arial"/>
          <w:b/>
          <w:spacing w:val="-2"/>
          <w:sz w:val="24"/>
          <w:szCs w:val="24"/>
          <w:lang w:val="pl-PL"/>
        </w:rPr>
        <w:t>Figure 1. Rate of increase/decrease of IIP index in 7 months of 2020-2024</w:t>
      </w:r>
    </w:p>
    <w:p w14:paraId="1032147A" w14:textId="77777777" w:rsidR="005E3B18" w:rsidRDefault="005E3B18" w:rsidP="005E3B18">
      <w:pPr>
        <w:shd w:val="clear" w:color="auto" w:fill="FFFFFF"/>
        <w:tabs>
          <w:tab w:val="left" w:pos="8931"/>
        </w:tabs>
        <w:ind w:right="45"/>
        <w:jc w:val="center"/>
        <w:rPr>
          <w:rFonts w:ascii="Arial" w:hAnsi="Arial" w:cs="Arial"/>
          <w:b/>
          <w:i/>
          <w:spacing w:val="-2"/>
          <w:sz w:val="24"/>
          <w:lang w:val="pl-PL"/>
        </w:rPr>
      </w:pPr>
      <w:r w:rsidRPr="00DD4D63">
        <w:rPr>
          <w:rFonts w:ascii="Arial" w:hAnsi="Arial" w:cs="Arial"/>
          <w:b/>
          <w:spacing w:val="-2"/>
          <w:sz w:val="24"/>
          <w:szCs w:val="24"/>
          <w:lang w:val="pl-PL"/>
        </w:rPr>
        <w:t>compared to the same period last year of some key industries</w:t>
      </w:r>
      <w:r w:rsidRPr="00FC383C">
        <w:rPr>
          <w:rFonts w:ascii="Arial" w:hAnsi="Arial" w:cs="Arial"/>
          <w:b/>
          <w:i/>
          <w:spacing w:val="-2"/>
          <w:sz w:val="24"/>
          <w:lang w:val="pl-PL"/>
        </w:rPr>
        <w:t xml:space="preserve">        </w:t>
      </w:r>
    </w:p>
    <w:p w14:paraId="6C4856A6" w14:textId="77777777" w:rsidR="005E3B18" w:rsidRDefault="005E3B18" w:rsidP="005E3B18">
      <w:pPr>
        <w:shd w:val="clear" w:color="auto" w:fill="FFFFFF"/>
        <w:tabs>
          <w:tab w:val="left" w:pos="8931"/>
        </w:tabs>
        <w:ind w:right="45"/>
        <w:jc w:val="center"/>
        <w:rPr>
          <w:rFonts w:ascii="Arial" w:hAnsi="Arial" w:cs="Arial"/>
          <w:b/>
          <w:i/>
          <w:spacing w:val="-2"/>
          <w:sz w:val="24"/>
          <w:lang w:val="pl-PL"/>
        </w:rPr>
      </w:pPr>
      <w:r w:rsidRPr="00FC383C">
        <w:rPr>
          <w:rFonts w:ascii="Arial" w:hAnsi="Arial" w:cs="Arial"/>
          <w:b/>
          <w:i/>
          <w:spacing w:val="-2"/>
          <w:sz w:val="24"/>
          <w:lang w:val="pl-PL"/>
        </w:rPr>
        <w:t xml:space="preserve">                                                                                                                       </w:t>
      </w:r>
    </w:p>
    <w:p w14:paraId="2E30FF57" w14:textId="77777777" w:rsidR="005E3B18" w:rsidRPr="00FC383C" w:rsidRDefault="005E3B18" w:rsidP="005E3B18">
      <w:pPr>
        <w:shd w:val="clear" w:color="auto" w:fill="FFFFFF"/>
        <w:tabs>
          <w:tab w:val="left" w:pos="8931"/>
        </w:tabs>
        <w:ind w:right="45"/>
        <w:jc w:val="right"/>
        <w:rPr>
          <w:b/>
          <w:i/>
          <w:sz w:val="4"/>
          <w:lang w:val="pl-PL"/>
        </w:rPr>
      </w:pPr>
      <w:r w:rsidRPr="00FC383C">
        <w:rPr>
          <w:rFonts w:ascii="Arial" w:hAnsi="Arial" w:cs="Arial"/>
          <w:b/>
          <w:i/>
          <w:spacing w:val="-2"/>
          <w:sz w:val="20"/>
          <w:szCs w:val="20"/>
          <w:lang w:val="pl-PL"/>
        </w:rPr>
        <w:t>%</w:t>
      </w:r>
    </w:p>
    <w:tbl>
      <w:tblPr>
        <w:tblW w:w="5128" w:type="pct"/>
        <w:jc w:val="center"/>
        <w:tblBorders>
          <w:top w:val="single" w:sz="4" w:space="0" w:color="auto"/>
          <w:bottom w:val="single" w:sz="4" w:space="0" w:color="auto"/>
        </w:tblBorders>
        <w:tblLook w:val="04A0" w:firstRow="1" w:lastRow="0" w:firstColumn="1" w:lastColumn="0" w:noHBand="0" w:noVBand="1"/>
      </w:tblPr>
      <w:tblGrid>
        <w:gridCol w:w="4586"/>
        <w:gridCol w:w="968"/>
        <w:gridCol w:w="984"/>
        <w:gridCol w:w="763"/>
        <w:gridCol w:w="910"/>
        <w:gridCol w:w="995"/>
      </w:tblGrid>
      <w:tr w:rsidR="005E3B18" w:rsidRPr="00FC383C" w14:paraId="5290464E" w14:textId="77777777" w:rsidTr="00CA23A3">
        <w:trPr>
          <w:trHeight w:val="441"/>
          <w:tblHeader/>
          <w:jc w:val="center"/>
        </w:trPr>
        <w:tc>
          <w:tcPr>
            <w:tcW w:w="2495" w:type="pct"/>
            <w:shd w:val="clear" w:color="auto" w:fill="auto"/>
            <w:noWrap/>
            <w:vAlign w:val="bottom"/>
            <w:hideMark/>
          </w:tcPr>
          <w:p w14:paraId="28C068C6" w14:textId="77777777" w:rsidR="005E3B18" w:rsidRPr="00FC383C" w:rsidRDefault="005E3B18" w:rsidP="00CA23A3">
            <w:pPr>
              <w:rPr>
                <w:rFonts w:ascii="Arial" w:hAnsi="Arial" w:cs="Arial"/>
                <w:sz w:val="20"/>
                <w:szCs w:val="20"/>
              </w:rPr>
            </w:pPr>
          </w:p>
        </w:tc>
        <w:tc>
          <w:tcPr>
            <w:tcW w:w="530" w:type="pct"/>
            <w:tcBorders>
              <w:top w:val="single" w:sz="4" w:space="0" w:color="auto"/>
              <w:bottom w:val="single" w:sz="4" w:space="0" w:color="auto"/>
            </w:tcBorders>
            <w:shd w:val="clear" w:color="auto" w:fill="auto"/>
            <w:vAlign w:val="center"/>
            <w:hideMark/>
          </w:tcPr>
          <w:p w14:paraId="7880484C"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2020</w:t>
            </w:r>
          </w:p>
        </w:tc>
        <w:tc>
          <w:tcPr>
            <w:tcW w:w="539" w:type="pct"/>
            <w:tcBorders>
              <w:top w:val="single" w:sz="4" w:space="0" w:color="auto"/>
              <w:bottom w:val="single" w:sz="4" w:space="0" w:color="auto"/>
            </w:tcBorders>
            <w:shd w:val="clear" w:color="auto" w:fill="auto"/>
            <w:vAlign w:val="center"/>
            <w:hideMark/>
          </w:tcPr>
          <w:p w14:paraId="6C6279AD"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2021</w:t>
            </w:r>
          </w:p>
        </w:tc>
        <w:tc>
          <w:tcPr>
            <w:tcW w:w="419" w:type="pct"/>
            <w:tcBorders>
              <w:top w:val="single" w:sz="4" w:space="0" w:color="auto"/>
              <w:bottom w:val="single" w:sz="4" w:space="0" w:color="auto"/>
            </w:tcBorders>
            <w:shd w:val="clear" w:color="auto" w:fill="auto"/>
            <w:vAlign w:val="center"/>
            <w:hideMark/>
          </w:tcPr>
          <w:p w14:paraId="18E2DB9C"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2022</w:t>
            </w:r>
          </w:p>
        </w:tc>
        <w:tc>
          <w:tcPr>
            <w:tcW w:w="498" w:type="pct"/>
            <w:tcBorders>
              <w:top w:val="single" w:sz="4" w:space="0" w:color="auto"/>
              <w:bottom w:val="single" w:sz="4" w:space="0" w:color="auto"/>
            </w:tcBorders>
            <w:shd w:val="clear" w:color="auto" w:fill="auto"/>
            <w:vAlign w:val="center"/>
            <w:hideMark/>
          </w:tcPr>
          <w:p w14:paraId="520FA997"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2023</w:t>
            </w:r>
          </w:p>
        </w:tc>
        <w:tc>
          <w:tcPr>
            <w:tcW w:w="518" w:type="pct"/>
            <w:tcBorders>
              <w:top w:val="single" w:sz="4" w:space="0" w:color="auto"/>
              <w:bottom w:val="single" w:sz="4" w:space="0" w:color="auto"/>
            </w:tcBorders>
            <w:shd w:val="clear" w:color="auto" w:fill="auto"/>
            <w:vAlign w:val="center"/>
            <w:hideMark/>
          </w:tcPr>
          <w:p w14:paraId="3DE9EF5B" w14:textId="77777777" w:rsidR="005E3B18" w:rsidRPr="00FC383C" w:rsidRDefault="005E3B18" w:rsidP="00CA23A3">
            <w:pPr>
              <w:jc w:val="right"/>
              <w:rPr>
                <w:rFonts w:ascii="Arial" w:hAnsi="Arial" w:cs="Arial"/>
                <w:sz w:val="20"/>
                <w:szCs w:val="20"/>
              </w:rPr>
            </w:pPr>
            <w:r>
              <w:rPr>
                <w:rFonts w:ascii="Arial" w:hAnsi="Arial" w:cs="Arial"/>
                <w:sz w:val="20"/>
                <w:szCs w:val="20"/>
              </w:rPr>
              <w:t>Estimate</w:t>
            </w:r>
            <w:r w:rsidRPr="00FC383C">
              <w:rPr>
                <w:rFonts w:ascii="Arial" w:hAnsi="Arial" w:cs="Arial"/>
                <w:sz w:val="20"/>
                <w:szCs w:val="20"/>
              </w:rPr>
              <w:t xml:space="preserve"> 2024</w:t>
            </w:r>
          </w:p>
        </w:tc>
      </w:tr>
      <w:tr w:rsidR="005E3B18" w:rsidRPr="00FC383C" w14:paraId="69983F1D" w14:textId="77777777" w:rsidTr="00CA23A3">
        <w:trPr>
          <w:trHeight w:val="304"/>
          <w:jc w:val="center"/>
        </w:trPr>
        <w:tc>
          <w:tcPr>
            <w:tcW w:w="2495" w:type="pct"/>
            <w:shd w:val="clear" w:color="auto" w:fill="auto"/>
            <w:noWrap/>
            <w:hideMark/>
          </w:tcPr>
          <w:p w14:paraId="03E60CC9" w14:textId="77777777" w:rsidR="005E3B18" w:rsidRPr="00FC383C" w:rsidRDefault="005E3B18" w:rsidP="00CA23A3">
            <w:pPr>
              <w:rPr>
                <w:rFonts w:ascii="Arial" w:hAnsi="Arial" w:cs="Arial"/>
                <w:sz w:val="20"/>
                <w:szCs w:val="20"/>
              </w:rPr>
            </w:pPr>
            <w:r w:rsidRPr="00DD4D63">
              <w:rPr>
                <w:rFonts w:ascii="Arial" w:hAnsi="Arial" w:cs="Arial"/>
                <w:sz w:val="20"/>
                <w:szCs w:val="20"/>
              </w:rPr>
              <w:t>Mining of coal and lignite</w:t>
            </w:r>
          </w:p>
        </w:tc>
        <w:tc>
          <w:tcPr>
            <w:tcW w:w="530" w:type="pct"/>
            <w:tcBorders>
              <w:top w:val="single" w:sz="4" w:space="0" w:color="auto"/>
            </w:tcBorders>
            <w:shd w:val="clear" w:color="auto" w:fill="auto"/>
            <w:noWrap/>
            <w:hideMark/>
          </w:tcPr>
          <w:p w14:paraId="2B85247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4,8</w:t>
            </w:r>
          </w:p>
        </w:tc>
        <w:tc>
          <w:tcPr>
            <w:tcW w:w="539" w:type="pct"/>
            <w:tcBorders>
              <w:top w:val="single" w:sz="4" w:space="0" w:color="auto"/>
            </w:tcBorders>
            <w:shd w:val="clear" w:color="auto" w:fill="auto"/>
            <w:noWrap/>
            <w:hideMark/>
          </w:tcPr>
          <w:p w14:paraId="2DD46124"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-3,1</w:t>
            </w:r>
          </w:p>
        </w:tc>
        <w:tc>
          <w:tcPr>
            <w:tcW w:w="419" w:type="pct"/>
            <w:tcBorders>
              <w:top w:val="single" w:sz="4" w:space="0" w:color="auto"/>
            </w:tcBorders>
            <w:shd w:val="clear" w:color="auto" w:fill="auto"/>
            <w:noWrap/>
            <w:hideMark/>
          </w:tcPr>
          <w:p w14:paraId="479F643D"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7,3</w:t>
            </w:r>
          </w:p>
        </w:tc>
        <w:tc>
          <w:tcPr>
            <w:tcW w:w="498" w:type="pct"/>
            <w:tcBorders>
              <w:top w:val="single" w:sz="4" w:space="0" w:color="auto"/>
            </w:tcBorders>
            <w:shd w:val="clear" w:color="auto" w:fill="auto"/>
            <w:noWrap/>
            <w:hideMark/>
          </w:tcPr>
          <w:p w14:paraId="48D560E9"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-2,2</w:t>
            </w:r>
          </w:p>
        </w:tc>
        <w:tc>
          <w:tcPr>
            <w:tcW w:w="518" w:type="pct"/>
            <w:tcBorders>
              <w:top w:val="single" w:sz="4" w:space="0" w:color="auto"/>
            </w:tcBorders>
            <w:shd w:val="clear" w:color="auto" w:fill="auto"/>
            <w:noWrap/>
            <w:hideMark/>
          </w:tcPr>
          <w:p w14:paraId="3CF3A1F0"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-1,3</w:t>
            </w:r>
          </w:p>
        </w:tc>
      </w:tr>
      <w:tr w:rsidR="005E3B18" w:rsidRPr="00FC383C" w14:paraId="4CD35148" w14:textId="77777777" w:rsidTr="00CA23A3">
        <w:trPr>
          <w:trHeight w:val="304"/>
          <w:jc w:val="center"/>
        </w:trPr>
        <w:tc>
          <w:tcPr>
            <w:tcW w:w="2495" w:type="pct"/>
            <w:shd w:val="clear" w:color="auto" w:fill="auto"/>
            <w:noWrap/>
            <w:hideMark/>
          </w:tcPr>
          <w:p w14:paraId="10BA2DF4" w14:textId="77777777" w:rsidR="005E3B18" w:rsidRPr="00FC383C" w:rsidRDefault="005E3B18" w:rsidP="00CA23A3">
            <w:pPr>
              <w:rPr>
                <w:rFonts w:ascii="Arial" w:hAnsi="Arial" w:cs="Arial"/>
                <w:sz w:val="20"/>
                <w:szCs w:val="20"/>
              </w:rPr>
            </w:pPr>
            <w:r w:rsidRPr="00DD4D63">
              <w:rPr>
                <w:rFonts w:ascii="Arial" w:hAnsi="Arial" w:cs="Arial"/>
                <w:sz w:val="20"/>
                <w:szCs w:val="20"/>
              </w:rPr>
              <w:t>Extraction of crude petroleum and natural gas</w:t>
            </w:r>
          </w:p>
        </w:tc>
        <w:tc>
          <w:tcPr>
            <w:tcW w:w="530" w:type="pct"/>
            <w:shd w:val="clear" w:color="auto" w:fill="auto"/>
            <w:noWrap/>
            <w:hideMark/>
          </w:tcPr>
          <w:p w14:paraId="5181AB21"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-11,0</w:t>
            </w:r>
          </w:p>
        </w:tc>
        <w:tc>
          <w:tcPr>
            <w:tcW w:w="539" w:type="pct"/>
            <w:shd w:val="clear" w:color="auto" w:fill="auto"/>
            <w:noWrap/>
            <w:hideMark/>
          </w:tcPr>
          <w:p w14:paraId="768EE162"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-10,9</w:t>
            </w:r>
          </w:p>
        </w:tc>
        <w:tc>
          <w:tcPr>
            <w:tcW w:w="419" w:type="pct"/>
            <w:shd w:val="clear" w:color="auto" w:fill="auto"/>
            <w:noWrap/>
            <w:hideMark/>
          </w:tcPr>
          <w:p w14:paraId="626968FB"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-1,6</w:t>
            </w:r>
          </w:p>
        </w:tc>
        <w:tc>
          <w:tcPr>
            <w:tcW w:w="498" w:type="pct"/>
            <w:shd w:val="clear" w:color="auto" w:fill="auto"/>
            <w:noWrap/>
            <w:hideMark/>
          </w:tcPr>
          <w:p w14:paraId="00ED531C"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-1,0</w:t>
            </w:r>
          </w:p>
        </w:tc>
        <w:tc>
          <w:tcPr>
            <w:tcW w:w="518" w:type="pct"/>
            <w:shd w:val="clear" w:color="auto" w:fill="auto"/>
            <w:noWrap/>
            <w:hideMark/>
          </w:tcPr>
          <w:p w14:paraId="2B99F832"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-12,4</w:t>
            </w:r>
          </w:p>
        </w:tc>
      </w:tr>
      <w:tr w:rsidR="005E3B18" w:rsidRPr="00FC383C" w14:paraId="01FBD047" w14:textId="77777777" w:rsidTr="00CA23A3">
        <w:trPr>
          <w:trHeight w:val="304"/>
          <w:jc w:val="center"/>
        </w:trPr>
        <w:tc>
          <w:tcPr>
            <w:tcW w:w="2495" w:type="pct"/>
            <w:shd w:val="clear" w:color="auto" w:fill="auto"/>
            <w:hideMark/>
          </w:tcPr>
          <w:p w14:paraId="61E2288F" w14:textId="77777777" w:rsidR="005E3B18" w:rsidRPr="00FC383C" w:rsidRDefault="005E3B18" w:rsidP="00CA23A3">
            <w:pPr>
              <w:rPr>
                <w:rFonts w:ascii="Arial" w:hAnsi="Arial" w:cs="Arial"/>
                <w:sz w:val="20"/>
                <w:szCs w:val="20"/>
              </w:rPr>
            </w:pPr>
            <w:r w:rsidRPr="00DD4D63">
              <w:rPr>
                <w:rFonts w:ascii="Arial" w:hAnsi="Arial" w:cs="Arial"/>
                <w:sz w:val="20"/>
                <w:szCs w:val="20"/>
              </w:rPr>
              <w:t>Mining of metal ores</w:t>
            </w:r>
          </w:p>
        </w:tc>
        <w:tc>
          <w:tcPr>
            <w:tcW w:w="530" w:type="pct"/>
            <w:shd w:val="clear" w:color="auto" w:fill="auto"/>
            <w:noWrap/>
            <w:hideMark/>
          </w:tcPr>
          <w:p w14:paraId="3C3ADF99"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14,0</w:t>
            </w:r>
          </w:p>
        </w:tc>
        <w:tc>
          <w:tcPr>
            <w:tcW w:w="539" w:type="pct"/>
            <w:shd w:val="clear" w:color="auto" w:fill="auto"/>
            <w:noWrap/>
            <w:hideMark/>
          </w:tcPr>
          <w:p w14:paraId="39A0CEC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5,6</w:t>
            </w:r>
          </w:p>
        </w:tc>
        <w:tc>
          <w:tcPr>
            <w:tcW w:w="419" w:type="pct"/>
            <w:shd w:val="clear" w:color="auto" w:fill="auto"/>
            <w:noWrap/>
            <w:hideMark/>
          </w:tcPr>
          <w:p w14:paraId="69291B67"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8,3</w:t>
            </w:r>
          </w:p>
        </w:tc>
        <w:tc>
          <w:tcPr>
            <w:tcW w:w="498" w:type="pct"/>
            <w:shd w:val="clear" w:color="auto" w:fill="auto"/>
            <w:noWrap/>
            <w:hideMark/>
          </w:tcPr>
          <w:p w14:paraId="690D3554"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7,9</w:t>
            </w:r>
          </w:p>
        </w:tc>
        <w:tc>
          <w:tcPr>
            <w:tcW w:w="518" w:type="pct"/>
            <w:shd w:val="clear" w:color="auto" w:fill="auto"/>
            <w:noWrap/>
            <w:hideMark/>
          </w:tcPr>
          <w:p w14:paraId="3AC3BB78"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15,0</w:t>
            </w:r>
          </w:p>
        </w:tc>
      </w:tr>
      <w:tr w:rsidR="005E3B18" w:rsidRPr="00FC383C" w14:paraId="7A448BA4" w14:textId="77777777" w:rsidTr="00CA23A3">
        <w:trPr>
          <w:trHeight w:val="304"/>
          <w:jc w:val="center"/>
        </w:trPr>
        <w:tc>
          <w:tcPr>
            <w:tcW w:w="2495" w:type="pct"/>
            <w:shd w:val="clear" w:color="auto" w:fill="auto"/>
            <w:hideMark/>
          </w:tcPr>
          <w:p w14:paraId="3471D390"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food products</w:t>
            </w:r>
          </w:p>
        </w:tc>
        <w:tc>
          <w:tcPr>
            <w:tcW w:w="530" w:type="pct"/>
            <w:shd w:val="clear" w:color="auto" w:fill="auto"/>
            <w:noWrap/>
            <w:hideMark/>
          </w:tcPr>
          <w:p w14:paraId="0DCE15C2"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3,3</w:t>
            </w:r>
          </w:p>
        </w:tc>
        <w:tc>
          <w:tcPr>
            <w:tcW w:w="539" w:type="pct"/>
            <w:shd w:val="clear" w:color="auto" w:fill="auto"/>
            <w:noWrap/>
            <w:hideMark/>
          </w:tcPr>
          <w:p w14:paraId="362560CF"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3,8</w:t>
            </w:r>
          </w:p>
        </w:tc>
        <w:tc>
          <w:tcPr>
            <w:tcW w:w="419" w:type="pct"/>
            <w:shd w:val="clear" w:color="auto" w:fill="auto"/>
            <w:noWrap/>
            <w:hideMark/>
          </w:tcPr>
          <w:p w14:paraId="52FFBAEB"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7,1</w:t>
            </w:r>
          </w:p>
        </w:tc>
        <w:tc>
          <w:tcPr>
            <w:tcW w:w="498" w:type="pct"/>
            <w:shd w:val="clear" w:color="auto" w:fill="auto"/>
            <w:noWrap/>
            <w:hideMark/>
          </w:tcPr>
          <w:p w14:paraId="37B29B6B"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4,5</w:t>
            </w:r>
          </w:p>
        </w:tc>
        <w:tc>
          <w:tcPr>
            <w:tcW w:w="518" w:type="pct"/>
            <w:shd w:val="clear" w:color="auto" w:fill="auto"/>
            <w:noWrap/>
            <w:hideMark/>
          </w:tcPr>
          <w:p w14:paraId="5A012DBD"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7,4</w:t>
            </w:r>
          </w:p>
        </w:tc>
      </w:tr>
      <w:tr w:rsidR="005E3B18" w:rsidRPr="00FC383C" w14:paraId="51C70499" w14:textId="77777777" w:rsidTr="00CA23A3">
        <w:trPr>
          <w:trHeight w:val="240"/>
          <w:jc w:val="center"/>
        </w:trPr>
        <w:tc>
          <w:tcPr>
            <w:tcW w:w="2495" w:type="pct"/>
            <w:shd w:val="clear" w:color="auto" w:fill="auto"/>
            <w:hideMark/>
          </w:tcPr>
          <w:p w14:paraId="32AE0691"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textiles</w:t>
            </w:r>
          </w:p>
        </w:tc>
        <w:tc>
          <w:tcPr>
            <w:tcW w:w="530" w:type="pct"/>
            <w:shd w:val="clear" w:color="auto" w:fill="auto"/>
            <w:noWrap/>
            <w:hideMark/>
          </w:tcPr>
          <w:p w14:paraId="593EC968"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0,8</w:t>
            </w:r>
          </w:p>
        </w:tc>
        <w:tc>
          <w:tcPr>
            <w:tcW w:w="539" w:type="pct"/>
            <w:shd w:val="clear" w:color="auto" w:fill="auto"/>
            <w:noWrap/>
            <w:hideMark/>
          </w:tcPr>
          <w:p w14:paraId="58C187BA"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9,3</w:t>
            </w:r>
          </w:p>
        </w:tc>
        <w:tc>
          <w:tcPr>
            <w:tcW w:w="419" w:type="pct"/>
            <w:shd w:val="clear" w:color="auto" w:fill="auto"/>
            <w:noWrap/>
            <w:hideMark/>
          </w:tcPr>
          <w:p w14:paraId="1380C87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3,8</w:t>
            </w:r>
          </w:p>
        </w:tc>
        <w:tc>
          <w:tcPr>
            <w:tcW w:w="498" w:type="pct"/>
            <w:shd w:val="clear" w:color="auto" w:fill="auto"/>
            <w:noWrap/>
            <w:hideMark/>
          </w:tcPr>
          <w:p w14:paraId="4E96FAD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0,2</w:t>
            </w:r>
          </w:p>
        </w:tc>
        <w:tc>
          <w:tcPr>
            <w:tcW w:w="518" w:type="pct"/>
            <w:shd w:val="clear" w:color="auto" w:fill="auto"/>
            <w:noWrap/>
            <w:hideMark/>
          </w:tcPr>
          <w:p w14:paraId="11219E6A"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12,4</w:t>
            </w:r>
          </w:p>
        </w:tc>
      </w:tr>
      <w:tr w:rsidR="005E3B18" w:rsidRPr="00FC383C" w14:paraId="09104B3D" w14:textId="77777777" w:rsidTr="00CA23A3">
        <w:trPr>
          <w:trHeight w:val="304"/>
          <w:jc w:val="center"/>
        </w:trPr>
        <w:tc>
          <w:tcPr>
            <w:tcW w:w="2495" w:type="pct"/>
            <w:shd w:val="clear" w:color="auto" w:fill="auto"/>
            <w:hideMark/>
          </w:tcPr>
          <w:p w14:paraId="5B085558"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chemicals and chemical products</w:t>
            </w:r>
          </w:p>
        </w:tc>
        <w:tc>
          <w:tcPr>
            <w:tcW w:w="530" w:type="pct"/>
            <w:shd w:val="clear" w:color="auto" w:fill="auto"/>
            <w:noWrap/>
            <w:hideMark/>
          </w:tcPr>
          <w:p w14:paraId="69BF0328"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7,5</w:t>
            </w:r>
          </w:p>
        </w:tc>
        <w:tc>
          <w:tcPr>
            <w:tcW w:w="539" w:type="pct"/>
            <w:shd w:val="clear" w:color="auto" w:fill="auto"/>
            <w:noWrap/>
            <w:hideMark/>
          </w:tcPr>
          <w:p w14:paraId="5FE90ED7"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1,7</w:t>
            </w:r>
          </w:p>
        </w:tc>
        <w:tc>
          <w:tcPr>
            <w:tcW w:w="419" w:type="pct"/>
            <w:shd w:val="clear" w:color="auto" w:fill="auto"/>
            <w:noWrap/>
            <w:hideMark/>
          </w:tcPr>
          <w:p w14:paraId="0AEB2ADF"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3,7</w:t>
            </w:r>
          </w:p>
        </w:tc>
        <w:tc>
          <w:tcPr>
            <w:tcW w:w="498" w:type="pct"/>
            <w:shd w:val="clear" w:color="auto" w:fill="auto"/>
            <w:noWrap/>
            <w:hideMark/>
          </w:tcPr>
          <w:p w14:paraId="7AD85B8A"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5,1</w:t>
            </w:r>
          </w:p>
        </w:tc>
        <w:tc>
          <w:tcPr>
            <w:tcW w:w="518" w:type="pct"/>
            <w:shd w:val="clear" w:color="auto" w:fill="auto"/>
            <w:noWrap/>
            <w:hideMark/>
          </w:tcPr>
          <w:p w14:paraId="593CB59E"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17,3</w:t>
            </w:r>
          </w:p>
        </w:tc>
      </w:tr>
      <w:tr w:rsidR="005E3B18" w:rsidRPr="00FC383C" w14:paraId="3C89B213" w14:textId="77777777" w:rsidTr="00CA23A3">
        <w:trPr>
          <w:trHeight w:val="304"/>
          <w:jc w:val="center"/>
        </w:trPr>
        <w:tc>
          <w:tcPr>
            <w:tcW w:w="2495" w:type="pct"/>
            <w:shd w:val="clear" w:color="auto" w:fill="auto"/>
            <w:hideMark/>
          </w:tcPr>
          <w:p w14:paraId="512318A9"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rubber and plastics products</w:t>
            </w:r>
          </w:p>
        </w:tc>
        <w:tc>
          <w:tcPr>
            <w:tcW w:w="530" w:type="pct"/>
            <w:shd w:val="clear" w:color="auto" w:fill="auto"/>
            <w:noWrap/>
            <w:hideMark/>
          </w:tcPr>
          <w:p w14:paraId="4A75D96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2,2</w:t>
            </w:r>
          </w:p>
        </w:tc>
        <w:tc>
          <w:tcPr>
            <w:tcW w:w="539" w:type="pct"/>
            <w:shd w:val="clear" w:color="auto" w:fill="auto"/>
            <w:noWrap/>
            <w:hideMark/>
          </w:tcPr>
          <w:p w14:paraId="2621D4E7"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3,1</w:t>
            </w:r>
          </w:p>
        </w:tc>
        <w:tc>
          <w:tcPr>
            <w:tcW w:w="419" w:type="pct"/>
            <w:shd w:val="clear" w:color="auto" w:fill="auto"/>
            <w:noWrap/>
            <w:hideMark/>
          </w:tcPr>
          <w:p w14:paraId="7AF17A41"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-8,0</w:t>
            </w:r>
          </w:p>
        </w:tc>
        <w:tc>
          <w:tcPr>
            <w:tcW w:w="498" w:type="pct"/>
            <w:shd w:val="clear" w:color="auto" w:fill="auto"/>
            <w:noWrap/>
            <w:hideMark/>
          </w:tcPr>
          <w:p w14:paraId="1CEC15BD"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8,1</w:t>
            </w:r>
          </w:p>
        </w:tc>
        <w:tc>
          <w:tcPr>
            <w:tcW w:w="518" w:type="pct"/>
            <w:shd w:val="clear" w:color="auto" w:fill="auto"/>
            <w:noWrap/>
            <w:hideMark/>
          </w:tcPr>
          <w:p w14:paraId="280AAC88"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28,7</w:t>
            </w:r>
          </w:p>
        </w:tc>
      </w:tr>
      <w:tr w:rsidR="005E3B18" w:rsidRPr="00FC383C" w14:paraId="4C0F0AE1" w14:textId="77777777" w:rsidTr="00CA23A3">
        <w:trPr>
          <w:trHeight w:val="304"/>
          <w:jc w:val="center"/>
        </w:trPr>
        <w:tc>
          <w:tcPr>
            <w:tcW w:w="2495" w:type="pct"/>
            <w:shd w:val="clear" w:color="auto" w:fill="auto"/>
            <w:hideMark/>
          </w:tcPr>
          <w:p w14:paraId="0981667C"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other non-metallic mineral products</w:t>
            </w:r>
          </w:p>
        </w:tc>
        <w:tc>
          <w:tcPr>
            <w:tcW w:w="530" w:type="pct"/>
            <w:shd w:val="clear" w:color="auto" w:fill="auto"/>
            <w:noWrap/>
            <w:hideMark/>
          </w:tcPr>
          <w:p w14:paraId="444565E2"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1,6</w:t>
            </w:r>
          </w:p>
        </w:tc>
        <w:tc>
          <w:tcPr>
            <w:tcW w:w="539" w:type="pct"/>
            <w:shd w:val="clear" w:color="auto" w:fill="auto"/>
            <w:noWrap/>
            <w:hideMark/>
          </w:tcPr>
          <w:p w14:paraId="356269D7"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5,4</w:t>
            </w:r>
          </w:p>
        </w:tc>
        <w:tc>
          <w:tcPr>
            <w:tcW w:w="419" w:type="pct"/>
            <w:shd w:val="clear" w:color="auto" w:fill="auto"/>
            <w:noWrap/>
            <w:hideMark/>
          </w:tcPr>
          <w:p w14:paraId="1B8335AC"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6,3</w:t>
            </w:r>
          </w:p>
        </w:tc>
        <w:tc>
          <w:tcPr>
            <w:tcW w:w="498" w:type="pct"/>
            <w:shd w:val="clear" w:color="auto" w:fill="auto"/>
            <w:noWrap/>
            <w:hideMark/>
          </w:tcPr>
          <w:p w14:paraId="13AED5CA"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-4,8</w:t>
            </w:r>
          </w:p>
        </w:tc>
        <w:tc>
          <w:tcPr>
            <w:tcW w:w="518" w:type="pct"/>
            <w:shd w:val="clear" w:color="auto" w:fill="auto"/>
            <w:noWrap/>
            <w:hideMark/>
          </w:tcPr>
          <w:p w14:paraId="354C52BE"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-1,8</w:t>
            </w:r>
          </w:p>
        </w:tc>
      </w:tr>
      <w:tr w:rsidR="005E3B18" w:rsidRPr="00FC383C" w14:paraId="3C84785C" w14:textId="77777777" w:rsidTr="00CA23A3">
        <w:trPr>
          <w:trHeight w:val="304"/>
          <w:jc w:val="center"/>
        </w:trPr>
        <w:tc>
          <w:tcPr>
            <w:tcW w:w="2495" w:type="pct"/>
            <w:shd w:val="clear" w:color="auto" w:fill="auto"/>
            <w:noWrap/>
            <w:hideMark/>
          </w:tcPr>
          <w:p w14:paraId="78213AFE"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basic metals</w:t>
            </w:r>
          </w:p>
        </w:tc>
        <w:tc>
          <w:tcPr>
            <w:tcW w:w="530" w:type="pct"/>
            <w:shd w:val="clear" w:color="auto" w:fill="auto"/>
            <w:noWrap/>
            <w:hideMark/>
          </w:tcPr>
          <w:p w14:paraId="2DE119A3"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-2,3</w:t>
            </w:r>
          </w:p>
        </w:tc>
        <w:tc>
          <w:tcPr>
            <w:tcW w:w="539" w:type="pct"/>
            <w:shd w:val="clear" w:color="auto" w:fill="auto"/>
            <w:noWrap/>
            <w:hideMark/>
          </w:tcPr>
          <w:p w14:paraId="2FA14354"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33,4</w:t>
            </w:r>
          </w:p>
        </w:tc>
        <w:tc>
          <w:tcPr>
            <w:tcW w:w="419" w:type="pct"/>
            <w:shd w:val="clear" w:color="auto" w:fill="auto"/>
            <w:noWrap/>
            <w:hideMark/>
          </w:tcPr>
          <w:p w14:paraId="58A0C16F"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0,0</w:t>
            </w:r>
          </w:p>
        </w:tc>
        <w:tc>
          <w:tcPr>
            <w:tcW w:w="498" w:type="pct"/>
            <w:shd w:val="clear" w:color="auto" w:fill="auto"/>
            <w:noWrap/>
            <w:hideMark/>
          </w:tcPr>
          <w:p w14:paraId="2A29A9F3"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-1,7</w:t>
            </w:r>
          </w:p>
        </w:tc>
        <w:tc>
          <w:tcPr>
            <w:tcW w:w="518" w:type="pct"/>
            <w:shd w:val="clear" w:color="auto" w:fill="auto"/>
            <w:noWrap/>
            <w:hideMark/>
          </w:tcPr>
          <w:p w14:paraId="1B6994F7"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12,8</w:t>
            </w:r>
          </w:p>
        </w:tc>
      </w:tr>
      <w:tr w:rsidR="005E3B18" w:rsidRPr="00FC383C" w14:paraId="25FFF8AD" w14:textId="77777777" w:rsidTr="00CA23A3">
        <w:trPr>
          <w:trHeight w:val="529"/>
          <w:jc w:val="center"/>
        </w:trPr>
        <w:tc>
          <w:tcPr>
            <w:tcW w:w="2495" w:type="pct"/>
            <w:shd w:val="clear" w:color="auto" w:fill="auto"/>
            <w:hideMark/>
          </w:tcPr>
          <w:p w14:paraId="410A36D7"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fabricated metal products, except machinery and equipment</w:t>
            </w:r>
          </w:p>
        </w:tc>
        <w:tc>
          <w:tcPr>
            <w:tcW w:w="530" w:type="pct"/>
            <w:shd w:val="clear" w:color="auto" w:fill="auto"/>
            <w:noWrap/>
            <w:hideMark/>
          </w:tcPr>
          <w:p w14:paraId="3FE6B2A4"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2,3</w:t>
            </w:r>
          </w:p>
        </w:tc>
        <w:tc>
          <w:tcPr>
            <w:tcW w:w="539" w:type="pct"/>
            <w:shd w:val="clear" w:color="auto" w:fill="auto"/>
            <w:noWrap/>
            <w:hideMark/>
          </w:tcPr>
          <w:p w14:paraId="106023EF"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8,7</w:t>
            </w:r>
          </w:p>
        </w:tc>
        <w:tc>
          <w:tcPr>
            <w:tcW w:w="419" w:type="pct"/>
            <w:shd w:val="clear" w:color="auto" w:fill="auto"/>
            <w:noWrap/>
            <w:hideMark/>
          </w:tcPr>
          <w:p w14:paraId="534F3FF2"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9,8</w:t>
            </w:r>
          </w:p>
        </w:tc>
        <w:tc>
          <w:tcPr>
            <w:tcW w:w="498" w:type="pct"/>
            <w:shd w:val="clear" w:color="auto" w:fill="auto"/>
            <w:noWrap/>
            <w:hideMark/>
          </w:tcPr>
          <w:p w14:paraId="225502A1"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5,5</w:t>
            </w:r>
          </w:p>
        </w:tc>
        <w:tc>
          <w:tcPr>
            <w:tcW w:w="518" w:type="pct"/>
            <w:shd w:val="clear" w:color="auto" w:fill="auto"/>
            <w:noWrap/>
            <w:hideMark/>
          </w:tcPr>
          <w:p w14:paraId="32529A8E"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13,0</w:t>
            </w:r>
          </w:p>
        </w:tc>
      </w:tr>
      <w:tr w:rsidR="005E3B18" w:rsidRPr="00FC383C" w14:paraId="7C9442CC" w14:textId="77777777" w:rsidTr="00CA23A3">
        <w:trPr>
          <w:trHeight w:val="304"/>
          <w:jc w:val="center"/>
        </w:trPr>
        <w:tc>
          <w:tcPr>
            <w:tcW w:w="2495" w:type="pct"/>
            <w:shd w:val="clear" w:color="auto" w:fill="auto"/>
            <w:hideMark/>
          </w:tcPr>
          <w:p w14:paraId="67F3DC70" w14:textId="77777777" w:rsidR="005E3B18" w:rsidRPr="00FC383C" w:rsidRDefault="005E3B18" w:rsidP="00CA23A3">
            <w:pPr>
              <w:rPr>
                <w:rFonts w:ascii="Arial" w:hAnsi="Arial" w:cs="Arial"/>
                <w:sz w:val="20"/>
                <w:szCs w:val="20"/>
              </w:rPr>
            </w:pPr>
            <w:r w:rsidRPr="00DD4D63">
              <w:rPr>
                <w:rFonts w:ascii="Arial" w:hAnsi="Arial" w:cs="Arial"/>
                <w:sz w:val="20"/>
                <w:szCs w:val="20"/>
              </w:rPr>
              <w:t>Manufacture of computer, electronic and optical products</w:t>
            </w:r>
          </w:p>
        </w:tc>
        <w:tc>
          <w:tcPr>
            <w:tcW w:w="530" w:type="pct"/>
            <w:shd w:val="clear" w:color="auto" w:fill="auto"/>
            <w:noWrap/>
            <w:hideMark/>
          </w:tcPr>
          <w:p w14:paraId="115C9B7E"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9,2</w:t>
            </w:r>
          </w:p>
        </w:tc>
        <w:tc>
          <w:tcPr>
            <w:tcW w:w="539" w:type="pct"/>
            <w:shd w:val="clear" w:color="auto" w:fill="auto"/>
            <w:noWrap/>
            <w:hideMark/>
          </w:tcPr>
          <w:p w14:paraId="28C5EC58"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10,7</w:t>
            </w:r>
          </w:p>
        </w:tc>
        <w:tc>
          <w:tcPr>
            <w:tcW w:w="419" w:type="pct"/>
            <w:shd w:val="clear" w:color="auto" w:fill="auto"/>
            <w:noWrap/>
            <w:hideMark/>
          </w:tcPr>
          <w:p w14:paraId="4C08AEF4"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11,6</w:t>
            </w:r>
          </w:p>
        </w:tc>
        <w:tc>
          <w:tcPr>
            <w:tcW w:w="498" w:type="pct"/>
            <w:shd w:val="clear" w:color="auto" w:fill="auto"/>
            <w:noWrap/>
            <w:hideMark/>
          </w:tcPr>
          <w:p w14:paraId="042CAF52"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-4,2</w:t>
            </w:r>
          </w:p>
        </w:tc>
        <w:tc>
          <w:tcPr>
            <w:tcW w:w="518" w:type="pct"/>
            <w:shd w:val="clear" w:color="auto" w:fill="auto"/>
            <w:noWrap/>
            <w:hideMark/>
          </w:tcPr>
          <w:p w14:paraId="414E86C0"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11,1</w:t>
            </w:r>
          </w:p>
        </w:tc>
      </w:tr>
      <w:tr w:rsidR="005E3B18" w:rsidRPr="00FC383C" w14:paraId="2F200529" w14:textId="77777777" w:rsidTr="00CA23A3">
        <w:trPr>
          <w:trHeight w:val="304"/>
          <w:jc w:val="center"/>
        </w:trPr>
        <w:tc>
          <w:tcPr>
            <w:tcW w:w="2495" w:type="pct"/>
            <w:shd w:val="clear" w:color="auto" w:fill="auto"/>
          </w:tcPr>
          <w:p w14:paraId="5ED37E26" w14:textId="77777777" w:rsidR="005E3B18" w:rsidRPr="00FC383C" w:rsidRDefault="005E3B18" w:rsidP="00CA23A3">
            <w:pPr>
              <w:rPr>
                <w:rFonts w:ascii="Arial" w:hAnsi="Arial" w:cs="Arial"/>
                <w:sz w:val="20"/>
                <w:szCs w:val="20"/>
              </w:rPr>
            </w:pPr>
            <w:r w:rsidRPr="00DD4D63">
              <w:rPr>
                <w:rFonts w:ascii="Arial" w:hAnsi="Arial" w:cs="Arial"/>
                <w:sz w:val="20"/>
                <w:szCs w:val="20"/>
              </w:rPr>
              <w:t>Electricity, gas, steam and air conditioning supply</w:t>
            </w:r>
          </w:p>
        </w:tc>
        <w:tc>
          <w:tcPr>
            <w:tcW w:w="530" w:type="pct"/>
            <w:shd w:val="clear" w:color="auto" w:fill="auto"/>
            <w:noWrap/>
          </w:tcPr>
          <w:p w14:paraId="729B6353"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2,4</w:t>
            </w:r>
          </w:p>
        </w:tc>
        <w:tc>
          <w:tcPr>
            <w:tcW w:w="539" w:type="pct"/>
            <w:shd w:val="clear" w:color="auto" w:fill="auto"/>
            <w:noWrap/>
          </w:tcPr>
          <w:p w14:paraId="4E3E5A18"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7,4</w:t>
            </w:r>
          </w:p>
        </w:tc>
        <w:tc>
          <w:tcPr>
            <w:tcW w:w="419" w:type="pct"/>
            <w:shd w:val="clear" w:color="auto" w:fill="auto"/>
            <w:noWrap/>
          </w:tcPr>
          <w:p w14:paraId="491316C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5,7</w:t>
            </w:r>
          </w:p>
        </w:tc>
        <w:tc>
          <w:tcPr>
            <w:tcW w:w="498" w:type="pct"/>
            <w:shd w:val="clear" w:color="auto" w:fill="auto"/>
            <w:noWrap/>
          </w:tcPr>
          <w:p w14:paraId="7C5D6B6A"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1,4</w:t>
            </w:r>
          </w:p>
        </w:tc>
        <w:tc>
          <w:tcPr>
            <w:tcW w:w="518" w:type="pct"/>
            <w:shd w:val="clear" w:color="auto" w:fill="auto"/>
            <w:noWrap/>
          </w:tcPr>
          <w:p w14:paraId="26EEB845" w14:textId="77777777" w:rsidR="005E3B18" w:rsidRPr="00FC383C" w:rsidRDefault="005E3B18" w:rsidP="00CA23A3">
            <w:pPr>
              <w:jc w:val="right"/>
              <w:rPr>
                <w:rFonts w:ascii="Arial" w:hAnsi="Arial" w:cs="Arial"/>
                <w:sz w:val="20"/>
                <w:szCs w:val="20"/>
              </w:rPr>
            </w:pPr>
            <w:r w:rsidRPr="00FC383C">
              <w:rPr>
                <w:rFonts w:ascii="Arial" w:hAnsi="Arial" w:cs="Arial"/>
                <w:sz w:val="20"/>
                <w:szCs w:val="20"/>
              </w:rPr>
              <w:t>12,4</w:t>
            </w:r>
          </w:p>
        </w:tc>
      </w:tr>
    </w:tbl>
    <w:p w14:paraId="7A72C46B" w14:textId="77777777" w:rsidR="005E3B18" w:rsidRPr="00FC383C" w:rsidRDefault="005E3B18" w:rsidP="005E3B18">
      <w:pPr>
        <w:shd w:val="clear" w:color="auto" w:fill="FFFFFF"/>
        <w:spacing w:before="120" w:after="120" w:line="288" w:lineRule="auto"/>
        <w:ind w:firstLine="720"/>
        <w:jc w:val="both"/>
        <w:rPr>
          <w:spacing w:val="-2"/>
        </w:rPr>
      </w:pPr>
      <w:r w:rsidRPr="00023026">
        <w:rPr>
          <w:i/>
          <w:spacing w:val="-2"/>
          <w:lang w:val="pl-PL"/>
        </w:rPr>
        <w:lastRenderedPageBreak/>
        <w:t xml:space="preserve">The industrial production index in the first seven months of </w:t>
      </w:r>
      <w:r w:rsidRPr="00023026">
        <w:rPr>
          <w:iCs/>
          <w:spacing w:val="-2"/>
          <w:lang w:val="pl-PL"/>
        </w:rPr>
        <w:t>2024 compared to the same period last year increased in 60 localities and decreased in 03 localities across the country. Some localities have a fairly high increase in the IIP index due to the processing and manufacturing industry; the electricity production and distribution industry has increased</w:t>
      </w:r>
      <w:r>
        <w:rPr>
          <w:rStyle w:val="FootnoteReference"/>
          <w:iCs/>
          <w:spacing w:val="-2"/>
          <w:lang w:val="pl-PL"/>
        </w:rPr>
        <w:footnoteReference w:id="7"/>
      </w:r>
      <w:r w:rsidRPr="00023026">
        <w:rPr>
          <w:iCs/>
          <w:spacing w:val="-2"/>
          <w:lang w:val="pl-PL"/>
        </w:rPr>
        <w:t>. In the opposite direction, some localities have a decrease in IIP index due to the processing and manufacturing industry; mining industry and electricity production and distribution industry increased low or decreased</w:t>
      </w:r>
      <w:r w:rsidRPr="00FC383C">
        <w:rPr>
          <w:rStyle w:val="FootnoteReference"/>
          <w:rFonts w:eastAsiaTheme="majorEastAsia"/>
          <w:spacing w:val="-2"/>
        </w:rPr>
        <w:footnoteReference w:id="8"/>
      </w:r>
      <w:r w:rsidRPr="00FC383C">
        <w:rPr>
          <w:spacing w:val="-2"/>
        </w:rPr>
        <w:t>.</w:t>
      </w:r>
    </w:p>
    <w:p w14:paraId="1FE62480" w14:textId="77777777" w:rsidR="005E3B18" w:rsidRPr="005570C6" w:rsidRDefault="005E3B18" w:rsidP="005E3B18">
      <w:pPr>
        <w:shd w:val="clear" w:color="auto" w:fill="FFFFFF"/>
        <w:spacing w:after="120"/>
        <w:jc w:val="center"/>
        <w:rPr>
          <w:rFonts w:ascii="Arial" w:hAnsi="Arial" w:cs="Arial"/>
          <w:b/>
          <w:bCs/>
          <w:sz w:val="24"/>
          <w:szCs w:val="24"/>
          <w:lang w:val="pl-PL"/>
        </w:rPr>
      </w:pPr>
      <w:r w:rsidRPr="005570C6">
        <w:rPr>
          <w:rFonts w:ascii="Arial" w:hAnsi="Arial" w:cs="Arial"/>
          <w:b/>
          <w:bCs/>
          <w:sz w:val="24"/>
          <w:szCs w:val="24"/>
          <w:lang w:val="pl-PL"/>
        </w:rPr>
        <w:t>Figure 4. IIP increase/decrease rate in the first 7 months of 2024</w:t>
      </w:r>
    </w:p>
    <w:p w14:paraId="5B12FE11" w14:textId="77777777" w:rsidR="005E3B18" w:rsidRPr="00FC383C" w:rsidRDefault="005E3B18" w:rsidP="005E3B18">
      <w:pPr>
        <w:shd w:val="clear" w:color="auto" w:fill="FFFFFF"/>
        <w:spacing w:after="120"/>
        <w:jc w:val="center"/>
        <w:rPr>
          <w:rFonts w:ascii="Arial" w:hAnsi="Arial" w:cs="Arial"/>
          <w:b/>
          <w:bCs/>
          <w:sz w:val="24"/>
          <w:szCs w:val="24"/>
          <w:lang w:val="pl-PL"/>
        </w:rPr>
      </w:pPr>
      <w:r w:rsidRPr="005570C6">
        <w:rPr>
          <w:rFonts w:ascii="Arial" w:hAnsi="Arial" w:cs="Arial"/>
          <w:b/>
          <w:bCs/>
          <w:sz w:val="24"/>
          <w:szCs w:val="24"/>
          <w:lang w:val="pl-PL"/>
        </w:rPr>
        <w:t xml:space="preserve">compared to the same period last year of some localities </w:t>
      </w:r>
      <w:r w:rsidRPr="00FC383C">
        <w:rPr>
          <w:rFonts w:ascii="Arial" w:hAnsi="Arial" w:cs="Arial"/>
          <w:b/>
          <w:bCs/>
          <w:sz w:val="24"/>
          <w:szCs w:val="24"/>
          <w:lang w:val="pl-PL"/>
        </w:rPr>
        <w:t>(%)</w:t>
      </w:r>
    </w:p>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93"/>
        <w:gridCol w:w="4872"/>
      </w:tblGrid>
      <w:tr w:rsidR="005E3B18" w:rsidRPr="00FC383C" w14:paraId="46F72F62" w14:textId="77777777" w:rsidTr="00CA23A3">
        <w:trPr>
          <w:trHeight w:val="514"/>
          <w:jc w:val="center"/>
        </w:trPr>
        <w:tc>
          <w:tcPr>
            <w:tcW w:w="5193" w:type="dxa"/>
          </w:tcPr>
          <w:p w14:paraId="02A9BB87" w14:textId="77777777" w:rsidR="005E3B18" w:rsidRPr="00FC383C" w:rsidRDefault="005E3B18" w:rsidP="00CA23A3">
            <w:pPr>
              <w:spacing w:before="40" w:after="40" w:line="262" w:lineRule="auto"/>
              <w:jc w:val="center"/>
              <w:rPr>
                <w:rFonts w:ascii="Arial" w:hAnsi="Arial" w:cs="Arial"/>
                <w:b/>
                <w:spacing w:val="-2"/>
                <w:sz w:val="24"/>
                <w:szCs w:val="24"/>
                <w:lang w:val="pl-PL"/>
              </w:rPr>
            </w:pPr>
            <w:r w:rsidRPr="005570C6">
              <w:rPr>
                <w:rFonts w:ascii="Arial" w:hAnsi="Arial" w:cs="Arial"/>
                <w:b/>
                <w:bCs/>
                <w:sz w:val="18"/>
                <w:szCs w:val="18"/>
                <w:lang w:val="pl-PL"/>
              </w:rPr>
              <w:t>10 localities with the highest increase in IIP index</w:t>
            </w:r>
          </w:p>
        </w:tc>
        <w:tc>
          <w:tcPr>
            <w:tcW w:w="4872" w:type="dxa"/>
          </w:tcPr>
          <w:p w14:paraId="448BEC5B" w14:textId="77777777" w:rsidR="005E3B18" w:rsidRPr="00FC383C" w:rsidRDefault="005E3B18" w:rsidP="00CA23A3">
            <w:pPr>
              <w:spacing w:before="40" w:after="40" w:line="262" w:lineRule="auto"/>
              <w:jc w:val="center"/>
              <w:rPr>
                <w:rFonts w:ascii="Arial" w:hAnsi="Arial" w:cs="Arial"/>
                <w:i/>
                <w:spacing w:val="-2"/>
                <w:sz w:val="20"/>
                <w:szCs w:val="20"/>
                <w:lang w:val="pl-PL"/>
              </w:rPr>
            </w:pPr>
            <w:r w:rsidRPr="005570C6">
              <w:rPr>
                <w:rFonts w:ascii="Arial" w:hAnsi="Arial" w:cs="Arial"/>
                <w:b/>
                <w:spacing w:val="-2"/>
                <w:sz w:val="18"/>
                <w:szCs w:val="20"/>
                <w:lang w:val="pl-PL"/>
              </w:rPr>
              <w:t>10 localities with the lowest decrease/increase in IIP</w:t>
            </w:r>
          </w:p>
        </w:tc>
      </w:tr>
      <w:tr w:rsidR="005E3B18" w:rsidRPr="00FC383C" w14:paraId="269C3AC7" w14:textId="77777777" w:rsidTr="00CA23A3">
        <w:trPr>
          <w:trHeight w:val="2486"/>
          <w:jc w:val="center"/>
        </w:trPr>
        <w:tc>
          <w:tcPr>
            <w:tcW w:w="5193" w:type="dxa"/>
          </w:tcPr>
          <w:p w14:paraId="13E1A8A8" w14:textId="77777777" w:rsidR="005E3B18" w:rsidRPr="00FC383C" w:rsidRDefault="005E3B18" w:rsidP="00CA23A3">
            <w:pPr>
              <w:spacing w:before="40" w:after="40" w:line="262" w:lineRule="auto"/>
              <w:jc w:val="both"/>
              <w:rPr>
                <w:i/>
                <w:noProof/>
                <w:spacing w:val="-2"/>
                <w:lang w:val="pl-PL"/>
                <w14:ligatures w14:val="standardContextual"/>
              </w:rPr>
            </w:pPr>
            <w:r>
              <w:rPr>
                <w:i/>
                <w:noProof/>
                <w:spacing w:val="-2"/>
                <w:lang w:val="pl-PL"/>
                <w14:ligatures w14:val="standardContextual"/>
              </w:rPr>
              <w:drawing>
                <wp:inline distT="0" distB="0" distL="0" distR="0" wp14:anchorId="1CE27876" wp14:editId="3733FC24">
                  <wp:extent cx="3267075" cy="2247900"/>
                  <wp:effectExtent l="0" t="0" r="9525" b="0"/>
                  <wp:docPr id="1974038239" name="Picture 1"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38239" name="Picture 1" descr="A graph with numbers and a bar&#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3267075" cy="2247900"/>
                          </a:xfrm>
                          <a:prstGeom prst="rect">
                            <a:avLst/>
                          </a:prstGeom>
                        </pic:spPr>
                      </pic:pic>
                    </a:graphicData>
                  </a:graphic>
                </wp:inline>
              </w:drawing>
            </w:r>
          </w:p>
        </w:tc>
        <w:tc>
          <w:tcPr>
            <w:tcW w:w="4872" w:type="dxa"/>
          </w:tcPr>
          <w:p w14:paraId="530FF7A4" w14:textId="77777777" w:rsidR="005E3B18" w:rsidRPr="00FC383C" w:rsidRDefault="005E3B18" w:rsidP="00CA23A3">
            <w:pPr>
              <w:spacing w:before="40" w:after="40" w:line="262" w:lineRule="auto"/>
              <w:jc w:val="both"/>
              <w:rPr>
                <w:i/>
                <w:noProof/>
                <w:spacing w:val="-2"/>
                <w:lang w:val="pl-PL"/>
                <w14:ligatures w14:val="standardContextual"/>
              </w:rPr>
            </w:pPr>
            <w:r>
              <w:rPr>
                <w:i/>
                <w:noProof/>
                <w:spacing w:val="-2"/>
                <w:lang w:val="pl-PL"/>
                <w14:ligatures w14:val="standardContextual"/>
              </w:rPr>
              <w:drawing>
                <wp:inline distT="0" distB="0" distL="0" distR="0" wp14:anchorId="605CD089" wp14:editId="63B90157">
                  <wp:extent cx="3028950" cy="2314575"/>
                  <wp:effectExtent l="0" t="0" r="0" b="9525"/>
                  <wp:docPr id="1385558885" name="Picture 2" descr="A graph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558885" name="Picture 2" descr="A graph with red square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028950" cy="2314575"/>
                          </a:xfrm>
                          <a:prstGeom prst="rect">
                            <a:avLst/>
                          </a:prstGeom>
                        </pic:spPr>
                      </pic:pic>
                    </a:graphicData>
                  </a:graphic>
                </wp:inline>
              </w:drawing>
            </w:r>
          </w:p>
        </w:tc>
      </w:tr>
    </w:tbl>
    <w:p w14:paraId="5287A2DB" w14:textId="77777777" w:rsidR="005E3B18" w:rsidRPr="00FC383C" w:rsidRDefault="005E3B18" w:rsidP="005E3B18">
      <w:pPr>
        <w:shd w:val="clear" w:color="auto" w:fill="FFFFFF"/>
        <w:jc w:val="center"/>
        <w:rPr>
          <w:i/>
          <w:spacing w:val="-2"/>
          <w:sz w:val="2"/>
          <w:szCs w:val="10"/>
          <w:lang w:val="pl-PL"/>
        </w:rPr>
      </w:pPr>
    </w:p>
    <w:p w14:paraId="387F9F19" w14:textId="77777777" w:rsidR="005E3B18" w:rsidRPr="00FC383C" w:rsidRDefault="005E3B18" w:rsidP="005E3B18">
      <w:pPr>
        <w:shd w:val="clear" w:color="auto" w:fill="FFFFFF"/>
        <w:spacing w:after="120" w:line="259" w:lineRule="auto"/>
        <w:ind w:firstLine="720"/>
        <w:jc w:val="both"/>
        <w:rPr>
          <w:spacing w:val="-2"/>
        </w:rPr>
      </w:pPr>
      <w:r w:rsidRPr="001C5CBB">
        <w:rPr>
          <w:i/>
          <w:spacing w:val="-2"/>
          <w:lang w:val="pl-PL"/>
        </w:rPr>
        <w:t xml:space="preserve">Some key industrial products in the first seven months of 2024 increased significantly compared to the same period last year: </w:t>
      </w:r>
      <w:r w:rsidRPr="001C5CBB">
        <w:rPr>
          <w:iCs/>
          <w:spacing w:val="-2"/>
          <w:lang w:val="pl-PL"/>
        </w:rPr>
        <w:t xml:space="preserve">Steel bars and corners increased by 31.4%; </w:t>
      </w:r>
      <w:r>
        <w:rPr>
          <w:iCs/>
          <w:spacing w:val="-2"/>
          <w:lang w:val="pl-PL"/>
        </w:rPr>
        <w:t>l</w:t>
      </w:r>
      <w:r w:rsidRPr="001C5CBB">
        <w:rPr>
          <w:iCs/>
          <w:spacing w:val="-2"/>
          <w:lang w:val="pl-PL"/>
        </w:rPr>
        <w:t>aminated steel</w:t>
      </w:r>
      <w:r>
        <w:rPr>
          <w:iCs/>
          <w:spacing w:val="-2"/>
          <w:lang w:val="pl-PL"/>
        </w:rPr>
        <w:t xml:space="preserve"> </w:t>
      </w:r>
      <w:r w:rsidRPr="001C5CBB">
        <w:rPr>
          <w:iCs/>
          <w:spacing w:val="-2"/>
          <w:lang w:val="pl-PL"/>
        </w:rPr>
        <w:t xml:space="preserve">increased by 17.8%; </w:t>
      </w:r>
      <w:r>
        <w:rPr>
          <w:iCs/>
          <w:spacing w:val="-2"/>
          <w:lang w:val="pl-PL"/>
        </w:rPr>
        <w:t>t</w:t>
      </w:r>
      <w:r w:rsidRPr="001C5CBB">
        <w:rPr>
          <w:iCs/>
          <w:spacing w:val="-2"/>
          <w:lang w:val="pl-PL"/>
        </w:rPr>
        <w:t xml:space="preserve">extile fabric from natural yarn increased by 17.0%; </w:t>
      </w:r>
      <w:r w:rsidRPr="00DE7D47">
        <w:rPr>
          <w:iCs/>
          <w:spacing w:val="-2"/>
          <w:lang w:val="pl-PL"/>
        </w:rPr>
        <w:t>N.P.K mixed fertilizer</w:t>
      </w:r>
      <w:r>
        <w:rPr>
          <w:iCs/>
          <w:spacing w:val="-2"/>
          <w:lang w:val="pl-PL"/>
        </w:rPr>
        <w:t xml:space="preserve"> </w:t>
      </w:r>
      <w:r w:rsidRPr="001C5CBB">
        <w:rPr>
          <w:iCs/>
          <w:spacing w:val="-2"/>
          <w:lang w:val="pl-PL"/>
        </w:rPr>
        <w:t xml:space="preserve">increased by 14.2%; milk powder increased by 12.3%; </w:t>
      </w:r>
      <w:r>
        <w:rPr>
          <w:iCs/>
          <w:spacing w:val="-2"/>
          <w:lang w:val="pl-PL"/>
        </w:rPr>
        <w:t>r</w:t>
      </w:r>
      <w:r w:rsidRPr="00DE7D47">
        <w:rPr>
          <w:iCs/>
          <w:spacing w:val="-2"/>
          <w:lang w:val="pl-PL"/>
        </w:rPr>
        <w:t>efined sugar</w:t>
      </w:r>
      <w:r w:rsidRPr="001C5CBB">
        <w:rPr>
          <w:iCs/>
          <w:spacing w:val="-2"/>
          <w:lang w:val="pl-PL"/>
        </w:rPr>
        <w:t xml:space="preserve"> increased by 12.0%; </w:t>
      </w:r>
      <w:r>
        <w:rPr>
          <w:iCs/>
          <w:spacing w:val="-2"/>
          <w:lang w:val="pl-PL"/>
        </w:rPr>
        <w:t>p</w:t>
      </w:r>
      <w:r w:rsidRPr="00DE7D47">
        <w:rPr>
          <w:iCs/>
          <w:spacing w:val="-2"/>
          <w:lang w:val="pl-PL"/>
        </w:rPr>
        <w:t>hone accessories</w:t>
      </w:r>
      <w:r w:rsidRPr="001C5CBB">
        <w:rPr>
          <w:iCs/>
          <w:spacing w:val="-2"/>
          <w:lang w:val="pl-PL"/>
        </w:rPr>
        <w:t xml:space="preserve"> increased by 11.7%. In the opposite direction, some products decreased compared to the same period last year: </w:t>
      </w:r>
      <w:r>
        <w:rPr>
          <w:iCs/>
          <w:spacing w:val="-2"/>
          <w:lang w:val="pl-PL"/>
        </w:rPr>
        <w:t>N</w:t>
      </w:r>
      <w:r w:rsidRPr="001C5CBB">
        <w:rPr>
          <w:iCs/>
          <w:spacing w:val="-2"/>
          <w:lang w:val="pl-PL"/>
        </w:rPr>
        <w:t>atural gas and LPG both decreased by</w:t>
      </w:r>
      <w:r w:rsidRPr="001C5CBB">
        <w:rPr>
          <w:i/>
          <w:spacing w:val="-2"/>
          <w:lang w:val="pl-PL"/>
        </w:rPr>
        <w:t xml:space="preserve"> </w:t>
      </w:r>
      <w:r w:rsidRPr="001C5CBB">
        <w:rPr>
          <w:iCs/>
          <w:spacing w:val="-2"/>
          <w:lang w:val="pl-PL"/>
        </w:rPr>
        <w:t xml:space="preserve">16.9%; </w:t>
      </w:r>
      <w:r>
        <w:rPr>
          <w:iCs/>
          <w:spacing w:val="-2"/>
          <w:lang w:val="pl-PL"/>
        </w:rPr>
        <w:lastRenderedPageBreak/>
        <w:t xml:space="preserve">extracted </w:t>
      </w:r>
      <w:r w:rsidRPr="001C5CBB">
        <w:rPr>
          <w:iCs/>
          <w:spacing w:val="-2"/>
          <w:lang w:val="pl-PL"/>
        </w:rPr>
        <w:t>crude oil decreased by 7.1%; beer decreased by 3.8%; mobile phones decreased by 3.2%</w:t>
      </w:r>
      <w:r w:rsidRPr="001C5CBB">
        <w:rPr>
          <w:i/>
          <w:spacing w:val="-2"/>
          <w:lang w:val="pl-PL"/>
        </w:rPr>
        <w:t>;</w:t>
      </w:r>
      <w:r w:rsidRPr="001C5CBB">
        <w:t xml:space="preserve"> </w:t>
      </w:r>
      <w:r w:rsidRPr="001C5CBB">
        <w:rPr>
          <w:iCs/>
          <w:spacing w:val="-2"/>
          <w:lang w:val="pl-PL"/>
        </w:rPr>
        <w:t>alumina decreased by 3.1%; crude steel</w:t>
      </w:r>
      <w:r>
        <w:rPr>
          <w:iCs/>
          <w:spacing w:val="-2"/>
          <w:lang w:val="pl-PL"/>
        </w:rPr>
        <w:t>, iron</w:t>
      </w:r>
      <w:r w:rsidRPr="001C5CBB">
        <w:rPr>
          <w:iCs/>
          <w:spacing w:val="-2"/>
          <w:lang w:val="pl-PL"/>
        </w:rPr>
        <w:t xml:space="preserve"> decreased by 1.6%.</w:t>
      </w:r>
      <w:r w:rsidRPr="001C5CBB">
        <w:rPr>
          <w:i/>
          <w:spacing w:val="-2"/>
          <w:lang w:val="pl-PL"/>
        </w:rPr>
        <w:t xml:space="preserve"> </w:t>
      </w:r>
    </w:p>
    <w:p w14:paraId="13075F5F" w14:textId="77777777" w:rsidR="005E3B18" w:rsidRDefault="005E3B18" w:rsidP="005E3B18">
      <w:pPr>
        <w:spacing w:after="120" w:line="276" w:lineRule="auto"/>
        <w:ind w:firstLine="720"/>
        <w:jc w:val="both"/>
      </w:pPr>
      <w:r w:rsidRPr="00DE7D47">
        <w:rPr>
          <w:iCs/>
          <w:spacing w:val="-2"/>
          <w:lang w:val="pl-PL"/>
        </w:rPr>
        <w:t>The number of employees working in industrial enterprises as of July 1, 2024 increased by 0.9% over the same time last month and increased by 3.3% over the same time last year. In which, labor in the state-owned enterprise sector increased by 0.1% and increased by 1.5%; non-state enterprises increased by 0.5% and increased by 0.7%; foreign-invested enterprises increased by 1.2% and increased by 4.3%.</w:t>
      </w:r>
      <w:r w:rsidRPr="00FC383C">
        <w:rPr>
          <w:spacing w:val="-2"/>
          <w:lang w:val="pl-PL"/>
        </w:rPr>
        <w:t xml:space="preserve"> </w:t>
      </w:r>
      <w:r w:rsidRPr="00DE7D47">
        <w:rPr>
          <w:spacing w:val="-2"/>
          <w:lang w:val="pl-PL"/>
        </w:rPr>
        <w:t>By industry, the number of employees working in mining enterprises increased by 0.1% over the same period last month and increased by 0.4% over the same period last year; the processing and manufacturing industry increased by 1.0% and increased by 3.5%; the production and distribution of electricity, gas, hot water, steam and air conditioning remained unchanged compared to the same time last month and increased by 1.1% over the same period last year</w:t>
      </w:r>
      <w:r>
        <w:rPr>
          <w:spacing w:val="-2"/>
          <w:lang w:val="pl-PL"/>
        </w:rPr>
        <w:t>. T</w:t>
      </w:r>
      <w:r w:rsidRPr="00DE7D47">
        <w:rPr>
          <w:spacing w:val="-2"/>
          <w:lang w:val="pl-PL"/>
        </w:rPr>
        <w:t xml:space="preserve">he water supply industry, waste and wastewater management and treatment activities </w:t>
      </w:r>
      <w:r>
        <w:rPr>
          <w:spacing w:val="-2"/>
          <w:lang w:val="pl-PL"/>
        </w:rPr>
        <w:t xml:space="preserve">only </w:t>
      </w:r>
      <w:r w:rsidRPr="00DE7D47">
        <w:rPr>
          <w:spacing w:val="-2"/>
          <w:lang w:val="pl-PL"/>
        </w:rPr>
        <w:t>decreased by 0.1% over the same period last month and increased by 1.2% over the same period last year.</w:t>
      </w:r>
    </w:p>
    <w:p w14:paraId="0ED9CF49" w14:textId="032A9337" w:rsidR="005E3B18" w:rsidRPr="00227BB5" w:rsidRDefault="005E3B18" w:rsidP="005E3B18">
      <w:pPr>
        <w:spacing w:after="40" w:line="300" w:lineRule="auto"/>
        <w:ind w:firstLine="567"/>
        <w:jc w:val="both"/>
        <w:rPr>
          <w:lang w:val="it-IT"/>
        </w:rPr>
      </w:pPr>
      <w:r>
        <w:rPr>
          <w:b/>
          <w:bCs/>
          <w:lang w:val="pl-PL"/>
        </w:rPr>
        <w:t>3</w:t>
      </w:r>
      <w:r w:rsidRPr="00227BB5">
        <w:rPr>
          <w:b/>
          <w:bCs/>
          <w:lang w:val="pl-PL"/>
        </w:rPr>
        <w:t>. Enterprise activities</w:t>
      </w:r>
    </w:p>
    <w:p w14:paraId="54F1DFD6" w14:textId="77777777" w:rsidR="005E3B18" w:rsidRPr="00227BB5" w:rsidRDefault="005E3B18" w:rsidP="005E3B18">
      <w:pPr>
        <w:spacing w:after="40" w:line="300" w:lineRule="auto"/>
        <w:ind w:firstLine="567"/>
        <w:jc w:val="both"/>
        <w:rPr>
          <w:i/>
          <w:lang w:val="it-IT"/>
        </w:rPr>
      </w:pPr>
      <w:r w:rsidRPr="00227BB5">
        <w:rPr>
          <w:b/>
          <w:bCs/>
          <w:i/>
          <w:lang w:val="pl-PL"/>
        </w:rPr>
        <w:t>a)</w:t>
      </w:r>
      <w:r w:rsidRPr="00227BB5">
        <w:rPr>
          <w:b/>
          <w:bCs/>
          <w:i/>
          <w:lang w:val="it-IT"/>
        </w:rPr>
        <w:t xml:space="preserve"> </w:t>
      </w:r>
      <w:r w:rsidRPr="00227BB5">
        <w:rPr>
          <w:b/>
          <w:i/>
          <w:lang w:val="it-IT"/>
        </w:rPr>
        <w:t xml:space="preserve">Enterprise registration status </w:t>
      </w:r>
      <w:r w:rsidRPr="00227BB5">
        <w:rPr>
          <w:bCs/>
          <w:i/>
          <w:vertAlign w:val="superscript"/>
        </w:rPr>
        <w:footnoteReference w:id="9"/>
      </w:r>
    </w:p>
    <w:p w14:paraId="5E24F70C" w14:textId="77777777" w:rsidR="005E3B18" w:rsidRPr="00227BB5" w:rsidRDefault="005E3B18" w:rsidP="005E3B18">
      <w:pPr>
        <w:spacing w:after="40" w:line="300" w:lineRule="auto"/>
        <w:ind w:firstLine="567"/>
        <w:jc w:val="both"/>
        <w:rPr>
          <w:lang w:val="it-IT"/>
        </w:rPr>
      </w:pPr>
      <w:r w:rsidRPr="00227BB5">
        <w:rPr>
          <w:lang w:val="it-IT"/>
        </w:rPr>
        <w:t xml:space="preserve">In </w:t>
      </w:r>
      <w:r>
        <w:rPr>
          <w:lang w:val="it-IT"/>
        </w:rPr>
        <w:t>July</w:t>
      </w:r>
      <w:r w:rsidRPr="00227BB5">
        <w:rPr>
          <w:lang w:val="it-IT"/>
        </w:rPr>
        <w:t xml:space="preserve">, the whole country had </w:t>
      </w:r>
      <w:r>
        <w:rPr>
          <w:lang w:val="it-IT"/>
        </w:rPr>
        <w:t>14.7</w:t>
      </w:r>
      <w:r w:rsidRPr="00227BB5">
        <w:rPr>
          <w:lang w:val="it-IT"/>
        </w:rPr>
        <w:t xml:space="preserve"> thousand newly established enterprises with registered capital </w:t>
      </w:r>
      <w:r>
        <w:rPr>
          <w:lang w:val="it-IT"/>
        </w:rPr>
        <w:t>over</w:t>
      </w:r>
      <w:r w:rsidRPr="00227BB5">
        <w:rPr>
          <w:lang w:val="it-IT"/>
        </w:rPr>
        <w:t xml:space="preserve"> </w:t>
      </w:r>
      <w:r>
        <w:rPr>
          <w:lang w:val="it-IT"/>
        </w:rPr>
        <w:t>110</w:t>
      </w:r>
      <w:r w:rsidRPr="00227BB5">
        <w:rPr>
          <w:lang w:val="it-IT"/>
        </w:rPr>
        <w:t xml:space="preserve"> trillion VND and a total number of registered employees of </w:t>
      </w:r>
      <w:r>
        <w:rPr>
          <w:lang w:val="it-IT"/>
        </w:rPr>
        <w:t>over 88.4</w:t>
      </w:r>
      <w:r w:rsidRPr="00227BB5">
        <w:rPr>
          <w:lang w:val="it-IT"/>
        </w:rPr>
        <w:t xml:space="preserve"> thousand employees, a </w:t>
      </w:r>
      <w:r>
        <w:rPr>
          <w:lang w:val="it-IT"/>
        </w:rPr>
        <w:t>de</w:t>
      </w:r>
      <w:r w:rsidRPr="00227BB5">
        <w:rPr>
          <w:lang w:val="it-IT"/>
        </w:rPr>
        <w:t xml:space="preserve">crease of </w:t>
      </w:r>
      <w:r>
        <w:rPr>
          <w:lang w:val="it-IT"/>
        </w:rPr>
        <w:t>6.3</w:t>
      </w:r>
      <w:r w:rsidRPr="00227BB5">
        <w:rPr>
          <w:lang w:val="it-IT"/>
        </w:rPr>
        <w:t xml:space="preserve">% in the number of enterprises, a </w:t>
      </w:r>
      <w:r>
        <w:rPr>
          <w:lang w:val="it-IT"/>
        </w:rPr>
        <w:t>de</w:t>
      </w:r>
      <w:r w:rsidRPr="00227BB5">
        <w:rPr>
          <w:lang w:val="it-IT"/>
        </w:rPr>
        <w:t xml:space="preserve">crease of </w:t>
      </w:r>
      <w:r>
        <w:rPr>
          <w:lang w:val="it-IT"/>
        </w:rPr>
        <w:t>22.8</w:t>
      </w:r>
      <w:r w:rsidRPr="00227BB5">
        <w:rPr>
          <w:lang w:val="it-IT"/>
        </w:rPr>
        <w:t xml:space="preserve">% in registered capital and an increase of </w:t>
      </w:r>
      <w:r>
        <w:rPr>
          <w:lang w:val="it-IT"/>
        </w:rPr>
        <w:t>3.3</w:t>
      </w:r>
      <w:r w:rsidRPr="00227BB5">
        <w:rPr>
          <w:lang w:val="it-IT"/>
        </w:rPr>
        <w:t xml:space="preserve">% in the number of employees compared to </w:t>
      </w:r>
      <w:r>
        <w:rPr>
          <w:lang w:val="it-IT"/>
        </w:rPr>
        <w:t>June</w:t>
      </w:r>
      <w:r w:rsidRPr="00227BB5">
        <w:rPr>
          <w:lang w:val="it-IT"/>
        </w:rPr>
        <w:t xml:space="preserve"> 2024. Compared to the same period last year, </w:t>
      </w:r>
      <w:r>
        <w:rPr>
          <w:lang w:val="it-IT"/>
        </w:rPr>
        <w:t>up</w:t>
      </w:r>
      <w:r w:rsidRPr="00227BB5">
        <w:rPr>
          <w:lang w:val="it-IT"/>
        </w:rPr>
        <w:t xml:space="preserve"> </w:t>
      </w:r>
      <w:r>
        <w:rPr>
          <w:lang w:val="it-IT"/>
        </w:rPr>
        <w:t>7.3</w:t>
      </w:r>
      <w:r w:rsidRPr="00227BB5">
        <w:rPr>
          <w:lang w:val="it-IT"/>
        </w:rPr>
        <w:t xml:space="preserve">% in the number of enterprises, </w:t>
      </w:r>
      <w:r>
        <w:rPr>
          <w:lang w:val="it-IT"/>
        </w:rPr>
        <w:t>down 13</w:t>
      </w:r>
      <w:r w:rsidRPr="00227BB5">
        <w:rPr>
          <w:lang w:val="it-IT"/>
        </w:rPr>
        <w:t xml:space="preserve">% in registered capital and </w:t>
      </w:r>
      <w:r>
        <w:rPr>
          <w:lang w:val="it-IT"/>
        </w:rPr>
        <w:t>up 11.9</w:t>
      </w:r>
      <w:r w:rsidRPr="00227BB5">
        <w:rPr>
          <w:lang w:val="it-IT"/>
        </w:rPr>
        <w:t xml:space="preserve">% in the number of employees. The average registered capital of a newly established enterprise in the month reached </w:t>
      </w:r>
      <w:r>
        <w:rPr>
          <w:lang w:val="it-IT"/>
        </w:rPr>
        <w:t>7.5</w:t>
      </w:r>
      <w:r w:rsidRPr="00227BB5">
        <w:rPr>
          <w:lang w:val="it-IT"/>
        </w:rPr>
        <w:t xml:space="preserve"> billion VND, a </w:t>
      </w:r>
      <w:r>
        <w:rPr>
          <w:lang w:val="it-IT"/>
        </w:rPr>
        <w:t>reduction</w:t>
      </w:r>
      <w:r w:rsidRPr="00227BB5">
        <w:rPr>
          <w:lang w:val="it-IT"/>
        </w:rPr>
        <w:t xml:space="preserve"> of </w:t>
      </w:r>
      <w:r>
        <w:rPr>
          <w:lang w:val="it-IT"/>
        </w:rPr>
        <w:t>17.6</w:t>
      </w:r>
      <w:r w:rsidRPr="00227BB5">
        <w:rPr>
          <w:lang w:val="it-IT"/>
        </w:rPr>
        <w:t xml:space="preserve">% compared to the </w:t>
      </w:r>
      <w:r>
        <w:rPr>
          <w:lang w:val="it-IT"/>
        </w:rPr>
        <w:t>last</w:t>
      </w:r>
      <w:r w:rsidRPr="00227BB5">
        <w:rPr>
          <w:lang w:val="it-IT"/>
        </w:rPr>
        <w:t xml:space="preserve"> month and </w:t>
      </w:r>
      <w:r>
        <w:rPr>
          <w:lang w:val="it-IT"/>
        </w:rPr>
        <w:t>down</w:t>
      </w:r>
      <w:r w:rsidRPr="00227BB5">
        <w:rPr>
          <w:lang w:val="it-IT"/>
        </w:rPr>
        <w:t xml:space="preserve"> </w:t>
      </w:r>
      <w:r>
        <w:rPr>
          <w:lang w:val="it-IT"/>
        </w:rPr>
        <w:t>18.9</w:t>
      </w:r>
      <w:r w:rsidRPr="00227BB5">
        <w:rPr>
          <w:lang w:val="it-IT"/>
        </w:rPr>
        <w:t xml:space="preserve">% </w:t>
      </w:r>
      <w:r>
        <w:rPr>
          <w:lang w:val="it-IT"/>
        </w:rPr>
        <w:t>compared to</w:t>
      </w:r>
      <w:r w:rsidRPr="00227BB5">
        <w:rPr>
          <w:lang w:val="it-IT"/>
        </w:rPr>
        <w:t xml:space="preserve"> the same period </w:t>
      </w:r>
      <w:r>
        <w:rPr>
          <w:lang w:val="it-IT"/>
        </w:rPr>
        <w:t>of 2023</w:t>
      </w:r>
      <w:r w:rsidRPr="00227BB5">
        <w:rPr>
          <w:lang w:val="it-IT"/>
        </w:rPr>
        <w:t xml:space="preserve">. </w:t>
      </w:r>
      <w:r>
        <w:rPr>
          <w:lang w:val="it-IT"/>
        </w:rPr>
        <w:t>Besides</w:t>
      </w:r>
      <w:r w:rsidRPr="00227BB5">
        <w:rPr>
          <w:lang w:val="it-IT"/>
        </w:rPr>
        <w:t xml:space="preserve">, </w:t>
      </w:r>
      <w:r>
        <w:rPr>
          <w:lang w:val="it-IT"/>
        </w:rPr>
        <w:t>there were</w:t>
      </w:r>
      <w:r w:rsidRPr="00227BB5">
        <w:rPr>
          <w:lang w:val="it-IT"/>
        </w:rPr>
        <w:t xml:space="preserve"> </w:t>
      </w:r>
      <w:r>
        <w:rPr>
          <w:lang w:val="it-IT"/>
        </w:rPr>
        <w:t>more than</w:t>
      </w:r>
      <w:r w:rsidRPr="00227BB5">
        <w:rPr>
          <w:lang w:val="it-IT"/>
        </w:rPr>
        <w:t xml:space="preserve"> </w:t>
      </w:r>
      <w:r>
        <w:rPr>
          <w:lang w:val="it-IT"/>
        </w:rPr>
        <w:t>6.8</w:t>
      </w:r>
      <w:r w:rsidRPr="00227BB5">
        <w:rPr>
          <w:lang w:val="it-IT"/>
        </w:rPr>
        <w:t xml:space="preserve"> thousand enterprises</w:t>
      </w:r>
      <w:r>
        <w:rPr>
          <w:lang w:val="it-IT"/>
        </w:rPr>
        <w:t xml:space="preserve"> resumed in the whole country</w:t>
      </w:r>
      <w:r w:rsidRPr="00227BB5">
        <w:rPr>
          <w:lang w:val="it-IT"/>
        </w:rPr>
        <w:t xml:space="preserve">, </w:t>
      </w:r>
      <w:r>
        <w:rPr>
          <w:lang w:val="it-IT"/>
        </w:rPr>
        <w:t>an increase of 26.2</w:t>
      </w:r>
      <w:r w:rsidRPr="00227BB5">
        <w:rPr>
          <w:lang w:val="it-IT"/>
        </w:rPr>
        <w:t xml:space="preserve">% compared to the previous month and </w:t>
      </w:r>
      <w:r>
        <w:rPr>
          <w:lang w:val="it-IT"/>
        </w:rPr>
        <w:t>down 0.7</w:t>
      </w:r>
      <w:r w:rsidRPr="00227BB5">
        <w:rPr>
          <w:lang w:val="it-IT"/>
        </w:rPr>
        <w:t xml:space="preserve">% compared to the same period </w:t>
      </w:r>
      <w:r>
        <w:rPr>
          <w:lang w:val="it-IT"/>
        </w:rPr>
        <w:t>of</w:t>
      </w:r>
      <w:r w:rsidRPr="00227BB5">
        <w:rPr>
          <w:lang w:val="it-IT"/>
        </w:rPr>
        <w:t xml:space="preserve"> 2023.</w:t>
      </w:r>
    </w:p>
    <w:p w14:paraId="4B266D30" w14:textId="77777777" w:rsidR="005E3B18" w:rsidRPr="00227BB5" w:rsidRDefault="005E3B18" w:rsidP="005E3B18">
      <w:pPr>
        <w:spacing w:after="40" w:line="300" w:lineRule="auto"/>
        <w:ind w:firstLine="567"/>
        <w:jc w:val="both"/>
        <w:rPr>
          <w:lang w:val="en-US"/>
        </w:rPr>
      </w:pPr>
      <w:r>
        <w:rPr>
          <w:lang w:val="en-US"/>
        </w:rPr>
        <w:t>Generally, i</w:t>
      </w:r>
      <w:r w:rsidRPr="00227BB5">
        <w:rPr>
          <w:lang w:val="en-US"/>
        </w:rPr>
        <w:t xml:space="preserve">n the </w:t>
      </w:r>
      <w:r>
        <w:rPr>
          <w:lang w:val="en-US"/>
        </w:rPr>
        <w:t>seven months</w:t>
      </w:r>
      <w:r w:rsidRPr="00227BB5">
        <w:rPr>
          <w:lang w:val="en-US"/>
        </w:rPr>
        <w:t xml:space="preserve"> of 2024, the</w:t>
      </w:r>
      <w:r>
        <w:rPr>
          <w:lang w:val="en-US"/>
        </w:rPr>
        <w:t xml:space="preserve"> whole</w:t>
      </w:r>
      <w:r w:rsidRPr="00227BB5">
        <w:rPr>
          <w:lang w:val="en-US"/>
        </w:rPr>
        <w:t xml:space="preserve"> country had </w:t>
      </w:r>
      <w:r>
        <w:rPr>
          <w:lang w:val="en-US"/>
        </w:rPr>
        <w:t>more than 95.2</w:t>
      </w:r>
      <w:r w:rsidRPr="00227BB5">
        <w:rPr>
          <w:lang w:val="it-IT"/>
        </w:rPr>
        <w:t xml:space="preserve"> </w:t>
      </w:r>
      <w:r w:rsidRPr="00227BB5">
        <w:rPr>
          <w:lang w:val="en-US"/>
        </w:rPr>
        <w:t>thousand newly registered enterprises with a total registered capital of</w:t>
      </w:r>
      <w:r w:rsidRPr="00227BB5">
        <w:rPr>
          <w:lang w:val="it-IT"/>
        </w:rPr>
        <w:t xml:space="preserve"> </w:t>
      </w:r>
      <w:r>
        <w:rPr>
          <w:lang w:val="it-IT"/>
        </w:rPr>
        <w:t>854.6</w:t>
      </w:r>
      <w:r w:rsidRPr="00227BB5">
        <w:rPr>
          <w:lang w:val="it-IT"/>
        </w:rPr>
        <w:t xml:space="preserve"> </w:t>
      </w:r>
      <w:r w:rsidRPr="00227BB5">
        <w:rPr>
          <w:lang w:val="en-US"/>
        </w:rPr>
        <w:t xml:space="preserve">trillion VND and </w:t>
      </w:r>
      <w:r>
        <w:rPr>
          <w:lang w:val="en-US"/>
        </w:rPr>
        <w:t>a</w:t>
      </w:r>
      <w:r w:rsidRPr="00227BB5">
        <w:rPr>
          <w:lang w:val="en-US"/>
        </w:rPr>
        <w:t xml:space="preserve"> total number of registered employees was nearly </w:t>
      </w:r>
      <w:r>
        <w:rPr>
          <w:lang w:val="it-IT"/>
        </w:rPr>
        <w:t>600.4</w:t>
      </w:r>
      <w:r w:rsidRPr="00227BB5">
        <w:rPr>
          <w:lang w:val="it-IT"/>
        </w:rPr>
        <w:t xml:space="preserve"> </w:t>
      </w:r>
      <w:r w:rsidRPr="00227BB5">
        <w:rPr>
          <w:lang w:val="en-US"/>
        </w:rPr>
        <w:lastRenderedPageBreak/>
        <w:t xml:space="preserve">thousand employees, </w:t>
      </w:r>
      <w:r>
        <w:rPr>
          <w:lang w:val="en-US"/>
        </w:rPr>
        <w:t>an increase</w:t>
      </w:r>
      <w:r w:rsidRPr="00227BB5">
        <w:rPr>
          <w:lang w:val="en-US"/>
        </w:rPr>
        <w:t xml:space="preserve"> </w:t>
      </w:r>
      <w:r>
        <w:rPr>
          <w:lang w:val="it-IT"/>
        </w:rPr>
        <w:t>6.3</w:t>
      </w:r>
      <w:r w:rsidRPr="00227BB5">
        <w:rPr>
          <w:lang w:val="it-IT"/>
        </w:rPr>
        <w:t xml:space="preserve">% </w:t>
      </w:r>
      <w:r w:rsidRPr="00227BB5">
        <w:rPr>
          <w:lang w:val="en-US"/>
        </w:rPr>
        <w:t xml:space="preserve">in the number of enterprises, </w:t>
      </w:r>
      <w:r>
        <w:rPr>
          <w:lang w:val="en-US"/>
        </w:rPr>
        <w:t>2.4</w:t>
      </w:r>
      <w:r w:rsidRPr="00227BB5">
        <w:rPr>
          <w:lang w:val="it-IT"/>
        </w:rPr>
        <w:t xml:space="preserve">% </w:t>
      </w:r>
      <w:r w:rsidRPr="00227BB5">
        <w:rPr>
          <w:lang w:val="en-US"/>
        </w:rPr>
        <w:t xml:space="preserve">in registered capital and </w:t>
      </w:r>
      <w:r>
        <w:rPr>
          <w:lang w:val="en-US"/>
        </w:rPr>
        <w:t>2.0</w:t>
      </w:r>
      <w:r w:rsidRPr="00227BB5">
        <w:rPr>
          <w:lang w:val="it-IT"/>
        </w:rPr>
        <w:t xml:space="preserve">% </w:t>
      </w:r>
      <w:r w:rsidRPr="00227BB5">
        <w:rPr>
          <w:lang w:val="en-US"/>
        </w:rPr>
        <w:t xml:space="preserve">in the number of employees compared to the same period last year. The average registered capital of a newly established enterprise in the </w:t>
      </w:r>
      <w:r>
        <w:rPr>
          <w:lang w:val="en-US"/>
        </w:rPr>
        <w:t>seven</w:t>
      </w:r>
      <w:r w:rsidRPr="00227BB5">
        <w:rPr>
          <w:lang w:val="en-US"/>
        </w:rPr>
        <w:t xml:space="preserve"> months of 2024 </w:t>
      </w:r>
      <w:r>
        <w:rPr>
          <w:lang w:val="en-US"/>
        </w:rPr>
        <w:t>achieved</w:t>
      </w:r>
      <w:r w:rsidRPr="00227BB5">
        <w:rPr>
          <w:lang w:val="it-IT"/>
        </w:rPr>
        <w:t xml:space="preserve"> 9.</w:t>
      </w:r>
      <w:r>
        <w:rPr>
          <w:lang w:val="it-IT"/>
        </w:rPr>
        <w:t>0</w:t>
      </w:r>
      <w:r w:rsidRPr="00227BB5">
        <w:rPr>
          <w:lang w:val="it-IT"/>
        </w:rPr>
        <w:t xml:space="preserve"> </w:t>
      </w:r>
      <w:r w:rsidRPr="00227BB5">
        <w:rPr>
          <w:lang w:val="en-US"/>
        </w:rPr>
        <w:t xml:space="preserve">billion VND, </w:t>
      </w:r>
      <w:r>
        <w:rPr>
          <w:lang w:val="en-US"/>
        </w:rPr>
        <w:t>a year-on-year reduction of 3.6</w:t>
      </w:r>
      <w:r w:rsidRPr="00227BB5">
        <w:rPr>
          <w:lang w:val="it-IT"/>
        </w:rPr>
        <w:t xml:space="preserve">%. </w:t>
      </w:r>
      <w:r w:rsidRPr="00227BB5">
        <w:rPr>
          <w:lang w:val="en-US"/>
        </w:rPr>
        <w:t xml:space="preserve">If including </w:t>
      </w:r>
      <w:r>
        <w:rPr>
          <w:lang w:val="it-IT"/>
        </w:rPr>
        <w:t>919.2</w:t>
      </w:r>
      <w:r w:rsidRPr="00227BB5">
        <w:rPr>
          <w:lang w:val="it-IT"/>
        </w:rPr>
        <w:t xml:space="preserve"> </w:t>
      </w:r>
      <w:r>
        <w:rPr>
          <w:lang w:val="en-US"/>
        </w:rPr>
        <w:t>trillion VND of the additional</w:t>
      </w:r>
      <w:r w:rsidRPr="00227BB5">
        <w:rPr>
          <w:lang w:val="en-US"/>
        </w:rPr>
        <w:t xml:space="preserve"> registered capital of</w:t>
      </w:r>
      <w:r w:rsidRPr="00227BB5">
        <w:rPr>
          <w:lang w:val="it-IT"/>
        </w:rPr>
        <w:t xml:space="preserve"> </w:t>
      </w:r>
      <w:r>
        <w:rPr>
          <w:lang w:val="it-IT"/>
        </w:rPr>
        <w:t>more than 27.1</w:t>
      </w:r>
      <w:r w:rsidRPr="007E7AD3">
        <w:rPr>
          <w:lang w:val="en-US"/>
        </w:rPr>
        <w:t xml:space="preserve"> </w:t>
      </w:r>
      <w:r w:rsidRPr="00227BB5">
        <w:rPr>
          <w:lang w:val="en-US"/>
        </w:rPr>
        <w:t xml:space="preserve">thousand </w:t>
      </w:r>
      <w:r>
        <w:rPr>
          <w:lang w:val="en-US"/>
        </w:rPr>
        <w:t xml:space="preserve">active </w:t>
      </w:r>
      <w:r w:rsidRPr="00227BB5">
        <w:rPr>
          <w:lang w:val="en-US"/>
        </w:rPr>
        <w:t xml:space="preserve">enterprises that </w:t>
      </w:r>
      <w:r>
        <w:rPr>
          <w:lang w:val="en-US"/>
        </w:rPr>
        <w:t xml:space="preserve">registered to make </w:t>
      </w:r>
      <w:r w:rsidRPr="00227BB5">
        <w:rPr>
          <w:lang w:val="en-US"/>
        </w:rPr>
        <w:t xml:space="preserve">upward adjustment of </w:t>
      </w:r>
      <w:r>
        <w:rPr>
          <w:lang w:val="en-US"/>
        </w:rPr>
        <w:t xml:space="preserve">their </w:t>
      </w:r>
      <w:r w:rsidRPr="00227BB5">
        <w:rPr>
          <w:lang w:val="en-US"/>
        </w:rPr>
        <w:t xml:space="preserve">capital, </w:t>
      </w:r>
      <w:r w:rsidRPr="007E7AD3">
        <w:rPr>
          <w:lang w:val="en-US"/>
        </w:rPr>
        <w:t xml:space="preserve">the total number </w:t>
      </w:r>
      <w:r>
        <w:rPr>
          <w:lang w:val="en-US"/>
        </w:rPr>
        <w:t xml:space="preserve">additional registered </w:t>
      </w:r>
      <w:r w:rsidRPr="007E7AD3">
        <w:rPr>
          <w:lang w:val="en-US"/>
        </w:rPr>
        <w:t xml:space="preserve">captial </w:t>
      </w:r>
      <w:r>
        <w:rPr>
          <w:lang w:val="en-US"/>
        </w:rPr>
        <w:t>into</w:t>
      </w:r>
      <w:r w:rsidRPr="007E7AD3">
        <w:rPr>
          <w:lang w:val="en-US"/>
        </w:rPr>
        <w:t xml:space="preserve"> the economy</w:t>
      </w:r>
      <w:r w:rsidRPr="00227BB5">
        <w:rPr>
          <w:lang w:val="en-US"/>
        </w:rPr>
        <w:t xml:space="preserve"> in the </w:t>
      </w:r>
      <w:r>
        <w:rPr>
          <w:lang w:val="en-US"/>
        </w:rPr>
        <w:t>seven months</w:t>
      </w:r>
      <w:r w:rsidRPr="00227BB5">
        <w:rPr>
          <w:lang w:val="en-US"/>
        </w:rPr>
        <w:t xml:space="preserve"> of 2024 was</w:t>
      </w:r>
      <w:r w:rsidRPr="007E7AD3">
        <w:rPr>
          <w:lang w:val="en-US"/>
        </w:rPr>
        <w:t xml:space="preserve"> </w:t>
      </w:r>
      <w:r>
        <w:rPr>
          <w:lang w:val="en-US"/>
        </w:rPr>
        <w:t>1,773.8</w:t>
      </w:r>
      <w:r w:rsidRPr="007E7AD3">
        <w:rPr>
          <w:lang w:val="en-US"/>
        </w:rPr>
        <w:t xml:space="preserve"> </w:t>
      </w:r>
      <w:r w:rsidRPr="00227BB5">
        <w:rPr>
          <w:lang w:val="en-US"/>
        </w:rPr>
        <w:t xml:space="preserve">trillion VND, a </w:t>
      </w:r>
      <w:r>
        <w:rPr>
          <w:lang w:val="en-US"/>
        </w:rPr>
        <w:t>year-on-year reduction</w:t>
      </w:r>
      <w:r w:rsidRPr="00227BB5">
        <w:rPr>
          <w:lang w:val="en-US"/>
        </w:rPr>
        <w:t xml:space="preserve"> of </w:t>
      </w:r>
      <w:r>
        <w:rPr>
          <w:lang w:val="it-IT"/>
        </w:rPr>
        <w:t>9.1</w:t>
      </w:r>
      <w:r w:rsidRPr="00227BB5">
        <w:rPr>
          <w:lang w:val="it-IT"/>
        </w:rPr>
        <w:t>%</w:t>
      </w:r>
      <w:r w:rsidRPr="00227BB5">
        <w:rPr>
          <w:lang w:val="en-US"/>
        </w:rPr>
        <w:t xml:space="preserve">. </w:t>
      </w:r>
      <w:r>
        <w:rPr>
          <w:lang w:val="en-US"/>
        </w:rPr>
        <w:t>Besides</w:t>
      </w:r>
      <w:r w:rsidRPr="00227BB5">
        <w:rPr>
          <w:lang w:val="en-US"/>
        </w:rPr>
        <w:t>,</w:t>
      </w:r>
      <w:r>
        <w:rPr>
          <w:lang w:val="en-US"/>
        </w:rPr>
        <w:t xml:space="preserve"> there we</w:t>
      </w:r>
      <w:r w:rsidRPr="00227BB5">
        <w:rPr>
          <w:lang w:val="en-US"/>
        </w:rPr>
        <w:t xml:space="preserve">re </w:t>
      </w:r>
      <w:r>
        <w:rPr>
          <w:lang w:val="en-US"/>
        </w:rPr>
        <w:t>nearly 44.3</w:t>
      </w:r>
      <w:r w:rsidRPr="00227BB5">
        <w:rPr>
          <w:lang w:val="it-IT"/>
        </w:rPr>
        <w:t xml:space="preserve"> </w:t>
      </w:r>
      <w:r w:rsidRPr="00227BB5">
        <w:rPr>
          <w:lang w:val="en-US"/>
        </w:rPr>
        <w:t>thousand enterprises</w:t>
      </w:r>
      <w:r>
        <w:rPr>
          <w:lang w:val="en-US"/>
        </w:rPr>
        <w:t xml:space="preserve"> resumed</w:t>
      </w:r>
      <w:r w:rsidRPr="00227BB5">
        <w:rPr>
          <w:lang w:val="en-US"/>
        </w:rPr>
        <w:t xml:space="preserve"> (</w:t>
      </w:r>
      <w:r>
        <w:rPr>
          <w:lang w:val="en-US"/>
        </w:rPr>
        <w:t>a year-on-year increase of</w:t>
      </w:r>
      <w:r w:rsidRPr="00227BB5">
        <w:rPr>
          <w:lang w:val="en-US"/>
        </w:rPr>
        <w:t xml:space="preserve"> </w:t>
      </w:r>
      <w:r>
        <w:rPr>
          <w:lang w:val="en-US"/>
        </w:rPr>
        <w:t>4.7</w:t>
      </w:r>
      <w:r w:rsidRPr="00227BB5">
        <w:rPr>
          <w:lang w:val="it-IT"/>
        </w:rPr>
        <w:t xml:space="preserve">%), </w:t>
      </w:r>
      <w:r>
        <w:rPr>
          <w:lang w:val="en-US"/>
        </w:rPr>
        <w:t>levering</w:t>
      </w:r>
      <w:r w:rsidRPr="00227BB5">
        <w:rPr>
          <w:lang w:val="en-US"/>
        </w:rPr>
        <w:t xml:space="preserve"> the total number of newly</w:t>
      </w:r>
      <w:r>
        <w:rPr>
          <w:lang w:val="en-US"/>
        </w:rPr>
        <w:t xml:space="preserve"> </w:t>
      </w:r>
      <w:r w:rsidRPr="00227BB5">
        <w:rPr>
          <w:lang w:val="en-US"/>
        </w:rPr>
        <w:t xml:space="preserve">established enterprises and </w:t>
      </w:r>
      <w:r>
        <w:rPr>
          <w:lang w:val="en-US"/>
        </w:rPr>
        <w:t>resumed</w:t>
      </w:r>
      <w:r w:rsidRPr="00227BB5">
        <w:rPr>
          <w:lang w:val="en-US"/>
        </w:rPr>
        <w:t xml:space="preserve"> enterprises in the </w:t>
      </w:r>
      <w:r>
        <w:rPr>
          <w:lang w:val="en-US"/>
        </w:rPr>
        <w:t>seven</w:t>
      </w:r>
      <w:r w:rsidRPr="00227BB5">
        <w:rPr>
          <w:lang w:val="en-US"/>
        </w:rPr>
        <w:t xml:space="preserve"> months of 2024 to nearly</w:t>
      </w:r>
      <w:r w:rsidRPr="00227BB5">
        <w:rPr>
          <w:lang w:val="it-IT"/>
        </w:rPr>
        <w:t xml:space="preserve"> </w:t>
      </w:r>
      <w:r>
        <w:rPr>
          <w:lang w:val="it-IT"/>
        </w:rPr>
        <w:t>139.5</w:t>
      </w:r>
      <w:r w:rsidRPr="00227BB5">
        <w:rPr>
          <w:lang w:val="it-IT"/>
        </w:rPr>
        <w:t xml:space="preserve"> </w:t>
      </w:r>
      <w:r w:rsidRPr="00227BB5">
        <w:rPr>
          <w:lang w:val="en-US"/>
        </w:rPr>
        <w:t xml:space="preserve">thousand enterprises, </w:t>
      </w:r>
      <w:r>
        <w:rPr>
          <w:lang w:val="en-US"/>
        </w:rPr>
        <w:t>a year-on-year increase of</w:t>
      </w:r>
      <w:r w:rsidRPr="00227BB5">
        <w:rPr>
          <w:lang w:val="en-US"/>
        </w:rPr>
        <w:t xml:space="preserve"> 5.</w:t>
      </w:r>
      <w:r>
        <w:rPr>
          <w:lang w:val="en-US"/>
        </w:rPr>
        <w:t>8</w:t>
      </w:r>
      <w:r w:rsidRPr="00227BB5">
        <w:rPr>
          <w:lang w:val="it-IT"/>
        </w:rPr>
        <w:t>%</w:t>
      </w:r>
      <w:r w:rsidRPr="00227BB5">
        <w:rPr>
          <w:lang w:val="en-US"/>
        </w:rPr>
        <w:t xml:space="preserve">. </w:t>
      </w:r>
      <w:r>
        <w:rPr>
          <w:lang w:val="en-US"/>
        </w:rPr>
        <w:t xml:space="preserve">On </w:t>
      </w:r>
      <w:r w:rsidRPr="00227BB5">
        <w:rPr>
          <w:lang w:val="en-US"/>
        </w:rPr>
        <w:t>average</w:t>
      </w:r>
      <w:r>
        <w:rPr>
          <w:lang w:val="en-US"/>
        </w:rPr>
        <w:t>, there were over 19.9</w:t>
      </w:r>
      <w:r w:rsidRPr="00227BB5">
        <w:rPr>
          <w:lang w:val="it-IT"/>
        </w:rPr>
        <w:t xml:space="preserve"> </w:t>
      </w:r>
      <w:r w:rsidRPr="00227BB5">
        <w:rPr>
          <w:lang w:val="en-US"/>
        </w:rPr>
        <w:t xml:space="preserve">thousand newly established and </w:t>
      </w:r>
      <w:r>
        <w:rPr>
          <w:lang w:val="en-US"/>
        </w:rPr>
        <w:t>resumed</w:t>
      </w:r>
      <w:r w:rsidRPr="00227BB5">
        <w:rPr>
          <w:lang w:val="en-US"/>
        </w:rPr>
        <w:t xml:space="preserve"> enterprises</w:t>
      </w:r>
      <w:r>
        <w:rPr>
          <w:lang w:val="en-US"/>
        </w:rPr>
        <w:t xml:space="preserve"> per month</w:t>
      </w:r>
      <w:r w:rsidRPr="00227BB5">
        <w:rPr>
          <w:lang w:val="it-IT"/>
        </w:rPr>
        <w:t>.</w:t>
      </w:r>
    </w:p>
    <w:p w14:paraId="1C379E82" w14:textId="77777777" w:rsidR="005E3B18" w:rsidRPr="00227BB5" w:rsidRDefault="005E3B18" w:rsidP="005E3B18">
      <w:pPr>
        <w:spacing w:after="40" w:line="300" w:lineRule="auto"/>
        <w:ind w:firstLine="567"/>
        <w:jc w:val="both"/>
        <w:rPr>
          <w:lang w:val="it-IT"/>
        </w:rPr>
      </w:pPr>
      <w:r w:rsidRPr="00227BB5">
        <w:rPr>
          <w:lang w:val="en-US"/>
        </w:rPr>
        <w:t xml:space="preserve">By economic sector in </w:t>
      </w:r>
      <w:r>
        <w:rPr>
          <w:lang w:val="en-US"/>
        </w:rPr>
        <w:t>the seven</w:t>
      </w:r>
      <w:r w:rsidRPr="00227BB5">
        <w:rPr>
          <w:lang w:val="en-US"/>
        </w:rPr>
        <w:t xml:space="preserve"> months</w:t>
      </w:r>
      <w:r>
        <w:rPr>
          <w:lang w:val="en-US"/>
        </w:rPr>
        <w:t xml:space="preserve"> of 2024</w:t>
      </w:r>
      <w:r w:rsidRPr="00227BB5">
        <w:rPr>
          <w:lang w:val="en-US"/>
        </w:rPr>
        <w:t xml:space="preserve">, there were </w:t>
      </w:r>
      <w:r>
        <w:rPr>
          <w:lang w:val="it-IT"/>
        </w:rPr>
        <w:t>919</w:t>
      </w:r>
      <w:r w:rsidRPr="00227BB5">
        <w:rPr>
          <w:lang w:val="it-IT"/>
        </w:rPr>
        <w:t xml:space="preserve"> </w:t>
      </w:r>
      <w:r w:rsidRPr="00227BB5">
        <w:rPr>
          <w:lang w:val="en-US"/>
        </w:rPr>
        <w:t>newly</w:t>
      </w:r>
      <w:r>
        <w:rPr>
          <w:lang w:val="en-US"/>
        </w:rPr>
        <w:t xml:space="preserve"> </w:t>
      </w:r>
      <w:r w:rsidRPr="00227BB5">
        <w:rPr>
          <w:lang w:val="en-US"/>
        </w:rPr>
        <w:t>established enterprises in the agricultural, forestry, and fishery sectors, a</w:t>
      </w:r>
      <w:r>
        <w:rPr>
          <w:lang w:val="en-US"/>
        </w:rPr>
        <w:t xml:space="preserve"> year-on-year</w:t>
      </w:r>
      <w:r w:rsidRPr="00227BB5">
        <w:rPr>
          <w:lang w:val="en-US"/>
        </w:rPr>
        <w:t xml:space="preserve"> </w:t>
      </w:r>
      <w:r>
        <w:rPr>
          <w:lang w:val="en-US"/>
        </w:rPr>
        <w:t>decrease</w:t>
      </w:r>
      <w:r w:rsidRPr="00227BB5">
        <w:rPr>
          <w:lang w:val="en-US"/>
        </w:rPr>
        <w:t xml:space="preserve"> of</w:t>
      </w:r>
      <w:r w:rsidRPr="00227BB5">
        <w:rPr>
          <w:lang w:val="it-IT"/>
        </w:rPr>
        <w:t xml:space="preserve"> </w:t>
      </w:r>
      <w:r>
        <w:rPr>
          <w:lang w:val="it-IT"/>
        </w:rPr>
        <w:t>2.8</w:t>
      </w:r>
      <w:r w:rsidRPr="00227BB5">
        <w:rPr>
          <w:lang w:val="it-IT"/>
        </w:rPr>
        <w:t>%</w:t>
      </w:r>
      <w:r w:rsidRPr="00227BB5">
        <w:rPr>
          <w:lang w:val="en-US"/>
        </w:rPr>
        <w:t xml:space="preserve">; </w:t>
      </w:r>
      <w:r>
        <w:rPr>
          <w:lang w:val="it-IT"/>
        </w:rPr>
        <w:t>22.4</w:t>
      </w:r>
      <w:r w:rsidRPr="00227BB5">
        <w:rPr>
          <w:lang w:val="it-IT"/>
        </w:rPr>
        <w:t xml:space="preserve"> </w:t>
      </w:r>
      <w:r w:rsidRPr="00227BB5">
        <w:rPr>
          <w:lang w:val="en-US"/>
        </w:rPr>
        <w:t xml:space="preserve">thousand enterprises in the industrial and construction sectors, </w:t>
      </w:r>
      <w:r>
        <w:rPr>
          <w:lang w:val="en-US"/>
        </w:rPr>
        <w:t xml:space="preserve">an </w:t>
      </w:r>
      <w:r w:rsidRPr="00227BB5">
        <w:rPr>
          <w:lang w:val="en-US"/>
        </w:rPr>
        <w:t>increase of</w:t>
      </w:r>
      <w:r w:rsidRPr="00227BB5">
        <w:rPr>
          <w:lang w:val="it-IT"/>
        </w:rPr>
        <w:t xml:space="preserve"> </w:t>
      </w:r>
      <w:r>
        <w:rPr>
          <w:lang w:val="it-IT"/>
        </w:rPr>
        <w:t>4.8</w:t>
      </w:r>
      <w:r w:rsidRPr="00227BB5">
        <w:rPr>
          <w:lang w:val="it-IT"/>
        </w:rPr>
        <w:t xml:space="preserve">%; </w:t>
      </w:r>
      <w:r>
        <w:rPr>
          <w:lang w:val="it-IT"/>
        </w:rPr>
        <w:t>71.9</w:t>
      </w:r>
      <w:r w:rsidRPr="00227BB5">
        <w:rPr>
          <w:lang w:val="it-IT"/>
        </w:rPr>
        <w:t xml:space="preserve"> </w:t>
      </w:r>
      <w:r w:rsidRPr="00227BB5">
        <w:rPr>
          <w:lang w:val="en-US"/>
        </w:rPr>
        <w:t xml:space="preserve">thousand enterprises in the service sector, an increase of </w:t>
      </w:r>
      <w:r w:rsidRPr="00227BB5">
        <w:rPr>
          <w:lang w:val="it-IT"/>
        </w:rPr>
        <w:t>6.</w:t>
      </w:r>
      <w:r>
        <w:rPr>
          <w:lang w:val="it-IT"/>
        </w:rPr>
        <w:t>8</w:t>
      </w:r>
      <w:r w:rsidRPr="00227BB5">
        <w:rPr>
          <w:lang w:val="it-IT"/>
        </w:rPr>
        <w:t>%.</w:t>
      </w:r>
    </w:p>
    <w:p w14:paraId="1CC8B36D" w14:textId="77777777" w:rsidR="005E3B18" w:rsidRPr="00227BB5" w:rsidRDefault="005E3B18" w:rsidP="005E3B18">
      <w:pPr>
        <w:spacing w:before="120" w:after="40" w:line="288" w:lineRule="auto"/>
        <w:jc w:val="center"/>
        <w:rPr>
          <w:noProof/>
          <w:lang w:val="it-IT" w:eastAsia="en-GB"/>
        </w:rPr>
      </w:pPr>
      <w:r w:rsidRPr="00227BB5">
        <w:rPr>
          <w:rFonts w:ascii="Arial" w:hAnsi="Arial" w:cs="Arial"/>
          <w:b/>
          <w:lang w:val="it-IT"/>
        </w:rPr>
        <w:t>Figure</w:t>
      </w:r>
      <w:r w:rsidRPr="00227BB5">
        <w:rPr>
          <w:rFonts w:ascii="Arial" w:hAnsi="Arial" w:cs="Arial"/>
          <w:b/>
          <w:sz w:val="24"/>
          <w:szCs w:val="24"/>
          <w:lang w:val="it-IT"/>
        </w:rPr>
        <w:t xml:space="preserve"> 6. </w:t>
      </w:r>
      <w:r w:rsidRPr="00227BB5">
        <w:rPr>
          <w:rFonts w:ascii="Arial" w:hAnsi="Arial" w:cs="Arial"/>
          <w:b/>
          <w:lang w:val="it-IT"/>
        </w:rPr>
        <w:t>Enterprise registration situation</w:t>
      </w:r>
    </w:p>
    <w:p w14:paraId="5A981A0A" w14:textId="77777777" w:rsidR="005E3B18" w:rsidRPr="00227BB5" w:rsidRDefault="005E3B18" w:rsidP="005E3B18">
      <w:pPr>
        <w:spacing w:before="120" w:after="40" w:line="288" w:lineRule="auto"/>
        <w:jc w:val="center"/>
        <w:rPr>
          <w:rFonts w:ascii="Arial" w:hAnsi="Arial" w:cs="Arial"/>
          <w:b/>
          <w:sz w:val="24"/>
          <w:szCs w:val="24"/>
          <w:lang w:val="it-IT"/>
        </w:rPr>
      </w:pPr>
      <w:r w:rsidRPr="00985E4A">
        <w:rPr>
          <w:rFonts w:ascii="Arial" w:hAnsi="Arial" w:cs="Arial"/>
          <w:b/>
          <w:noProof/>
          <w:sz w:val="24"/>
          <w:szCs w:val="24"/>
          <w:lang w:eastAsia="en-GB"/>
        </w:rPr>
        <w:drawing>
          <wp:inline distT="0" distB="0" distL="0" distR="0" wp14:anchorId="7721EA4F" wp14:editId="6B26CB0A">
            <wp:extent cx="5760085" cy="3018094"/>
            <wp:effectExtent l="0" t="0" r="0" b="0"/>
            <wp:docPr id="2029084799" name="Picture 2029084799" descr="C:\Users\dtphong\Downloads\1b_Doanh nghiep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tphong\Downloads\1b_Doanh nghiep copy.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018094"/>
                    </a:xfrm>
                    <a:prstGeom prst="rect">
                      <a:avLst/>
                    </a:prstGeom>
                    <a:noFill/>
                    <a:ln>
                      <a:noFill/>
                    </a:ln>
                  </pic:spPr>
                </pic:pic>
              </a:graphicData>
            </a:graphic>
          </wp:inline>
        </w:drawing>
      </w:r>
    </w:p>
    <w:p w14:paraId="182BC960" w14:textId="77777777" w:rsidR="005E3B18" w:rsidRPr="00227BB5" w:rsidRDefault="005E3B18" w:rsidP="005E3B18">
      <w:pPr>
        <w:spacing w:before="40" w:after="40" w:line="283" w:lineRule="auto"/>
        <w:ind w:firstLine="567"/>
        <w:jc w:val="both"/>
        <w:rPr>
          <w:lang w:val="it-IT"/>
        </w:rPr>
      </w:pPr>
      <w:r w:rsidRPr="00227BB5">
        <w:rPr>
          <w:lang w:val="en-US"/>
        </w:rPr>
        <w:t xml:space="preserve">Also in </w:t>
      </w:r>
      <w:r>
        <w:rPr>
          <w:lang w:val="en-US"/>
        </w:rPr>
        <w:t>July</w:t>
      </w:r>
      <w:r w:rsidRPr="00227BB5">
        <w:rPr>
          <w:lang w:val="en-US"/>
        </w:rPr>
        <w:t xml:space="preserve">, </w:t>
      </w:r>
      <w:r>
        <w:rPr>
          <w:lang w:val="it-IT"/>
        </w:rPr>
        <w:t>6,837</w:t>
      </w:r>
      <w:r w:rsidRPr="00227BB5">
        <w:rPr>
          <w:lang w:val="it-IT"/>
        </w:rPr>
        <w:t xml:space="preserve"> </w:t>
      </w:r>
      <w:r>
        <w:rPr>
          <w:lang w:val="it-IT"/>
        </w:rPr>
        <w:t xml:space="preserve">teamporarily inactive </w:t>
      </w:r>
      <w:r w:rsidRPr="00227BB5">
        <w:rPr>
          <w:lang w:val="en-US"/>
        </w:rPr>
        <w:t xml:space="preserve">enterprises, </w:t>
      </w:r>
      <w:r>
        <w:rPr>
          <w:lang w:val="en-US"/>
        </w:rPr>
        <w:t>up</w:t>
      </w:r>
      <w:r w:rsidRPr="00227BB5">
        <w:rPr>
          <w:lang w:val="en-US"/>
        </w:rPr>
        <w:t xml:space="preserve"> </w:t>
      </w:r>
      <w:r>
        <w:rPr>
          <w:lang w:val="en-US"/>
        </w:rPr>
        <w:t>26.2</w:t>
      </w:r>
      <w:r w:rsidRPr="00227BB5">
        <w:rPr>
          <w:lang w:val="it-IT"/>
        </w:rPr>
        <w:t xml:space="preserve">% </w:t>
      </w:r>
      <w:r w:rsidRPr="00227BB5">
        <w:rPr>
          <w:lang w:val="en-US"/>
        </w:rPr>
        <w:t xml:space="preserve">compared to the previous month and </w:t>
      </w:r>
      <w:r>
        <w:rPr>
          <w:lang w:val="en-US"/>
        </w:rPr>
        <w:t>down 0.7</w:t>
      </w:r>
      <w:r w:rsidRPr="00227BB5">
        <w:rPr>
          <w:lang w:val="it-IT"/>
        </w:rPr>
        <w:t xml:space="preserve">% </w:t>
      </w:r>
      <w:r w:rsidRPr="00227BB5">
        <w:rPr>
          <w:lang w:val="en-US"/>
        </w:rPr>
        <w:t>over the same period in 2023</w:t>
      </w:r>
      <w:r w:rsidRPr="00227BB5">
        <w:rPr>
          <w:lang w:val="it-IT"/>
        </w:rPr>
        <w:t xml:space="preserve">; </w:t>
      </w:r>
      <w:r>
        <w:rPr>
          <w:lang w:val="it-IT"/>
        </w:rPr>
        <w:t>7,035</w:t>
      </w:r>
      <w:r w:rsidRPr="00227BB5">
        <w:rPr>
          <w:lang w:val="it-IT"/>
        </w:rPr>
        <w:t xml:space="preserve"> </w:t>
      </w:r>
      <w:r w:rsidRPr="00227BB5">
        <w:rPr>
          <w:lang w:val="en-US"/>
        </w:rPr>
        <w:t xml:space="preserve">enterprises ceased and awaited dissolution procedures, </w:t>
      </w:r>
      <w:r>
        <w:rPr>
          <w:lang w:val="en-US"/>
        </w:rPr>
        <w:t>up</w:t>
      </w:r>
      <w:r w:rsidRPr="00227BB5">
        <w:rPr>
          <w:lang w:val="it-IT"/>
        </w:rPr>
        <w:t xml:space="preserve"> </w:t>
      </w:r>
      <w:r>
        <w:rPr>
          <w:lang w:val="it-IT"/>
        </w:rPr>
        <w:t>30.2</w:t>
      </w:r>
      <w:r w:rsidRPr="00227BB5">
        <w:rPr>
          <w:lang w:val="it-IT"/>
        </w:rPr>
        <w:t xml:space="preserve">% </w:t>
      </w:r>
      <w:r w:rsidRPr="00227BB5">
        <w:rPr>
          <w:lang w:val="en-US"/>
        </w:rPr>
        <w:t xml:space="preserve">and </w:t>
      </w:r>
      <w:r>
        <w:rPr>
          <w:lang w:val="en-US"/>
        </w:rPr>
        <w:t>up 33.8</w:t>
      </w:r>
      <w:r w:rsidRPr="00227BB5">
        <w:rPr>
          <w:lang w:val="it-IT"/>
        </w:rPr>
        <w:t xml:space="preserve">%; </w:t>
      </w:r>
      <w:r>
        <w:rPr>
          <w:lang w:val="it-IT"/>
        </w:rPr>
        <w:t>1,730</w:t>
      </w:r>
      <w:r w:rsidRPr="00227BB5">
        <w:rPr>
          <w:lang w:val="it-IT"/>
        </w:rPr>
        <w:t xml:space="preserve"> </w:t>
      </w:r>
      <w:r w:rsidRPr="00227BB5">
        <w:rPr>
          <w:lang w:val="en-US"/>
        </w:rPr>
        <w:t xml:space="preserve">enterprises completed dissolution procedures, </w:t>
      </w:r>
      <w:r>
        <w:rPr>
          <w:lang w:val="en-US"/>
        </w:rPr>
        <w:t>up</w:t>
      </w:r>
      <w:r w:rsidRPr="00227BB5">
        <w:rPr>
          <w:lang w:val="en-US"/>
        </w:rPr>
        <w:t xml:space="preserve"> </w:t>
      </w:r>
      <w:r>
        <w:rPr>
          <w:lang w:val="en-US"/>
        </w:rPr>
        <w:t>22.4</w:t>
      </w:r>
      <w:r w:rsidRPr="00227BB5">
        <w:rPr>
          <w:lang w:val="it-IT"/>
        </w:rPr>
        <w:t xml:space="preserve">% </w:t>
      </w:r>
      <w:r>
        <w:rPr>
          <w:lang w:val="it-IT"/>
        </w:rPr>
        <w:t>and up 9.4%</w:t>
      </w:r>
      <w:r w:rsidRPr="00227BB5">
        <w:rPr>
          <w:lang w:val="it-IT"/>
        </w:rPr>
        <w:t xml:space="preserve">. </w:t>
      </w:r>
    </w:p>
    <w:p w14:paraId="62D93640" w14:textId="77777777" w:rsidR="005E3B18" w:rsidRDefault="005E3B18" w:rsidP="005E3B18">
      <w:pPr>
        <w:spacing w:before="40" w:after="40" w:line="283" w:lineRule="auto"/>
        <w:ind w:firstLine="567"/>
        <w:jc w:val="both"/>
        <w:rPr>
          <w:lang w:val="it-IT"/>
        </w:rPr>
      </w:pPr>
      <w:r w:rsidRPr="00227BB5">
        <w:rPr>
          <w:lang w:val="en-US"/>
        </w:rPr>
        <w:lastRenderedPageBreak/>
        <w:t xml:space="preserve">In the </w:t>
      </w:r>
      <w:r>
        <w:rPr>
          <w:lang w:val="en-US"/>
        </w:rPr>
        <w:t>seven</w:t>
      </w:r>
      <w:r w:rsidRPr="00227BB5">
        <w:rPr>
          <w:lang w:val="en-US"/>
        </w:rPr>
        <w:t xml:space="preserve"> months of 202</w:t>
      </w:r>
      <w:r>
        <w:rPr>
          <w:lang w:val="en-US"/>
        </w:rPr>
        <w:t>4</w:t>
      </w:r>
      <w:r w:rsidRPr="00227BB5">
        <w:rPr>
          <w:lang w:val="en-US"/>
        </w:rPr>
        <w:t>, the</w:t>
      </w:r>
      <w:r>
        <w:rPr>
          <w:lang w:val="en-US"/>
        </w:rPr>
        <w:t xml:space="preserve"> number of </w:t>
      </w:r>
      <w:r>
        <w:rPr>
          <w:lang w:val="it-IT"/>
        </w:rPr>
        <w:t xml:space="preserve">teamporarily inactive </w:t>
      </w:r>
      <w:r w:rsidRPr="00227BB5">
        <w:rPr>
          <w:lang w:val="en-US"/>
        </w:rPr>
        <w:t>enterprises w</w:t>
      </w:r>
      <w:r>
        <w:rPr>
          <w:lang w:val="en-US"/>
        </w:rPr>
        <w:t>as</w:t>
      </w:r>
      <w:r w:rsidRPr="00227BB5">
        <w:rPr>
          <w:lang w:val="it-IT"/>
        </w:rPr>
        <w:t xml:space="preserve"> </w:t>
      </w:r>
      <w:r>
        <w:rPr>
          <w:lang w:val="it-IT"/>
        </w:rPr>
        <w:t>more than 78</w:t>
      </w:r>
      <w:r w:rsidRPr="00227BB5">
        <w:rPr>
          <w:lang w:val="it-IT"/>
        </w:rPr>
        <w:t xml:space="preserve"> </w:t>
      </w:r>
      <w:r w:rsidRPr="00227BB5">
        <w:rPr>
          <w:lang w:val="en-US"/>
        </w:rPr>
        <w:t>thousand</w:t>
      </w:r>
      <w:r>
        <w:rPr>
          <w:lang w:val="en-US"/>
        </w:rPr>
        <w:t xml:space="preserve"> ones</w:t>
      </w:r>
      <w:r w:rsidRPr="00227BB5">
        <w:rPr>
          <w:lang w:val="en-US"/>
        </w:rPr>
        <w:t xml:space="preserve">, a </w:t>
      </w:r>
      <w:r>
        <w:rPr>
          <w:lang w:val="en-US"/>
        </w:rPr>
        <w:t xml:space="preserve">year-on-year </w:t>
      </w:r>
      <w:r w:rsidRPr="00227BB5">
        <w:rPr>
          <w:lang w:val="en-US"/>
        </w:rPr>
        <w:t xml:space="preserve">increase of </w:t>
      </w:r>
      <w:r>
        <w:rPr>
          <w:lang w:val="it-IT"/>
        </w:rPr>
        <w:t>16.7</w:t>
      </w:r>
      <w:r w:rsidRPr="00227BB5">
        <w:rPr>
          <w:lang w:val="it-IT"/>
        </w:rPr>
        <w:t>%</w:t>
      </w:r>
      <w:r w:rsidRPr="00227BB5">
        <w:rPr>
          <w:lang w:val="en-US"/>
        </w:rPr>
        <w:t xml:space="preserve">; </w:t>
      </w:r>
      <w:r>
        <w:rPr>
          <w:lang w:val="en-US"/>
        </w:rPr>
        <w:t>over 35.5</w:t>
      </w:r>
      <w:r w:rsidRPr="00227BB5">
        <w:rPr>
          <w:lang w:val="it-IT"/>
        </w:rPr>
        <w:t xml:space="preserve"> </w:t>
      </w:r>
      <w:r w:rsidRPr="00227BB5">
        <w:rPr>
          <w:lang w:val="en-US"/>
        </w:rPr>
        <w:t xml:space="preserve">thousand enterprises ceased and awaited dissolution procedures, a </w:t>
      </w:r>
      <w:r>
        <w:rPr>
          <w:lang w:val="en-US"/>
        </w:rPr>
        <w:t>reduction</w:t>
      </w:r>
      <w:r w:rsidRPr="00227BB5">
        <w:rPr>
          <w:lang w:val="en-US"/>
        </w:rPr>
        <w:t xml:space="preserve"> of</w:t>
      </w:r>
      <w:r w:rsidRPr="00227BB5">
        <w:rPr>
          <w:lang w:val="it-IT"/>
        </w:rPr>
        <w:t xml:space="preserve"> </w:t>
      </w:r>
      <w:r>
        <w:rPr>
          <w:lang w:val="it-IT"/>
        </w:rPr>
        <w:t>1.5</w:t>
      </w:r>
      <w:r w:rsidRPr="00227BB5">
        <w:rPr>
          <w:lang w:val="it-IT"/>
        </w:rPr>
        <w:t xml:space="preserve">%; </w:t>
      </w:r>
      <w:r>
        <w:rPr>
          <w:lang w:val="it-IT"/>
        </w:rPr>
        <w:t>11.9</w:t>
      </w:r>
      <w:r w:rsidRPr="00227BB5">
        <w:rPr>
          <w:lang w:val="it-IT"/>
        </w:rPr>
        <w:t xml:space="preserve"> </w:t>
      </w:r>
      <w:r w:rsidRPr="00227BB5">
        <w:rPr>
          <w:lang w:val="en-US"/>
        </w:rPr>
        <w:t xml:space="preserve">thousand enterprises completed dissolution procedures, up </w:t>
      </w:r>
      <w:r>
        <w:rPr>
          <w:lang w:val="it-IT"/>
        </w:rPr>
        <w:t>14.5</w:t>
      </w:r>
      <w:r w:rsidRPr="00227BB5">
        <w:rPr>
          <w:lang w:val="it-IT"/>
        </w:rPr>
        <w:t xml:space="preserve">%. </w:t>
      </w:r>
      <w:r w:rsidRPr="00227BB5">
        <w:rPr>
          <w:lang w:val="en-US"/>
        </w:rPr>
        <w:t xml:space="preserve">On average, </w:t>
      </w:r>
      <w:r>
        <w:rPr>
          <w:lang w:val="it-IT"/>
        </w:rPr>
        <w:t>more than 17.9</w:t>
      </w:r>
      <w:r w:rsidRPr="00227BB5">
        <w:rPr>
          <w:lang w:val="it-IT"/>
        </w:rPr>
        <w:t xml:space="preserve"> </w:t>
      </w:r>
      <w:r w:rsidRPr="00227BB5">
        <w:rPr>
          <w:lang w:val="en-US"/>
        </w:rPr>
        <w:t>thousand enterprises withdraw</w:t>
      </w:r>
      <w:r>
        <w:rPr>
          <w:lang w:val="en-US"/>
        </w:rPr>
        <w:t>ing</w:t>
      </w:r>
      <w:r w:rsidRPr="00227BB5">
        <w:rPr>
          <w:lang w:val="en-US"/>
        </w:rPr>
        <w:t xml:space="preserve"> from the market </w:t>
      </w:r>
      <w:r>
        <w:rPr>
          <w:lang w:val="en-US"/>
        </w:rPr>
        <w:t>per</w:t>
      </w:r>
      <w:r w:rsidRPr="00227BB5">
        <w:rPr>
          <w:lang w:val="en-US"/>
        </w:rPr>
        <w:t xml:space="preserve"> month</w:t>
      </w:r>
      <w:r w:rsidRPr="00227BB5">
        <w:rPr>
          <w:lang w:val="it-IT"/>
        </w:rPr>
        <w:t>.</w:t>
      </w:r>
    </w:p>
    <w:p w14:paraId="42030EF0" w14:textId="77777777" w:rsidR="005E3B18" w:rsidRPr="00227BB5" w:rsidRDefault="005E3B18" w:rsidP="005E3B18">
      <w:pPr>
        <w:tabs>
          <w:tab w:val="left" w:pos="6810"/>
        </w:tabs>
        <w:spacing w:before="40" w:after="40" w:line="278" w:lineRule="auto"/>
        <w:ind w:firstLine="567"/>
        <w:jc w:val="center"/>
        <w:rPr>
          <w:rFonts w:ascii="Arial" w:hAnsi="Arial" w:cs="Arial"/>
          <w:b/>
          <w:sz w:val="24"/>
          <w:szCs w:val="20"/>
          <w:lang w:val="it-IT"/>
        </w:rPr>
      </w:pPr>
      <w:r w:rsidRPr="00227BB5">
        <w:rPr>
          <w:rFonts w:ascii="Arial" w:hAnsi="Arial" w:cs="Arial"/>
          <w:b/>
          <w:sz w:val="24"/>
          <w:szCs w:val="20"/>
          <w:lang w:val="it-IT"/>
        </w:rPr>
        <w:t>Table 3: Number of newl</w:t>
      </w:r>
      <w:r>
        <w:rPr>
          <w:rFonts w:ascii="Arial" w:hAnsi="Arial" w:cs="Arial"/>
          <w:b/>
          <w:sz w:val="24"/>
          <w:szCs w:val="20"/>
          <w:lang w:val="it-IT"/>
        </w:rPr>
        <w:t xml:space="preserve">y registered enterprises and </w:t>
      </w:r>
      <w:r w:rsidRPr="00227BB5">
        <w:rPr>
          <w:rFonts w:ascii="Arial" w:hAnsi="Arial" w:cs="Arial"/>
          <w:b/>
          <w:sz w:val="24"/>
          <w:szCs w:val="20"/>
          <w:lang w:val="it-IT"/>
        </w:rPr>
        <w:t xml:space="preserve">completed dissolution procedures in </w:t>
      </w:r>
      <w:r>
        <w:rPr>
          <w:rFonts w:ascii="Arial" w:hAnsi="Arial" w:cs="Arial"/>
          <w:b/>
          <w:sz w:val="24"/>
          <w:szCs w:val="20"/>
          <w:lang w:val="it-IT"/>
        </w:rPr>
        <w:t xml:space="preserve">the seven </w:t>
      </w:r>
      <w:r w:rsidRPr="00227BB5">
        <w:rPr>
          <w:rFonts w:ascii="Arial" w:hAnsi="Arial" w:cs="Arial"/>
          <w:b/>
          <w:sz w:val="24"/>
          <w:szCs w:val="20"/>
          <w:lang w:val="it-IT"/>
        </w:rPr>
        <w:t>months</w:t>
      </w:r>
      <w:r>
        <w:rPr>
          <w:rFonts w:ascii="Arial" w:hAnsi="Arial" w:cs="Arial"/>
          <w:b/>
          <w:sz w:val="24"/>
          <w:szCs w:val="20"/>
          <w:lang w:val="it-IT"/>
        </w:rPr>
        <w:t xml:space="preserve"> of</w:t>
      </w:r>
      <w:r w:rsidRPr="00227BB5">
        <w:rPr>
          <w:rFonts w:ascii="Arial" w:hAnsi="Arial" w:cs="Arial"/>
          <w:b/>
          <w:sz w:val="24"/>
          <w:szCs w:val="20"/>
          <w:lang w:val="it-IT"/>
        </w:rPr>
        <w:t xml:space="preserve"> 202</w:t>
      </w:r>
      <w:r>
        <w:rPr>
          <w:rFonts w:ascii="Arial" w:hAnsi="Arial" w:cs="Arial"/>
          <w:b/>
          <w:sz w:val="24"/>
          <w:szCs w:val="20"/>
          <w:lang w:val="it-IT"/>
        </w:rPr>
        <w:t>4</w:t>
      </w:r>
      <w:r w:rsidRPr="00227BB5">
        <w:rPr>
          <w:rFonts w:ascii="Arial" w:hAnsi="Arial" w:cs="Arial"/>
          <w:b/>
          <w:sz w:val="24"/>
          <w:szCs w:val="20"/>
          <w:lang w:val="it-IT"/>
        </w:rPr>
        <w:t xml:space="preserve">  by kinds of activity</w:t>
      </w:r>
    </w:p>
    <w:p w14:paraId="0A60F74A" w14:textId="77777777" w:rsidR="005E3B18" w:rsidRPr="00227BB5" w:rsidRDefault="005E3B18" w:rsidP="005E3B18">
      <w:pPr>
        <w:tabs>
          <w:tab w:val="left" w:pos="6810"/>
        </w:tabs>
        <w:spacing w:before="40" w:after="40" w:line="278" w:lineRule="auto"/>
        <w:ind w:firstLine="567"/>
        <w:jc w:val="center"/>
        <w:rPr>
          <w:rFonts w:ascii="Arial" w:hAnsi="Arial" w:cs="Arial"/>
          <w:b/>
          <w:sz w:val="4"/>
          <w:szCs w:val="20"/>
          <w:lang w:val="it-IT"/>
        </w:rPr>
      </w:pPr>
    </w:p>
    <w:tbl>
      <w:tblPr>
        <w:tblW w:w="9322" w:type="dxa"/>
        <w:jc w:val="center"/>
        <w:tblLayout w:type="fixed"/>
        <w:tblLook w:val="04A0" w:firstRow="1" w:lastRow="0" w:firstColumn="1" w:lastColumn="0" w:noHBand="0" w:noVBand="1"/>
      </w:tblPr>
      <w:tblGrid>
        <w:gridCol w:w="3943"/>
        <w:gridCol w:w="1566"/>
        <w:gridCol w:w="1178"/>
        <w:gridCol w:w="1506"/>
        <w:gridCol w:w="1129"/>
      </w:tblGrid>
      <w:tr w:rsidR="005E3B18" w:rsidRPr="00227BB5" w14:paraId="4F2BBCA5" w14:textId="77777777" w:rsidTr="00CA23A3">
        <w:trPr>
          <w:cantSplit/>
          <w:jc w:val="center"/>
        </w:trPr>
        <w:tc>
          <w:tcPr>
            <w:tcW w:w="3943" w:type="dxa"/>
            <w:vMerge w:val="restart"/>
            <w:tcBorders>
              <w:top w:val="single" w:sz="4" w:space="0" w:color="auto"/>
            </w:tcBorders>
            <w:shd w:val="clear" w:color="auto" w:fill="auto"/>
            <w:noWrap/>
            <w:vAlign w:val="bottom"/>
            <w:hideMark/>
          </w:tcPr>
          <w:p w14:paraId="44FB8D27" w14:textId="77777777" w:rsidR="005E3B18" w:rsidRPr="00227BB5" w:rsidRDefault="005E3B18" w:rsidP="00CA23A3">
            <w:pPr>
              <w:jc w:val="center"/>
              <w:rPr>
                <w:rFonts w:ascii="Arial" w:hAnsi="Arial" w:cs="Arial"/>
                <w:sz w:val="20"/>
                <w:szCs w:val="20"/>
                <w:lang w:val="it-IT"/>
              </w:rPr>
            </w:pPr>
            <w:r w:rsidRPr="00227BB5">
              <w:rPr>
                <w:rFonts w:ascii="Arial" w:hAnsi="Arial" w:cs="Arial"/>
                <w:sz w:val="20"/>
                <w:szCs w:val="20"/>
                <w:lang w:val="it-IT"/>
              </w:rPr>
              <w:t> </w:t>
            </w:r>
          </w:p>
        </w:tc>
        <w:tc>
          <w:tcPr>
            <w:tcW w:w="2744" w:type="dxa"/>
            <w:gridSpan w:val="2"/>
            <w:tcBorders>
              <w:top w:val="single" w:sz="4" w:space="0" w:color="auto"/>
              <w:bottom w:val="single" w:sz="4" w:space="0" w:color="auto"/>
            </w:tcBorders>
            <w:shd w:val="clear" w:color="auto" w:fill="auto"/>
            <w:vAlign w:val="center"/>
            <w:hideMark/>
          </w:tcPr>
          <w:p w14:paraId="0162DEA6" w14:textId="77777777" w:rsidR="005E3B18" w:rsidRPr="00227BB5" w:rsidRDefault="005E3B18" w:rsidP="00CA23A3">
            <w:pPr>
              <w:spacing w:before="40" w:after="40"/>
              <w:jc w:val="center"/>
              <w:rPr>
                <w:rFonts w:ascii="Arial" w:hAnsi="Arial" w:cs="Arial"/>
                <w:bCs/>
                <w:sz w:val="18"/>
                <w:szCs w:val="18"/>
                <w:lang w:val="it-IT"/>
              </w:rPr>
            </w:pPr>
            <w:r w:rsidRPr="00227BB5">
              <w:rPr>
                <w:rFonts w:ascii="Arial" w:hAnsi="Arial" w:cs="Arial"/>
                <w:bCs/>
                <w:color w:val="000000"/>
                <w:sz w:val="18"/>
                <w:szCs w:val="18"/>
                <w:lang w:val="en-US"/>
              </w:rPr>
              <w:t>Number of enterprises (Enterprise)</w:t>
            </w:r>
          </w:p>
        </w:tc>
        <w:tc>
          <w:tcPr>
            <w:tcW w:w="2635" w:type="dxa"/>
            <w:gridSpan w:val="2"/>
            <w:tcBorders>
              <w:top w:val="single" w:sz="4" w:space="0" w:color="auto"/>
              <w:bottom w:val="single" w:sz="4" w:space="0" w:color="auto"/>
            </w:tcBorders>
            <w:shd w:val="clear" w:color="auto" w:fill="auto"/>
            <w:vAlign w:val="center"/>
            <w:hideMark/>
          </w:tcPr>
          <w:p w14:paraId="490432BD" w14:textId="77777777" w:rsidR="005E3B18" w:rsidRPr="00227BB5" w:rsidRDefault="005E3B18" w:rsidP="00CA23A3">
            <w:pPr>
              <w:spacing w:before="40" w:after="40"/>
              <w:jc w:val="center"/>
              <w:rPr>
                <w:rFonts w:ascii="Arial" w:hAnsi="Arial" w:cs="Arial"/>
                <w:bCs/>
                <w:color w:val="000000"/>
                <w:sz w:val="18"/>
                <w:szCs w:val="18"/>
              </w:rPr>
            </w:pPr>
            <w:r w:rsidRPr="00227BB5">
              <w:rPr>
                <w:rFonts w:ascii="Arial" w:hAnsi="Arial" w:cs="Arial"/>
                <w:bCs/>
                <w:color w:val="000000"/>
                <w:sz w:val="18"/>
                <w:szCs w:val="18"/>
              </w:rPr>
              <w:t xml:space="preserve">Growth rate </w:t>
            </w:r>
          </w:p>
          <w:p w14:paraId="411B4B7C" w14:textId="77777777" w:rsidR="005E3B18" w:rsidRPr="00227BB5" w:rsidRDefault="005E3B18" w:rsidP="00CA23A3">
            <w:pPr>
              <w:spacing w:before="40" w:after="40"/>
              <w:jc w:val="center"/>
              <w:rPr>
                <w:rFonts w:ascii="Arial" w:hAnsi="Arial" w:cs="Arial"/>
                <w:bCs/>
                <w:sz w:val="18"/>
                <w:szCs w:val="18"/>
                <w:lang w:val="it-IT"/>
              </w:rPr>
            </w:pPr>
            <w:r w:rsidRPr="00227BB5">
              <w:rPr>
                <w:rFonts w:ascii="Arial" w:hAnsi="Arial" w:cs="Arial"/>
                <w:bCs/>
                <w:color w:val="000000"/>
                <w:sz w:val="18"/>
                <w:szCs w:val="18"/>
                <w:lang w:val="en-US"/>
              </w:rPr>
              <w:t>over the same period last year (%)</w:t>
            </w:r>
          </w:p>
        </w:tc>
      </w:tr>
      <w:tr w:rsidR="005E3B18" w:rsidRPr="00227BB5" w14:paraId="6CC9DA6F" w14:textId="77777777" w:rsidTr="00CA23A3">
        <w:trPr>
          <w:cantSplit/>
          <w:jc w:val="center"/>
        </w:trPr>
        <w:tc>
          <w:tcPr>
            <w:tcW w:w="3943" w:type="dxa"/>
            <w:vMerge/>
            <w:vAlign w:val="center"/>
            <w:hideMark/>
          </w:tcPr>
          <w:p w14:paraId="5BF0F5A8" w14:textId="77777777" w:rsidR="005E3B18" w:rsidRPr="00227BB5" w:rsidRDefault="005E3B18" w:rsidP="00CA23A3">
            <w:pPr>
              <w:rPr>
                <w:rFonts w:ascii="Arial" w:hAnsi="Arial" w:cs="Arial"/>
                <w:sz w:val="20"/>
                <w:szCs w:val="20"/>
                <w:lang w:val="it-IT"/>
              </w:rPr>
            </w:pPr>
          </w:p>
        </w:tc>
        <w:tc>
          <w:tcPr>
            <w:tcW w:w="1566" w:type="dxa"/>
            <w:tcBorders>
              <w:top w:val="single" w:sz="4" w:space="0" w:color="auto"/>
              <w:bottom w:val="single" w:sz="4" w:space="0" w:color="auto"/>
            </w:tcBorders>
            <w:shd w:val="clear" w:color="auto" w:fill="auto"/>
            <w:vAlign w:val="center"/>
            <w:hideMark/>
          </w:tcPr>
          <w:p w14:paraId="460D2791" w14:textId="77777777" w:rsidR="005E3B18" w:rsidRPr="00227BB5" w:rsidRDefault="005E3B18" w:rsidP="00CA23A3">
            <w:pPr>
              <w:spacing w:before="60" w:after="60"/>
              <w:jc w:val="center"/>
              <w:rPr>
                <w:rFonts w:ascii="Arial" w:hAnsi="Arial" w:cs="Arial"/>
                <w:bCs/>
                <w:sz w:val="18"/>
                <w:szCs w:val="18"/>
              </w:rPr>
            </w:pPr>
            <w:r w:rsidRPr="00227BB5">
              <w:rPr>
                <w:rFonts w:ascii="Arial" w:hAnsi="Arial" w:cs="Arial"/>
                <w:bCs/>
                <w:color w:val="000000"/>
                <w:sz w:val="18"/>
                <w:szCs w:val="18"/>
                <w:lang w:val="en-US"/>
              </w:rPr>
              <w:t>Newly registered</w:t>
            </w:r>
          </w:p>
        </w:tc>
        <w:tc>
          <w:tcPr>
            <w:tcW w:w="1178" w:type="dxa"/>
            <w:tcBorders>
              <w:top w:val="single" w:sz="4" w:space="0" w:color="auto"/>
              <w:bottom w:val="single" w:sz="4" w:space="0" w:color="auto"/>
            </w:tcBorders>
            <w:shd w:val="clear" w:color="auto" w:fill="auto"/>
            <w:vAlign w:val="center"/>
            <w:hideMark/>
          </w:tcPr>
          <w:p w14:paraId="01B3B0FC" w14:textId="77777777" w:rsidR="005E3B18" w:rsidRPr="00227BB5" w:rsidRDefault="005E3B18" w:rsidP="00CA23A3">
            <w:pPr>
              <w:spacing w:before="60" w:after="60"/>
              <w:jc w:val="center"/>
              <w:rPr>
                <w:rFonts w:ascii="Arial" w:hAnsi="Arial" w:cs="Arial"/>
                <w:bCs/>
                <w:color w:val="000000"/>
                <w:sz w:val="18"/>
                <w:szCs w:val="18"/>
                <w:lang w:val="en-US"/>
              </w:rPr>
            </w:pPr>
          </w:p>
          <w:p w14:paraId="659955B6" w14:textId="77777777" w:rsidR="005E3B18" w:rsidRPr="00227BB5" w:rsidRDefault="005E3B18" w:rsidP="00CA23A3">
            <w:pPr>
              <w:spacing w:before="60" w:after="60"/>
              <w:jc w:val="center"/>
              <w:rPr>
                <w:rFonts w:ascii="Arial" w:hAnsi="Arial" w:cs="Arial"/>
                <w:bCs/>
                <w:color w:val="000000"/>
                <w:sz w:val="18"/>
                <w:szCs w:val="18"/>
                <w:lang w:val="en-US"/>
              </w:rPr>
            </w:pPr>
            <w:r w:rsidRPr="00227BB5">
              <w:rPr>
                <w:rFonts w:ascii="Arial" w:hAnsi="Arial" w:cs="Arial"/>
                <w:bCs/>
                <w:color w:val="000000"/>
                <w:sz w:val="18"/>
                <w:szCs w:val="18"/>
                <w:lang w:val="en-US"/>
              </w:rPr>
              <w:t>Dissolution</w:t>
            </w:r>
          </w:p>
          <w:p w14:paraId="467A20BA" w14:textId="77777777" w:rsidR="005E3B18" w:rsidRPr="00227BB5" w:rsidRDefault="005E3B18" w:rsidP="00CA23A3">
            <w:pPr>
              <w:spacing w:before="60" w:after="60"/>
              <w:jc w:val="center"/>
              <w:rPr>
                <w:rFonts w:ascii="Arial" w:hAnsi="Arial" w:cs="Arial"/>
                <w:bCs/>
                <w:sz w:val="18"/>
                <w:szCs w:val="18"/>
              </w:rPr>
            </w:pPr>
          </w:p>
        </w:tc>
        <w:tc>
          <w:tcPr>
            <w:tcW w:w="1506" w:type="dxa"/>
            <w:tcBorders>
              <w:top w:val="single" w:sz="4" w:space="0" w:color="auto"/>
              <w:bottom w:val="single" w:sz="4" w:space="0" w:color="auto"/>
            </w:tcBorders>
            <w:shd w:val="clear" w:color="auto" w:fill="auto"/>
            <w:vAlign w:val="center"/>
            <w:hideMark/>
          </w:tcPr>
          <w:p w14:paraId="564668D8" w14:textId="77777777" w:rsidR="005E3B18" w:rsidRPr="00227BB5" w:rsidRDefault="005E3B18" w:rsidP="00CA23A3">
            <w:pPr>
              <w:spacing w:before="60" w:after="60"/>
              <w:jc w:val="center"/>
              <w:rPr>
                <w:rFonts w:ascii="Arial" w:hAnsi="Arial" w:cs="Arial"/>
                <w:bCs/>
                <w:sz w:val="18"/>
                <w:szCs w:val="18"/>
              </w:rPr>
            </w:pPr>
            <w:r w:rsidRPr="00227BB5">
              <w:rPr>
                <w:rFonts w:ascii="Arial" w:hAnsi="Arial" w:cs="Arial"/>
                <w:bCs/>
                <w:color w:val="000000"/>
                <w:sz w:val="18"/>
                <w:szCs w:val="18"/>
                <w:lang w:val="en-US"/>
              </w:rPr>
              <w:t>Newly registered</w:t>
            </w:r>
          </w:p>
        </w:tc>
        <w:tc>
          <w:tcPr>
            <w:tcW w:w="1129" w:type="dxa"/>
            <w:tcBorders>
              <w:top w:val="single" w:sz="4" w:space="0" w:color="auto"/>
              <w:bottom w:val="single" w:sz="4" w:space="0" w:color="auto"/>
            </w:tcBorders>
            <w:shd w:val="clear" w:color="auto" w:fill="auto"/>
            <w:vAlign w:val="center"/>
            <w:hideMark/>
          </w:tcPr>
          <w:p w14:paraId="6631082C" w14:textId="77777777" w:rsidR="005E3B18" w:rsidRPr="00227BB5" w:rsidRDefault="005E3B18" w:rsidP="00CA23A3">
            <w:pPr>
              <w:spacing w:before="60" w:after="60"/>
              <w:jc w:val="center"/>
              <w:rPr>
                <w:rFonts w:ascii="Arial" w:hAnsi="Arial" w:cs="Arial"/>
                <w:bCs/>
                <w:color w:val="000000"/>
                <w:sz w:val="18"/>
                <w:szCs w:val="18"/>
                <w:lang w:val="en-US"/>
              </w:rPr>
            </w:pPr>
          </w:p>
          <w:p w14:paraId="02137ACC" w14:textId="77777777" w:rsidR="005E3B18" w:rsidRPr="00227BB5" w:rsidRDefault="005E3B18" w:rsidP="00CA23A3">
            <w:pPr>
              <w:spacing w:before="60" w:after="60"/>
              <w:jc w:val="center"/>
              <w:rPr>
                <w:rFonts w:ascii="Arial" w:hAnsi="Arial" w:cs="Arial"/>
                <w:bCs/>
                <w:color w:val="000000"/>
                <w:sz w:val="18"/>
                <w:szCs w:val="18"/>
                <w:lang w:val="en-US"/>
              </w:rPr>
            </w:pPr>
            <w:r w:rsidRPr="00227BB5">
              <w:rPr>
                <w:rFonts w:ascii="Arial" w:hAnsi="Arial" w:cs="Arial"/>
                <w:bCs/>
                <w:color w:val="000000"/>
                <w:sz w:val="18"/>
                <w:szCs w:val="18"/>
                <w:lang w:val="en-US"/>
              </w:rPr>
              <w:t>Dissolution</w:t>
            </w:r>
          </w:p>
          <w:p w14:paraId="405A8C6C" w14:textId="77777777" w:rsidR="005E3B18" w:rsidRPr="00227BB5" w:rsidRDefault="005E3B18" w:rsidP="00CA23A3">
            <w:pPr>
              <w:spacing w:before="60" w:after="60"/>
              <w:jc w:val="center"/>
              <w:rPr>
                <w:rFonts w:ascii="Arial" w:hAnsi="Arial" w:cs="Arial"/>
                <w:bCs/>
                <w:sz w:val="18"/>
                <w:szCs w:val="18"/>
              </w:rPr>
            </w:pPr>
          </w:p>
        </w:tc>
      </w:tr>
      <w:tr w:rsidR="005E3B18" w:rsidRPr="00227BB5" w14:paraId="6CD62898" w14:textId="77777777" w:rsidTr="00CA23A3">
        <w:trPr>
          <w:cantSplit/>
          <w:jc w:val="center"/>
        </w:trPr>
        <w:tc>
          <w:tcPr>
            <w:tcW w:w="3943" w:type="dxa"/>
            <w:shd w:val="clear" w:color="auto" w:fill="auto"/>
            <w:noWrap/>
            <w:vAlign w:val="bottom"/>
            <w:hideMark/>
          </w:tcPr>
          <w:p w14:paraId="16CDC4F2"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Wholesale and retail trade; repair of motor vehicles and motorcycles</w:t>
            </w:r>
          </w:p>
        </w:tc>
        <w:tc>
          <w:tcPr>
            <w:tcW w:w="1566" w:type="dxa"/>
            <w:tcBorders>
              <w:top w:val="single" w:sz="4" w:space="0" w:color="auto"/>
            </w:tcBorders>
            <w:shd w:val="clear" w:color="auto" w:fill="auto"/>
            <w:noWrap/>
            <w:vAlign w:val="bottom"/>
          </w:tcPr>
          <w:p w14:paraId="6F092BB0"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38</w:t>
            </w:r>
            <w:r>
              <w:rPr>
                <w:rFonts w:ascii="Arial" w:hAnsi="Arial" w:cs="Arial"/>
                <w:sz w:val="20"/>
                <w:szCs w:val="20"/>
              </w:rPr>
              <w:t>,</w:t>
            </w:r>
            <w:r w:rsidRPr="00FC383C">
              <w:rPr>
                <w:rFonts w:ascii="Arial" w:hAnsi="Arial" w:cs="Arial"/>
                <w:sz w:val="20"/>
                <w:szCs w:val="20"/>
              </w:rPr>
              <w:t>829</w:t>
            </w:r>
          </w:p>
        </w:tc>
        <w:tc>
          <w:tcPr>
            <w:tcW w:w="1178" w:type="dxa"/>
            <w:tcBorders>
              <w:top w:val="single" w:sz="4" w:space="0" w:color="auto"/>
            </w:tcBorders>
            <w:shd w:val="clear" w:color="auto" w:fill="auto"/>
            <w:noWrap/>
            <w:vAlign w:val="bottom"/>
          </w:tcPr>
          <w:p w14:paraId="4DDDEC7B"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4</w:t>
            </w:r>
            <w:r>
              <w:rPr>
                <w:rFonts w:ascii="Arial" w:hAnsi="Arial" w:cs="Arial"/>
                <w:sz w:val="20"/>
                <w:szCs w:val="20"/>
              </w:rPr>
              <w:t>,</w:t>
            </w:r>
            <w:r w:rsidRPr="00FC383C">
              <w:rPr>
                <w:rFonts w:ascii="Arial" w:hAnsi="Arial" w:cs="Arial"/>
                <w:sz w:val="20"/>
                <w:szCs w:val="20"/>
              </w:rPr>
              <w:t>896</w:t>
            </w:r>
          </w:p>
        </w:tc>
        <w:tc>
          <w:tcPr>
            <w:tcW w:w="1506" w:type="dxa"/>
            <w:tcBorders>
              <w:top w:val="single" w:sz="4" w:space="0" w:color="auto"/>
            </w:tcBorders>
            <w:shd w:val="clear" w:color="auto" w:fill="auto"/>
            <w:noWrap/>
            <w:vAlign w:val="bottom"/>
          </w:tcPr>
          <w:p w14:paraId="55C61A1A"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14</w:t>
            </w:r>
            <w:r>
              <w:rPr>
                <w:rFonts w:ascii="Arial" w:hAnsi="Arial" w:cs="Arial"/>
                <w:sz w:val="20"/>
                <w:szCs w:val="20"/>
              </w:rPr>
              <w:t>.</w:t>
            </w:r>
            <w:r w:rsidRPr="00FC383C">
              <w:rPr>
                <w:rFonts w:ascii="Arial" w:hAnsi="Arial" w:cs="Arial"/>
                <w:sz w:val="20"/>
                <w:szCs w:val="20"/>
              </w:rPr>
              <w:t>0</w:t>
            </w:r>
          </w:p>
        </w:tc>
        <w:tc>
          <w:tcPr>
            <w:tcW w:w="1129" w:type="dxa"/>
            <w:tcBorders>
              <w:top w:val="single" w:sz="4" w:space="0" w:color="auto"/>
            </w:tcBorders>
            <w:shd w:val="clear" w:color="auto" w:fill="auto"/>
            <w:noWrap/>
            <w:vAlign w:val="bottom"/>
          </w:tcPr>
          <w:p w14:paraId="2BE4351B"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32</w:t>
            </w:r>
            <w:r>
              <w:rPr>
                <w:rFonts w:ascii="Arial" w:hAnsi="Arial" w:cs="Arial"/>
                <w:sz w:val="20"/>
                <w:szCs w:val="20"/>
              </w:rPr>
              <w:t>.</w:t>
            </w:r>
            <w:r w:rsidRPr="00FC383C">
              <w:rPr>
                <w:rFonts w:ascii="Arial" w:hAnsi="Arial" w:cs="Arial"/>
                <w:sz w:val="20"/>
                <w:szCs w:val="20"/>
              </w:rPr>
              <w:t>3</w:t>
            </w:r>
          </w:p>
        </w:tc>
      </w:tr>
      <w:tr w:rsidR="005E3B18" w:rsidRPr="00227BB5" w14:paraId="2BC982AD" w14:textId="77777777" w:rsidTr="00CA23A3">
        <w:trPr>
          <w:cantSplit/>
          <w:jc w:val="center"/>
        </w:trPr>
        <w:tc>
          <w:tcPr>
            <w:tcW w:w="3943" w:type="dxa"/>
            <w:shd w:val="clear" w:color="auto" w:fill="auto"/>
            <w:noWrap/>
            <w:vAlign w:val="bottom"/>
            <w:hideMark/>
          </w:tcPr>
          <w:p w14:paraId="6EE03C9D"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Manufacturing</w:t>
            </w:r>
          </w:p>
        </w:tc>
        <w:tc>
          <w:tcPr>
            <w:tcW w:w="1566" w:type="dxa"/>
            <w:shd w:val="clear" w:color="auto" w:fill="auto"/>
            <w:noWrap/>
            <w:vAlign w:val="bottom"/>
          </w:tcPr>
          <w:p w14:paraId="2B82345E"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11</w:t>
            </w:r>
            <w:r>
              <w:rPr>
                <w:rFonts w:ascii="Arial" w:hAnsi="Arial" w:cs="Arial"/>
                <w:sz w:val="20"/>
                <w:szCs w:val="20"/>
              </w:rPr>
              <w:t>,</w:t>
            </w:r>
            <w:r w:rsidRPr="00FC383C">
              <w:rPr>
                <w:rFonts w:ascii="Arial" w:hAnsi="Arial" w:cs="Arial"/>
                <w:sz w:val="20"/>
                <w:szCs w:val="20"/>
              </w:rPr>
              <w:t>595</w:t>
            </w:r>
          </w:p>
        </w:tc>
        <w:tc>
          <w:tcPr>
            <w:tcW w:w="1178" w:type="dxa"/>
            <w:shd w:val="clear" w:color="auto" w:fill="auto"/>
            <w:noWrap/>
            <w:vAlign w:val="bottom"/>
          </w:tcPr>
          <w:p w14:paraId="3D1FD231"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1</w:t>
            </w:r>
            <w:r>
              <w:rPr>
                <w:rFonts w:ascii="Arial" w:hAnsi="Arial" w:cs="Arial"/>
                <w:sz w:val="20"/>
                <w:szCs w:val="20"/>
              </w:rPr>
              <w:t>,</w:t>
            </w:r>
            <w:r w:rsidRPr="00FC383C">
              <w:rPr>
                <w:rFonts w:ascii="Arial" w:hAnsi="Arial" w:cs="Arial"/>
                <w:sz w:val="20"/>
                <w:szCs w:val="20"/>
              </w:rPr>
              <w:t>269</w:t>
            </w:r>
          </w:p>
        </w:tc>
        <w:tc>
          <w:tcPr>
            <w:tcW w:w="1506" w:type="dxa"/>
            <w:shd w:val="clear" w:color="auto" w:fill="auto"/>
            <w:noWrap/>
            <w:vAlign w:val="bottom"/>
          </w:tcPr>
          <w:p w14:paraId="08CF65B1"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8</w:t>
            </w:r>
            <w:r>
              <w:rPr>
                <w:rFonts w:ascii="Arial" w:hAnsi="Arial" w:cs="Arial"/>
                <w:sz w:val="20"/>
                <w:szCs w:val="20"/>
              </w:rPr>
              <w:t>.</w:t>
            </w:r>
            <w:r w:rsidRPr="00FC383C">
              <w:rPr>
                <w:rFonts w:ascii="Arial" w:hAnsi="Arial" w:cs="Arial"/>
                <w:sz w:val="20"/>
                <w:szCs w:val="20"/>
              </w:rPr>
              <w:t>5</w:t>
            </w:r>
          </w:p>
        </w:tc>
        <w:tc>
          <w:tcPr>
            <w:tcW w:w="1129" w:type="dxa"/>
            <w:shd w:val="clear" w:color="auto" w:fill="auto"/>
            <w:noWrap/>
            <w:vAlign w:val="bottom"/>
          </w:tcPr>
          <w:p w14:paraId="177CDA25"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7</w:t>
            </w:r>
            <w:r>
              <w:rPr>
                <w:rFonts w:ascii="Arial" w:hAnsi="Arial" w:cs="Arial"/>
                <w:sz w:val="20"/>
                <w:szCs w:val="20"/>
              </w:rPr>
              <w:t>.</w:t>
            </w:r>
            <w:r w:rsidRPr="00FC383C">
              <w:rPr>
                <w:rFonts w:ascii="Arial" w:hAnsi="Arial" w:cs="Arial"/>
                <w:sz w:val="20"/>
                <w:szCs w:val="20"/>
              </w:rPr>
              <w:t>4</w:t>
            </w:r>
          </w:p>
        </w:tc>
      </w:tr>
      <w:tr w:rsidR="005E3B18" w:rsidRPr="00227BB5" w14:paraId="05238436" w14:textId="77777777" w:rsidTr="00CA23A3">
        <w:trPr>
          <w:cantSplit/>
          <w:jc w:val="center"/>
        </w:trPr>
        <w:tc>
          <w:tcPr>
            <w:tcW w:w="3943" w:type="dxa"/>
            <w:shd w:val="clear" w:color="auto" w:fill="auto"/>
            <w:noWrap/>
            <w:vAlign w:val="bottom"/>
            <w:hideMark/>
          </w:tcPr>
          <w:p w14:paraId="6CA6FA64"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Construction</w:t>
            </w:r>
          </w:p>
        </w:tc>
        <w:tc>
          <w:tcPr>
            <w:tcW w:w="1566" w:type="dxa"/>
            <w:shd w:val="clear" w:color="auto" w:fill="auto"/>
            <w:noWrap/>
            <w:vAlign w:val="bottom"/>
          </w:tcPr>
          <w:p w14:paraId="5CE0BC79"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9</w:t>
            </w:r>
            <w:r>
              <w:rPr>
                <w:rFonts w:ascii="Arial" w:hAnsi="Arial" w:cs="Arial"/>
                <w:sz w:val="20"/>
                <w:szCs w:val="20"/>
              </w:rPr>
              <w:t>,</w:t>
            </w:r>
            <w:r w:rsidRPr="00FC383C">
              <w:rPr>
                <w:rFonts w:ascii="Arial" w:hAnsi="Arial" w:cs="Arial"/>
                <w:sz w:val="20"/>
                <w:szCs w:val="20"/>
              </w:rPr>
              <w:t>694</w:t>
            </w:r>
          </w:p>
        </w:tc>
        <w:tc>
          <w:tcPr>
            <w:tcW w:w="1178" w:type="dxa"/>
            <w:shd w:val="clear" w:color="auto" w:fill="auto"/>
            <w:noWrap/>
            <w:vAlign w:val="bottom"/>
          </w:tcPr>
          <w:p w14:paraId="34AB4866"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838</w:t>
            </w:r>
          </w:p>
        </w:tc>
        <w:tc>
          <w:tcPr>
            <w:tcW w:w="1506" w:type="dxa"/>
            <w:shd w:val="clear" w:color="auto" w:fill="auto"/>
            <w:noWrap/>
            <w:vAlign w:val="bottom"/>
          </w:tcPr>
          <w:p w14:paraId="2A052DC0"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1</w:t>
            </w:r>
            <w:r>
              <w:rPr>
                <w:rFonts w:ascii="Arial" w:hAnsi="Arial" w:cs="Arial"/>
                <w:sz w:val="20"/>
                <w:szCs w:val="20"/>
              </w:rPr>
              <w:t>.</w:t>
            </w:r>
            <w:r w:rsidRPr="00FC383C">
              <w:rPr>
                <w:rFonts w:ascii="Arial" w:hAnsi="Arial" w:cs="Arial"/>
                <w:sz w:val="20"/>
                <w:szCs w:val="20"/>
              </w:rPr>
              <w:t>1</w:t>
            </w:r>
          </w:p>
        </w:tc>
        <w:tc>
          <w:tcPr>
            <w:tcW w:w="1129" w:type="dxa"/>
            <w:shd w:val="clear" w:color="auto" w:fill="auto"/>
            <w:noWrap/>
            <w:vAlign w:val="bottom"/>
          </w:tcPr>
          <w:p w14:paraId="23B8D72C"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2</w:t>
            </w:r>
            <w:r>
              <w:rPr>
                <w:rFonts w:ascii="Arial" w:hAnsi="Arial" w:cs="Arial"/>
                <w:sz w:val="20"/>
                <w:szCs w:val="20"/>
              </w:rPr>
              <w:t>.</w:t>
            </w:r>
            <w:r w:rsidRPr="00FC383C">
              <w:rPr>
                <w:rFonts w:ascii="Arial" w:hAnsi="Arial" w:cs="Arial"/>
                <w:sz w:val="20"/>
                <w:szCs w:val="20"/>
              </w:rPr>
              <w:t>1</w:t>
            </w:r>
          </w:p>
        </w:tc>
      </w:tr>
      <w:tr w:rsidR="005E3B18" w:rsidRPr="00227BB5" w14:paraId="1203E72B" w14:textId="77777777" w:rsidTr="00CA23A3">
        <w:trPr>
          <w:cantSplit/>
          <w:jc w:val="center"/>
        </w:trPr>
        <w:tc>
          <w:tcPr>
            <w:tcW w:w="3943" w:type="dxa"/>
            <w:shd w:val="clear" w:color="auto" w:fill="auto"/>
            <w:noWrap/>
            <w:vAlign w:val="bottom"/>
            <w:hideMark/>
          </w:tcPr>
          <w:p w14:paraId="3E93BB32"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Real estate business</w:t>
            </w:r>
          </w:p>
        </w:tc>
        <w:tc>
          <w:tcPr>
            <w:tcW w:w="1566" w:type="dxa"/>
            <w:shd w:val="clear" w:color="auto" w:fill="auto"/>
            <w:noWrap/>
            <w:vAlign w:val="bottom"/>
          </w:tcPr>
          <w:p w14:paraId="4481541E"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2</w:t>
            </w:r>
            <w:r>
              <w:rPr>
                <w:rFonts w:ascii="Arial" w:hAnsi="Arial" w:cs="Arial"/>
                <w:sz w:val="20"/>
                <w:szCs w:val="20"/>
              </w:rPr>
              <w:t>,</w:t>
            </w:r>
            <w:r w:rsidRPr="00FC383C">
              <w:rPr>
                <w:rFonts w:ascii="Arial" w:hAnsi="Arial" w:cs="Arial"/>
                <w:sz w:val="20"/>
                <w:szCs w:val="20"/>
              </w:rPr>
              <w:t>687</w:t>
            </w:r>
          </w:p>
        </w:tc>
        <w:tc>
          <w:tcPr>
            <w:tcW w:w="1178" w:type="dxa"/>
            <w:shd w:val="clear" w:color="auto" w:fill="auto"/>
            <w:noWrap/>
            <w:vAlign w:val="bottom"/>
          </w:tcPr>
          <w:p w14:paraId="3084CC68"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693</w:t>
            </w:r>
          </w:p>
        </w:tc>
        <w:tc>
          <w:tcPr>
            <w:tcW w:w="1506" w:type="dxa"/>
            <w:shd w:val="clear" w:color="auto" w:fill="auto"/>
            <w:noWrap/>
            <w:vAlign w:val="bottom"/>
          </w:tcPr>
          <w:p w14:paraId="71A26C86"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2</w:t>
            </w:r>
            <w:r>
              <w:rPr>
                <w:rFonts w:ascii="Arial" w:hAnsi="Arial" w:cs="Arial"/>
                <w:sz w:val="20"/>
                <w:szCs w:val="20"/>
              </w:rPr>
              <w:t>.</w:t>
            </w:r>
            <w:r w:rsidRPr="00FC383C">
              <w:rPr>
                <w:rFonts w:ascii="Arial" w:hAnsi="Arial" w:cs="Arial"/>
                <w:sz w:val="20"/>
                <w:szCs w:val="20"/>
              </w:rPr>
              <w:t>5</w:t>
            </w:r>
          </w:p>
        </w:tc>
        <w:tc>
          <w:tcPr>
            <w:tcW w:w="1129" w:type="dxa"/>
            <w:shd w:val="clear" w:color="auto" w:fill="auto"/>
            <w:noWrap/>
            <w:vAlign w:val="bottom"/>
          </w:tcPr>
          <w:p w14:paraId="7F2A3A1A"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-8</w:t>
            </w:r>
            <w:r>
              <w:rPr>
                <w:rFonts w:ascii="Arial" w:hAnsi="Arial" w:cs="Arial"/>
                <w:sz w:val="20"/>
                <w:szCs w:val="20"/>
              </w:rPr>
              <w:t>.</w:t>
            </w:r>
            <w:r w:rsidRPr="00FC383C">
              <w:rPr>
                <w:rFonts w:ascii="Arial" w:hAnsi="Arial" w:cs="Arial"/>
                <w:sz w:val="20"/>
                <w:szCs w:val="20"/>
              </w:rPr>
              <w:t>3</w:t>
            </w:r>
          </w:p>
        </w:tc>
      </w:tr>
      <w:tr w:rsidR="005E3B18" w:rsidRPr="00227BB5" w14:paraId="1B3C3863" w14:textId="77777777" w:rsidTr="00CA23A3">
        <w:trPr>
          <w:cantSplit/>
          <w:jc w:val="center"/>
        </w:trPr>
        <w:tc>
          <w:tcPr>
            <w:tcW w:w="3943" w:type="dxa"/>
            <w:shd w:val="clear" w:color="auto" w:fill="auto"/>
            <w:noWrap/>
            <w:vAlign w:val="bottom"/>
            <w:hideMark/>
          </w:tcPr>
          <w:p w14:paraId="3AC80981"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Transportation and storage</w:t>
            </w:r>
          </w:p>
        </w:tc>
        <w:tc>
          <w:tcPr>
            <w:tcW w:w="1566" w:type="dxa"/>
            <w:shd w:val="clear" w:color="auto" w:fill="auto"/>
            <w:noWrap/>
            <w:vAlign w:val="bottom"/>
          </w:tcPr>
          <w:p w14:paraId="27216C23"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5</w:t>
            </w:r>
            <w:r>
              <w:rPr>
                <w:rFonts w:ascii="Arial" w:hAnsi="Arial" w:cs="Arial"/>
                <w:sz w:val="20"/>
                <w:szCs w:val="20"/>
              </w:rPr>
              <w:t>,</w:t>
            </w:r>
            <w:r w:rsidRPr="00FC383C">
              <w:rPr>
                <w:rFonts w:ascii="Arial" w:hAnsi="Arial" w:cs="Arial"/>
                <w:sz w:val="20"/>
                <w:szCs w:val="20"/>
              </w:rPr>
              <w:t>076</w:t>
            </w:r>
          </w:p>
        </w:tc>
        <w:tc>
          <w:tcPr>
            <w:tcW w:w="1178" w:type="dxa"/>
            <w:shd w:val="clear" w:color="auto" w:fill="auto"/>
            <w:noWrap/>
            <w:vAlign w:val="bottom"/>
          </w:tcPr>
          <w:p w14:paraId="483E3F20"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451</w:t>
            </w:r>
          </w:p>
        </w:tc>
        <w:tc>
          <w:tcPr>
            <w:tcW w:w="1506" w:type="dxa"/>
            <w:shd w:val="clear" w:color="auto" w:fill="auto"/>
            <w:noWrap/>
            <w:vAlign w:val="bottom"/>
          </w:tcPr>
          <w:p w14:paraId="1708823F"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20</w:t>
            </w:r>
            <w:r>
              <w:rPr>
                <w:rFonts w:ascii="Arial" w:hAnsi="Arial" w:cs="Arial"/>
                <w:sz w:val="20"/>
                <w:szCs w:val="20"/>
              </w:rPr>
              <w:t>.</w:t>
            </w:r>
            <w:r w:rsidRPr="00FC383C">
              <w:rPr>
                <w:rFonts w:ascii="Arial" w:hAnsi="Arial" w:cs="Arial"/>
                <w:sz w:val="20"/>
                <w:szCs w:val="20"/>
              </w:rPr>
              <w:t>4</w:t>
            </w:r>
          </w:p>
        </w:tc>
        <w:tc>
          <w:tcPr>
            <w:tcW w:w="1129" w:type="dxa"/>
            <w:shd w:val="clear" w:color="auto" w:fill="auto"/>
            <w:noWrap/>
            <w:vAlign w:val="bottom"/>
          </w:tcPr>
          <w:p w14:paraId="3C7979A3"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8</w:t>
            </w:r>
            <w:r>
              <w:rPr>
                <w:rFonts w:ascii="Arial" w:hAnsi="Arial" w:cs="Arial"/>
                <w:sz w:val="20"/>
                <w:szCs w:val="20"/>
              </w:rPr>
              <w:t>.</w:t>
            </w:r>
            <w:r w:rsidRPr="00FC383C">
              <w:rPr>
                <w:rFonts w:ascii="Arial" w:hAnsi="Arial" w:cs="Arial"/>
                <w:sz w:val="20"/>
                <w:szCs w:val="20"/>
              </w:rPr>
              <w:t>4</w:t>
            </w:r>
          </w:p>
        </w:tc>
      </w:tr>
      <w:tr w:rsidR="005E3B18" w:rsidRPr="00227BB5" w14:paraId="11D33DCA" w14:textId="77777777" w:rsidTr="00CA23A3">
        <w:trPr>
          <w:cantSplit/>
          <w:jc w:val="center"/>
        </w:trPr>
        <w:tc>
          <w:tcPr>
            <w:tcW w:w="3943" w:type="dxa"/>
            <w:shd w:val="clear" w:color="auto" w:fill="auto"/>
            <w:noWrap/>
            <w:vAlign w:val="bottom"/>
            <w:hideMark/>
          </w:tcPr>
          <w:p w14:paraId="704BDD18"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Accommodation and catering service</w:t>
            </w:r>
          </w:p>
        </w:tc>
        <w:tc>
          <w:tcPr>
            <w:tcW w:w="1566" w:type="dxa"/>
            <w:shd w:val="clear" w:color="auto" w:fill="auto"/>
            <w:noWrap/>
            <w:vAlign w:val="bottom"/>
          </w:tcPr>
          <w:p w14:paraId="296DC53A"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3</w:t>
            </w:r>
            <w:r>
              <w:rPr>
                <w:rFonts w:ascii="Arial" w:hAnsi="Arial" w:cs="Arial"/>
                <w:sz w:val="20"/>
                <w:szCs w:val="20"/>
              </w:rPr>
              <w:t>,</w:t>
            </w:r>
            <w:r w:rsidRPr="00FC383C">
              <w:rPr>
                <w:rFonts w:ascii="Arial" w:hAnsi="Arial" w:cs="Arial"/>
                <w:sz w:val="20"/>
                <w:szCs w:val="20"/>
              </w:rPr>
              <w:t>537</w:t>
            </w:r>
          </w:p>
        </w:tc>
        <w:tc>
          <w:tcPr>
            <w:tcW w:w="1178" w:type="dxa"/>
            <w:shd w:val="clear" w:color="auto" w:fill="auto"/>
            <w:noWrap/>
            <w:vAlign w:val="bottom"/>
          </w:tcPr>
          <w:p w14:paraId="7333FDEF"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518</w:t>
            </w:r>
          </w:p>
        </w:tc>
        <w:tc>
          <w:tcPr>
            <w:tcW w:w="1506" w:type="dxa"/>
            <w:shd w:val="clear" w:color="auto" w:fill="auto"/>
            <w:noWrap/>
            <w:vAlign w:val="bottom"/>
          </w:tcPr>
          <w:p w14:paraId="2CA1BF0C"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-10</w:t>
            </w:r>
            <w:r>
              <w:rPr>
                <w:rFonts w:ascii="Arial" w:hAnsi="Arial" w:cs="Arial"/>
                <w:sz w:val="20"/>
                <w:szCs w:val="20"/>
              </w:rPr>
              <w:t>.</w:t>
            </w:r>
            <w:r w:rsidRPr="00FC383C">
              <w:rPr>
                <w:rFonts w:ascii="Arial" w:hAnsi="Arial" w:cs="Arial"/>
                <w:sz w:val="20"/>
                <w:szCs w:val="20"/>
              </w:rPr>
              <w:t>7</w:t>
            </w:r>
          </w:p>
        </w:tc>
        <w:tc>
          <w:tcPr>
            <w:tcW w:w="1129" w:type="dxa"/>
            <w:shd w:val="clear" w:color="auto" w:fill="auto"/>
            <w:noWrap/>
            <w:vAlign w:val="bottom"/>
          </w:tcPr>
          <w:p w14:paraId="542B07B3"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-7</w:t>
            </w:r>
            <w:r>
              <w:rPr>
                <w:rFonts w:ascii="Arial" w:hAnsi="Arial" w:cs="Arial"/>
                <w:sz w:val="20"/>
                <w:szCs w:val="20"/>
              </w:rPr>
              <w:t>.</w:t>
            </w:r>
            <w:r w:rsidRPr="00FC383C">
              <w:rPr>
                <w:rFonts w:ascii="Arial" w:hAnsi="Arial" w:cs="Arial"/>
                <w:sz w:val="20"/>
                <w:szCs w:val="20"/>
              </w:rPr>
              <w:t>2</w:t>
            </w:r>
          </w:p>
        </w:tc>
      </w:tr>
      <w:tr w:rsidR="005E3B18" w:rsidRPr="00227BB5" w14:paraId="70952933" w14:textId="77777777" w:rsidTr="00CA23A3">
        <w:trPr>
          <w:cantSplit/>
          <w:jc w:val="center"/>
        </w:trPr>
        <w:tc>
          <w:tcPr>
            <w:tcW w:w="3943" w:type="dxa"/>
            <w:tcBorders>
              <w:bottom w:val="single" w:sz="4" w:space="0" w:color="auto"/>
            </w:tcBorders>
            <w:shd w:val="clear" w:color="auto" w:fill="auto"/>
            <w:noWrap/>
            <w:vAlign w:val="bottom"/>
          </w:tcPr>
          <w:p w14:paraId="6FF6271A" w14:textId="77777777" w:rsidR="005E3B18" w:rsidRPr="00227BB5" w:rsidRDefault="005E3B18" w:rsidP="00CA23A3">
            <w:pPr>
              <w:spacing w:before="120" w:after="40"/>
              <w:rPr>
                <w:rFonts w:ascii="Arial" w:hAnsi="Arial" w:cs="Arial"/>
                <w:sz w:val="20"/>
                <w:szCs w:val="20"/>
              </w:rPr>
            </w:pPr>
            <w:r w:rsidRPr="00227BB5">
              <w:rPr>
                <w:rFonts w:ascii="Arial" w:hAnsi="Arial" w:cs="Arial"/>
                <w:color w:val="000000"/>
                <w:sz w:val="20"/>
                <w:szCs w:val="20"/>
                <w:lang w:val="en-US"/>
              </w:rPr>
              <w:t>Production and distribution of electricity, water, gas</w:t>
            </w:r>
          </w:p>
        </w:tc>
        <w:tc>
          <w:tcPr>
            <w:tcW w:w="1566" w:type="dxa"/>
            <w:tcBorders>
              <w:bottom w:val="single" w:sz="4" w:space="0" w:color="auto"/>
            </w:tcBorders>
            <w:shd w:val="clear" w:color="auto" w:fill="auto"/>
            <w:noWrap/>
            <w:vAlign w:val="bottom"/>
          </w:tcPr>
          <w:p w14:paraId="5146FD8A"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692</w:t>
            </w:r>
          </w:p>
        </w:tc>
        <w:tc>
          <w:tcPr>
            <w:tcW w:w="1178" w:type="dxa"/>
            <w:tcBorders>
              <w:bottom w:val="single" w:sz="4" w:space="0" w:color="auto"/>
            </w:tcBorders>
            <w:shd w:val="clear" w:color="auto" w:fill="auto"/>
            <w:noWrap/>
            <w:vAlign w:val="bottom"/>
          </w:tcPr>
          <w:p w14:paraId="2B7982F5"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133</w:t>
            </w:r>
          </w:p>
        </w:tc>
        <w:tc>
          <w:tcPr>
            <w:tcW w:w="1506" w:type="dxa"/>
            <w:tcBorders>
              <w:bottom w:val="single" w:sz="4" w:space="0" w:color="auto"/>
            </w:tcBorders>
            <w:shd w:val="clear" w:color="auto" w:fill="auto"/>
            <w:noWrap/>
            <w:vAlign w:val="bottom"/>
          </w:tcPr>
          <w:p w14:paraId="6FA1B317" w14:textId="77777777" w:rsidR="005E3B18" w:rsidRPr="00227BB5" w:rsidRDefault="005E3B18" w:rsidP="00CA23A3">
            <w:pPr>
              <w:spacing w:before="120" w:after="40"/>
              <w:ind w:right="316"/>
              <w:jc w:val="right"/>
              <w:rPr>
                <w:rFonts w:ascii="Arial" w:hAnsi="Arial" w:cs="Arial"/>
                <w:sz w:val="20"/>
                <w:szCs w:val="20"/>
              </w:rPr>
            </w:pPr>
            <w:r w:rsidRPr="00FC383C">
              <w:rPr>
                <w:rFonts w:ascii="Arial" w:hAnsi="Arial" w:cs="Arial"/>
                <w:sz w:val="20"/>
                <w:szCs w:val="20"/>
              </w:rPr>
              <w:t>12</w:t>
            </w:r>
            <w:r>
              <w:rPr>
                <w:rFonts w:ascii="Arial" w:hAnsi="Arial" w:cs="Arial"/>
                <w:sz w:val="20"/>
                <w:szCs w:val="20"/>
              </w:rPr>
              <w:t>.</w:t>
            </w:r>
            <w:r w:rsidRPr="00FC383C">
              <w:rPr>
                <w:rFonts w:ascii="Arial" w:hAnsi="Arial" w:cs="Arial"/>
                <w:sz w:val="20"/>
                <w:szCs w:val="20"/>
              </w:rPr>
              <w:t>5</w:t>
            </w:r>
          </w:p>
        </w:tc>
        <w:tc>
          <w:tcPr>
            <w:tcW w:w="1129" w:type="dxa"/>
            <w:tcBorders>
              <w:bottom w:val="single" w:sz="4" w:space="0" w:color="auto"/>
            </w:tcBorders>
            <w:shd w:val="clear" w:color="auto" w:fill="auto"/>
            <w:noWrap/>
            <w:vAlign w:val="bottom"/>
          </w:tcPr>
          <w:p w14:paraId="29605B23" w14:textId="77777777" w:rsidR="005E3B18" w:rsidRPr="00227BB5" w:rsidRDefault="005E3B18" w:rsidP="00CA23A3">
            <w:pPr>
              <w:spacing w:before="120" w:after="40"/>
              <w:ind w:right="176"/>
              <w:jc w:val="right"/>
              <w:rPr>
                <w:rFonts w:ascii="Arial" w:hAnsi="Arial" w:cs="Arial"/>
                <w:sz w:val="20"/>
                <w:szCs w:val="20"/>
              </w:rPr>
            </w:pPr>
            <w:r w:rsidRPr="00FC383C">
              <w:rPr>
                <w:rFonts w:ascii="Arial" w:hAnsi="Arial" w:cs="Arial"/>
                <w:sz w:val="20"/>
                <w:szCs w:val="20"/>
              </w:rPr>
              <w:t>-30</w:t>
            </w:r>
            <w:r>
              <w:rPr>
                <w:rFonts w:ascii="Arial" w:hAnsi="Arial" w:cs="Arial"/>
                <w:sz w:val="20"/>
                <w:szCs w:val="20"/>
              </w:rPr>
              <w:t>.</w:t>
            </w:r>
            <w:r w:rsidRPr="00FC383C">
              <w:rPr>
                <w:rFonts w:ascii="Arial" w:hAnsi="Arial" w:cs="Arial"/>
                <w:sz w:val="20"/>
                <w:szCs w:val="20"/>
              </w:rPr>
              <w:t>0</w:t>
            </w:r>
          </w:p>
        </w:tc>
      </w:tr>
    </w:tbl>
    <w:p w14:paraId="255A816A" w14:textId="77777777" w:rsidR="005E3B18" w:rsidRPr="00227BB5" w:rsidRDefault="005E3B18" w:rsidP="005E3B18">
      <w:pPr>
        <w:spacing w:before="40" w:after="40" w:line="288" w:lineRule="auto"/>
        <w:ind w:firstLine="567"/>
        <w:jc w:val="both"/>
        <w:rPr>
          <w:b/>
          <w:i/>
          <w:sz w:val="16"/>
          <w:lang w:val="it-IT"/>
        </w:rPr>
      </w:pPr>
    </w:p>
    <w:p w14:paraId="1C238AF7" w14:textId="77777777" w:rsidR="005E3B18" w:rsidRPr="00227BB5" w:rsidRDefault="005E3B18" w:rsidP="005E3B18">
      <w:pPr>
        <w:spacing w:after="40"/>
        <w:ind w:firstLine="567"/>
        <w:rPr>
          <w:b/>
          <w:i/>
          <w:lang w:val="it-IT"/>
        </w:rPr>
      </w:pPr>
      <w:r w:rsidRPr="00227BB5">
        <w:rPr>
          <w:b/>
          <w:i/>
          <w:lang w:val="it-IT"/>
        </w:rPr>
        <w:t xml:space="preserve">b) </w:t>
      </w:r>
      <w:r w:rsidRPr="00227BB5">
        <w:rPr>
          <w:b/>
          <w:i/>
          <w:lang w:val="en-US"/>
        </w:rPr>
        <w:t>Business trends of the enterprises</w:t>
      </w:r>
    </w:p>
    <w:p w14:paraId="1A96D5D6" w14:textId="77777777" w:rsidR="005E3B18" w:rsidRPr="00227BB5" w:rsidRDefault="005E3B18" w:rsidP="005E3B18">
      <w:pPr>
        <w:spacing w:after="40"/>
        <w:ind w:firstLine="567"/>
        <w:jc w:val="both"/>
        <w:rPr>
          <w:rFonts w:ascii="Arial" w:hAnsi="Arial" w:cs="Arial"/>
          <w:b/>
          <w:bCs/>
          <w:sz w:val="24"/>
          <w:lang w:val="vi-VN"/>
        </w:rPr>
      </w:pPr>
      <w:r w:rsidRPr="00227BB5">
        <w:rPr>
          <w:lang w:val="it-IT"/>
        </w:rPr>
        <w:t xml:space="preserve">Results of the business tendency survey of manufacturing enterprises in the </w:t>
      </w:r>
      <w:r>
        <w:rPr>
          <w:lang w:val="it-IT"/>
        </w:rPr>
        <w:t>second</w:t>
      </w:r>
      <w:r w:rsidRPr="00227BB5">
        <w:rPr>
          <w:lang w:val="it-IT"/>
        </w:rPr>
        <w:t xml:space="preserve"> quarter of 202</w:t>
      </w:r>
      <w:r>
        <w:rPr>
          <w:lang w:val="it-IT"/>
        </w:rPr>
        <w:t>4</w:t>
      </w:r>
      <w:r w:rsidRPr="00227BB5">
        <w:rPr>
          <w:lang w:val="it-IT"/>
        </w:rPr>
        <w:t xml:space="preserve"> showed that: </w:t>
      </w:r>
      <w:r>
        <w:rPr>
          <w:lang w:val="it-IT"/>
        </w:rPr>
        <w:t>37.4</w:t>
      </w:r>
      <w:r w:rsidRPr="00227BB5">
        <w:rPr>
          <w:lang w:val="it-IT"/>
        </w:rPr>
        <w:t xml:space="preserve">% of enterprises assessed that the business production situation was better than in the </w:t>
      </w:r>
      <w:r>
        <w:rPr>
          <w:lang w:val="it-IT"/>
        </w:rPr>
        <w:t>first</w:t>
      </w:r>
      <w:r w:rsidRPr="00227BB5">
        <w:rPr>
          <w:lang w:val="it-IT"/>
        </w:rPr>
        <w:t xml:space="preserve"> quarter; </w:t>
      </w:r>
      <w:r>
        <w:rPr>
          <w:lang w:val="it-IT"/>
        </w:rPr>
        <w:t>41.6</w:t>
      </w:r>
      <w:r w:rsidRPr="00227BB5">
        <w:rPr>
          <w:lang w:val="it-IT"/>
        </w:rPr>
        <w:t xml:space="preserve">% of enterprises said that the business production situation was stable and </w:t>
      </w:r>
      <w:r>
        <w:rPr>
          <w:lang w:val="it-IT"/>
        </w:rPr>
        <w:t>21</w:t>
      </w:r>
      <w:r w:rsidRPr="00227BB5">
        <w:rPr>
          <w:lang w:val="it-IT"/>
        </w:rPr>
        <w:t>% of enterprises faced difficulties</w:t>
      </w:r>
      <w:r w:rsidRPr="00227BB5">
        <w:rPr>
          <w:vertAlign w:val="superscript"/>
        </w:rPr>
        <w:footnoteReference w:id="10"/>
      </w:r>
      <w:r w:rsidRPr="00227BB5">
        <w:rPr>
          <w:lang w:val="it-IT"/>
        </w:rPr>
        <w:t xml:space="preserve">. For the expected outcome of the </w:t>
      </w:r>
      <w:r>
        <w:rPr>
          <w:lang w:val="it-IT"/>
        </w:rPr>
        <w:t>third</w:t>
      </w:r>
      <w:r w:rsidRPr="00227BB5">
        <w:rPr>
          <w:lang w:val="it-IT"/>
        </w:rPr>
        <w:t xml:space="preserve"> quarter of 202</w:t>
      </w:r>
      <w:r>
        <w:rPr>
          <w:lang w:val="it-IT"/>
        </w:rPr>
        <w:t>4</w:t>
      </w:r>
      <w:r w:rsidRPr="00227BB5">
        <w:rPr>
          <w:lang w:val="it-IT"/>
        </w:rPr>
        <w:t xml:space="preserve">, </w:t>
      </w:r>
      <w:r>
        <w:rPr>
          <w:lang w:val="it-IT"/>
        </w:rPr>
        <w:t>40.7</w:t>
      </w:r>
      <w:r w:rsidRPr="00227BB5">
        <w:rPr>
          <w:lang w:val="it-IT"/>
        </w:rPr>
        <w:t xml:space="preserve">% of enterprises presented that the tendency would get better than the </w:t>
      </w:r>
      <w:r>
        <w:rPr>
          <w:lang w:val="it-IT"/>
        </w:rPr>
        <w:t>second</w:t>
      </w:r>
      <w:r w:rsidRPr="00227BB5">
        <w:rPr>
          <w:lang w:val="it-IT"/>
        </w:rPr>
        <w:t xml:space="preserve"> quarter; </w:t>
      </w:r>
      <w:r>
        <w:rPr>
          <w:lang w:val="it-IT"/>
        </w:rPr>
        <w:t>42.2</w:t>
      </w:r>
      <w:r w:rsidRPr="00227BB5">
        <w:rPr>
          <w:lang w:val="it-IT"/>
        </w:rPr>
        <w:t xml:space="preserve">% of enterprises said that business production situation would be stable and </w:t>
      </w:r>
      <w:r>
        <w:rPr>
          <w:lang w:val="it-IT"/>
        </w:rPr>
        <w:t>17.1</w:t>
      </w:r>
      <w:r w:rsidRPr="00227BB5">
        <w:rPr>
          <w:lang w:val="it-IT"/>
        </w:rPr>
        <w:t xml:space="preserve">% of enterprises predicted that it would be more difficult. In which, the </w:t>
      </w:r>
      <w:r>
        <w:rPr>
          <w:lang w:val="it-IT"/>
        </w:rPr>
        <w:t>state-owned</w:t>
      </w:r>
      <w:r w:rsidRPr="00227BB5">
        <w:rPr>
          <w:lang w:val="it-IT"/>
        </w:rPr>
        <w:t xml:space="preserve"> enterprises sector</w:t>
      </w:r>
      <w:r>
        <w:rPr>
          <w:lang w:val="it-IT"/>
        </w:rPr>
        <w:t xml:space="preserve"> was</w:t>
      </w:r>
      <w:r w:rsidRPr="00227BB5">
        <w:rPr>
          <w:lang w:val="it-IT"/>
        </w:rPr>
        <w:t xml:space="preserve"> the most optimistic</w:t>
      </w:r>
      <w:r>
        <w:rPr>
          <w:lang w:val="it-IT"/>
        </w:rPr>
        <w:t xml:space="preserve"> with 83.6</w:t>
      </w:r>
      <w:r w:rsidRPr="00227BB5">
        <w:rPr>
          <w:lang w:val="it-IT"/>
        </w:rPr>
        <w:t xml:space="preserve">% of enterprises forecasted a better business production situation in the </w:t>
      </w:r>
      <w:r>
        <w:rPr>
          <w:lang w:val="it-IT"/>
        </w:rPr>
        <w:t>third</w:t>
      </w:r>
      <w:r w:rsidRPr="00227BB5">
        <w:rPr>
          <w:lang w:val="it-IT"/>
        </w:rPr>
        <w:t xml:space="preserve"> quarter of 202</w:t>
      </w:r>
      <w:r>
        <w:rPr>
          <w:lang w:val="it-IT"/>
        </w:rPr>
        <w:t>4</w:t>
      </w:r>
      <w:r w:rsidRPr="00227BB5">
        <w:rPr>
          <w:lang w:val="it-IT"/>
        </w:rPr>
        <w:t xml:space="preserve"> and expected to remain stable; these rates in the </w:t>
      </w:r>
      <w:r>
        <w:rPr>
          <w:lang w:val="it-IT"/>
        </w:rPr>
        <w:t>FDI sector and non-state enterprises sector</w:t>
      </w:r>
      <w:r w:rsidRPr="00227BB5">
        <w:rPr>
          <w:lang w:val="it-IT"/>
        </w:rPr>
        <w:t xml:space="preserve"> were </w:t>
      </w:r>
      <w:r>
        <w:rPr>
          <w:lang w:val="it-IT"/>
        </w:rPr>
        <w:t xml:space="preserve">83.2 and 82.7% </w:t>
      </w:r>
      <w:r w:rsidRPr="00227BB5">
        <w:rPr>
          <w:lang w:val="it-IT"/>
        </w:rPr>
        <w:t>respectively.</w:t>
      </w:r>
    </w:p>
    <w:p w14:paraId="27963DBF" w14:textId="77777777" w:rsidR="005E3B18" w:rsidRPr="00227BB5" w:rsidRDefault="005E3B18" w:rsidP="005E3B18">
      <w:pPr>
        <w:spacing w:before="120"/>
        <w:jc w:val="center"/>
        <w:rPr>
          <w:rFonts w:ascii="Arial" w:hAnsi="Arial" w:cs="Arial"/>
          <w:b/>
          <w:bCs/>
          <w:sz w:val="24"/>
          <w:lang w:val="vi-VN"/>
        </w:rPr>
      </w:pPr>
      <w:r w:rsidRPr="00227BB5">
        <w:rPr>
          <w:rFonts w:ascii="Arial" w:hAnsi="Arial" w:cs="Arial"/>
          <w:b/>
          <w:bCs/>
          <w:lang w:val="vi-VN"/>
        </w:rPr>
        <w:t>Figure</w:t>
      </w:r>
      <w:r w:rsidRPr="00227BB5">
        <w:rPr>
          <w:rFonts w:ascii="Arial" w:hAnsi="Arial" w:cs="Arial"/>
          <w:b/>
          <w:bCs/>
          <w:sz w:val="24"/>
          <w:lang w:val="vi-VN"/>
        </w:rPr>
        <w:t xml:space="preserve"> 7. The main factors affecting the business production situation</w:t>
      </w:r>
    </w:p>
    <w:p w14:paraId="49CB9B68" w14:textId="77777777" w:rsidR="005E3B18" w:rsidRPr="00227BB5" w:rsidRDefault="005E3B18" w:rsidP="005E3B18">
      <w:pPr>
        <w:spacing w:before="120"/>
        <w:jc w:val="center"/>
        <w:rPr>
          <w:rFonts w:ascii="Arial" w:hAnsi="Arial" w:cs="Arial"/>
          <w:b/>
          <w:bCs/>
          <w:sz w:val="24"/>
          <w:lang w:val="en-US"/>
        </w:rPr>
      </w:pPr>
      <w:r w:rsidRPr="00227BB5">
        <w:rPr>
          <w:rFonts w:ascii="Arial" w:hAnsi="Arial" w:cs="Arial"/>
          <w:b/>
          <w:bCs/>
          <w:sz w:val="24"/>
          <w:lang w:val="vi-VN"/>
        </w:rPr>
        <w:t xml:space="preserve">in the first </w:t>
      </w:r>
      <w:r>
        <w:rPr>
          <w:rFonts w:ascii="Arial" w:hAnsi="Arial" w:cs="Arial"/>
          <w:b/>
          <w:bCs/>
          <w:sz w:val="24"/>
        </w:rPr>
        <w:t>six months</w:t>
      </w:r>
      <w:r w:rsidRPr="00227BB5">
        <w:rPr>
          <w:rFonts w:ascii="Arial" w:hAnsi="Arial" w:cs="Arial"/>
          <w:b/>
          <w:bCs/>
          <w:sz w:val="24"/>
          <w:lang w:val="vi-VN"/>
        </w:rPr>
        <w:t xml:space="preserve"> of 202</w:t>
      </w:r>
      <w:r>
        <w:rPr>
          <w:rFonts w:ascii="Arial" w:hAnsi="Arial" w:cs="Arial"/>
          <w:b/>
          <w:bCs/>
          <w:sz w:val="24"/>
          <w:lang w:val="en-US"/>
        </w:rPr>
        <w:t>4</w:t>
      </w:r>
    </w:p>
    <w:p w14:paraId="2315C883" w14:textId="77777777" w:rsidR="005E3B18" w:rsidRPr="00227BB5" w:rsidRDefault="005E3B18" w:rsidP="005E3B18">
      <w:pPr>
        <w:spacing w:before="120"/>
        <w:jc w:val="center"/>
        <w:rPr>
          <w:sz w:val="2"/>
          <w:lang w:val="it-IT"/>
        </w:rPr>
      </w:pPr>
    </w:p>
    <w:p w14:paraId="15BA1A5E" w14:textId="77777777" w:rsidR="005E3B18" w:rsidRPr="00227BB5" w:rsidRDefault="005E3B18" w:rsidP="005E3B18">
      <w:pPr>
        <w:spacing w:before="40" w:after="40" w:line="290" w:lineRule="auto"/>
        <w:jc w:val="center"/>
        <w:rPr>
          <w:lang w:val="it-IT"/>
        </w:rPr>
      </w:pPr>
      <w:r w:rsidRPr="00227BB5">
        <w:rPr>
          <w:noProof/>
          <w:lang w:eastAsia="en-GB"/>
        </w:rPr>
        <w:lastRenderedPageBreak/>
        <w:drawing>
          <wp:inline distT="0" distB="0" distL="0" distR="0" wp14:anchorId="4A481FAA" wp14:editId="4BF39F4A">
            <wp:extent cx="5605780" cy="2721255"/>
            <wp:effectExtent l="0" t="0" r="0" b="317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923449" w14:textId="77777777" w:rsidR="005E3B18" w:rsidRPr="00227BB5" w:rsidRDefault="005E3B18" w:rsidP="005E3B18">
      <w:pPr>
        <w:spacing w:before="120" w:after="40"/>
        <w:ind w:firstLine="567"/>
        <w:jc w:val="both"/>
        <w:rPr>
          <w:lang w:val="it-IT"/>
        </w:rPr>
      </w:pPr>
      <w:r w:rsidRPr="00227BB5">
        <w:rPr>
          <w:i/>
          <w:iCs/>
        </w:rPr>
        <w:t>Regarding production volume,</w:t>
      </w:r>
      <w:r w:rsidRPr="00227BB5">
        <w:rPr>
          <w:iCs/>
        </w:rPr>
        <w:t> </w:t>
      </w:r>
      <w:r>
        <w:rPr>
          <w:lang w:val="it-IT"/>
        </w:rPr>
        <w:t>38.7</w:t>
      </w:r>
      <w:r w:rsidRPr="00227BB5">
        <w:rPr>
          <w:lang w:val="it-IT"/>
        </w:rPr>
        <w:t xml:space="preserve">% </w:t>
      </w:r>
      <w:r w:rsidRPr="00227BB5">
        <w:rPr>
          <w:iCs/>
        </w:rPr>
        <w:t xml:space="preserve">of enterprises pointed out the production volume in the </w:t>
      </w:r>
      <w:r>
        <w:rPr>
          <w:iCs/>
        </w:rPr>
        <w:t>second</w:t>
      </w:r>
      <w:r w:rsidRPr="00227BB5">
        <w:rPr>
          <w:iCs/>
        </w:rPr>
        <w:t xml:space="preserve"> quarter of</w:t>
      </w:r>
      <w:r w:rsidRPr="00227BB5">
        <w:rPr>
          <w:lang w:val="it-IT"/>
        </w:rPr>
        <w:t xml:space="preserve"> 202</w:t>
      </w:r>
      <w:r>
        <w:rPr>
          <w:lang w:val="it-IT"/>
        </w:rPr>
        <w:t>4</w:t>
      </w:r>
      <w:r w:rsidRPr="00227BB5">
        <w:rPr>
          <w:lang w:val="it-IT"/>
        </w:rPr>
        <w:t xml:space="preserve"> </w:t>
      </w:r>
      <w:r>
        <w:rPr>
          <w:iCs/>
        </w:rPr>
        <w:t>increased compared to the first</w:t>
      </w:r>
      <w:r w:rsidRPr="00227BB5">
        <w:rPr>
          <w:iCs/>
        </w:rPr>
        <w:t xml:space="preserve"> </w:t>
      </w:r>
      <w:r>
        <w:rPr>
          <w:iCs/>
        </w:rPr>
        <w:t>one</w:t>
      </w:r>
      <w:r w:rsidRPr="00227BB5">
        <w:rPr>
          <w:lang w:val="it-IT"/>
        </w:rPr>
        <w:t xml:space="preserve">; </w:t>
      </w:r>
      <w:r>
        <w:rPr>
          <w:lang w:val="it-IT"/>
        </w:rPr>
        <w:t>40.5</w:t>
      </w:r>
      <w:r w:rsidRPr="00227BB5">
        <w:rPr>
          <w:lang w:val="it-IT"/>
        </w:rPr>
        <w:t xml:space="preserve">% </w:t>
      </w:r>
      <w:r w:rsidRPr="00227BB5">
        <w:rPr>
          <w:iCs/>
        </w:rPr>
        <w:t>of enterprises considered it stabl</w:t>
      </w:r>
      <w:r w:rsidRPr="00227BB5">
        <w:rPr>
          <w:iCs/>
          <w:lang w:val="vi-VN"/>
        </w:rPr>
        <w:t>e</w:t>
      </w:r>
      <w:r w:rsidRPr="00227BB5">
        <w:rPr>
          <w:lang w:val="it-IT"/>
        </w:rPr>
        <w:t xml:space="preserve"> and </w:t>
      </w:r>
      <w:r>
        <w:rPr>
          <w:lang w:val="it-IT"/>
        </w:rPr>
        <w:t>20.8</w:t>
      </w:r>
      <w:r w:rsidRPr="00227BB5">
        <w:rPr>
          <w:lang w:val="it-IT"/>
        </w:rPr>
        <w:t xml:space="preserve">% </w:t>
      </w:r>
      <w:r w:rsidRPr="00227BB5">
        <w:rPr>
          <w:iCs/>
        </w:rPr>
        <w:t>of enterprises reported that the production volume reduced</w:t>
      </w:r>
      <w:r w:rsidRPr="00227BB5">
        <w:rPr>
          <w:vertAlign w:val="superscript"/>
        </w:rPr>
        <w:footnoteReference w:id="11"/>
      </w:r>
      <w:r w:rsidRPr="00227BB5">
        <w:rPr>
          <w:lang w:val="it-IT"/>
        </w:rPr>
        <w:t xml:space="preserve">. </w:t>
      </w:r>
      <w:bookmarkStart w:id="5" w:name="_Hlk133337313"/>
      <w:r w:rsidRPr="00227BB5">
        <w:rPr>
          <w:lang w:val="it-IT"/>
        </w:rPr>
        <w:t xml:space="preserve">For the trend in the </w:t>
      </w:r>
      <w:r>
        <w:rPr>
          <w:lang w:val="it-IT"/>
        </w:rPr>
        <w:t>third</w:t>
      </w:r>
      <w:r w:rsidRPr="00227BB5">
        <w:rPr>
          <w:lang w:val="it-IT"/>
        </w:rPr>
        <w:t xml:space="preserve"> quarter of</w:t>
      </w:r>
      <w:bookmarkEnd w:id="5"/>
      <w:r w:rsidRPr="00227BB5">
        <w:rPr>
          <w:lang w:val="it-IT"/>
        </w:rPr>
        <w:t xml:space="preserve"> 202</w:t>
      </w:r>
      <w:r>
        <w:rPr>
          <w:lang w:val="it-IT"/>
        </w:rPr>
        <w:t>4</w:t>
      </w:r>
      <w:r w:rsidRPr="00227BB5">
        <w:rPr>
          <w:lang w:val="it-IT"/>
        </w:rPr>
        <w:t xml:space="preserve"> compared to the </w:t>
      </w:r>
      <w:r>
        <w:rPr>
          <w:lang w:val="it-IT"/>
        </w:rPr>
        <w:t>second</w:t>
      </w:r>
      <w:r w:rsidRPr="00227BB5">
        <w:rPr>
          <w:lang w:val="it-IT"/>
        </w:rPr>
        <w:t xml:space="preserve"> </w:t>
      </w:r>
      <w:r>
        <w:rPr>
          <w:lang w:val="it-IT"/>
        </w:rPr>
        <w:t>one</w:t>
      </w:r>
      <w:r w:rsidRPr="00227BB5">
        <w:rPr>
          <w:lang w:val="it-IT"/>
        </w:rPr>
        <w:t xml:space="preserve">, </w:t>
      </w:r>
      <w:r>
        <w:rPr>
          <w:lang w:val="it-IT"/>
        </w:rPr>
        <w:t>39.8</w:t>
      </w:r>
      <w:r w:rsidRPr="00227BB5">
        <w:rPr>
          <w:lang w:val="it-IT"/>
        </w:rPr>
        <w:t xml:space="preserve">% of enterprises forecasted an increase in the production volume; </w:t>
      </w:r>
      <w:r>
        <w:rPr>
          <w:lang w:val="it-IT"/>
        </w:rPr>
        <w:t>44</w:t>
      </w:r>
      <w:r w:rsidRPr="00227BB5">
        <w:rPr>
          <w:lang w:val="it-IT"/>
        </w:rPr>
        <w:t xml:space="preserve">% of enterprises predicted stability and </w:t>
      </w:r>
      <w:r>
        <w:rPr>
          <w:lang w:val="it-IT"/>
        </w:rPr>
        <w:t>16.2</w:t>
      </w:r>
      <w:r w:rsidRPr="00227BB5">
        <w:rPr>
          <w:lang w:val="it-IT"/>
        </w:rPr>
        <w:t>% of enterprises forecasted a decrease.</w:t>
      </w:r>
    </w:p>
    <w:p w14:paraId="46EC8778" w14:textId="77777777" w:rsidR="005E3B18" w:rsidRPr="00227BB5" w:rsidRDefault="005E3B18" w:rsidP="005E3B18">
      <w:pPr>
        <w:spacing w:after="40" w:line="288" w:lineRule="auto"/>
        <w:ind w:firstLine="567"/>
        <w:jc w:val="both"/>
        <w:rPr>
          <w:lang w:val="it-IT"/>
        </w:rPr>
      </w:pPr>
      <w:r w:rsidRPr="00227BB5">
        <w:rPr>
          <w:i/>
          <w:iCs/>
        </w:rPr>
        <w:t>Regarding orders for goods,</w:t>
      </w:r>
      <w:r w:rsidRPr="00227BB5">
        <w:rPr>
          <w:i/>
        </w:rPr>
        <w:t> </w:t>
      </w:r>
      <w:r>
        <w:rPr>
          <w:lang w:val="it-IT"/>
        </w:rPr>
        <w:t>34.6</w:t>
      </w:r>
      <w:r w:rsidRPr="00227BB5">
        <w:rPr>
          <w:lang w:val="it-IT"/>
        </w:rPr>
        <w:t xml:space="preserve">% </w:t>
      </w:r>
      <w:r w:rsidRPr="00227BB5">
        <w:rPr>
          <w:iCs/>
        </w:rPr>
        <w:t xml:space="preserve">of enterprises had more orders in the </w:t>
      </w:r>
      <w:r>
        <w:rPr>
          <w:iCs/>
        </w:rPr>
        <w:t>second</w:t>
      </w:r>
      <w:r w:rsidRPr="00227BB5">
        <w:rPr>
          <w:iCs/>
        </w:rPr>
        <w:t xml:space="preserve"> quarter of </w:t>
      </w:r>
      <w:r w:rsidRPr="00227BB5">
        <w:rPr>
          <w:lang w:val="it-IT"/>
        </w:rPr>
        <w:t>202</w:t>
      </w:r>
      <w:r>
        <w:rPr>
          <w:lang w:val="it-IT"/>
        </w:rPr>
        <w:t>4</w:t>
      </w:r>
      <w:r w:rsidRPr="00227BB5">
        <w:rPr>
          <w:lang w:val="it-IT"/>
        </w:rPr>
        <w:t xml:space="preserve"> </w:t>
      </w:r>
      <w:r w:rsidRPr="00227BB5">
        <w:rPr>
          <w:iCs/>
        </w:rPr>
        <w:t xml:space="preserve">than in the </w:t>
      </w:r>
      <w:r>
        <w:rPr>
          <w:iCs/>
        </w:rPr>
        <w:t>first</w:t>
      </w:r>
      <w:r w:rsidRPr="00227BB5">
        <w:rPr>
          <w:iCs/>
        </w:rPr>
        <w:t xml:space="preserve"> </w:t>
      </w:r>
      <w:r>
        <w:rPr>
          <w:iCs/>
        </w:rPr>
        <w:t>one</w:t>
      </w:r>
      <w:r w:rsidRPr="00227BB5">
        <w:rPr>
          <w:lang w:val="it-IT"/>
        </w:rPr>
        <w:t xml:space="preserve">; </w:t>
      </w:r>
      <w:r>
        <w:rPr>
          <w:lang w:val="it-IT"/>
        </w:rPr>
        <w:t>44.3</w:t>
      </w:r>
      <w:r w:rsidRPr="00227BB5">
        <w:rPr>
          <w:lang w:val="it-IT"/>
        </w:rPr>
        <w:t xml:space="preserve">% </w:t>
      </w:r>
      <w:r w:rsidRPr="00227BB5">
        <w:rPr>
          <w:iCs/>
        </w:rPr>
        <w:t>of enterprises had stable orders and</w:t>
      </w:r>
      <w:r w:rsidRPr="00227BB5">
        <w:rPr>
          <w:lang w:val="it-IT"/>
        </w:rPr>
        <w:t xml:space="preserve"> </w:t>
      </w:r>
      <w:r>
        <w:rPr>
          <w:lang w:val="it-IT"/>
        </w:rPr>
        <w:t>21.1</w:t>
      </w:r>
      <w:r w:rsidRPr="00227BB5">
        <w:rPr>
          <w:lang w:val="it-IT"/>
        </w:rPr>
        <w:t xml:space="preserve">% </w:t>
      </w:r>
      <w:r w:rsidRPr="00227BB5">
        <w:rPr>
          <w:iCs/>
        </w:rPr>
        <w:t>of enterprises recorded a decrease in orders</w:t>
      </w:r>
      <w:r w:rsidRPr="00227BB5">
        <w:rPr>
          <w:vertAlign w:val="superscript"/>
        </w:rPr>
        <w:footnoteReference w:id="12"/>
      </w:r>
      <w:r w:rsidRPr="00227BB5">
        <w:rPr>
          <w:lang w:val="it-IT"/>
        </w:rPr>
        <w:t xml:space="preserve">. About trend in the </w:t>
      </w:r>
      <w:r>
        <w:rPr>
          <w:lang w:val="it-IT"/>
        </w:rPr>
        <w:t>third</w:t>
      </w:r>
      <w:r w:rsidRPr="00227BB5">
        <w:rPr>
          <w:lang w:val="it-IT"/>
        </w:rPr>
        <w:t xml:space="preserve"> quarter</w:t>
      </w:r>
      <w:r>
        <w:rPr>
          <w:lang w:val="it-IT"/>
        </w:rPr>
        <w:t xml:space="preserve"> of</w:t>
      </w:r>
      <w:r w:rsidRPr="00227BB5">
        <w:rPr>
          <w:lang w:val="it-IT"/>
        </w:rPr>
        <w:t xml:space="preserve"> 202</w:t>
      </w:r>
      <w:r>
        <w:rPr>
          <w:lang w:val="it-IT"/>
        </w:rPr>
        <w:t>4</w:t>
      </w:r>
      <w:r w:rsidRPr="00227BB5">
        <w:rPr>
          <w:lang w:val="it-IT"/>
        </w:rPr>
        <w:t xml:space="preserve"> over the </w:t>
      </w:r>
      <w:r>
        <w:rPr>
          <w:lang w:val="it-IT"/>
        </w:rPr>
        <w:t>second</w:t>
      </w:r>
      <w:r w:rsidRPr="00227BB5">
        <w:rPr>
          <w:lang w:val="it-IT"/>
        </w:rPr>
        <w:t xml:space="preserve"> </w:t>
      </w:r>
      <w:r>
        <w:rPr>
          <w:lang w:val="it-IT"/>
        </w:rPr>
        <w:t>one</w:t>
      </w:r>
      <w:r w:rsidRPr="00227BB5">
        <w:rPr>
          <w:lang w:val="it-IT"/>
        </w:rPr>
        <w:t xml:space="preserve">, </w:t>
      </w:r>
      <w:r>
        <w:rPr>
          <w:lang w:val="it-IT"/>
        </w:rPr>
        <w:t>38</w:t>
      </w:r>
      <w:r w:rsidRPr="00227BB5">
        <w:rPr>
          <w:lang w:val="it-IT"/>
        </w:rPr>
        <w:t xml:space="preserve">% of enterprises expected an increase in orders; </w:t>
      </w:r>
      <w:r>
        <w:rPr>
          <w:lang w:val="it-IT"/>
        </w:rPr>
        <w:t>45.8</w:t>
      </w:r>
      <w:r w:rsidRPr="00227BB5">
        <w:rPr>
          <w:lang w:val="it-IT"/>
        </w:rPr>
        <w:t xml:space="preserve">% of enterprises expected to have stable orders and </w:t>
      </w:r>
      <w:r>
        <w:rPr>
          <w:lang w:val="it-IT"/>
        </w:rPr>
        <w:t>16.2</w:t>
      </w:r>
      <w:r w:rsidRPr="00227BB5">
        <w:rPr>
          <w:lang w:val="it-IT"/>
        </w:rPr>
        <w:t>% of enterprises expected a decrease in orders.</w:t>
      </w:r>
    </w:p>
    <w:p w14:paraId="0D37A59F" w14:textId="4E3BA269" w:rsidR="007605D7" w:rsidRPr="005E3B18" w:rsidRDefault="005E3B18" w:rsidP="005E3B18">
      <w:pPr>
        <w:spacing w:before="40" w:after="40"/>
        <w:ind w:firstLine="567"/>
        <w:jc w:val="both"/>
        <w:rPr>
          <w:iCs/>
        </w:rPr>
      </w:pPr>
      <w:r w:rsidRPr="00227BB5">
        <w:rPr>
          <w:i/>
          <w:iCs/>
        </w:rPr>
        <w:t>Regarding export orders</w:t>
      </w:r>
      <w:r w:rsidRPr="00227BB5">
        <w:rPr>
          <w:i/>
        </w:rPr>
        <w:t xml:space="preserve">, </w:t>
      </w:r>
      <w:r>
        <w:rPr>
          <w:lang w:val="it-IT"/>
        </w:rPr>
        <w:t>28.8</w:t>
      </w:r>
      <w:r w:rsidRPr="00227BB5">
        <w:rPr>
          <w:lang w:val="it-IT"/>
        </w:rPr>
        <w:t xml:space="preserve">% </w:t>
      </w:r>
      <w:r w:rsidRPr="00227BB5">
        <w:rPr>
          <w:iCs/>
        </w:rPr>
        <w:t xml:space="preserve">of enterprises confirmed more export orders in the </w:t>
      </w:r>
      <w:r>
        <w:rPr>
          <w:iCs/>
        </w:rPr>
        <w:t>second</w:t>
      </w:r>
      <w:r w:rsidRPr="00227BB5">
        <w:rPr>
          <w:iCs/>
        </w:rPr>
        <w:t xml:space="preserve"> quarter of 202</w:t>
      </w:r>
      <w:r>
        <w:rPr>
          <w:iCs/>
        </w:rPr>
        <w:t>4</w:t>
      </w:r>
      <w:r w:rsidRPr="00227BB5">
        <w:rPr>
          <w:iCs/>
        </w:rPr>
        <w:t xml:space="preserve"> than the </w:t>
      </w:r>
      <w:r>
        <w:rPr>
          <w:iCs/>
        </w:rPr>
        <w:t>first</w:t>
      </w:r>
      <w:r w:rsidRPr="00227BB5">
        <w:rPr>
          <w:iCs/>
        </w:rPr>
        <w:t xml:space="preserve"> </w:t>
      </w:r>
      <w:r>
        <w:rPr>
          <w:iCs/>
        </w:rPr>
        <w:t>one</w:t>
      </w:r>
      <w:r w:rsidRPr="00227BB5">
        <w:rPr>
          <w:iCs/>
        </w:rPr>
        <w:t xml:space="preserve">; </w:t>
      </w:r>
      <w:r>
        <w:rPr>
          <w:lang w:val="it-IT"/>
        </w:rPr>
        <w:t>49.6</w:t>
      </w:r>
      <w:r w:rsidRPr="00227BB5">
        <w:rPr>
          <w:lang w:val="it-IT"/>
        </w:rPr>
        <w:t xml:space="preserve">% </w:t>
      </w:r>
      <w:r w:rsidRPr="00227BB5">
        <w:rPr>
          <w:iCs/>
        </w:rPr>
        <w:t xml:space="preserve">of enterprises experienced stable export orders and </w:t>
      </w:r>
      <w:r>
        <w:rPr>
          <w:lang w:val="it-IT"/>
        </w:rPr>
        <w:t>21.6</w:t>
      </w:r>
      <w:r w:rsidRPr="00227BB5">
        <w:rPr>
          <w:lang w:val="it-IT"/>
        </w:rPr>
        <w:t xml:space="preserve">% </w:t>
      </w:r>
      <w:r w:rsidRPr="00227BB5">
        <w:rPr>
          <w:iCs/>
        </w:rPr>
        <w:t xml:space="preserve">of enterprises had decreased export orders. About trend in the </w:t>
      </w:r>
      <w:r>
        <w:rPr>
          <w:iCs/>
        </w:rPr>
        <w:t>third</w:t>
      </w:r>
      <w:r w:rsidRPr="00227BB5">
        <w:rPr>
          <w:iCs/>
        </w:rPr>
        <w:t xml:space="preserve"> quarter of</w:t>
      </w:r>
      <w:r w:rsidRPr="00227BB5">
        <w:rPr>
          <w:lang w:val="it-IT"/>
        </w:rPr>
        <w:t xml:space="preserve"> 202</w:t>
      </w:r>
      <w:r>
        <w:rPr>
          <w:lang w:val="it-IT"/>
        </w:rPr>
        <w:t>4</w:t>
      </w:r>
      <w:r w:rsidRPr="00227BB5">
        <w:rPr>
          <w:iCs/>
        </w:rPr>
        <w:t xml:space="preserve"> over the </w:t>
      </w:r>
      <w:r>
        <w:rPr>
          <w:iCs/>
        </w:rPr>
        <w:t>second</w:t>
      </w:r>
      <w:r w:rsidRPr="00227BB5">
        <w:rPr>
          <w:iCs/>
        </w:rPr>
        <w:t xml:space="preserve"> </w:t>
      </w:r>
      <w:r>
        <w:rPr>
          <w:iCs/>
        </w:rPr>
        <w:t>one</w:t>
      </w:r>
      <w:r w:rsidRPr="00227BB5">
        <w:rPr>
          <w:lang w:val="it-IT"/>
        </w:rPr>
        <w:t xml:space="preserve">, </w:t>
      </w:r>
      <w:r>
        <w:rPr>
          <w:lang w:val="it-IT"/>
        </w:rPr>
        <w:t>33.1</w:t>
      </w:r>
      <w:r w:rsidRPr="00227BB5">
        <w:rPr>
          <w:lang w:val="it-IT"/>
        </w:rPr>
        <w:t xml:space="preserve">% </w:t>
      </w:r>
      <w:r w:rsidRPr="00227BB5">
        <w:rPr>
          <w:iCs/>
        </w:rPr>
        <w:t xml:space="preserve">of enterprises expected to have an increase in export orders; </w:t>
      </w:r>
      <w:r>
        <w:rPr>
          <w:lang w:val="it-IT"/>
        </w:rPr>
        <w:t>50.6</w:t>
      </w:r>
      <w:r w:rsidRPr="00227BB5">
        <w:rPr>
          <w:lang w:val="it-IT"/>
        </w:rPr>
        <w:t xml:space="preserve">% </w:t>
      </w:r>
      <w:r w:rsidRPr="00227BB5">
        <w:rPr>
          <w:iCs/>
        </w:rPr>
        <w:t>of e</w:t>
      </w:r>
      <w:r>
        <w:rPr>
          <w:iCs/>
        </w:rPr>
        <w:t>nterprises expected to decrease</w:t>
      </w:r>
      <w:r w:rsidRPr="00227BB5">
        <w:rPr>
          <w:iCs/>
        </w:rPr>
        <w:t xml:space="preserve"> and </w:t>
      </w:r>
      <w:r>
        <w:rPr>
          <w:lang w:val="it-IT"/>
        </w:rPr>
        <w:t>16.3</w:t>
      </w:r>
      <w:r w:rsidRPr="00227BB5">
        <w:rPr>
          <w:lang w:val="it-IT"/>
        </w:rPr>
        <w:t xml:space="preserve">% </w:t>
      </w:r>
      <w:r w:rsidRPr="00227BB5">
        <w:rPr>
          <w:iCs/>
        </w:rPr>
        <w:t>of enterprises expected to be stable. </w:t>
      </w:r>
    </w:p>
    <w:p w14:paraId="25B63671" w14:textId="77777777" w:rsidR="005E3B18" w:rsidRPr="00FC383C" w:rsidRDefault="005E3B18" w:rsidP="005E3B18">
      <w:pPr>
        <w:spacing w:before="120" w:after="120" w:line="259" w:lineRule="auto"/>
        <w:ind w:firstLine="720"/>
        <w:jc w:val="both"/>
        <w:rPr>
          <w:b/>
          <w:bCs/>
          <w:lang w:val="af-ZA"/>
        </w:rPr>
      </w:pPr>
      <w:bookmarkStart w:id="6" w:name="_Hlk54593811"/>
      <w:r w:rsidRPr="00FC383C">
        <w:rPr>
          <w:b/>
          <w:bCs/>
          <w:lang w:val="af-ZA"/>
        </w:rPr>
        <w:t>4. Investment</w:t>
      </w:r>
    </w:p>
    <w:p w14:paraId="5A535368" w14:textId="77777777" w:rsidR="005E3B18" w:rsidRPr="00FC383C" w:rsidRDefault="005E3B18" w:rsidP="005E3B18">
      <w:pPr>
        <w:spacing w:after="120" w:line="259" w:lineRule="auto"/>
        <w:ind w:firstLine="720"/>
        <w:jc w:val="both"/>
        <w:rPr>
          <w:bCs/>
          <w:i/>
          <w:lang w:val="it-IT"/>
        </w:rPr>
      </w:pPr>
      <w:r w:rsidRPr="00FC383C">
        <w:rPr>
          <w:i/>
          <w:lang w:val="it-IT"/>
        </w:rPr>
        <w:t xml:space="preserve">Investment capital from the State budget continues to </w:t>
      </w:r>
      <w:r w:rsidRPr="00FC383C">
        <w:rPr>
          <w:i/>
          <w:lang w:val="nl-NL"/>
        </w:rPr>
        <w:t xml:space="preserve">be promoted </w:t>
      </w:r>
      <w:r w:rsidRPr="00FC383C">
        <w:rPr>
          <w:bCs/>
          <w:i/>
          <w:lang w:val="nl-NL"/>
        </w:rPr>
        <w:t xml:space="preserve">by ministries, branches and localities. </w:t>
      </w:r>
      <w:r w:rsidRPr="00FC383C">
        <w:rPr>
          <w:i/>
          <w:lang w:val="nl-NL"/>
        </w:rPr>
        <w:t xml:space="preserve">Investment capital realized from the State budget in July 2024 is estimated to increase by 8.2% compared to the previous </w:t>
      </w:r>
      <w:r w:rsidRPr="00FC383C">
        <w:rPr>
          <w:i/>
          <w:lang w:val="nl-NL"/>
        </w:rPr>
        <w:lastRenderedPageBreak/>
        <w:t xml:space="preserve">month; Overall </w:t>
      </w:r>
      <w:r w:rsidRPr="00FC383C">
        <w:rPr>
          <w:i/>
          <w:lang w:val="it-IT"/>
        </w:rPr>
        <w:t xml:space="preserve">, the seven months of 2024 are estimated to reach 40.6% of the yearly plan and increase 2.3% over the same period last year. Foreign direct investment (FDI) implemented in Vietnam in the first seven months of 2024 is estimated to reach 12.55 billion USD, up 8.4% over the same period last year </w:t>
      </w:r>
      <w:r w:rsidRPr="00FC383C">
        <w:rPr>
          <w:i/>
          <w:iCs/>
          <w:lang w:val="de-DE"/>
        </w:rPr>
        <w:t>.</w:t>
      </w:r>
    </w:p>
    <w:p w14:paraId="49B3AC20" w14:textId="77777777" w:rsidR="005E3B18" w:rsidRPr="00FC383C" w:rsidRDefault="005E3B18" w:rsidP="005E3B18">
      <w:pPr>
        <w:spacing w:after="120" w:line="264" w:lineRule="auto"/>
        <w:ind w:firstLine="720"/>
        <w:jc w:val="both"/>
        <w:rPr>
          <w:lang w:val="af-ZA"/>
        </w:rPr>
      </w:pPr>
      <w:r w:rsidRPr="00FC383C">
        <w:rPr>
          <w:lang w:val="af-ZA"/>
        </w:rPr>
        <w:t>Implemented investment capital from the State budget in July 2024 is estimated to reach 57.6 trillion VND, down 1.6% over the same period last year, including: Centrally managed capital reached 10.1 trillion VND copper, down 4.9%; Locally managed capital reached 47.5 trillion VND, down 0.9%. In the seven months of 2024, realized investment capital from the State budget is estimated to reach 301.5 trillion VND, equal to 40.6% of the year's plan and up 2.3% over the same period last year (same period</w:t>
      </w:r>
      <w:r>
        <w:rPr>
          <w:lang w:val="af-ZA"/>
        </w:rPr>
        <w:t xml:space="preserve">, </w:t>
      </w:r>
      <w:r w:rsidRPr="00FC383C">
        <w:rPr>
          <w:lang w:val="af-ZA"/>
        </w:rPr>
        <w:t>in 2023 by 40.2% and increase by 23.6%). Specifically:</w:t>
      </w:r>
    </w:p>
    <w:p w14:paraId="0CDF1E52" w14:textId="77777777" w:rsidR="005E3B18" w:rsidRPr="00FC383C" w:rsidRDefault="005E3B18" w:rsidP="005E3B18">
      <w:pPr>
        <w:spacing w:after="120" w:line="264" w:lineRule="auto"/>
        <w:ind w:firstLine="720"/>
        <w:jc w:val="both"/>
        <w:rPr>
          <w:lang w:val="af-ZA"/>
        </w:rPr>
      </w:pPr>
      <w:r w:rsidRPr="00FC383C">
        <w:rPr>
          <w:bCs/>
          <w:iCs/>
          <w:lang w:val="af-ZA"/>
        </w:rPr>
        <w:t xml:space="preserve">- </w:t>
      </w:r>
      <w:r w:rsidRPr="00FC383C">
        <w:rPr>
          <w:lang w:val="af-ZA"/>
        </w:rPr>
        <w:t>Implemented investment capital managed by the Central Government is estimated at 51.9 trillion VND, equal to 44.9% of the year's plan and down 3.7% over the same period last year. Of which, the Ministry of Transport reached 31.8 trillion VND, down 20.9%; Ministry of Agriculture and Rural Development reached 5.1 trillion VND, an increase of 37.6%; Ministry of Education and Training reached 503.3 billion VND, an increase of 6.6%; Ministry of Health reached 483.6 billion VND, an increase of 19.5%; Ministry of Natural Resources and Environment reached 324.5 billion VND, down 38.9%; The Ministry of Industry and Trade reached 302.5 billion VND, an increase of 10.3%.</w:t>
      </w:r>
    </w:p>
    <w:p w14:paraId="669AE955" w14:textId="77777777" w:rsidR="005E3B18" w:rsidRPr="00FC383C" w:rsidRDefault="005E3B18" w:rsidP="005E3B18">
      <w:pPr>
        <w:spacing w:after="120" w:line="264" w:lineRule="auto"/>
        <w:ind w:firstLine="720"/>
        <w:jc w:val="both"/>
        <w:rPr>
          <w:bCs/>
          <w:iCs/>
          <w:lang w:val="af-ZA"/>
        </w:rPr>
      </w:pPr>
      <w:r w:rsidRPr="00FC383C">
        <w:rPr>
          <w:bCs/>
          <w:iCs/>
          <w:lang w:val="af-ZA"/>
        </w:rPr>
        <w:t>- Locally managed investment capital is estimated at 249.6 trillion VND, equal to 39.8% of the year's plan and up 3.6% over the same period last year, of which:</w:t>
      </w:r>
    </w:p>
    <w:p w14:paraId="5FF64EE6" w14:textId="77777777" w:rsidR="005E3B18" w:rsidRPr="00FC383C" w:rsidRDefault="005E3B18" w:rsidP="005E3B18">
      <w:pPr>
        <w:spacing w:after="120" w:line="264" w:lineRule="auto"/>
        <w:ind w:firstLine="720"/>
        <w:jc w:val="both"/>
        <w:rPr>
          <w:bCs/>
          <w:iCs/>
          <w:lang w:val="af-ZA"/>
        </w:rPr>
      </w:pPr>
      <w:r w:rsidRPr="00FC383C">
        <w:rPr>
          <w:bCs/>
          <w:iCs/>
          <w:lang w:val="af-ZA"/>
        </w:rPr>
        <w:t>Provincial State budget capital reached nearly 166.8 trillion VND, equal to 37.8% and increased 2.3%;</w:t>
      </w:r>
    </w:p>
    <w:p w14:paraId="073DB269" w14:textId="77777777" w:rsidR="005E3B18" w:rsidRPr="00FC383C" w:rsidRDefault="005E3B18" w:rsidP="005E3B18">
      <w:pPr>
        <w:pStyle w:val="ListParagraph"/>
        <w:spacing w:after="120" w:line="264" w:lineRule="auto"/>
        <w:ind w:left="0" w:firstLine="720"/>
        <w:contextualSpacing w:val="0"/>
        <w:jc w:val="both"/>
        <w:rPr>
          <w:bCs/>
          <w:iCs/>
          <w:lang w:val="af-ZA"/>
        </w:rPr>
      </w:pPr>
      <w:r w:rsidRPr="00FC383C">
        <w:rPr>
          <w:bCs/>
          <w:iCs/>
          <w:lang w:val="af-ZA"/>
        </w:rPr>
        <w:t>State budget capital at district level reached 71.3 trillion VND, equal to 43.3% and increased 6.7%;</w:t>
      </w:r>
    </w:p>
    <w:p w14:paraId="64F22C5A" w14:textId="77777777" w:rsidR="005E3B18" w:rsidRPr="00FC383C" w:rsidRDefault="005E3B18" w:rsidP="005E3B18">
      <w:pPr>
        <w:pStyle w:val="ListParagraph"/>
        <w:spacing w:after="120" w:line="264" w:lineRule="auto"/>
        <w:ind w:left="0" w:firstLine="720"/>
        <w:contextualSpacing w:val="0"/>
        <w:jc w:val="both"/>
        <w:rPr>
          <w:rFonts w:eastAsia="Times New Roman"/>
          <w:bCs/>
          <w:iCs/>
          <w:lang w:val="af-ZA"/>
        </w:rPr>
      </w:pPr>
      <w:r w:rsidRPr="00FC383C">
        <w:rPr>
          <w:rFonts w:eastAsia="Times New Roman"/>
          <w:bCs/>
          <w:iCs/>
          <w:lang w:val="af-ZA"/>
        </w:rPr>
        <w:t>State budget capital at commune level reached 11.5 tr</w:t>
      </w:r>
      <w:r>
        <w:rPr>
          <w:rFonts w:eastAsia="Times New Roman"/>
          <w:bCs/>
          <w:iCs/>
          <w:lang w:val="af-ZA"/>
        </w:rPr>
        <w:t xml:space="preserve">illion VND, equal to 54.8% and </w:t>
      </w:r>
      <w:r w:rsidRPr="00FC383C">
        <w:rPr>
          <w:rFonts w:eastAsia="Times New Roman"/>
          <w:bCs/>
          <w:iCs/>
          <w:lang w:val="af-ZA"/>
        </w:rPr>
        <w:t>increased by 5.1%.</w:t>
      </w:r>
    </w:p>
    <w:p w14:paraId="399C5A1A" w14:textId="77777777" w:rsidR="005E3B18" w:rsidRPr="00FC383C" w:rsidRDefault="005E3B18" w:rsidP="005E3B18">
      <w:pPr>
        <w:spacing w:after="120" w:line="264" w:lineRule="auto"/>
        <w:ind w:firstLine="720"/>
        <w:jc w:val="both"/>
        <w:rPr>
          <w:rFonts w:ascii="Arial" w:hAnsi="Arial" w:cs="Arial"/>
          <w:b/>
          <w:bCs/>
          <w:sz w:val="24"/>
          <w:szCs w:val="24"/>
          <w:lang w:val="af-ZA"/>
        </w:rPr>
      </w:pPr>
      <w:r w:rsidRPr="00FC383C">
        <w:rPr>
          <w:bCs/>
          <w:iCs/>
          <w:lang w:val="af-ZA"/>
        </w:rPr>
        <w:t>Investment capital made from the State budget in the first seven months of 2024 of a number of provinces and centrally run cities is as follows:</w:t>
      </w:r>
    </w:p>
    <w:p w14:paraId="3E397661" w14:textId="77777777" w:rsidR="005E3B18" w:rsidRPr="00FC383C" w:rsidRDefault="005E3B18" w:rsidP="005E3B18">
      <w:pPr>
        <w:spacing w:line="276" w:lineRule="auto"/>
        <w:jc w:val="center"/>
        <w:rPr>
          <w:rFonts w:ascii="Arial" w:hAnsi="Arial" w:cs="Arial"/>
          <w:b/>
          <w:bCs/>
          <w:sz w:val="24"/>
          <w:szCs w:val="24"/>
          <w:lang w:val="af-ZA"/>
        </w:rPr>
      </w:pPr>
      <w:r w:rsidRPr="00FC383C">
        <w:rPr>
          <w:rFonts w:ascii="Arial" w:hAnsi="Arial" w:cs="Arial"/>
          <w:b/>
          <w:bCs/>
          <w:sz w:val="24"/>
          <w:szCs w:val="24"/>
          <w:lang w:val="af-ZA"/>
        </w:rPr>
        <w:t>Figure 6. Investment capital made from the State budget</w:t>
      </w:r>
    </w:p>
    <w:p w14:paraId="3D7F4666" w14:textId="77777777" w:rsidR="005E3B18" w:rsidRDefault="005E3B18" w:rsidP="005E3B18">
      <w:pPr>
        <w:spacing w:line="276" w:lineRule="auto"/>
        <w:jc w:val="center"/>
        <w:rPr>
          <w:rFonts w:ascii="Arial" w:hAnsi="Arial" w:cs="Arial"/>
          <w:b/>
          <w:bCs/>
          <w:sz w:val="24"/>
          <w:szCs w:val="24"/>
          <w:lang w:val="af-ZA"/>
        </w:rPr>
      </w:pPr>
      <w:r w:rsidRPr="00FC383C">
        <w:rPr>
          <w:rFonts w:ascii="Arial" w:hAnsi="Arial" w:cs="Arial"/>
          <w:b/>
          <w:bCs/>
          <w:sz w:val="24"/>
          <w:szCs w:val="24"/>
          <w:lang w:val="af-ZA"/>
        </w:rPr>
        <w:t>of some localities</w:t>
      </w:r>
    </w:p>
    <w:p w14:paraId="56BC84C1" w14:textId="77777777" w:rsidR="005E3B18" w:rsidRDefault="005E3B18" w:rsidP="005E3B18">
      <w:pPr>
        <w:spacing w:line="276" w:lineRule="auto"/>
        <w:jc w:val="center"/>
        <w:rPr>
          <w:rFonts w:ascii="Arial" w:hAnsi="Arial" w:cs="Arial"/>
          <w:b/>
          <w:bCs/>
          <w:sz w:val="24"/>
          <w:szCs w:val="24"/>
          <w:lang w:val="af-ZA"/>
        </w:rPr>
      </w:pPr>
    </w:p>
    <w:p w14:paraId="193DC7D1" w14:textId="77777777" w:rsidR="005E3B18" w:rsidRDefault="005E3B18" w:rsidP="005E3B18">
      <w:pPr>
        <w:spacing w:line="276" w:lineRule="auto"/>
        <w:jc w:val="center"/>
        <w:rPr>
          <w:rFonts w:ascii="Arial" w:hAnsi="Arial" w:cs="Arial"/>
          <w:b/>
          <w:bCs/>
          <w:sz w:val="24"/>
          <w:szCs w:val="24"/>
          <w:lang w:val="af-ZA"/>
        </w:rPr>
      </w:pPr>
    </w:p>
    <w:p w14:paraId="72275F62" w14:textId="77777777" w:rsidR="005E3B18" w:rsidRPr="00FC383C" w:rsidRDefault="005E3B18" w:rsidP="005E3B18">
      <w:pPr>
        <w:spacing w:line="276" w:lineRule="auto"/>
        <w:jc w:val="center"/>
        <w:rPr>
          <w:rFonts w:ascii="Arial" w:hAnsi="Arial" w:cs="Arial"/>
          <w:b/>
          <w:bCs/>
          <w:sz w:val="24"/>
          <w:szCs w:val="24"/>
          <w:lang w:val="af-ZA"/>
        </w:rPr>
      </w:pPr>
      <w:r>
        <w:rPr>
          <w:noProof/>
          <w:lang w:val="en-US"/>
        </w:rPr>
        <w:lastRenderedPageBreak/>
        <w:drawing>
          <wp:inline distT="0" distB="0" distL="0" distR="0" wp14:anchorId="51FC0D3C" wp14:editId="4D9491C2">
            <wp:extent cx="5943600" cy="2757805"/>
            <wp:effectExtent l="0" t="0" r="0" b="4445"/>
            <wp:docPr id="1920103933" name="Chart 1920103933">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833739" w14:textId="77777777" w:rsidR="005E3B18" w:rsidRPr="00FC383C" w:rsidRDefault="005E3B18" w:rsidP="005E3B18">
      <w:pPr>
        <w:spacing w:line="276" w:lineRule="auto"/>
        <w:jc w:val="center"/>
        <w:rPr>
          <w:rFonts w:ascii="Arial" w:hAnsi="Arial" w:cs="Arial"/>
          <w:b/>
          <w:bCs/>
          <w:sz w:val="24"/>
          <w:szCs w:val="24"/>
          <w:lang w:val="af-ZA"/>
        </w:rPr>
      </w:pPr>
    </w:p>
    <w:p w14:paraId="23EA7308" w14:textId="77777777" w:rsidR="005E3B18" w:rsidRPr="00FC383C" w:rsidRDefault="005E3B18" w:rsidP="005E3B18">
      <w:pPr>
        <w:ind w:firstLine="720"/>
        <w:jc w:val="both"/>
        <w:rPr>
          <w:rFonts w:ascii="Arial" w:hAnsi="Arial" w:cs="Arial"/>
          <w:b/>
          <w:bCs/>
          <w:sz w:val="24"/>
          <w:szCs w:val="24"/>
          <w:lang w:val="de-DE"/>
        </w:rPr>
      </w:pPr>
      <w:r w:rsidRPr="00FC383C">
        <w:rPr>
          <w:i/>
          <w:iCs/>
          <w:lang w:val="de-DE"/>
        </w:rPr>
        <w:t>Total foreign investment capital registered in Vietnam</w:t>
      </w:r>
      <w:r w:rsidRPr="00FC383C">
        <w:rPr>
          <w:rStyle w:val="FootnoteReference"/>
          <w:i/>
          <w:iCs/>
          <w:lang w:val="de-DE"/>
        </w:rPr>
        <w:footnoteReference w:id="13"/>
      </w:r>
      <w:r w:rsidRPr="00FC383C">
        <w:rPr>
          <w:i/>
          <w:iCs/>
          <w:lang w:val="de-DE"/>
        </w:rPr>
        <w:t xml:space="preserve"> </w:t>
      </w:r>
      <w:r w:rsidRPr="00FC383C">
        <w:rPr>
          <w:iCs/>
          <w:lang w:val="de-DE"/>
        </w:rPr>
        <w:t>As of July 20, 2024, including: Newly registered capital, adjusted registered capital and value of capital contributions and share purchases by foreign investors reached more than 18 billion USD, an increase of 10.9% compared to in the same period last year.</w:t>
      </w:r>
    </w:p>
    <w:p w14:paraId="744BADFB" w14:textId="77777777" w:rsidR="005E3B18" w:rsidRDefault="005E3B18" w:rsidP="005E3B18">
      <w:pPr>
        <w:spacing w:before="120" w:after="120"/>
        <w:jc w:val="center"/>
        <w:rPr>
          <w:rFonts w:ascii="Arial" w:hAnsi="Arial" w:cs="Arial"/>
          <w:b/>
          <w:bCs/>
          <w:sz w:val="24"/>
          <w:szCs w:val="24"/>
          <w:lang w:val="de-DE"/>
        </w:rPr>
      </w:pPr>
      <w:r w:rsidRPr="00FC383C">
        <w:rPr>
          <w:rFonts w:ascii="Arial" w:hAnsi="Arial" w:cs="Arial"/>
          <w:b/>
          <w:bCs/>
          <w:sz w:val="24"/>
          <w:szCs w:val="24"/>
          <w:lang w:val="de-DE"/>
        </w:rPr>
        <w:t xml:space="preserve">Figure 7. Foreign investment capital registered in Vietnam </w:t>
      </w:r>
      <w:r w:rsidRPr="00FC383C">
        <w:rPr>
          <w:rFonts w:ascii="Arial" w:hAnsi="Arial" w:cs="Arial"/>
          <w:b/>
          <w:bCs/>
          <w:sz w:val="24"/>
          <w:szCs w:val="24"/>
          <w:lang w:val="de-DE"/>
        </w:rPr>
        <w:br/>
        <w:t>as of July 20, 2020-2024 (Billion USD)</w:t>
      </w:r>
    </w:p>
    <w:p w14:paraId="165E593E" w14:textId="77777777" w:rsidR="005E3B18" w:rsidRPr="00FC383C" w:rsidRDefault="005E3B18" w:rsidP="005E3B18">
      <w:pPr>
        <w:spacing w:before="120" w:after="120"/>
        <w:jc w:val="center"/>
        <w:rPr>
          <w:rFonts w:ascii="Arial" w:hAnsi="Arial" w:cs="Arial"/>
          <w:b/>
          <w:bCs/>
          <w:sz w:val="24"/>
          <w:szCs w:val="24"/>
          <w:lang w:val="de-DE"/>
        </w:rPr>
      </w:pPr>
      <w:r>
        <w:rPr>
          <w:noProof/>
          <w:lang w:val="en-US"/>
        </w:rPr>
        <w:drawing>
          <wp:inline distT="0" distB="0" distL="0" distR="0" wp14:anchorId="57A8ACF2" wp14:editId="7CFFA836">
            <wp:extent cx="5286376" cy="3524250"/>
            <wp:effectExtent l="0" t="0" r="9525" b="0"/>
            <wp:docPr id="2" name="Chart 2">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925818" w14:textId="77777777" w:rsidR="005E3B18" w:rsidRPr="00FC383C" w:rsidRDefault="005E3B18" w:rsidP="005E3B18">
      <w:pPr>
        <w:jc w:val="center"/>
        <w:rPr>
          <w:rFonts w:ascii="Arial" w:hAnsi="Arial" w:cs="Arial"/>
          <w:b/>
          <w:bCs/>
          <w:sz w:val="24"/>
          <w:szCs w:val="24"/>
          <w:lang w:val="de-DE"/>
        </w:rPr>
      </w:pPr>
    </w:p>
    <w:p w14:paraId="554A6FE0" w14:textId="77777777" w:rsidR="005E3B18" w:rsidRPr="00FC383C" w:rsidRDefault="005E3B18" w:rsidP="005E3B18">
      <w:pPr>
        <w:spacing w:after="120" w:line="276" w:lineRule="auto"/>
        <w:ind w:firstLine="720"/>
        <w:jc w:val="both"/>
        <w:rPr>
          <w:iCs/>
          <w:spacing w:val="-2"/>
          <w:lang w:val="de-DE"/>
        </w:rPr>
      </w:pPr>
      <w:r w:rsidRPr="00FC383C">
        <w:rPr>
          <w:b/>
          <w:bCs/>
          <w:noProof/>
          <w:spacing w:val="-2"/>
          <w:lang w:val="de-DE"/>
        </w:rPr>
        <w:lastRenderedPageBreak/>
        <w:softHyphen/>
      </w:r>
      <w:r w:rsidRPr="00FC383C">
        <w:rPr>
          <w:b/>
          <w:bCs/>
          <w:noProof/>
          <w:spacing w:val="-2"/>
          <w:lang w:val="de-DE"/>
        </w:rPr>
        <w:softHyphen/>
      </w:r>
      <w:r w:rsidRPr="00FC383C">
        <w:rPr>
          <w:b/>
          <w:bCs/>
          <w:noProof/>
          <w:spacing w:val="-2"/>
          <w:lang w:val="de-DE"/>
        </w:rPr>
        <w:softHyphen/>
      </w:r>
      <w:r w:rsidRPr="00FC383C">
        <w:rPr>
          <w:iCs/>
          <w:spacing w:val="-2"/>
          <w:lang w:val="de-DE"/>
        </w:rPr>
        <w:t>- Newly registered capital has 1,816 licensed projects with a registered capital of 10.76 billion USD, an increase of 11.6% over the same period last year in the number of projects and an increase of 35.6% in registered capital. sign. Among them, the processing and manufacturing industry has the largest newly licensed foreign direct investment with a registered capital of 7.88 billion USD, accounting for 73.2% of the total newly registered capital; Real estate business activities reached 1.94 billion USD, accounting for 18%; The remaining industries reached 939.7 million USD, accounting for 8.8%.</w:t>
      </w:r>
    </w:p>
    <w:p w14:paraId="23B2D871" w14:textId="77777777" w:rsidR="005E3B18" w:rsidRPr="00FC383C" w:rsidRDefault="005E3B18" w:rsidP="005E3B18">
      <w:pPr>
        <w:spacing w:after="120" w:line="276" w:lineRule="auto"/>
        <w:ind w:firstLine="720"/>
        <w:jc w:val="both"/>
        <w:rPr>
          <w:iCs/>
          <w:lang w:val="de-DE"/>
        </w:rPr>
      </w:pPr>
      <w:r w:rsidRPr="00FC383C">
        <w:rPr>
          <w:iCs/>
          <w:lang w:val="de-DE"/>
        </w:rPr>
        <w:t xml:space="preserve">Among the 62 countries and territories with new licensed investment projects in Vietnam in the seven months of 2024, Singapore is the largest investor with 4.55 billion USD, accounting for 42.3%. total newly registered capital; followed by Hong Kong Special Administrative Region (China) with 1.31 billion USD, accounting for 12.1%; China 1.22 billion USD, accounting for 11.3 </w:t>
      </w:r>
      <w:r w:rsidRPr="00FC383C">
        <w:rPr>
          <w:iCs/>
          <w:lang w:val="vi-VN"/>
        </w:rPr>
        <w:t xml:space="preserve">% </w:t>
      </w:r>
      <w:r w:rsidRPr="00FC383C">
        <w:rPr>
          <w:iCs/>
          <w:lang w:val="de-DE"/>
        </w:rPr>
        <w:t>; Japan 991.5 million USD, accounting for 9.2%; Türkiye 731.3 million USD, accounting for 6.8%; Taiwan 588.4 million USD, accounting for 5.5%.</w:t>
      </w:r>
    </w:p>
    <w:p w14:paraId="1F262864" w14:textId="77777777" w:rsidR="005E3B18" w:rsidRPr="00FC383C" w:rsidRDefault="005E3B18" w:rsidP="005E3B18">
      <w:pPr>
        <w:spacing w:after="120" w:line="276" w:lineRule="auto"/>
        <w:ind w:firstLine="720"/>
        <w:jc w:val="both"/>
        <w:rPr>
          <w:iCs/>
          <w:lang w:val="de-DE"/>
        </w:rPr>
      </w:pPr>
      <w:r w:rsidRPr="00FC383C">
        <w:rPr>
          <w:iCs/>
          <w:lang w:val="de-DE"/>
        </w:rPr>
        <w:t>- Adjusted registered capital: 734 projects licensed from previous years registered to adjust their investment capital by 4.97 billion USD, up 19.4% over the same period last year.</w:t>
      </w:r>
    </w:p>
    <w:p w14:paraId="15E846CB" w14:textId="77777777" w:rsidR="005E3B18" w:rsidRPr="00FC383C" w:rsidRDefault="005E3B18" w:rsidP="005E3B18">
      <w:pPr>
        <w:spacing w:after="120" w:line="276" w:lineRule="auto"/>
        <w:ind w:firstLine="720"/>
        <w:jc w:val="both"/>
        <w:rPr>
          <w:iCs/>
          <w:lang w:val="de-DE"/>
        </w:rPr>
      </w:pPr>
      <w:r w:rsidRPr="00FC383C">
        <w:rPr>
          <w:iCs/>
          <w:lang w:val="de-DE"/>
        </w:rPr>
        <w:t>If including new registered capital and adjusted registered capital of projects licensed in previous years, registered foreign direct investment capital in the processing and manufacturing industry reached 12.23 billion USD, accounting for 77.8% of total newly registered and increased capital; Real estate business activities reached 2.11 billion USD, accounting for 13.4%; The remaining industries reached 1.39 billion USD, accounting for 8.8%.</w:t>
      </w:r>
    </w:p>
    <w:p w14:paraId="0AF091A5" w14:textId="77777777" w:rsidR="005E3B18" w:rsidRPr="00FC383C" w:rsidRDefault="005E3B18" w:rsidP="005E3B18">
      <w:pPr>
        <w:spacing w:after="120" w:line="276" w:lineRule="auto"/>
        <w:ind w:firstLine="720"/>
        <w:jc w:val="both"/>
        <w:rPr>
          <w:iCs/>
          <w:lang w:val="de-DE"/>
        </w:rPr>
      </w:pPr>
      <w:r w:rsidRPr="00FC383C">
        <w:rPr>
          <w:iCs/>
          <w:lang w:val="de-DE"/>
        </w:rPr>
        <w:t>- Registered capital for capital contribution and share purchase by foreign investors was 1,795 times with a total capital contribution value of 2.27 billion USD, down 45.2% over the same period last year. Of these, there were 689 capital contributions and share purchases to increase the enterprise's charter capital with a capital contribution value of 1.03 billion USD; 1,106 foreign investors bought back domestic shares without increasing charter capital with a value of 1.24 billion USD. For the form of capital contribution and share purchase by foreign investors, capital invested in real estate business activities reached 759.6 million USD, accounting for 33.5% of the value of capital contribution; Processing and manufacturing industry reached 422.5 million USD, accounting for 18.6%; The remaining industries have 1.09 billion USD, accounting for 47.9%.</w:t>
      </w:r>
    </w:p>
    <w:p w14:paraId="4A102DC0" w14:textId="77777777" w:rsidR="005E3B18" w:rsidRPr="00FC383C" w:rsidRDefault="005E3B18" w:rsidP="005E3B18">
      <w:pPr>
        <w:spacing w:after="120" w:line="276" w:lineRule="auto"/>
        <w:ind w:firstLine="720"/>
        <w:jc w:val="both"/>
        <w:rPr>
          <w:rFonts w:ascii="Arial" w:hAnsi="Arial" w:cs="Arial"/>
          <w:b/>
          <w:bCs/>
          <w:sz w:val="24"/>
          <w:lang w:val="de-DE"/>
        </w:rPr>
      </w:pPr>
      <w:r w:rsidRPr="00FC383C">
        <w:rPr>
          <w:i/>
          <w:iCs/>
          <w:lang w:val="de-DE"/>
        </w:rPr>
        <w:lastRenderedPageBreak/>
        <w:t xml:space="preserve">Foreign direct investment capital made in Vietnam </w:t>
      </w:r>
      <w:r w:rsidRPr="00FC383C">
        <w:rPr>
          <w:iCs/>
          <w:lang w:val="de-DE"/>
        </w:rPr>
        <w:t>seven</w:t>
      </w:r>
      <w:r w:rsidRPr="00FC383C">
        <w:rPr>
          <w:i/>
          <w:iCs/>
          <w:lang w:val="de-DE"/>
        </w:rPr>
        <w:t xml:space="preserve"> </w:t>
      </w:r>
      <w:r w:rsidRPr="00FC383C">
        <w:rPr>
          <w:iCs/>
          <w:lang w:val="de-DE"/>
        </w:rPr>
        <w:t>May 2024 is estimated to reach 12.55 billion USD, an increase of 8.4% over the same period last year. This is the highest amount of realized foreign direct investment in seven months in the past 5 years. Of which: Processing and manufacturing industry reached 9.98 billion USD, accounting for 79.5% of total realized foreign direct investment capital; Real estate business activities reached 1.14 billion USD, accounting for 9.1%; Production and distribution of electricity, gas, hot water, steam and air conditioning reached 481.1 million USD, accounting for 3.8%.</w:t>
      </w:r>
    </w:p>
    <w:p w14:paraId="69B7EB2D" w14:textId="77777777" w:rsidR="005E3B18" w:rsidRPr="00FC383C" w:rsidRDefault="005E3B18" w:rsidP="005E3B18">
      <w:pPr>
        <w:jc w:val="center"/>
        <w:rPr>
          <w:rFonts w:ascii="Arial" w:hAnsi="Arial" w:cs="Arial"/>
          <w:b/>
          <w:bCs/>
          <w:sz w:val="24"/>
          <w:lang w:val="de-DE"/>
        </w:rPr>
      </w:pPr>
      <w:r w:rsidRPr="00FC383C">
        <w:rPr>
          <w:rFonts w:ascii="Arial" w:hAnsi="Arial" w:cs="Arial"/>
          <w:b/>
          <w:bCs/>
          <w:sz w:val="24"/>
          <w:lang w:val="de-DE"/>
        </w:rPr>
        <w:t xml:space="preserve">Figure 8. Realized foreign direct investment capital in </w:t>
      </w:r>
      <w:r w:rsidRPr="00FC383C">
        <w:rPr>
          <w:rFonts w:ascii="Arial" w:hAnsi="Arial" w:cs="Arial"/>
          <w:b/>
          <w:bCs/>
          <w:sz w:val="24"/>
          <w:lang w:val="de-DE"/>
        </w:rPr>
        <w:br/>
        <w:t>7 months of 2020-2024 (Billion USD)</w:t>
      </w:r>
    </w:p>
    <w:p w14:paraId="4FC601AD" w14:textId="77777777" w:rsidR="005E3B18" w:rsidRPr="00FC383C" w:rsidRDefault="005E3B18" w:rsidP="005E3B18">
      <w:pPr>
        <w:jc w:val="center"/>
        <w:rPr>
          <w:rFonts w:ascii="Arial" w:hAnsi="Arial" w:cs="Arial"/>
          <w:b/>
          <w:bCs/>
          <w:sz w:val="24"/>
          <w:lang w:val="de-DE"/>
        </w:rPr>
      </w:pPr>
      <w:r w:rsidRPr="00FC383C">
        <w:rPr>
          <w:noProof/>
          <w:lang w:val="en-US"/>
        </w:rPr>
        <w:drawing>
          <wp:inline distT="0" distB="0" distL="0" distR="0" wp14:anchorId="76E519D2" wp14:editId="4E1C9762">
            <wp:extent cx="4572000" cy="1316182"/>
            <wp:effectExtent l="0" t="0" r="0" b="1778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3B2C00" w14:textId="77777777" w:rsidR="005E3B18" w:rsidRPr="00FC383C" w:rsidRDefault="005E3B18" w:rsidP="005E3B18">
      <w:pPr>
        <w:spacing w:after="120" w:line="252" w:lineRule="auto"/>
        <w:ind w:firstLine="720"/>
        <w:jc w:val="both"/>
        <w:rPr>
          <w:i/>
          <w:iCs/>
          <w:lang w:val="de-DE"/>
        </w:rPr>
      </w:pPr>
      <w:r w:rsidRPr="00FC383C">
        <w:rPr>
          <w:i/>
          <w:iCs/>
          <w:lang w:val="de-DE"/>
        </w:rPr>
        <w:t xml:space="preserve">Vietnam's investment abroad </w:t>
      </w:r>
      <w:r w:rsidRPr="00FC383C">
        <w:rPr>
          <w:iCs/>
          <w:lang w:val="de-DE"/>
        </w:rPr>
        <w:t>in the seven months of 2024 has 64 projects newly granted investment certificates with a total Vietnamese capital of 122 million USD, down 18.2% over the same period last year; There were 15 projects with adjusted capital with an increase of 28.6 million USD, a decrease of 83.3%.</w:t>
      </w:r>
    </w:p>
    <w:p w14:paraId="4B13FA41" w14:textId="77777777" w:rsidR="005E3B18" w:rsidRPr="00FC383C" w:rsidRDefault="005E3B18" w:rsidP="005E3B18">
      <w:pPr>
        <w:spacing w:after="120" w:line="252" w:lineRule="auto"/>
        <w:ind w:firstLine="720"/>
        <w:jc w:val="both"/>
        <w:rPr>
          <w:iCs/>
          <w:spacing w:val="-4"/>
          <w:lang w:val="de-DE"/>
        </w:rPr>
      </w:pPr>
      <w:r w:rsidRPr="00FC383C">
        <w:rPr>
          <w:iCs/>
          <w:spacing w:val="-4"/>
          <w:lang w:val="de-DE"/>
        </w:rPr>
        <w:t>In the seven months of 2024, Vietnam's total investment capital abroad (new and adjusted capital) reached 150.7 million USD, down 53% over the same period last year. Of which: Mining reached 58.6 million USD, accounting for 38.9% of total investment capital; Processing and manufacturing industry reached 28.9 million USD, accounting for 19.2%; wholesale and retail, repair of cars, motorbikes, motorbikes and other motor vehicles reached 24.7 million USD, accounting for 16.4%; Other services reached 10.0 million USD, accounting for 6.6%; Production and distribution of electricity, gas, hot water and air conditioning reached 6.8 million USD, accounting for 4.5%.</w:t>
      </w:r>
    </w:p>
    <w:p w14:paraId="58746C00" w14:textId="77777777" w:rsidR="005E3B18" w:rsidRPr="00FC383C" w:rsidRDefault="005E3B18" w:rsidP="005E3B18">
      <w:pPr>
        <w:spacing w:after="120" w:line="252" w:lineRule="auto"/>
        <w:ind w:firstLine="720"/>
        <w:jc w:val="both"/>
        <w:rPr>
          <w:b/>
          <w:bCs/>
          <w:lang w:val="af-ZA"/>
        </w:rPr>
      </w:pPr>
      <w:r w:rsidRPr="00FC383C">
        <w:rPr>
          <w:iCs/>
          <w:lang w:val="de-DE"/>
        </w:rPr>
        <w:t>In the seven months of 2024, there will be 23 countries and territories receiving investment from Vietnam, of which: the Netherlands is the leading country with 54.6 million USD, accounting for 36.2% of total investment capital; Laos 36.7 million USD, accounting for 24.3%; United States 18.7 million USD, accounting for 12.4%; Cambodia 12.4 million USD, accounting for 8.2%; New Zealand 5.9 million USD, accounting for 3.9%.</w:t>
      </w:r>
    </w:p>
    <w:p w14:paraId="0560146B" w14:textId="77777777" w:rsidR="005E3B18" w:rsidRDefault="005E3B18" w:rsidP="005E3B18"/>
    <w:p w14:paraId="0EE7E124" w14:textId="77777777" w:rsidR="005E3B18" w:rsidRPr="00FC383C" w:rsidRDefault="005E3B18" w:rsidP="005E3B18">
      <w:pPr>
        <w:spacing w:after="120" w:line="252" w:lineRule="auto"/>
        <w:ind w:firstLine="720"/>
        <w:jc w:val="both"/>
        <w:rPr>
          <w:b/>
          <w:bCs/>
          <w:lang w:val="de-DE"/>
        </w:rPr>
      </w:pPr>
      <w:r w:rsidRPr="00FC383C">
        <w:rPr>
          <w:b/>
          <w:bCs/>
          <w:lang w:val="af-ZA"/>
        </w:rPr>
        <w:t xml:space="preserve">5. </w:t>
      </w:r>
      <w:r w:rsidRPr="00FC383C">
        <w:rPr>
          <w:b/>
          <w:bCs/>
          <w:lang w:val="de-DE"/>
        </w:rPr>
        <w:t>State budget revenue and expenditure</w:t>
      </w:r>
      <w:r w:rsidRPr="00FC383C">
        <w:rPr>
          <w:b/>
          <w:bCs/>
          <w:vertAlign w:val="superscript"/>
          <w:lang w:val="en-GB"/>
        </w:rPr>
        <w:footnoteReference w:id="14"/>
      </w:r>
    </w:p>
    <w:p w14:paraId="70B4E6EF" w14:textId="77777777" w:rsidR="005E3B18" w:rsidRPr="00FC383C" w:rsidRDefault="005E3B18" w:rsidP="005E3B18">
      <w:pPr>
        <w:spacing w:after="120" w:line="252" w:lineRule="auto"/>
        <w:ind w:firstLine="720"/>
        <w:jc w:val="both"/>
        <w:rPr>
          <w:b/>
          <w:lang w:val="nl-NL"/>
        </w:rPr>
      </w:pPr>
      <w:r w:rsidRPr="00FC383C">
        <w:rPr>
          <w:i/>
          <w:lang w:val="nl-NL"/>
        </w:rPr>
        <w:lastRenderedPageBreak/>
        <w:t>State budget revenue in the seven months of 2024 increase</w:t>
      </w:r>
      <w:r>
        <w:rPr>
          <w:i/>
          <w:lang w:val="nl-NL"/>
        </w:rPr>
        <w:t>d</w:t>
      </w:r>
      <w:r w:rsidRPr="00FC383C">
        <w:rPr>
          <w:i/>
          <w:lang w:val="nl-NL"/>
        </w:rPr>
        <w:t xml:space="preserve"> by 14.6% over the same period last year</w:t>
      </w:r>
      <w:r w:rsidRPr="00FC383C">
        <w:rPr>
          <w:i/>
          <w:lang w:val="vi-VN"/>
        </w:rPr>
        <w:t xml:space="preserve">. </w:t>
      </w:r>
      <w:r w:rsidRPr="00FC383C">
        <w:rPr>
          <w:i/>
          <w:lang w:val="nl-NL"/>
        </w:rPr>
        <w:t xml:space="preserve">State budget </w:t>
      </w:r>
      <w:r w:rsidRPr="00610E3C">
        <w:rPr>
          <w:i/>
          <w:spacing w:val="-2"/>
          <w:lang w:val="vi-VN"/>
        </w:rPr>
        <w:t>expenditure</w:t>
      </w:r>
      <w:r w:rsidRPr="00FC383C">
        <w:rPr>
          <w:i/>
          <w:lang w:val="nl-NL"/>
        </w:rPr>
        <w:t xml:space="preserve"> increase</w:t>
      </w:r>
      <w:r>
        <w:rPr>
          <w:i/>
          <w:lang w:val="nl-NL"/>
        </w:rPr>
        <w:t>d</w:t>
      </w:r>
      <w:r w:rsidRPr="00FC383C">
        <w:rPr>
          <w:i/>
          <w:lang w:val="nl-NL"/>
        </w:rPr>
        <w:t xml:space="preserve"> by </w:t>
      </w:r>
      <w:r>
        <w:rPr>
          <w:i/>
        </w:rPr>
        <w:t>0.6</w:t>
      </w:r>
      <w:r>
        <w:rPr>
          <w:i/>
          <w:lang w:val="nl-NL"/>
        </w:rPr>
        <w:t>% over the same period in 2023</w:t>
      </w:r>
      <w:r w:rsidRPr="00FC383C">
        <w:rPr>
          <w:i/>
        </w:rPr>
        <w:t xml:space="preserve">, </w:t>
      </w:r>
      <w:r w:rsidRPr="00FC383C">
        <w:rPr>
          <w:i/>
          <w:lang w:val="nl-NL"/>
        </w:rPr>
        <w:t>ensuring the needs of socio-economic development, national defense, security, state management, and payment of due debts. as well as make timely payments to subjects according to regulations.</w:t>
      </w:r>
      <w:r w:rsidRPr="00FC383C">
        <w:rPr>
          <w:b/>
          <w:lang w:val="nl-NL"/>
        </w:rPr>
        <w:t xml:space="preserve"> </w:t>
      </w:r>
    </w:p>
    <w:p w14:paraId="670C5C41" w14:textId="77777777" w:rsidR="005E3B18" w:rsidRPr="00FC383C" w:rsidRDefault="005E3B18" w:rsidP="005E3B18">
      <w:pPr>
        <w:jc w:val="center"/>
        <w:rPr>
          <w:rFonts w:ascii="Arial" w:hAnsi="Arial" w:cs="Arial"/>
          <w:b/>
          <w:sz w:val="24"/>
          <w:szCs w:val="24"/>
          <w:lang w:val="vi-VN"/>
        </w:rPr>
      </w:pPr>
      <w:r w:rsidRPr="00FC383C">
        <w:rPr>
          <w:rFonts w:ascii="Arial" w:hAnsi="Arial" w:cs="Arial"/>
          <w:b/>
          <w:sz w:val="24"/>
          <w:szCs w:val="24"/>
          <w:lang w:val="nl-NL"/>
        </w:rPr>
        <w:t>Figure 9. State budget revenue and expenditure in 7 months of 2024</w:t>
      </w:r>
    </w:p>
    <w:p w14:paraId="603C0626" w14:textId="77777777" w:rsidR="005E3B18" w:rsidRPr="00FC383C" w:rsidRDefault="005E3B18" w:rsidP="005E3B18">
      <w:pPr>
        <w:jc w:val="center"/>
        <w:rPr>
          <w:rFonts w:ascii="Arial" w:hAnsi="Arial" w:cs="Arial"/>
          <w:b/>
          <w:sz w:val="24"/>
          <w:szCs w:val="24"/>
          <w:lang w:val="vi-VN"/>
        </w:rPr>
      </w:pPr>
      <w:r>
        <w:rPr>
          <w:rFonts w:ascii="Arial" w:hAnsi="Arial" w:cs="Arial"/>
          <w:b/>
          <w:noProof/>
          <w:sz w:val="24"/>
          <w:szCs w:val="24"/>
          <w:lang w:val="en-US"/>
        </w:rPr>
        <w:drawing>
          <wp:inline distT="0" distB="0" distL="0" distR="0" wp14:anchorId="0B8323C0" wp14:editId="40B1DFE6">
            <wp:extent cx="5699760" cy="2378075"/>
            <wp:effectExtent l="0" t="0" r="0" b="3175"/>
            <wp:docPr id="1632381422" name="Picture 1632381422" descr="A diagram of a balance with money and piggy ba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81422" name="Picture 1632381422" descr="A diagram of a balance with money and piggy ban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99760" cy="2378075"/>
                    </a:xfrm>
                    <a:prstGeom prst="rect">
                      <a:avLst/>
                    </a:prstGeom>
                  </pic:spPr>
                </pic:pic>
              </a:graphicData>
            </a:graphic>
          </wp:inline>
        </w:drawing>
      </w:r>
    </w:p>
    <w:p w14:paraId="79C4C627" w14:textId="77777777" w:rsidR="005E3B18" w:rsidRPr="00FC383C" w:rsidRDefault="005E3B18" w:rsidP="005E3B18">
      <w:pPr>
        <w:spacing w:after="120" w:line="259" w:lineRule="auto"/>
        <w:ind w:firstLine="720"/>
        <w:jc w:val="both"/>
        <w:rPr>
          <w:b/>
          <w:i/>
          <w:lang w:val="it-IT"/>
        </w:rPr>
      </w:pPr>
      <w:r w:rsidRPr="00FC383C">
        <w:rPr>
          <w:b/>
          <w:i/>
          <w:lang w:val="it-IT"/>
        </w:rPr>
        <w:t>State budget revenue</w:t>
      </w:r>
    </w:p>
    <w:p w14:paraId="0CF2CB05" w14:textId="77777777" w:rsidR="005E3B18" w:rsidRPr="00FC383C" w:rsidRDefault="005E3B18" w:rsidP="005E3B18">
      <w:pPr>
        <w:spacing w:after="120" w:line="259" w:lineRule="auto"/>
        <w:ind w:firstLine="720"/>
        <w:jc w:val="both"/>
        <w:rPr>
          <w:lang w:val="nl-NL"/>
        </w:rPr>
      </w:pPr>
      <w:r w:rsidRPr="00FC383C">
        <w:rPr>
          <w:lang w:val="it-IT"/>
        </w:rPr>
        <w:t xml:space="preserve">Total State budget revenue in July 2024 </w:t>
      </w:r>
      <w:r>
        <w:rPr>
          <w:lang w:val="it-IT"/>
        </w:rPr>
        <w:t>wa</w:t>
      </w:r>
      <w:r w:rsidRPr="00FC383C">
        <w:rPr>
          <w:lang w:val="it-IT"/>
        </w:rPr>
        <w:t xml:space="preserve">s estimated </w:t>
      </w:r>
      <w:r>
        <w:rPr>
          <w:lang w:val="it-IT"/>
        </w:rPr>
        <w:t>at</w:t>
      </w:r>
      <w:r w:rsidRPr="00FC383C">
        <w:rPr>
          <w:lang w:val="it-IT"/>
        </w:rPr>
        <w:t xml:space="preserve"> </w:t>
      </w:r>
      <w:r w:rsidRPr="00FC383C">
        <w:t xml:space="preserve">nearly 150 </w:t>
      </w:r>
      <w:r w:rsidRPr="00FC383C">
        <w:rPr>
          <w:lang w:val="nl-NL"/>
        </w:rPr>
        <w:t>trillion VND</w:t>
      </w:r>
      <w:r w:rsidRPr="00FC383C">
        <w:rPr>
          <w:lang w:val="it-IT"/>
        </w:rPr>
        <w:t xml:space="preserve">. </w:t>
      </w:r>
      <w:r w:rsidRPr="00610E3C">
        <w:rPr>
          <w:lang w:val="nl-NL"/>
        </w:rPr>
        <w:t>The accumulated</w:t>
      </w:r>
      <w:r w:rsidRPr="00FC383C">
        <w:rPr>
          <w:lang w:val="it-IT"/>
        </w:rPr>
        <w:t xml:space="preserve"> total </w:t>
      </w:r>
      <w:r>
        <w:rPr>
          <w:lang w:val="it-IT"/>
        </w:rPr>
        <w:t>s</w:t>
      </w:r>
      <w:r w:rsidRPr="00FC383C">
        <w:rPr>
          <w:lang w:val="it-IT"/>
        </w:rPr>
        <w:t>tate budget reven</w:t>
      </w:r>
      <w:r>
        <w:rPr>
          <w:lang w:val="it-IT"/>
        </w:rPr>
        <w:t>ue in the seven months of 2024 wa</w:t>
      </w:r>
      <w:r w:rsidRPr="00FC383C">
        <w:rPr>
          <w:lang w:val="it-IT"/>
        </w:rPr>
        <w:t xml:space="preserve">s estimated </w:t>
      </w:r>
      <w:r>
        <w:rPr>
          <w:lang w:val="it-IT"/>
        </w:rPr>
        <w:t>at</w:t>
      </w:r>
      <w:r w:rsidRPr="00FC383C">
        <w:rPr>
          <w:lang w:val="it-IT"/>
        </w:rPr>
        <w:t xml:space="preserve"> </w:t>
      </w:r>
      <w:r w:rsidRPr="00FC383C">
        <w:t xml:space="preserve">1,188.1 </w:t>
      </w:r>
      <w:r w:rsidRPr="00FC383C">
        <w:rPr>
          <w:lang w:val="it-IT"/>
        </w:rPr>
        <w:t xml:space="preserve">trillion VND, equal to 69.8% of the yearly estimate and </w:t>
      </w:r>
      <w:r w:rsidRPr="00610E3C">
        <w:rPr>
          <w:lang w:val="nl-NL"/>
        </w:rPr>
        <w:t>increasing by</w:t>
      </w:r>
      <w:r w:rsidRPr="00FC383C">
        <w:rPr>
          <w:lang w:val="it-IT"/>
        </w:rPr>
        <w:t xml:space="preserve"> 14.6%</w:t>
      </w:r>
      <w:r>
        <w:rPr>
          <w:lang w:val="it-IT"/>
        </w:rPr>
        <w:t xml:space="preserve"> over the same period last year</w:t>
      </w:r>
      <w:r w:rsidRPr="00FC383C">
        <w:rPr>
          <w:lang w:val="nl-NL"/>
        </w:rPr>
        <w:t xml:space="preserve">. </w:t>
      </w:r>
      <w:r>
        <w:rPr>
          <w:lang w:val="nl-NL"/>
        </w:rPr>
        <w:t>S</w:t>
      </w:r>
      <w:r w:rsidRPr="00FC383C">
        <w:rPr>
          <w:lang w:val="nl-NL"/>
        </w:rPr>
        <w:t>ome main revenues are as follows:</w:t>
      </w:r>
    </w:p>
    <w:p w14:paraId="5963343D" w14:textId="77777777" w:rsidR="005E3B18" w:rsidRPr="00FC383C" w:rsidRDefault="005E3B18" w:rsidP="005E3B18">
      <w:pPr>
        <w:spacing w:after="120" w:line="259" w:lineRule="auto"/>
        <w:ind w:firstLine="720"/>
        <w:jc w:val="both"/>
        <w:rPr>
          <w:lang w:val="nl-NL"/>
        </w:rPr>
      </w:pPr>
      <w:r w:rsidRPr="00FC383C">
        <w:rPr>
          <w:i/>
          <w:lang w:val="nl-NL"/>
        </w:rPr>
        <w:t xml:space="preserve">- Domestic revenue </w:t>
      </w:r>
      <w:r w:rsidRPr="00FC383C">
        <w:rPr>
          <w:lang w:val="nl-NL"/>
        </w:rPr>
        <w:t xml:space="preserve">in July 2024 </w:t>
      </w:r>
      <w:r>
        <w:rPr>
          <w:lang w:val="nl-NL"/>
        </w:rPr>
        <w:t>wa</w:t>
      </w:r>
      <w:r w:rsidRPr="00FC383C">
        <w:rPr>
          <w:lang w:val="nl-NL"/>
        </w:rPr>
        <w:t xml:space="preserve">s estimated </w:t>
      </w:r>
      <w:r>
        <w:rPr>
          <w:lang w:val="nl-NL"/>
        </w:rPr>
        <w:t>at</w:t>
      </w:r>
      <w:r w:rsidRPr="00FC383C">
        <w:rPr>
          <w:lang w:val="nl-NL"/>
        </w:rPr>
        <w:t xml:space="preserve"> 126.2 trillion VND; </w:t>
      </w:r>
      <w:r w:rsidRPr="00610E3C">
        <w:rPr>
          <w:lang w:val="nl-NL"/>
        </w:rPr>
        <w:t>Accumulated in the</w:t>
      </w:r>
      <w:r w:rsidRPr="00FC383C">
        <w:rPr>
          <w:lang w:val="nl-NL"/>
        </w:rPr>
        <w:t xml:space="preserve"> seven months of 2024 </w:t>
      </w:r>
      <w:r>
        <w:rPr>
          <w:lang w:val="nl-NL"/>
        </w:rPr>
        <w:t>wa</w:t>
      </w:r>
      <w:r w:rsidRPr="00FC383C">
        <w:rPr>
          <w:lang w:val="nl-NL"/>
        </w:rPr>
        <w:t xml:space="preserve">s estimated </w:t>
      </w:r>
      <w:r>
        <w:rPr>
          <w:lang w:val="nl-NL"/>
        </w:rPr>
        <w:t>at</w:t>
      </w:r>
      <w:r w:rsidRPr="00FC383C">
        <w:rPr>
          <w:lang w:val="nl-NL"/>
        </w:rPr>
        <w:t xml:space="preserve"> 995 trillion VND, equal</w:t>
      </w:r>
      <w:r>
        <w:rPr>
          <w:lang w:val="nl-NL"/>
        </w:rPr>
        <w:t>ing</w:t>
      </w:r>
      <w:r w:rsidRPr="00FC383C">
        <w:rPr>
          <w:lang w:val="nl-NL"/>
        </w:rPr>
        <w:t xml:space="preserve"> </w:t>
      </w:r>
      <w:r w:rsidRPr="00FC383C">
        <w:t xml:space="preserve">68.9 </w:t>
      </w:r>
      <w:r w:rsidRPr="00FC383C">
        <w:rPr>
          <w:lang w:val="nl-NL"/>
        </w:rPr>
        <w:t xml:space="preserve">% of the yearly estimate and </w:t>
      </w:r>
      <w:r w:rsidRPr="00610E3C">
        <w:rPr>
          <w:lang w:val="nl-NL"/>
        </w:rPr>
        <w:t>increasing by</w:t>
      </w:r>
      <w:r w:rsidRPr="00FC383C">
        <w:rPr>
          <w:lang w:val="nl-NL"/>
        </w:rPr>
        <w:t xml:space="preserve"> 15.8% </w:t>
      </w:r>
      <w:r w:rsidRPr="00FC383C">
        <w:rPr>
          <w:lang w:val="it-IT"/>
        </w:rPr>
        <w:t xml:space="preserve">over the same period last year </w:t>
      </w:r>
      <w:r w:rsidRPr="00FC383C">
        <w:rPr>
          <w:lang w:val="nl-NL"/>
        </w:rPr>
        <w:t>.</w:t>
      </w:r>
    </w:p>
    <w:p w14:paraId="4DD7F58E" w14:textId="77777777" w:rsidR="005E3B18" w:rsidRPr="00FC383C" w:rsidRDefault="005E3B18" w:rsidP="005E3B18">
      <w:pPr>
        <w:spacing w:after="120" w:line="259" w:lineRule="auto"/>
        <w:ind w:firstLine="720"/>
        <w:jc w:val="both"/>
        <w:rPr>
          <w:lang w:val="nl-NL"/>
        </w:rPr>
      </w:pPr>
      <w:r w:rsidRPr="00FC383C">
        <w:rPr>
          <w:i/>
          <w:lang w:val="nl-NL"/>
        </w:rPr>
        <w:t xml:space="preserve">- Revenue from crude oil </w:t>
      </w:r>
      <w:r w:rsidRPr="00FC383C">
        <w:rPr>
          <w:lang w:val="nl-NL"/>
        </w:rPr>
        <w:t xml:space="preserve">in July 2024 </w:t>
      </w:r>
      <w:r>
        <w:rPr>
          <w:lang w:val="nl-NL"/>
        </w:rPr>
        <w:t>wa</w:t>
      </w:r>
      <w:r w:rsidRPr="00FC383C">
        <w:rPr>
          <w:lang w:val="nl-NL"/>
        </w:rPr>
        <w:t xml:space="preserve">s estimated </w:t>
      </w:r>
      <w:r>
        <w:rPr>
          <w:lang w:val="nl-NL"/>
        </w:rPr>
        <w:t>at</w:t>
      </w:r>
      <w:r w:rsidRPr="00FC383C">
        <w:rPr>
          <w:lang w:val="nl-NL"/>
        </w:rPr>
        <w:t xml:space="preserve"> </w:t>
      </w:r>
      <w:r w:rsidRPr="00FC383C">
        <w:t xml:space="preserve">4.8 </w:t>
      </w:r>
      <w:r w:rsidRPr="00FC383C">
        <w:rPr>
          <w:lang w:val="nl-NL"/>
        </w:rPr>
        <w:t xml:space="preserve">trillion VND; </w:t>
      </w:r>
      <w:r w:rsidRPr="00610E3C">
        <w:rPr>
          <w:lang w:val="nl-NL"/>
        </w:rPr>
        <w:t>Accumulated in the</w:t>
      </w:r>
      <w:r w:rsidRPr="00FC383C">
        <w:rPr>
          <w:lang w:val="nl-NL"/>
        </w:rPr>
        <w:t xml:space="preserve"> seven months of 2024 </w:t>
      </w:r>
      <w:r>
        <w:rPr>
          <w:lang w:val="nl-NL"/>
        </w:rPr>
        <w:t>wa</w:t>
      </w:r>
      <w:r w:rsidRPr="00FC383C">
        <w:rPr>
          <w:lang w:val="nl-NL"/>
        </w:rPr>
        <w:t xml:space="preserve">s estimated </w:t>
      </w:r>
      <w:r>
        <w:rPr>
          <w:lang w:val="nl-NL"/>
        </w:rPr>
        <w:t>at</w:t>
      </w:r>
      <w:r w:rsidRPr="00FC383C">
        <w:rPr>
          <w:lang w:val="nl-NL"/>
        </w:rPr>
        <w:t xml:space="preserve"> </w:t>
      </w:r>
      <w:r w:rsidRPr="00FC383C">
        <w:t xml:space="preserve">34.4 </w:t>
      </w:r>
      <w:r w:rsidRPr="00FC383C">
        <w:rPr>
          <w:lang w:val="nl-NL"/>
        </w:rPr>
        <w:t xml:space="preserve">trillion VND, </w:t>
      </w:r>
      <w:r w:rsidRPr="00FC383C">
        <w:rPr>
          <w:lang w:val="vi-VN"/>
        </w:rPr>
        <w:t>equal</w:t>
      </w:r>
      <w:r>
        <w:rPr>
          <w:lang w:val="en-US"/>
        </w:rPr>
        <w:t>ing</w:t>
      </w:r>
      <w:r w:rsidRPr="00FC383C">
        <w:rPr>
          <w:lang w:val="vi-VN"/>
        </w:rPr>
        <w:t xml:space="preserve"> </w:t>
      </w:r>
      <w:r>
        <w:t>74.7</w:t>
      </w:r>
      <w:r w:rsidRPr="00FC383C">
        <w:rPr>
          <w:lang w:val="vi-VN"/>
        </w:rPr>
        <w:t xml:space="preserve">% of </w:t>
      </w:r>
      <w:r w:rsidRPr="00FC383C">
        <w:rPr>
          <w:lang w:val="nl-NL"/>
        </w:rPr>
        <w:t xml:space="preserve">the year estimate and </w:t>
      </w:r>
      <w:r w:rsidRPr="00FC383C">
        <w:rPr>
          <w:lang w:val="vi-VN"/>
        </w:rPr>
        <w:t xml:space="preserve">down </w:t>
      </w:r>
      <w:r w:rsidRPr="00FC383C">
        <w:t xml:space="preserve">2.7 </w:t>
      </w:r>
      <w:r w:rsidRPr="00FC383C">
        <w:rPr>
          <w:lang w:val="nl-NL"/>
        </w:rPr>
        <w:t xml:space="preserve">% </w:t>
      </w:r>
      <w:r w:rsidRPr="00FC383C">
        <w:rPr>
          <w:lang w:val="it-IT"/>
        </w:rPr>
        <w:t>over the same period last year</w:t>
      </w:r>
      <w:r w:rsidRPr="00FC383C">
        <w:rPr>
          <w:lang w:val="nl-NL"/>
        </w:rPr>
        <w:t>.</w:t>
      </w:r>
    </w:p>
    <w:p w14:paraId="70F429EA" w14:textId="77777777" w:rsidR="005E3B18" w:rsidRPr="00FC383C" w:rsidRDefault="005E3B18" w:rsidP="005E3B18">
      <w:pPr>
        <w:spacing w:after="120" w:line="259" w:lineRule="auto"/>
        <w:ind w:firstLine="720"/>
        <w:jc w:val="both"/>
        <w:rPr>
          <w:b/>
          <w:i/>
          <w:lang w:val="nl-NL"/>
        </w:rPr>
      </w:pPr>
      <w:r w:rsidRPr="00FC383C">
        <w:rPr>
          <w:i/>
          <w:lang w:val="nl-NL"/>
        </w:rPr>
        <w:t xml:space="preserve">- Budget balance revenue from export and import activities </w:t>
      </w:r>
      <w:r w:rsidRPr="00FC383C">
        <w:rPr>
          <w:lang w:val="nl-NL"/>
        </w:rPr>
        <w:t xml:space="preserve">in July 2024 </w:t>
      </w:r>
      <w:r>
        <w:rPr>
          <w:lang w:val="nl-NL"/>
        </w:rPr>
        <w:t>wa</w:t>
      </w:r>
      <w:r w:rsidRPr="00FC383C">
        <w:rPr>
          <w:lang w:val="nl-NL"/>
        </w:rPr>
        <w:t xml:space="preserve">s estimated </w:t>
      </w:r>
      <w:r>
        <w:rPr>
          <w:lang w:val="nl-NL"/>
        </w:rPr>
        <w:t>at</w:t>
      </w:r>
      <w:r w:rsidRPr="00FC383C">
        <w:rPr>
          <w:lang w:val="nl-NL"/>
        </w:rPr>
        <w:t xml:space="preserve"> </w:t>
      </w:r>
      <w:r w:rsidRPr="00FC383C">
        <w:t xml:space="preserve">18.8 </w:t>
      </w:r>
      <w:r w:rsidRPr="00FC383C">
        <w:rPr>
          <w:lang w:val="nl-NL"/>
        </w:rPr>
        <w:t xml:space="preserve">trillion VND; </w:t>
      </w:r>
      <w:r>
        <w:rPr>
          <w:lang w:val="nl-NL"/>
        </w:rPr>
        <w:t>ac</w:t>
      </w:r>
      <w:r w:rsidRPr="00FC383C">
        <w:rPr>
          <w:lang w:val="nl-NL"/>
        </w:rPr>
        <w:t xml:space="preserve">cumulative </w:t>
      </w:r>
      <w:r>
        <w:rPr>
          <w:lang w:val="nl-NL"/>
        </w:rPr>
        <w:t xml:space="preserve">in the </w:t>
      </w:r>
      <w:r w:rsidRPr="00FC383C">
        <w:rPr>
          <w:lang w:val="nl-NL"/>
        </w:rPr>
        <w:t xml:space="preserve">seven months of 2024 </w:t>
      </w:r>
      <w:r>
        <w:rPr>
          <w:lang w:val="nl-NL"/>
        </w:rPr>
        <w:t>wa</w:t>
      </w:r>
      <w:r w:rsidRPr="00FC383C">
        <w:rPr>
          <w:lang w:val="nl-NL"/>
        </w:rPr>
        <w:t xml:space="preserve">s estimated </w:t>
      </w:r>
      <w:r>
        <w:rPr>
          <w:lang w:val="nl-NL"/>
        </w:rPr>
        <w:t>at</w:t>
      </w:r>
      <w:r w:rsidRPr="00FC383C">
        <w:rPr>
          <w:lang w:val="nl-NL"/>
        </w:rPr>
        <w:t xml:space="preserve"> 158.5 trillion VND, equal</w:t>
      </w:r>
      <w:r>
        <w:rPr>
          <w:lang w:val="nl-NL"/>
        </w:rPr>
        <w:t>ing</w:t>
      </w:r>
      <w:r w:rsidRPr="00FC383C">
        <w:rPr>
          <w:lang w:val="nl-NL"/>
        </w:rPr>
        <w:t xml:space="preserve"> </w:t>
      </w:r>
      <w:r w:rsidRPr="00FC383C">
        <w:t>77.7</w:t>
      </w:r>
      <w:r w:rsidRPr="00FC383C">
        <w:rPr>
          <w:lang w:val="nl-NL"/>
        </w:rPr>
        <w:t xml:space="preserve">% of the yearly estimate and </w:t>
      </w:r>
      <w:r w:rsidRPr="00610E3C">
        <w:rPr>
          <w:lang w:val="nl-NL"/>
        </w:rPr>
        <w:t>increasing by</w:t>
      </w:r>
      <w:r w:rsidRPr="00FC383C">
        <w:rPr>
          <w:lang w:val="nl-NL"/>
        </w:rPr>
        <w:t xml:space="preserve"> 11.7% </w:t>
      </w:r>
      <w:r w:rsidRPr="00FC383C">
        <w:rPr>
          <w:lang w:val="it-IT"/>
        </w:rPr>
        <w:t>over the same period last year</w:t>
      </w:r>
      <w:r w:rsidRPr="00FC383C">
        <w:rPr>
          <w:lang w:val="nl-NL"/>
        </w:rPr>
        <w:t>.</w:t>
      </w:r>
    </w:p>
    <w:p w14:paraId="61F8F456" w14:textId="77777777" w:rsidR="005E3B18" w:rsidRPr="00FC383C" w:rsidRDefault="005E3B18" w:rsidP="005E3B18">
      <w:pPr>
        <w:spacing w:after="120" w:line="259" w:lineRule="auto"/>
        <w:ind w:firstLine="720"/>
        <w:jc w:val="both"/>
        <w:rPr>
          <w:b/>
          <w:i/>
          <w:lang w:val="nl-NL"/>
        </w:rPr>
      </w:pPr>
      <w:r w:rsidRPr="00FC383C">
        <w:rPr>
          <w:b/>
          <w:i/>
          <w:lang w:val="nl-NL"/>
        </w:rPr>
        <w:t>State budget expenditure</w:t>
      </w:r>
    </w:p>
    <w:p w14:paraId="26C26AAD" w14:textId="77777777" w:rsidR="005E3B18" w:rsidRPr="00FC383C" w:rsidRDefault="005E3B18" w:rsidP="005E3B18">
      <w:pPr>
        <w:spacing w:after="120" w:line="259" w:lineRule="auto"/>
        <w:ind w:firstLine="720"/>
        <w:jc w:val="both"/>
      </w:pPr>
      <w:r w:rsidRPr="00FC383C">
        <w:rPr>
          <w:spacing w:val="2"/>
          <w:lang w:val="nl-NL"/>
        </w:rPr>
        <w:t xml:space="preserve">Total State budget expenditure in July 2024 </w:t>
      </w:r>
      <w:r>
        <w:rPr>
          <w:spacing w:val="2"/>
          <w:lang w:val="nl-NL"/>
        </w:rPr>
        <w:t>wa</w:t>
      </w:r>
      <w:r w:rsidRPr="00FC383C">
        <w:rPr>
          <w:spacing w:val="2"/>
          <w:lang w:val="nl-NL"/>
        </w:rPr>
        <w:t xml:space="preserve">s estimated </w:t>
      </w:r>
      <w:r>
        <w:rPr>
          <w:spacing w:val="2"/>
          <w:lang w:val="nl-NL"/>
        </w:rPr>
        <w:t>at</w:t>
      </w:r>
      <w:r w:rsidRPr="00FC383C">
        <w:rPr>
          <w:spacing w:val="2"/>
          <w:lang w:val="nl-NL"/>
        </w:rPr>
        <w:t xml:space="preserve"> 152.6 trillion VND</w:t>
      </w:r>
      <w:r>
        <w:rPr>
          <w:spacing w:val="2"/>
          <w:lang w:val="nl-NL"/>
        </w:rPr>
        <w:t>,</w:t>
      </w:r>
      <w:r w:rsidRPr="00FC383C">
        <w:rPr>
          <w:spacing w:val="2"/>
          <w:lang w:val="nl-NL"/>
        </w:rPr>
        <w:t xml:space="preserve"> </w:t>
      </w:r>
      <w:r>
        <w:rPr>
          <w:spacing w:val="2"/>
          <w:lang w:val="nl-NL"/>
        </w:rPr>
        <w:t>acc</w:t>
      </w:r>
      <w:r w:rsidRPr="00FC383C">
        <w:rPr>
          <w:spacing w:val="2"/>
          <w:lang w:val="nl-NL"/>
        </w:rPr>
        <w:t xml:space="preserve">umulative total State budget expenditure in the seven months of 2024 </w:t>
      </w:r>
      <w:r>
        <w:rPr>
          <w:spacing w:val="2"/>
          <w:lang w:val="nl-NL"/>
        </w:rPr>
        <w:t>wa</w:t>
      </w:r>
      <w:r w:rsidRPr="00FC383C">
        <w:rPr>
          <w:spacing w:val="2"/>
          <w:lang w:val="nl-NL"/>
        </w:rPr>
        <w:t xml:space="preserve">s estimated </w:t>
      </w:r>
      <w:r>
        <w:rPr>
          <w:spacing w:val="2"/>
          <w:lang w:val="nl-NL"/>
        </w:rPr>
        <w:t>at</w:t>
      </w:r>
      <w:r w:rsidRPr="00FC383C">
        <w:rPr>
          <w:spacing w:val="2"/>
          <w:lang w:val="nl-NL"/>
        </w:rPr>
        <w:t xml:space="preserve"> </w:t>
      </w:r>
      <w:r w:rsidRPr="00FC383C">
        <w:rPr>
          <w:spacing w:val="2"/>
        </w:rPr>
        <w:t xml:space="preserve">948.3 </w:t>
      </w:r>
      <w:r w:rsidRPr="00FC383C">
        <w:rPr>
          <w:spacing w:val="2"/>
          <w:lang w:val="nl-NL"/>
        </w:rPr>
        <w:t>trillion VND, equal</w:t>
      </w:r>
      <w:r>
        <w:rPr>
          <w:spacing w:val="2"/>
          <w:lang w:val="nl-NL"/>
        </w:rPr>
        <w:t>ing</w:t>
      </w:r>
      <w:r w:rsidRPr="00FC383C">
        <w:rPr>
          <w:spacing w:val="2"/>
          <w:lang w:val="nl-NL"/>
        </w:rPr>
        <w:t xml:space="preserve"> </w:t>
      </w:r>
      <w:r>
        <w:rPr>
          <w:spacing w:val="2"/>
        </w:rPr>
        <w:t>44.7</w:t>
      </w:r>
      <w:r w:rsidRPr="00FC383C">
        <w:rPr>
          <w:spacing w:val="2"/>
          <w:lang w:val="nl-NL"/>
        </w:rPr>
        <w:t xml:space="preserve">% of the yearly estimate and up </w:t>
      </w:r>
      <w:r w:rsidRPr="00FC383C">
        <w:rPr>
          <w:spacing w:val="2"/>
        </w:rPr>
        <w:t>0.6</w:t>
      </w:r>
      <w:r w:rsidRPr="00FC383C">
        <w:rPr>
          <w:spacing w:val="2"/>
          <w:lang w:val="nl-NL"/>
        </w:rPr>
        <w:t>% over the same period last year</w:t>
      </w:r>
      <w:r w:rsidRPr="00FC383C">
        <w:rPr>
          <w:spacing w:val="2"/>
          <w:lang w:val="vi-VN"/>
        </w:rPr>
        <w:t xml:space="preserve">. </w:t>
      </w:r>
      <w:r>
        <w:rPr>
          <w:spacing w:val="2"/>
          <w:lang w:val="en-US"/>
        </w:rPr>
        <w:t>Of which</w:t>
      </w:r>
      <w:r w:rsidRPr="00FC383C">
        <w:rPr>
          <w:spacing w:val="2"/>
          <w:lang w:val="vi-VN"/>
        </w:rPr>
        <w:t xml:space="preserve">, </w:t>
      </w:r>
      <w:r w:rsidRPr="00610E3C">
        <w:rPr>
          <w:lang w:val="nl-NL"/>
        </w:rPr>
        <w:t xml:space="preserve">Recurrent </w:t>
      </w:r>
      <w:r w:rsidRPr="00610E3C">
        <w:rPr>
          <w:lang w:val="nl-NL"/>
        </w:rPr>
        <w:lastRenderedPageBreak/>
        <w:t>expenditure was estimated at</w:t>
      </w:r>
      <w:r w:rsidRPr="00FC383C">
        <w:rPr>
          <w:spacing w:val="2"/>
          <w:lang w:val="nl-NL"/>
        </w:rPr>
        <w:t xml:space="preserve"> 652.5 trillion VND, equal</w:t>
      </w:r>
      <w:r>
        <w:rPr>
          <w:spacing w:val="2"/>
          <w:lang w:val="nl-NL"/>
        </w:rPr>
        <w:t>ing</w:t>
      </w:r>
      <w:r w:rsidRPr="00FC383C">
        <w:rPr>
          <w:spacing w:val="2"/>
          <w:lang w:val="nl-NL"/>
        </w:rPr>
        <w:t xml:space="preserve"> </w:t>
      </w:r>
      <w:r w:rsidRPr="00FC383C">
        <w:rPr>
          <w:spacing w:val="2"/>
        </w:rPr>
        <w:t>51.8</w:t>
      </w:r>
      <w:r w:rsidRPr="00FC383C">
        <w:rPr>
          <w:spacing w:val="2"/>
          <w:lang w:val="nl-NL"/>
        </w:rPr>
        <w:t xml:space="preserve">% of the yearly estimate and up 3.7% over the same period last year; </w:t>
      </w:r>
      <w:r>
        <w:rPr>
          <w:spacing w:val="2"/>
          <w:lang w:val="nl-NL"/>
        </w:rPr>
        <w:t>d</w:t>
      </w:r>
      <w:r w:rsidRPr="00FC383C">
        <w:rPr>
          <w:spacing w:val="2"/>
          <w:lang w:val="nl-NL"/>
        </w:rPr>
        <w:t xml:space="preserve">evelopment investment expenditure reached </w:t>
      </w:r>
      <w:r w:rsidRPr="00FC383C">
        <w:rPr>
          <w:spacing w:val="2"/>
        </w:rPr>
        <w:t xml:space="preserve">232.1 </w:t>
      </w:r>
      <w:r w:rsidRPr="00FC383C">
        <w:rPr>
          <w:spacing w:val="2"/>
          <w:lang w:val="nl-NL"/>
        </w:rPr>
        <w:t>trillion VND, equal</w:t>
      </w:r>
      <w:r>
        <w:rPr>
          <w:spacing w:val="2"/>
          <w:lang w:val="nl-NL"/>
        </w:rPr>
        <w:t>ing</w:t>
      </w:r>
      <w:r w:rsidRPr="00FC383C">
        <w:rPr>
          <w:spacing w:val="2"/>
          <w:lang w:val="nl-NL"/>
        </w:rPr>
        <w:t xml:space="preserve"> </w:t>
      </w:r>
      <w:r>
        <w:rPr>
          <w:spacing w:val="2"/>
        </w:rPr>
        <w:t>34.3</w:t>
      </w:r>
      <w:r w:rsidRPr="00FC383C">
        <w:rPr>
          <w:spacing w:val="2"/>
          <w:lang w:val="nl-NL"/>
        </w:rPr>
        <w:t xml:space="preserve">% and down 8.4%; </w:t>
      </w:r>
      <w:r w:rsidRPr="00610E3C">
        <w:rPr>
          <w:lang w:val="nl-NL"/>
        </w:rPr>
        <w:t>interest payment was</w:t>
      </w:r>
      <w:r w:rsidRPr="00FC383C">
        <w:rPr>
          <w:spacing w:val="2"/>
        </w:rPr>
        <w:t xml:space="preserve"> 63.2 </w:t>
      </w:r>
      <w:r w:rsidRPr="00FC383C">
        <w:rPr>
          <w:spacing w:val="2"/>
          <w:lang w:val="nl-NL"/>
        </w:rPr>
        <w:t>trillion VND, equal</w:t>
      </w:r>
      <w:r>
        <w:rPr>
          <w:spacing w:val="2"/>
          <w:lang w:val="nl-NL"/>
        </w:rPr>
        <w:t>ing</w:t>
      </w:r>
      <w:r w:rsidRPr="00FC383C">
        <w:rPr>
          <w:spacing w:val="2"/>
          <w:lang w:val="nl-NL"/>
        </w:rPr>
        <w:t xml:space="preserve"> 56.5% and increased by </w:t>
      </w:r>
      <w:r w:rsidRPr="00FC383C">
        <w:rPr>
          <w:spacing w:val="2"/>
        </w:rPr>
        <w:t>7.7</w:t>
      </w:r>
      <w:r w:rsidRPr="00FC383C">
        <w:rPr>
          <w:spacing w:val="2"/>
          <w:lang w:val="nl-NL"/>
        </w:rPr>
        <w:t>%.</w:t>
      </w:r>
    </w:p>
    <w:p w14:paraId="056FF265" w14:textId="0FF7923C" w:rsidR="00E81E8E" w:rsidRPr="003D1613" w:rsidRDefault="00E81E8E" w:rsidP="00B44E55">
      <w:pPr>
        <w:spacing w:before="60" w:after="60" w:line="288" w:lineRule="auto"/>
        <w:ind w:firstLine="567"/>
        <w:jc w:val="both"/>
        <w:rPr>
          <w:b/>
          <w:bCs/>
          <w:lang w:val="nl-NL"/>
        </w:rPr>
      </w:pPr>
      <w:r w:rsidRPr="003D1613">
        <w:rPr>
          <w:b/>
          <w:bCs/>
          <w:lang w:val="nl-NL"/>
        </w:rPr>
        <w:t>6. Trade, prices, transport and tourism</w:t>
      </w:r>
    </w:p>
    <w:p w14:paraId="226E42E7" w14:textId="77777777" w:rsidR="00EC5D51" w:rsidRPr="00BF0DCD" w:rsidRDefault="00EC5D51" w:rsidP="00EC5D51">
      <w:pPr>
        <w:tabs>
          <w:tab w:val="left" w:pos="900"/>
        </w:tabs>
        <w:spacing w:before="40" w:after="40" w:line="288" w:lineRule="auto"/>
        <w:ind w:firstLine="562"/>
        <w:jc w:val="both"/>
        <w:rPr>
          <w:rStyle w:val="Strong"/>
          <w:i/>
          <w:iCs/>
          <w:lang w:val="en-US"/>
        </w:rPr>
      </w:pPr>
      <w:bookmarkStart w:id="7" w:name="_Hlk89176061"/>
      <w:bookmarkEnd w:id="6"/>
      <w:r>
        <w:rPr>
          <w:rStyle w:val="Strong"/>
          <w:i/>
          <w:iCs/>
          <w:color w:val="000000" w:themeColor="text1"/>
          <w:lang w:val="de-DE"/>
        </w:rPr>
        <w:t>b</w:t>
      </w:r>
      <w:r w:rsidRPr="00BC5895">
        <w:rPr>
          <w:rStyle w:val="Strong"/>
          <w:i/>
          <w:iCs/>
          <w:color w:val="000000" w:themeColor="text1"/>
          <w:lang w:val="de-DE"/>
        </w:rPr>
        <w:t xml:space="preserve">) </w:t>
      </w:r>
      <w:r w:rsidRPr="00BF0DCD">
        <w:rPr>
          <w:rStyle w:val="Strong"/>
          <w:i/>
          <w:iCs/>
          <w:lang w:val="en-US"/>
        </w:rPr>
        <w:t>Export and import of goods</w:t>
      </w:r>
      <w:r w:rsidRPr="006F47C2">
        <w:rPr>
          <w:b/>
          <w:bCs/>
          <w:i/>
          <w:iCs/>
          <w:vertAlign w:val="superscript"/>
          <w:lang w:val="en-US"/>
        </w:rPr>
        <w:footnoteReference w:id="15"/>
      </w:r>
    </w:p>
    <w:p w14:paraId="7B0968B0" w14:textId="77777777" w:rsidR="00EC5D51" w:rsidRPr="00405AE1" w:rsidRDefault="00EC5D51" w:rsidP="00EC5D51">
      <w:pPr>
        <w:tabs>
          <w:tab w:val="left" w:pos="900"/>
          <w:tab w:val="left" w:pos="9475"/>
        </w:tabs>
        <w:spacing w:before="120" w:after="120" w:line="288" w:lineRule="auto"/>
        <w:ind w:right="119" w:firstLine="567"/>
        <w:jc w:val="both"/>
        <w:rPr>
          <w:rFonts w:ascii="Times New Roman Italic" w:hAnsi="Times New Roman Italic"/>
          <w:i/>
          <w:lang w:val="es-NI"/>
        </w:rPr>
      </w:pPr>
      <w:r w:rsidRPr="00F351F4">
        <w:rPr>
          <w:rFonts w:ascii="Times New Roman Italic" w:hAnsi="Times New Roman Italic"/>
          <w:i/>
          <w:lang w:val="de-DE"/>
        </w:rPr>
        <w:t xml:space="preserve">Total </w:t>
      </w:r>
      <w:r>
        <w:rPr>
          <w:rFonts w:ascii="Times New Roman Italic" w:hAnsi="Times New Roman Italic"/>
          <w:i/>
          <w:lang w:val="de-DE"/>
        </w:rPr>
        <w:t>ex</w:t>
      </w:r>
      <w:r w:rsidRPr="00F351F4">
        <w:rPr>
          <w:rFonts w:ascii="Times New Roman Italic" w:hAnsi="Times New Roman Italic"/>
          <w:i/>
          <w:lang w:val="de-DE"/>
        </w:rPr>
        <w:t xml:space="preserve">port and </w:t>
      </w:r>
      <w:r>
        <w:rPr>
          <w:rFonts w:ascii="Times New Roman Italic" w:hAnsi="Times New Roman Italic"/>
          <w:i/>
          <w:lang w:val="de-DE"/>
        </w:rPr>
        <w:t>im</w:t>
      </w:r>
      <w:r w:rsidRPr="00F351F4">
        <w:rPr>
          <w:rFonts w:ascii="Times New Roman Italic" w:hAnsi="Times New Roman Italic"/>
          <w:i/>
          <w:lang w:val="de-DE"/>
        </w:rPr>
        <w:t>port turnover of goods</w:t>
      </w:r>
      <w:r w:rsidRPr="006F47C2">
        <w:rPr>
          <w:rFonts w:ascii="Times New Roman Italic" w:hAnsi="Times New Roman Italic"/>
          <w:i/>
          <w:iCs/>
          <w:vertAlign w:val="superscript"/>
          <w:lang w:val="en-US"/>
        </w:rPr>
        <w:footnoteReference w:id="16"/>
      </w:r>
      <w:r w:rsidRPr="00F351F4">
        <w:rPr>
          <w:rFonts w:ascii="Times New Roman Italic" w:hAnsi="Times New Roman Italic"/>
          <w:i/>
          <w:lang w:val="de-DE"/>
        </w:rPr>
        <w:t xml:space="preserve"> in </w:t>
      </w:r>
      <w:r>
        <w:rPr>
          <w:rFonts w:ascii="Times New Roman Italic" w:hAnsi="Times New Roman Italic"/>
          <w:i/>
          <w:lang w:val="de-DE"/>
        </w:rPr>
        <w:t>7/2024</w:t>
      </w:r>
      <w:r w:rsidRPr="00F351F4">
        <w:rPr>
          <w:rFonts w:ascii="Times New Roman Italic" w:hAnsi="Times New Roman Italic"/>
          <w:i/>
          <w:lang w:val="de-DE"/>
        </w:rPr>
        <w:t xml:space="preserve"> was estimated at </w:t>
      </w:r>
      <w:r>
        <w:rPr>
          <w:rFonts w:ascii="Times New Roman Italic" w:hAnsi="Times New Roman Italic"/>
          <w:i/>
          <w:lang w:val="de-DE"/>
        </w:rPr>
        <w:t>69.72</w:t>
      </w:r>
      <w:r w:rsidRPr="00F351F4">
        <w:rPr>
          <w:rFonts w:ascii="Times New Roman Italic" w:hAnsi="Times New Roman Italic"/>
          <w:i/>
          <w:lang w:val="de-DE"/>
        </w:rPr>
        <w:t xml:space="preserve"> billion USD,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8.7</w:t>
      </w:r>
      <w:r w:rsidRPr="00F351F4">
        <w:rPr>
          <w:rFonts w:ascii="Times New Roman Italic" w:hAnsi="Times New Roman Italic"/>
          <w:i/>
          <w:lang w:val="de-DE"/>
        </w:rPr>
        <w:t xml:space="preserve">% over the previous month and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21.8</w:t>
      </w:r>
      <w:r w:rsidRPr="00F351F4">
        <w:rPr>
          <w:rFonts w:ascii="Times New Roman Italic" w:hAnsi="Times New Roman Italic"/>
          <w:i/>
          <w:lang w:val="de-DE"/>
        </w:rPr>
        <w:t>% over the same period last year.</w:t>
      </w:r>
      <w:r w:rsidRPr="00CB66F1">
        <w:rPr>
          <w:rFonts w:ascii="Times New Roman Italic" w:hAnsi="Times New Roman Italic"/>
          <w:i/>
          <w:lang w:val="de-DE"/>
        </w:rPr>
        <w:t xml:space="preserve"> </w:t>
      </w:r>
      <w:r w:rsidRPr="00D25A7C">
        <w:rPr>
          <w:rFonts w:ascii="Times New Roman Italic" w:hAnsi="Times New Roman Italic"/>
          <w:i/>
          <w:lang w:val="de-DE"/>
        </w:rPr>
        <w:t xml:space="preserve">Generally, in </w:t>
      </w:r>
      <w:r>
        <w:rPr>
          <w:rFonts w:ascii="Times New Roman Italic" w:hAnsi="Times New Roman Italic"/>
          <w:i/>
          <w:lang w:val="de-DE"/>
        </w:rPr>
        <w:t>seven months</w:t>
      </w:r>
      <w:r w:rsidRPr="00D25A7C">
        <w:rPr>
          <w:rFonts w:ascii="Times New Roman Italic" w:hAnsi="Times New Roman Italic"/>
          <w:i/>
          <w:lang w:val="de-DE"/>
        </w:rPr>
        <w:t xml:space="preserve"> of 2024, the total export and import turnover of goods reached </w:t>
      </w:r>
      <w:r>
        <w:rPr>
          <w:rFonts w:ascii="Times New Roman Italic" w:hAnsi="Times New Roman Italic"/>
          <w:i/>
          <w:lang w:val="de-DE"/>
        </w:rPr>
        <w:t>439.88</w:t>
      </w:r>
      <w:r w:rsidRPr="00D25A7C">
        <w:rPr>
          <w:rFonts w:ascii="Times New Roman Italic" w:hAnsi="Times New Roman Italic"/>
          <w:i/>
          <w:lang w:val="de-DE"/>
        </w:rPr>
        <w:t xml:space="preserve"> billion USD, up 1</w:t>
      </w:r>
      <w:r>
        <w:rPr>
          <w:rFonts w:ascii="Times New Roman Italic" w:hAnsi="Times New Roman Italic"/>
          <w:i/>
          <w:lang w:val="de-DE"/>
        </w:rPr>
        <w:t>7.1</w:t>
      </w:r>
      <w:r w:rsidRPr="00D25A7C">
        <w:rPr>
          <w:rFonts w:ascii="Times New Roman Italic" w:hAnsi="Times New Roman Italic"/>
          <w:i/>
          <w:lang w:val="de-DE"/>
        </w:rPr>
        <w:t>% over the same period last year, of which exports increased by 1</w:t>
      </w:r>
      <w:r>
        <w:rPr>
          <w:rFonts w:ascii="Times New Roman Italic" w:hAnsi="Times New Roman Italic"/>
          <w:i/>
          <w:lang w:val="de-DE"/>
        </w:rPr>
        <w:t>5.7</w:t>
      </w:r>
      <w:r w:rsidRPr="00D25A7C">
        <w:rPr>
          <w:rFonts w:ascii="Times New Roman Italic" w:hAnsi="Times New Roman Italic"/>
          <w:i/>
          <w:lang w:val="de-DE"/>
        </w:rPr>
        <w:t>%; imports increased by 1</w:t>
      </w:r>
      <w:r>
        <w:rPr>
          <w:rFonts w:ascii="Times New Roman Italic" w:hAnsi="Times New Roman Italic"/>
          <w:i/>
          <w:lang w:val="de-DE"/>
        </w:rPr>
        <w:t>8.5</w:t>
      </w:r>
      <w:r w:rsidRPr="00D25A7C">
        <w:rPr>
          <w:rFonts w:ascii="Times New Roman Italic" w:hAnsi="Times New Roman Italic"/>
          <w:i/>
          <w:lang w:val="de-DE"/>
        </w:rPr>
        <w:t>%</w:t>
      </w:r>
      <w:r>
        <w:rPr>
          <w:rStyle w:val="FootnoteReference"/>
          <w:rFonts w:ascii="Times New Roman Italic" w:hAnsi="Times New Roman Italic"/>
          <w:i/>
          <w:lang w:val="de-DE"/>
        </w:rPr>
        <w:footnoteReference w:id="17"/>
      </w:r>
      <w:r w:rsidRPr="00D25A7C">
        <w:rPr>
          <w:rFonts w:ascii="Times New Roman Italic" w:hAnsi="Times New Roman Italic"/>
          <w:i/>
          <w:lang w:val="de-DE"/>
        </w:rPr>
        <w:t xml:space="preserve">. The trade balance of goods had a surplus of </w:t>
      </w:r>
      <w:r>
        <w:rPr>
          <w:rFonts w:ascii="Times New Roman Italic" w:hAnsi="Times New Roman Italic"/>
          <w:i/>
          <w:lang w:val="de-DE"/>
        </w:rPr>
        <w:t>14.08</w:t>
      </w:r>
      <w:r w:rsidRPr="00D25A7C">
        <w:rPr>
          <w:rFonts w:ascii="Times New Roman Italic" w:hAnsi="Times New Roman Italic"/>
          <w:i/>
          <w:lang w:val="de-DE"/>
        </w:rPr>
        <w:t xml:space="preserve"> billion USD.</w:t>
      </w:r>
      <w:r>
        <w:rPr>
          <w:rFonts w:ascii="Times New Roman Italic" w:hAnsi="Times New Roman Italic"/>
          <w:i/>
          <w:lang w:val="es-NI"/>
        </w:rPr>
        <w:t xml:space="preserve"> </w:t>
      </w:r>
    </w:p>
    <w:p w14:paraId="330220CC" w14:textId="77777777" w:rsidR="00EC5D51" w:rsidRDefault="00EC5D51" w:rsidP="00EC5D51">
      <w:pPr>
        <w:tabs>
          <w:tab w:val="left" w:pos="900"/>
          <w:tab w:val="left" w:pos="9475"/>
        </w:tabs>
        <w:spacing w:before="240" w:after="240" w:line="288" w:lineRule="auto"/>
        <w:jc w:val="center"/>
        <w:rPr>
          <w:rFonts w:ascii="Arial" w:hAnsi="Arial" w:cs="Arial"/>
          <w:b/>
          <w:bCs/>
          <w:sz w:val="24"/>
          <w:szCs w:val="24"/>
          <w:lang w:val="es-NI"/>
        </w:rPr>
      </w:pPr>
      <w:r w:rsidRPr="00D25A7C">
        <w:rPr>
          <w:rFonts w:ascii="Arial" w:hAnsi="Arial" w:cs="Arial"/>
          <w:b/>
          <w:bCs/>
          <w:sz w:val="24"/>
          <w:szCs w:val="24"/>
          <w:lang w:val="es-NI"/>
        </w:rPr>
        <w:t>Figure 1</w:t>
      </w:r>
      <w:r>
        <w:rPr>
          <w:rFonts w:ascii="Arial" w:hAnsi="Arial" w:cs="Arial"/>
          <w:b/>
          <w:bCs/>
          <w:sz w:val="24"/>
          <w:szCs w:val="24"/>
          <w:lang w:val="es-NI"/>
        </w:rPr>
        <w:t>1</w:t>
      </w:r>
      <w:r w:rsidRPr="00D25A7C">
        <w:rPr>
          <w:rFonts w:ascii="Arial" w:hAnsi="Arial" w:cs="Arial"/>
          <w:b/>
          <w:bCs/>
          <w:sz w:val="24"/>
          <w:szCs w:val="24"/>
          <w:lang w:val="es-NI"/>
        </w:rPr>
        <w:t xml:space="preserve">. Import and export of goods in </w:t>
      </w:r>
      <w:r>
        <w:rPr>
          <w:rFonts w:ascii="Arial" w:hAnsi="Arial" w:cs="Arial"/>
          <w:b/>
          <w:bCs/>
          <w:sz w:val="24"/>
          <w:szCs w:val="24"/>
          <w:lang w:val="es-NI"/>
        </w:rPr>
        <w:t>7 months</w:t>
      </w:r>
      <w:r w:rsidRPr="00D25A7C">
        <w:rPr>
          <w:rFonts w:ascii="Arial" w:hAnsi="Arial" w:cs="Arial"/>
          <w:b/>
          <w:bCs/>
          <w:sz w:val="24"/>
          <w:szCs w:val="24"/>
          <w:lang w:val="es-NI"/>
        </w:rPr>
        <w:t xml:space="preserve"> of 2024</w:t>
      </w:r>
    </w:p>
    <w:p w14:paraId="73B10B7F" w14:textId="77777777" w:rsidR="00EC5D51" w:rsidRPr="00D25A7C" w:rsidRDefault="00EC5D51" w:rsidP="00EC5D51">
      <w:pPr>
        <w:tabs>
          <w:tab w:val="left" w:pos="900"/>
          <w:tab w:val="left" w:pos="9475"/>
        </w:tabs>
        <w:spacing w:before="240" w:after="240" w:line="288" w:lineRule="auto"/>
        <w:jc w:val="center"/>
        <w:rPr>
          <w:iCs/>
          <w:spacing w:val="2"/>
          <w:lang w:val="es-NI"/>
        </w:rPr>
      </w:pPr>
      <w:r>
        <w:rPr>
          <w:noProof/>
        </w:rPr>
        <w:drawing>
          <wp:inline distT="0" distB="0" distL="0" distR="0" wp14:anchorId="7854271C" wp14:editId="4F6D5641">
            <wp:extent cx="5275044" cy="1719618"/>
            <wp:effectExtent l="0" t="0" r="1905" b="0"/>
            <wp:docPr id="11891258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2582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282557" cy="1722067"/>
                    </a:xfrm>
                    <a:prstGeom prst="rect">
                      <a:avLst/>
                    </a:prstGeom>
                  </pic:spPr>
                </pic:pic>
              </a:graphicData>
            </a:graphic>
          </wp:inline>
        </w:drawing>
      </w:r>
    </w:p>
    <w:p w14:paraId="6A12FBB9" w14:textId="77777777" w:rsidR="00EC5D51" w:rsidRPr="008816F9" w:rsidRDefault="00EC5D51" w:rsidP="00EC5D51">
      <w:pPr>
        <w:tabs>
          <w:tab w:val="left" w:pos="900"/>
          <w:tab w:val="left" w:pos="9475"/>
        </w:tabs>
        <w:spacing w:before="40" w:after="40" w:line="278" w:lineRule="auto"/>
        <w:ind w:right="119" w:firstLine="567"/>
        <w:jc w:val="both"/>
        <w:rPr>
          <w:rStyle w:val="Strong"/>
          <w:i/>
          <w:iCs/>
          <w:color w:val="000000" w:themeColor="text1"/>
          <w:sz w:val="2"/>
          <w:szCs w:val="4"/>
          <w:lang w:val="de-DE"/>
        </w:rPr>
      </w:pPr>
    </w:p>
    <w:p w14:paraId="754FDA52" w14:textId="77777777" w:rsidR="00EC5D51" w:rsidRPr="00D64BE4" w:rsidRDefault="00EC5D51" w:rsidP="00EC5D51">
      <w:pPr>
        <w:tabs>
          <w:tab w:val="left" w:pos="900"/>
        </w:tabs>
        <w:spacing w:after="40" w:line="288" w:lineRule="auto"/>
        <w:ind w:firstLine="561"/>
        <w:jc w:val="both"/>
        <w:rPr>
          <w:b/>
          <w:bCs/>
          <w:i/>
          <w:iCs/>
          <w:lang w:val="en-US"/>
        </w:rPr>
      </w:pPr>
      <w:r w:rsidRPr="00D64BE4">
        <w:rPr>
          <w:b/>
          <w:bCs/>
          <w:i/>
          <w:iCs/>
          <w:lang w:val="en-US"/>
        </w:rPr>
        <w:t>Export of goods</w:t>
      </w:r>
    </w:p>
    <w:p w14:paraId="13776E22" w14:textId="77777777" w:rsidR="00EC5D51" w:rsidRPr="00D25A7C" w:rsidRDefault="00EC5D51" w:rsidP="00EC5D51">
      <w:pPr>
        <w:tabs>
          <w:tab w:val="num" w:pos="0"/>
          <w:tab w:val="left" w:pos="9475"/>
        </w:tabs>
        <w:spacing w:beforeLines="40" w:before="96" w:afterLines="40" w:after="96" w:line="288" w:lineRule="auto"/>
        <w:ind w:right="6" w:firstLine="567"/>
        <w:jc w:val="both"/>
        <w:rPr>
          <w:bCs/>
          <w:lang w:val="de-DE"/>
        </w:rPr>
      </w:pPr>
      <w:r w:rsidRPr="00D25A7C">
        <w:rPr>
          <w:bCs/>
          <w:lang w:val="en-US"/>
        </w:rPr>
        <w:t>Preliminary export turnover of goods in</w:t>
      </w:r>
      <w:r w:rsidRPr="00D25A7C">
        <w:rPr>
          <w:bCs/>
          <w:lang w:val="de-DE"/>
        </w:rPr>
        <w:t xml:space="preserve"> </w:t>
      </w:r>
      <w:r>
        <w:rPr>
          <w:bCs/>
          <w:lang w:val="de-DE"/>
        </w:rPr>
        <w:t>6/2024</w:t>
      </w:r>
      <w:r w:rsidRPr="00D25A7C">
        <w:rPr>
          <w:bCs/>
          <w:lang w:val="de-DE"/>
        </w:rPr>
        <w:t xml:space="preserve"> reached USD 3</w:t>
      </w:r>
      <w:r>
        <w:rPr>
          <w:bCs/>
          <w:lang w:val="de-DE"/>
        </w:rPr>
        <w:t>3.66</w:t>
      </w:r>
      <w:r w:rsidRPr="00D25A7C">
        <w:rPr>
          <w:bCs/>
          <w:lang w:val="de-DE"/>
        </w:rPr>
        <w:t xml:space="preserve"> billion, </w:t>
      </w:r>
      <w:r>
        <w:rPr>
          <w:bCs/>
          <w:lang w:val="de-DE"/>
        </w:rPr>
        <w:t>568</w:t>
      </w:r>
      <w:r w:rsidRPr="00D25A7C">
        <w:rPr>
          <w:bCs/>
          <w:lang w:val="de-DE"/>
        </w:rPr>
        <w:t xml:space="preserve"> million USD </w:t>
      </w:r>
      <w:r>
        <w:rPr>
          <w:bCs/>
          <w:lang w:val="de-DE"/>
        </w:rPr>
        <w:t>high</w:t>
      </w:r>
      <w:r w:rsidRPr="00D25A7C">
        <w:rPr>
          <w:bCs/>
          <w:lang w:val="de-DE"/>
        </w:rPr>
        <w:t xml:space="preserve">er than the estimated </w:t>
      </w:r>
      <w:r w:rsidRPr="00D25A7C">
        <w:rPr>
          <w:bCs/>
          <w:lang w:val="en-US"/>
        </w:rPr>
        <w:t>figure</w:t>
      </w:r>
      <w:r w:rsidRPr="00D25A7C">
        <w:rPr>
          <w:bCs/>
          <w:lang w:val="de-DE"/>
        </w:rPr>
        <w:t>.</w:t>
      </w:r>
    </w:p>
    <w:p w14:paraId="67C8C905" w14:textId="77777777" w:rsidR="00EC5D51" w:rsidRPr="00D25A7C" w:rsidRDefault="00EC5D51" w:rsidP="00EC5D51">
      <w:pPr>
        <w:tabs>
          <w:tab w:val="num" w:pos="0"/>
          <w:tab w:val="left" w:pos="9475"/>
        </w:tabs>
        <w:spacing w:beforeLines="40" w:before="96" w:afterLines="40" w:after="96" w:line="288" w:lineRule="auto"/>
        <w:ind w:right="6" w:firstLine="567"/>
        <w:jc w:val="both"/>
        <w:rPr>
          <w:bCs/>
          <w:lang w:val="en-US"/>
        </w:rPr>
      </w:pPr>
      <w:r w:rsidRPr="00D25A7C">
        <w:rPr>
          <w:bCs/>
          <w:i/>
          <w:iCs/>
          <w:lang w:val="en-US"/>
        </w:rPr>
        <w:t xml:space="preserve">Export turnover of goods in </w:t>
      </w:r>
      <w:r>
        <w:rPr>
          <w:bCs/>
          <w:i/>
          <w:iCs/>
          <w:lang w:val="en-US"/>
        </w:rPr>
        <w:t>7/2024</w:t>
      </w:r>
      <w:r w:rsidRPr="00D25A7C">
        <w:rPr>
          <w:bCs/>
          <w:i/>
          <w:iCs/>
          <w:lang w:val="en-US"/>
        </w:rPr>
        <w:t xml:space="preserve"> </w:t>
      </w:r>
      <w:r w:rsidRPr="00D25A7C">
        <w:rPr>
          <w:bCs/>
          <w:lang w:val="de-DE"/>
        </w:rPr>
        <w:t>was estimated at 3</w:t>
      </w:r>
      <w:r>
        <w:rPr>
          <w:bCs/>
          <w:lang w:val="de-DE"/>
        </w:rPr>
        <w:t>5.92</w:t>
      </w:r>
      <w:r w:rsidRPr="00D25A7C">
        <w:rPr>
          <w:bCs/>
          <w:lang w:val="de-DE"/>
        </w:rPr>
        <w:t xml:space="preserve"> billion USD, up </w:t>
      </w:r>
      <w:r>
        <w:rPr>
          <w:bCs/>
          <w:lang w:val="de-DE"/>
        </w:rPr>
        <w:t>6.7</w:t>
      </w:r>
      <w:r w:rsidRPr="00D25A7C">
        <w:rPr>
          <w:bCs/>
          <w:lang w:val="de-DE"/>
        </w:rPr>
        <w:t xml:space="preserve">% over the previous month. </w:t>
      </w:r>
      <w:r w:rsidRPr="00D25A7C">
        <w:rPr>
          <w:bCs/>
          <w:lang w:val="en-US"/>
        </w:rPr>
        <w:t>Of which, the domestic economic sector gained 9.</w:t>
      </w:r>
      <w:r>
        <w:rPr>
          <w:bCs/>
          <w:lang w:val="en-US"/>
        </w:rPr>
        <w:t>87</w:t>
      </w:r>
      <w:r w:rsidRPr="00D25A7C">
        <w:rPr>
          <w:bCs/>
          <w:lang w:val="en-US"/>
        </w:rPr>
        <w:t xml:space="preserve"> billion USD, increased by </w:t>
      </w:r>
      <w:r>
        <w:rPr>
          <w:bCs/>
          <w:lang w:val="en-US"/>
        </w:rPr>
        <w:t>9.8</w:t>
      </w:r>
      <w:r w:rsidRPr="00D25A7C">
        <w:rPr>
          <w:bCs/>
          <w:lang w:val="en-US"/>
        </w:rPr>
        <w:t>%; the FDI sector (including crude oil) reached 2</w:t>
      </w:r>
      <w:r>
        <w:rPr>
          <w:bCs/>
          <w:lang w:val="en-US"/>
        </w:rPr>
        <w:t>6.05</w:t>
      </w:r>
      <w:r w:rsidRPr="00D25A7C">
        <w:rPr>
          <w:bCs/>
          <w:lang w:val="en-US"/>
        </w:rPr>
        <w:t xml:space="preserve"> billion USD, increased by </w:t>
      </w:r>
      <w:r>
        <w:rPr>
          <w:bCs/>
          <w:lang w:val="en-US"/>
        </w:rPr>
        <w:t>5.6</w:t>
      </w:r>
      <w:r w:rsidRPr="00D25A7C">
        <w:rPr>
          <w:bCs/>
          <w:lang w:val="en-US"/>
        </w:rPr>
        <w:t xml:space="preserve">%. Compared to the same period last year, export turnover of goods in </w:t>
      </w:r>
      <w:r>
        <w:rPr>
          <w:bCs/>
          <w:lang w:val="en-US"/>
        </w:rPr>
        <w:t>July</w:t>
      </w:r>
      <w:r w:rsidRPr="00D25A7C">
        <w:rPr>
          <w:bCs/>
          <w:lang w:val="en-US"/>
        </w:rPr>
        <w:t xml:space="preserve"> increased by 1</w:t>
      </w:r>
      <w:r>
        <w:rPr>
          <w:bCs/>
          <w:lang w:val="en-US"/>
        </w:rPr>
        <w:t>9.1</w:t>
      </w:r>
      <w:r w:rsidRPr="00D25A7C">
        <w:rPr>
          <w:bCs/>
          <w:lang w:val="en-US"/>
        </w:rPr>
        <w:t xml:space="preserve">%, of which the domestic </w:t>
      </w:r>
      <w:r w:rsidRPr="00D25A7C">
        <w:rPr>
          <w:bCs/>
          <w:lang w:val="en-US"/>
        </w:rPr>
        <w:lastRenderedPageBreak/>
        <w:t xml:space="preserve">economic sector increased by </w:t>
      </w:r>
      <w:r>
        <w:rPr>
          <w:bCs/>
          <w:lang w:val="en-US"/>
        </w:rPr>
        <w:t>25.9</w:t>
      </w:r>
      <w:r w:rsidRPr="00D25A7C">
        <w:rPr>
          <w:bCs/>
          <w:lang w:val="en-US"/>
        </w:rPr>
        <w:t xml:space="preserve">%, the FDI sector (including crude oil) increased by </w:t>
      </w:r>
      <w:r>
        <w:rPr>
          <w:bCs/>
          <w:lang w:val="en-US"/>
        </w:rPr>
        <w:t>16.7</w:t>
      </w:r>
      <w:r w:rsidRPr="00D25A7C">
        <w:rPr>
          <w:bCs/>
          <w:lang w:val="en-US"/>
        </w:rPr>
        <w:t>%.</w:t>
      </w:r>
    </w:p>
    <w:p w14:paraId="1CD4A746" w14:textId="77777777" w:rsidR="00EC5D51" w:rsidRPr="00D25A7C" w:rsidRDefault="00EC5D51" w:rsidP="00EC5D51">
      <w:pPr>
        <w:tabs>
          <w:tab w:val="num" w:pos="0"/>
          <w:tab w:val="left" w:pos="9475"/>
        </w:tabs>
        <w:spacing w:beforeLines="40" w:before="96" w:afterLines="40" w:after="96" w:line="288" w:lineRule="auto"/>
        <w:ind w:right="6" w:firstLine="567"/>
        <w:jc w:val="both"/>
        <w:rPr>
          <w:iCs/>
          <w:lang w:val="de-DE"/>
        </w:rPr>
      </w:pPr>
      <w:proofErr w:type="gramStart"/>
      <w:r w:rsidRPr="00D25A7C">
        <w:rPr>
          <w:i/>
          <w:iCs/>
          <w:lang w:val="en-US"/>
        </w:rPr>
        <w:t>Generally</w:t>
      </w:r>
      <w:proofErr w:type="gramEnd"/>
      <w:r w:rsidRPr="00D25A7C">
        <w:rPr>
          <w:i/>
          <w:iCs/>
          <w:lang w:val="en-US"/>
        </w:rPr>
        <w:t xml:space="preserve"> in</w:t>
      </w:r>
      <w:r w:rsidRPr="00D25A7C">
        <w:rPr>
          <w:i/>
          <w:iCs/>
          <w:lang w:val="de-DE"/>
        </w:rPr>
        <w:t xml:space="preserve"> </w:t>
      </w:r>
      <w:r>
        <w:rPr>
          <w:i/>
          <w:iCs/>
          <w:lang w:val="de-DE"/>
        </w:rPr>
        <w:t>seven months</w:t>
      </w:r>
      <w:r w:rsidRPr="00D25A7C">
        <w:rPr>
          <w:i/>
          <w:iCs/>
          <w:lang w:val="de-DE"/>
        </w:rPr>
        <w:t xml:space="preserve"> of 2024</w:t>
      </w:r>
      <w:r w:rsidRPr="00D25A7C">
        <w:rPr>
          <w:iCs/>
          <w:lang w:val="de-DE"/>
        </w:rPr>
        <w:t xml:space="preserve">, </w:t>
      </w:r>
      <w:r w:rsidRPr="00D25A7C">
        <w:rPr>
          <w:iCs/>
          <w:lang w:val="en-US"/>
        </w:rPr>
        <w:t xml:space="preserve">the export turnover was estimated at </w:t>
      </w:r>
      <w:r>
        <w:rPr>
          <w:iCs/>
          <w:lang w:val="en-US"/>
        </w:rPr>
        <w:t>226.98</w:t>
      </w:r>
      <w:r w:rsidRPr="00D25A7C">
        <w:rPr>
          <w:iCs/>
          <w:lang w:val="en-US"/>
        </w:rPr>
        <w:t xml:space="preserve"> billion</w:t>
      </w:r>
      <w:r w:rsidRPr="00D25A7C">
        <w:rPr>
          <w:bCs/>
          <w:iCs/>
          <w:lang w:val="en-US"/>
        </w:rPr>
        <w:t xml:space="preserve"> USD</w:t>
      </w:r>
      <w:r w:rsidRPr="00D25A7C">
        <w:rPr>
          <w:iCs/>
          <w:lang w:val="en-US"/>
        </w:rPr>
        <w:t>, increased by 1</w:t>
      </w:r>
      <w:r>
        <w:rPr>
          <w:iCs/>
          <w:lang w:val="en-US"/>
        </w:rPr>
        <w:t>5.7</w:t>
      </w:r>
      <w:r w:rsidRPr="00D25A7C">
        <w:rPr>
          <w:iCs/>
          <w:lang w:val="en-US"/>
        </w:rPr>
        <w:t xml:space="preserve">% over </w:t>
      </w:r>
      <w:r w:rsidRPr="00D25A7C">
        <w:rPr>
          <w:bCs/>
          <w:iCs/>
          <w:lang w:val="en-US"/>
        </w:rPr>
        <w:t>the same period last year</w:t>
      </w:r>
      <w:r w:rsidRPr="00D25A7C">
        <w:rPr>
          <w:iCs/>
          <w:lang w:val="en-US"/>
        </w:rPr>
        <w:t xml:space="preserve">. Of which, the domestic economic sector </w:t>
      </w:r>
      <w:r w:rsidRPr="00D25A7C">
        <w:rPr>
          <w:bCs/>
          <w:iCs/>
          <w:lang w:val="en-US"/>
        </w:rPr>
        <w:t>was</w:t>
      </w:r>
      <w:r w:rsidRPr="00D25A7C">
        <w:rPr>
          <w:iCs/>
          <w:lang w:val="en-US"/>
        </w:rPr>
        <w:t xml:space="preserve"> </w:t>
      </w:r>
      <w:r>
        <w:rPr>
          <w:iCs/>
          <w:lang w:val="en-US"/>
        </w:rPr>
        <w:t>63.08</w:t>
      </w:r>
      <w:r w:rsidRPr="00D25A7C">
        <w:rPr>
          <w:iCs/>
          <w:lang w:val="en-US"/>
        </w:rPr>
        <w:t xml:space="preserve"> billion USD, went up 2</w:t>
      </w:r>
      <w:r>
        <w:rPr>
          <w:iCs/>
          <w:lang w:val="en-US"/>
        </w:rPr>
        <w:t>1.1</w:t>
      </w:r>
      <w:r w:rsidRPr="00D25A7C">
        <w:rPr>
          <w:iCs/>
          <w:lang w:val="en-US"/>
        </w:rPr>
        <w:t>%, accounting for 2</w:t>
      </w:r>
      <w:r>
        <w:rPr>
          <w:iCs/>
          <w:lang w:val="en-US"/>
        </w:rPr>
        <w:t>7.8</w:t>
      </w:r>
      <w:r w:rsidRPr="00D25A7C">
        <w:rPr>
          <w:iCs/>
          <w:lang w:val="en-US"/>
        </w:rPr>
        <w:t>% of total export turnover; the FDI sector (including crude oil) attained 1</w:t>
      </w:r>
      <w:r>
        <w:rPr>
          <w:iCs/>
          <w:lang w:val="en-US"/>
        </w:rPr>
        <w:t>63.9</w:t>
      </w:r>
      <w:r w:rsidRPr="00D25A7C">
        <w:rPr>
          <w:iCs/>
          <w:lang w:val="en-US"/>
        </w:rPr>
        <w:t xml:space="preserve"> billion USD, increased by 13</w:t>
      </w:r>
      <w:r>
        <w:rPr>
          <w:iCs/>
          <w:lang w:val="en-US"/>
        </w:rPr>
        <w:t>.8</w:t>
      </w:r>
      <w:r w:rsidRPr="00D25A7C">
        <w:rPr>
          <w:iCs/>
          <w:lang w:val="en-US"/>
        </w:rPr>
        <w:t>%, sharing 7</w:t>
      </w:r>
      <w:r>
        <w:rPr>
          <w:iCs/>
          <w:lang w:val="en-US"/>
        </w:rPr>
        <w:t>2.2</w:t>
      </w:r>
      <w:r w:rsidRPr="00D25A7C">
        <w:rPr>
          <w:iCs/>
          <w:lang w:val="en-US"/>
        </w:rPr>
        <w:t>%.</w:t>
      </w:r>
      <w:r w:rsidRPr="00D25A7C">
        <w:rPr>
          <w:iCs/>
          <w:lang w:val="de-DE"/>
        </w:rPr>
        <w:t xml:space="preserve"> </w:t>
      </w:r>
    </w:p>
    <w:p w14:paraId="2521F5D5" w14:textId="77777777" w:rsidR="00EC5D51" w:rsidRPr="00D25A7C" w:rsidRDefault="00EC5D51" w:rsidP="00EC5D51">
      <w:pPr>
        <w:tabs>
          <w:tab w:val="num" w:pos="0"/>
        </w:tabs>
        <w:spacing w:beforeLines="40" w:before="96" w:afterLines="40" w:after="96" w:line="288" w:lineRule="auto"/>
        <w:ind w:right="6" w:firstLine="567"/>
        <w:jc w:val="both"/>
        <w:rPr>
          <w:b/>
          <w:bCs/>
          <w:lang w:val="es-NI"/>
        </w:rPr>
      </w:pPr>
      <w:r w:rsidRPr="00D25A7C">
        <w:rPr>
          <w:i/>
          <w:iCs/>
          <w:lang w:val="de-DE"/>
        </w:rPr>
        <w:t xml:space="preserve">In </w:t>
      </w:r>
      <w:r>
        <w:rPr>
          <w:i/>
          <w:iCs/>
          <w:lang w:val="de-DE"/>
        </w:rPr>
        <w:t>seven months</w:t>
      </w:r>
      <w:r w:rsidRPr="00D25A7C">
        <w:rPr>
          <w:i/>
          <w:iCs/>
          <w:lang w:val="de-DE"/>
        </w:rPr>
        <w:t xml:space="preserve"> of 2024</w:t>
      </w:r>
      <w:r w:rsidRPr="00D25A7C">
        <w:rPr>
          <w:lang w:val="de-DE"/>
        </w:rPr>
        <w:t xml:space="preserve">, </w:t>
      </w:r>
      <w:r w:rsidRPr="00D25A7C">
        <w:rPr>
          <w:lang w:val="en-US"/>
        </w:rPr>
        <w:t xml:space="preserve">there were </w:t>
      </w:r>
      <w:r>
        <w:rPr>
          <w:lang w:val="en-US"/>
        </w:rPr>
        <w:t>30</w:t>
      </w:r>
      <w:r w:rsidRPr="00D25A7C">
        <w:rPr>
          <w:lang w:val="en-US"/>
        </w:rPr>
        <w:t xml:space="preserve"> products with export turnover of over 1 billion USD, contributing 9</w:t>
      </w:r>
      <w:r>
        <w:rPr>
          <w:lang w:val="en-US"/>
        </w:rPr>
        <w:t>1.9</w:t>
      </w:r>
      <w:r w:rsidRPr="00D25A7C">
        <w:rPr>
          <w:lang w:val="en-US"/>
        </w:rPr>
        <w:t>% to the total export turnover (</w:t>
      </w:r>
      <w:r>
        <w:rPr>
          <w:lang w:val="en-US"/>
        </w:rPr>
        <w:t>9</w:t>
      </w:r>
      <w:r w:rsidRPr="00D25A7C">
        <w:rPr>
          <w:lang w:val="en-US"/>
        </w:rPr>
        <w:t xml:space="preserve"> products with export turnover of over 5 billion USD, accounting for </w:t>
      </w:r>
      <w:r>
        <w:rPr>
          <w:lang w:val="en-US"/>
        </w:rPr>
        <w:t>70.8</w:t>
      </w:r>
      <w:r w:rsidRPr="00D25A7C">
        <w:rPr>
          <w:lang w:val="en-US"/>
        </w:rPr>
        <w:t>%).</w:t>
      </w:r>
      <w:r w:rsidRPr="00D25A7C">
        <w:rPr>
          <w:lang w:val="de-DE"/>
        </w:rPr>
        <w:t xml:space="preserve"> </w:t>
      </w:r>
    </w:p>
    <w:p w14:paraId="22E0B835" w14:textId="77777777" w:rsidR="00EC5D51" w:rsidRPr="00D25A7C" w:rsidRDefault="00EC5D51" w:rsidP="00EC5D51">
      <w:pPr>
        <w:tabs>
          <w:tab w:val="num" w:pos="0"/>
          <w:tab w:val="left" w:pos="9475"/>
        </w:tabs>
        <w:spacing w:beforeLines="40" w:before="96" w:afterLines="40" w:after="96" w:line="264" w:lineRule="auto"/>
        <w:ind w:right="119"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4</w:t>
      </w:r>
      <w:r w:rsidRPr="00D25A7C">
        <w:rPr>
          <w:rFonts w:ascii="Arial" w:hAnsi="Arial" w:cs="Arial"/>
          <w:b/>
          <w:sz w:val="24"/>
          <w:szCs w:val="20"/>
          <w:lang w:val="pl-PL"/>
        </w:rPr>
        <w:t xml:space="preserve">. Value of some export products in </w:t>
      </w:r>
      <w:r>
        <w:rPr>
          <w:rFonts w:ascii="Arial" w:hAnsi="Arial" w:cs="Arial"/>
          <w:b/>
          <w:sz w:val="24"/>
          <w:szCs w:val="20"/>
          <w:lang w:val="pl-PL"/>
        </w:rPr>
        <w:t>7 months</w:t>
      </w:r>
      <w:r w:rsidRPr="00D25A7C">
        <w:rPr>
          <w:rFonts w:ascii="Arial" w:hAnsi="Arial" w:cs="Arial"/>
          <w:b/>
          <w:sz w:val="24"/>
          <w:szCs w:val="20"/>
          <w:lang w:val="pl-PL"/>
        </w:rPr>
        <w:t xml:space="preserve"> of 2024</w:t>
      </w:r>
    </w:p>
    <w:tbl>
      <w:tblPr>
        <w:tblStyle w:val="TableGrid1"/>
        <w:tblW w:w="9711"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92"/>
        <w:gridCol w:w="1657"/>
        <w:gridCol w:w="3162"/>
      </w:tblGrid>
      <w:tr w:rsidR="00EC5D51" w:rsidRPr="00D25A7C" w14:paraId="67C386D4" w14:textId="77777777" w:rsidTr="00CA23A3">
        <w:trPr>
          <w:trHeight w:val="781"/>
        </w:trPr>
        <w:tc>
          <w:tcPr>
            <w:tcW w:w="4892" w:type="dxa"/>
          </w:tcPr>
          <w:p w14:paraId="22079C34" w14:textId="77777777" w:rsidR="00EC5D51" w:rsidRPr="00D25A7C" w:rsidRDefault="00EC5D51" w:rsidP="00CA23A3">
            <w:pPr>
              <w:tabs>
                <w:tab w:val="num" w:pos="0"/>
                <w:tab w:val="left" w:pos="9475"/>
              </w:tabs>
              <w:spacing w:before="40" w:after="40" w:line="288" w:lineRule="auto"/>
              <w:ind w:right="119"/>
              <w:jc w:val="right"/>
              <w:rPr>
                <w:rFonts w:ascii="Arial" w:hAnsi="Arial" w:cs="Arial"/>
                <w:b/>
                <w:bCs/>
                <w:i/>
                <w:iCs/>
                <w:sz w:val="20"/>
                <w:szCs w:val="20"/>
              </w:rPr>
            </w:pPr>
          </w:p>
        </w:tc>
        <w:tc>
          <w:tcPr>
            <w:tcW w:w="1657" w:type="dxa"/>
            <w:tcBorders>
              <w:top w:val="single" w:sz="4" w:space="0" w:color="auto"/>
              <w:bottom w:val="single" w:sz="4" w:space="0" w:color="auto"/>
            </w:tcBorders>
          </w:tcPr>
          <w:p w14:paraId="19002D4B" w14:textId="77777777" w:rsidR="00EC5D51" w:rsidRPr="00D25A7C" w:rsidRDefault="00EC5D51" w:rsidP="00CA23A3">
            <w:pPr>
              <w:spacing w:before="40" w:after="40" w:line="288" w:lineRule="auto"/>
              <w:jc w:val="center"/>
              <w:rPr>
                <w:rFonts w:ascii="Arial" w:hAnsi="Arial" w:cs="Arial"/>
                <w:color w:val="000000"/>
                <w:sz w:val="20"/>
                <w:szCs w:val="20"/>
              </w:rPr>
            </w:pPr>
            <w:r w:rsidRPr="00D25A7C">
              <w:rPr>
                <w:rFonts w:ascii="Arial" w:hAnsi="Arial" w:cs="Arial"/>
                <w:color w:val="000000"/>
                <w:sz w:val="20"/>
                <w:szCs w:val="20"/>
                <w:lang w:val="en-US"/>
              </w:rPr>
              <w:t>Estimate</w:t>
            </w:r>
          </w:p>
          <w:p w14:paraId="36D644C7" w14:textId="77777777" w:rsidR="00EC5D51" w:rsidRPr="00D25A7C" w:rsidRDefault="00EC5D51" w:rsidP="00CA23A3">
            <w:pPr>
              <w:spacing w:before="40" w:after="40" w:line="288" w:lineRule="auto"/>
              <w:jc w:val="center"/>
              <w:rPr>
                <w:rFonts w:ascii="Arial" w:hAnsi="Arial" w:cs="Arial"/>
                <w:b/>
                <w:bCs/>
                <w:i/>
                <w:iCs/>
                <w:sz w:val="20"/>
                <w:szCs w:val="20"/>
              </w:rPr>
            </w:pPr>
            <w:r w:rsidRPr="00D25A7C">
              <w:rPr>
                <w:rFonts w:ascii="Arial" w:hAnsi="Arial" w:cs="Arial"/>
                <w:i/>
                <w:iCs/>
                <w:color w:val="000000"/>
                <w:sz w:val="20"/>
                <w:szCs w:val="20"/>
                <w:lang w:val="en-US"/>
              </w:rPr>
              <w:t>(Mill. USD)</w:t>
            </w:r>
          </w:p>
        </w:tc>
        <w:tc>
          <w:tcPr>
            <w:tcW w:w="3162" w:type="dxa"/>
            <w:tcBorders>
              <w:top w:val="single" w:sz="4" w:space="0" w:color="auto"/>
              <w:bottom w:val="single" w:sz="4" w:space="0" w:color="auto"/>
            </w:tcBorders>
          </w:tcPr>
          <w:p w14:paraId="5519586A" w14:textId="77777777" w:rsidR="00EC5D51" w:rsidRPr="00D25A7C" w:rsidRDefault="00EC5D51" w:rsidP="00CA23A3">
            <w:pPr>
              <w:spacing w:before="40" w:after="40" w:line="288" w:lineRule="auto"/>
              <w:jc w:val="center"/>
              <w:rPr>
                <w:rFonts w:ascii="Arial" w:hAnsi="Arial" w:cs="Arial"/>
                <w:sz w:val="20"/>
                <w:szCs w:val="20"/>
                <w:lang w:val="en-US"/>
              </w:rPr>
            </w:pPr>
            <w:r w:rsidRPr="00D25A7C">
              <w:rPr>
                <w:rFonts w:ascii="Arial" w:hAnsi="Arial" w:cs="Arial"/>
                <w:sz w:val="20"/>
                <w:szCs w:val="20"/>
              </w:rPr>
              <w:t xml:space="preserve">Growth </w:t>
            </w:r>
            <w:proofErr w:type="gramStart"/>
            <w:r w:rsidRPr="00D25A7C">
              <w:rPr>
                <w:rFonts w:ascii="Arial" w:hAnsi="Arial" w:cs="Arial"/>
                <w:sz w:val="20"/>
                <w:szCs w:val="20"/>
              </w:rPr>
              <w:t>rate</w:t>
            </w:r>
            <w:proofErr w:type="gramEnd"/>
            <w:r w:rsidRPr="00D25A7C">
              <w:rPr>
                <w:rFonts w:ascii="Arial" w:hAnsi="Arial" w:cs="Arial"/>
                <w:sz w:val="20"/>
                <w:szCs w:val="20"/>
              </w:rPr>
              <w:t xml:space="preserve"> </w:t>
            </w:r>
            <w:r w:rsidRPr="00D25A7C">
              <w:rPr>
                <w:rFonts w:ascii="Arial" w:hAnsi="Arial" w:cs="Arial"/>
                <w:sz w:val="20"/>
                <w:szCs w:val="20"/>
                <w:lang w:val="en-US"/>
              </w:rPr>
              <w:t>compare to</w:t>
            </w:r>
          </w:p>
          <w:p w14:paraId="4861B758"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lang w:val="en-US"/>
              </w:rPr>
              <w:t xml:space="preserve">the same period last year </w:t>
            </w:r>
            <w:r w:rsidRPr="00D25A7C">
              <w:rPr>
                <w:rFonts w:ascii="Arial" w:hAnsi="Arial" w:cs="Arial"/>
                <w:i/>
                <w:iCs/>
                <w:sz w:val="20"/>
                <w:szCs w:val="20"/>
                <w:lang w:val="en-US"/>
              </w:rPr>
              <w:t>(%)</w:t>
            </w:r>
          </w:p>
        </w:tc>
      </w:tr>
      <w:tr w:rsidR="00EC5D51" w:rsidRPr="00D25A7C" w14:paraId="1DB9BBA9" w14:textId="77777777" w:rsidTr="00CA23A3">
        <w:trPr>
          <w:trHeight w:val="426"/>
        </w:trPr>
        <w:tc>
          <w:tcPr>
            <w:tcW w:w="4892" w:type="dxa"/>
          </w:tcPr>
          <w:p w14:paraId="53186761" w14:textId="77777777" w:rsidR="00EC5D51" w:rsidRPr="00D25A7C" w:rsidRDefault="00EC5D51" w:rsidP="00CA23A3">
            <w:pPr>
              <w:spacing w:before="40" w:after="40" w:line="288" w:lineRule="auto"/>
              <w:rPr>
                <w:rFonts w:ascii="Arial" w:hAnsi="Arial" w:cs="Arial"/>
                <w:b/>
                <w:bCs/>
                <w:color w:val="000000"/>
                <w:sz w:val="20"/>
                <w:szCs w:val="20"/>
              </w:rPr>
            </w:pPr>
            <w:r w:rsidRPr="00D25A7C">
              <w:rPr>
                <w:rFonts w:ascii="Arial" w:hAnsi="Arial" w:cs="Arial"/>
                <w:b/>
                <w:bCs/>
                <w:sz w:val="20"/>
                <w:szCs w:val="20"/>
              </w:rPr>
              <w:t>Items with a value of over 5 billion USD</w:t>
            </w:r>
          </w:p>
        </w:tc>
        <w:tc>
          <w:tcPr>
            <w:tcW w:w="1657" w:type="dxa"/>
            <w:tcBorders>
              <w:top w:val="single" w:sz="4" w:space="0" w:color="auto"/>
            </w:tcBorders>
          </w:tcPr>
          <w:p w14:paraId="6A42D172" w14:textId="77777777" w:rsidR="00EC5D51" w:rsidRPr="00D25A7C" w:rsidRDefault="00EC5D51" w:rsidP="00CA23A3">
            <w:pPr>
              <w:tabs>
                <w:tab w:val="num" w:pos="0"/>
                <w:tab w:val="left" w:pos="9475"/>
              </w:tabs>
              <w:spacing w:before="40" w:after="40" w:line="288" w:lineRule="auto"/>
              <w:ind w:right="119"/>
              <w:jc w:val="right"/>
              <w:rPr>
                <w:rFonts w:ascii="Arial" w:hAnsi="Arial" w:cs="Arial"/>
                <w:b/>
                <w:bCs/>
                <w:i/>
                <w:iCs/>
                <w:sz w:val="20"/>
                <w:szCs w:val="20"/>
              </w:rPr>
            </w:pPr>
          </w:p>
        </w:tc>
        <w:tc>
          <w:tcPr>
            <w:tcW w:w="3162" w:type="dxa"/>
            <w:tcBorders>
              <w:top w:val="single" w:sz="4" w:space="0" w:color="auto"/>
            </w:tcBorders>
          </w:tcPr>
          <w:p w14:paraId="206A011F" w14:textId="77777777" w:rsidR="00EC5D51" w:rsidRPr="00D25A7C" w:rsidRDefault="00EC5D51" w:rsidP="00CA23A3">
            <w:pPr>
              <w:tabs>
                <w:tab w:val="num" w:pos="0"/>
                <w:tab w:val="left" w:pos="9475"/>
              </w:tabs>
              <w:spacing w:before="40" w:after="40" w:line="288" w:lineRule="auto"/>
              <w:ind w:right="119"/>
              <w:jc w:val="right"/>
              <w:rPr>
                <w:rFonts w:ascii="Arial" w:hAnsi="Arial" w:cs="Arial"/>
                <w:b/>
                <w:bCs/>
                <w:i/>
                <w:iCs/>
                <w:sz w:val="20"/>
                <w:szCs w:val="20"/>
              </w:rPr>
            </w:pPr>
          </w:p>
        </w:tc>
      </w:tr>
      <w:tr w:rsidR="00EC5D51" w:rsidRPr="00D25A7C" w14:paraId="76D32F25" w14:textId="77777777" w:rsidTr="00CA23A3">
        <w:trPr>
          <w:trHeight w:val="408"/>
        </w:trPr>
        <w:tc>
          <w:tcPr>
            <w:tcW w:w="4892" w:type="dxa"/>
            <w:vAlign w:val="center"/>
          </w:tcPr>
          <w:p w14:paraId="7960FB1D"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Electronic goods, computers and their parts</w:t>
            </w:r>
          </w:p>
        </w:tc>
        <w:tc>
          <w:tcPr>
            <w:tcW w:w="1657" w:type="dxa"/>
            <w:vAlign w:val="bottom"/>
          </w:tcPr>
          <w:p w14:paraId="188E74A2"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39</w:t>
            </w:r>
            <w:r>
              <w:rPr>
                <w:rFonts w:ascii="Arial" w:hAnsi="Arial" w:cs="Arial"/>
                <w:sz w:val="20"/>
                <w:szCs w:val="20"/>
                <w:lang w:val="en-US"/>
              </w:rPr>
              <w:t>,</w:t>
            </w:r>
            <w:r w:rsidRPr="00D93871">
              <w:rPr>
                <w:rFonts w:ascii="Arial" w:hAnsi="Arial" w:cs="Arial"/>
                <w:sz w:val="20"/>
                <w:szCs w:val="20"/>
              </w:rPr>
              <w:t>867</w:t>
            </w:r>
          </w:p>
        </w:tc>
        <w:tc>
          <w:tcPr>
            <w:tcW w:w="3162" w:type="dxa"/>
            <w:vAlign w:val="bottom"/>
          </w:tcPr>
          <w:p w14:paraId="2C1D3050"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30</w:t>
            </w:r>
            <w:r>
              <w:rPr>
                <w:rFonts w:ascii="Arial" w:hAnsi="Arial" w:cs="Arial"/>
                <w:sz w:val="20"/>
                <w:szCs w:val="20"/>
                <w:lang w:val="en-US"/>
              </w:rPr>
              <w:t>.</w:t>
            </w:r>
            <w:r w:rsidRPr="00D93871">
              <w:rPr>
                <w:rFonts w:ascii="Arial" w:hAnsi="Arial" w:cs="Arial"/>
                <w:sz w:val="20"/>
                <w:szCs w:val="20"/>
              </w:rPr>
              <w:t>0</w:t>
            </w:r>
          </w:p>
        </w:tc>
      </w:tr>
      <w:tr w:rsidR="00EC5D51" w:rsidRPr="00D25A7C" w14:paraId="55D3DC35" w14:textId="77777777" w:rsidTr="00CA23A3">
        <w:trPr>
          <w:trHeight w:val="426"/>
        </w:trPr>
        <w:tc>
          <w:tcPr>
            <w:tcW w:w="4892" w:type="dxa"/>
            <w:vAlign w:val="center"/>
          </w:tcPr>
          <w:p w14:paraId="1EC4A697"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 xml:space="preserve">Phones all of kinds and their parts </w:t>
            </w:r>
          </w:p>
        </w:tc>
        <w:tc>
          <w:tcPr>
            <w:tcW w:w="1657" w:type="dxa"/>
            <w:vAlign w:val="bottom"/>
          </w:tcPr>
          <w:p w14:paraId="7937A3FA"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32</w:t>
            </w:r>
            <w:r>
              <w:rPr>
                <w:rFonts w:ascii="Arial" w:hAnsi="Arial" w:cs="Arial"/>
                <w:sz w:val="20"/>
                <w:szCs w:val="20"/>
                <w:lang w:val="en-US"/>
              </w:rPr>
              <w:t>,</w:t>
            </w:r>
            <w:r w:rsidRPr="00D93871">
              <w:rPr>
                <w:rFonts w:ascii="Arial" w:hAnsi="Arial" w:cs="Arial"/>
                <w:sz w:val="20"/>
                <w:szCs w:val="20"/>
              </w:rPr>
              <w:t>446</w:t>
            </w:r>
          </w:p>
        </w:tc>
        <w:tc>
          <w:tcPr>
            <w:tcW w:w="3162" w:type="dxa"/>
            <w:vAlign w:val="bottom"/>
          </w:tcPr>
          <w:p w14:paraId="669AA5B4"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12</w:t>
            </w:r>
            <w:r>
              <w:rPr>
                <w:rFonts w:ascii="Arial" w:hAnsi="Arial" w:cs="Arial"/>
                <w:sz w:val="20"/>
                <w:szCs w:val="20"/>
                <w:lang w:val="en-US"/>
              </w:rPr>
              <w:t>.</w:t>
            </w:r>
            <w:r w:rsidRPr="00D93871">
              <w:rPr>
                <w:rFonts w:ascii="Arial" w:hAnsi="Arial" w:cs="Arial"/>
                <w:sz w:val="20"/>
                <w:szCs w:val="20"/>
              </w:rPr>
              <w:t>3</w:t>
            </w:r>
          </w:p>
        </w:tc>
      </w:tr>
      <w:tr w:rsidR="00EC5D51" w:rsidRPr="00D25A7C" w14:paraId="5C1875F1" w14:textId="77777777" w:rsidTr="00CA23A3">
        <w:trPr>
          <w:trHeight w:val="408"/>
        </w:trPr>
        <w:tc>
          <w:tcPr>
            <w:tcW w:w="4892" w:type="dxa"/>
            <w:tcBorders>
              <w:bottom w:val="nil"/>
            </w:tcBorders>
            <w:vAlign w:val="center"/>
          </w:tcPr>
          <w:p w14:paraId="3BB3B3B9"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Machinery, instrument, accessory</w:t>
            </w:r>
          </w:p>
        </w:tc>
        <w:tc>
          <w:tcPr>
            <w:tcW w:w="1657" w:type="dxa"/>
            <w:tcBorders>
              <w:bottom w:val="nil"/>
            </w:tcBorders>
            <w:vAlign w:val="bottom"/>
          </w:tcPr>
          <w:p w14:paraId="78028B35" w14:textId="77777777" w:rsidR="00EC5D51" w:rsidRPr="00D25A7C" w:rsidRDefault="00EC5D51" w:rsidP="00CA23A3">
            <w:pPr>
              <w:spacing w:before="40" w:after="40" w:line="288" w:lineRule="auto"/>
              <w:ind w:right="320" w:firstLine="171"/>
              <w:jc w:val="right"/>
              <w:rPr>
                <w:rFonts w:ascii="Arial" w:hAnsi="Arial" w:cs="Arial"/>
                <w:sz w:val="20"/>
                <w:szCs w:val="20"/>
              </w:rPr>
            </w:pPr>
            <w:r w:rsidRPr="00D93871">
              <w:rPr>
                <w:rFonts w:ascii="Arial" w:hAnsi="Arial" w:cs="Arial"/>
                <w:sz w:val="20"/>
                <w:szCs w:val="20"/>
              </w:rPr>
              <w:t>27</w:t>
            </w:r>
            <w:r>
              <w:rPr>
                <w:rFonts w:ascii="Arial" w:hAnsi="Arial" w:cs="Arial"/>
                <w:sz w:val="20"/>
                <w:szCs w:val="20"/>
                <w:lang w:val="en-US"/>
              </w:rPr>
              <w:t>,</w:t>
            </w:r>
            <w:r w:rsidRPr="00D93871">
              <w:rPr>
                <w:rFonts w:ascii="Arial" w:hAnsi="Arial" w:cs="Arial"/>
                <w:sz w:val="20"/>
                <w:szCs w:val="20"/>
              </w:rPr>
              <w:t>656</w:t>
            </w:r>
          </w:p>
        </w:tc>
        <w:tc>
          <w:tcPr>
            <w:tcW w:w="3162" w:type="dxa"/>
            <w:tcBorders>
              <w:bottom w:val="nil"/>
            </w:tcBorders>
            <w:vAlign w:val="bottom"/>
          </w:tcPr>
          <w:p w14:paraId="14A369A4"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19</w:t>
            </w:r>
            <w:r>
              <w:rPr>
                <w:rFonts w:ascii="Arial" w:hAnsi="Arial" w:cs="Arial"/>
                <w:sz w:val="20"/>
                <w:szCs w:val="20"/>
                <w:lang w:val="en-US"/>
              </w:rPr>
              <w:t>.</w:t>
            </w:r>
            <w:r w:rsidRPr="00D93871">
              <w:rPr>
                <w:rFonts w:ascii="Arial" w:hAnsi="Arial" w:cs="Arial"/>
                <w:sz w:val="20"/>
                <w:szCs w:val="20"/>
              </w:rPr>
              <w:t>0</w:t>
            </w:r>
          </w:p>
        </w:tc>
      </w:tr>
      <w:tr w:rsidR="00EC5D51" w:rsidRPr="00D25A7C" w14:paraId="676D34D5" w14:textId="77777777" w:rsidTr="00CA23A3">
        <w:trPr>
          <w:trHeight w:val="408"/>
        </w:trPr>
        <w:tc>
          <w:tcPr>
            <w:tcW w:w="4892" w:type="dxa"/>
            <w:tcBorders>
              <w:top w:val="nil"/>
              <w:bottom w:val="nil"/>
            </w:tcBorders>
            <w:vAlign w:val="center"/>
          </w:tcPr>
          <w:p w14:paraId="317195B0"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Textiles and garments</w:t>
            </w:r>
          </w:p>
        </w:tc>
        <w:tc>
          <w:tcPr>
            <w:tcW w:w="1657" w:type="dxa"/>
            <w:tcBorders>
              <w:top w:val="nil"/>
              <w:bottom w:val="nil"/>
            </w:tcBorders>
            <w:vAlign w:val="bottom"/>
          </w:tcPr>
          <w:p w14:paraId="6D88536E"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19</w:t>
            </w:r>
            <w:r>
              <w:rPr>
                <w:rFonts w:ascii="Arial" w:hAnsi="Arial" w:cs="Arial"/>
                <w:sz w:val="20"/>
                <w:szCs w:val="20"/>
              </w:rPr>
              <w:t>,</w:t>
            </w:r>
            <w:r w:rsidRPr="00D93871">
              <w:rPr>
                <w:rFonts w:ascii="Arial" w:hAnsi="Arial" w:cs="Arial"/>
                <w:sz w:val="20"/>
                <w:szCs w:val="20"/>
              </w:rPr>
              <w:t>873</w:t>
            </w:r>
          </w:p>
        </w:tc>
        <w:tc>
          <w:tcPr>
            <w:tcW w:w="3162" w:type="dxa"/>
            <w:tcBorders>
              <w:top w:val="nil"/>
              <w:bottom w:val="nil"/>
            </w:tcBorders>
            <w:vAlign w:val="bottom"/>
          </w:tcPr>
          <w:p w14:paraId="21F5A2A4"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4</w:t>
            </w:r>
            <w:r>
              <w:rPr>
                <w:rFonts w:ascii="Arial" w:hAnsi="Arial" w:cs="Arial"/>
                <w:sz w:val="20"/>
                <w:szCs w:val="20"/>
                <w:lang w:val="en-US"/>
              </w:rPr>
              <w:t>.</w:t>
            </w:r>
            <w:r w:rsidRPr="00D93871">
              <w:rPr>
                <w:rFonts w:ascii="Arial" w:hAnsi="Arial" w:cs="Arial"/>
                <w:sz w:val="20"/>
                <w:szCs w:val="20"/>
              </w:rPr>
              <w:t>2</w:t>
            </w:r>
          </w:p>
        </w:tc>
      </w:tr>
      <w:tr w:rsidR="00EC5D51" w:rsidRPr="00D25A7C" w14:paraId="4757068B" w14:textId="77777777" w:rsidTr="00CA23A3">
        <w:trPr>
          <w:trHeight w:val="408"/>
        </w:trPr>
        <w:tc>
          <w:tcPr>
            <w:tcW w:w="4892" w:type="dxa"/>
            <w:tcBorders>
              <w:top w:val="nil"/>
              <w:bottom w:val="nil"/>
            </w:tcBorders>
            <w:vAlign w:val="center"/>
          </w:tcPr>
          <w:p w14:paraId="6390C59D"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Footwear</w:t>
            </w:r>
          </w:p>
        </w:tc>
        <w:tc>
          <w:tcPr>
            <w:tcW w:w="1657" w:type="dxa"/>
            <w:tcBorders>
              <w:top w:val="nil"/>
              <w:bottom w:val="nil"/>
            </w:tcBorders>
            <w:vAlign w:val="bottom"/>
          </w:tcPr>
          <w:p w14:paraId="43FA0A00"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12</w:t>
            </w:r>
            <w:r>
              <w:rPr>
                <w:rFonts w:ascii="Arial" w:hAnsi="Arial" w:cs="Arial"/>
                <w:sz w:val="20"/>
                <w:szCs w:val="20"/>
                <w:lang w:val="en-US"/>
              </w:rPr>
              <w:t>,</w:t>
            </w:r>
            <w:r w:rsidRPr="00D93871">
              <w:rPr>
                <w:rFonts w:ascii="Arial" w:hAnsi="Arial" w:cs="Arial"/>
                <w:sz w:val="20"/>
                <w:szCs w:val="20"/>
              </w:rPr>
              <w:t>818</w:t>
            </w:r>
          </w:p>
        </w:tc>
        <w:tc>
          <w:tcPr>
            <w:tcW w:w="3162" w:type="dxa"/>
            <w:tcBorders>
              <w:top w:val="nil"/>
              <w:bottom w:val="nil"/>
            </w:tcBorders>
            <w:vAlign w:val="bottom"/>
          </w:tcPr>
          <w:p w14:paraId="6A5E8667"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10</w:t>
            </w:r>
            <w:r>
              <w:rPr>
                <w:rFonts w:ascii="Arial" w:hAnsi="Arial" w:cs="Arial"/>
                <w:sz w:val="20"/>
                <w:szCs w:val="20"/>
                <w:lang w:val="en-US"/>
              </w:rPr>
              <w:t>.</w:t>
            </w:r>
            <w:r w:rsidRPr="00D93871">
              <w:rPr>
                <w:rFonts w:ascii="Arial" w:hAnsi="Arial" w:cs="Arial"/>
                <w:sz w:val="20"/>
                <w:szCs w:val="20"/>
              </w:rPr>
              <w:t>1</w:t>
            </w:r>
          </w:p>
        </w:tc>
      </w:tr>
      <w:tr w:rsidR="00EC5D51" w:rsidRPr="00D25A7C" w14:paraId="5D3E38BA" w14:textId="77777777" w:rsidTr="00CA23A3">
        <w:trPr>
          <w:trHeight w:val="408"/>
        </w:trPr>
        <w:tc>
          <w:tcPr>
            <w:tcW w:w="4892" w:type="dxa"/>
            <w:tcBorders>
              <w:top w:val="nil"/>
              <w:bottom w:val="nil"/>
            </w:tcBorders>
            <w:vAlign w:val="center"/>
          </w:tcPr>
          <w:p w14:paraId="70A2D643"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Wood and products</w:t>
            </w:r>
          </w:p>
        </w:tc>
        <w:tc>
          <w:tcPr>
            <w:tcW w:w="1657" w:type="dxa"/>
            <w:tcBorders>
              <w:top w:val="nil"/>
              <w:bottom w:val="nil"/>
            </w:tcBorders>
            <w:vAlign w:val="bottom"/>
          </w:tcPr>
          <w:p w14:paraId="3202CB64"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8</w:t>
            </w:r>
            <w:r>
              <w:rPr>
                <w:rFonts w:ascii="Arial" w:hAnsi="Arial" w:cs="Arial"/>
                <w:sz w:val="20"/>
                <w:szCs w:val="20"/>
                <w:lang w:val="en-US"/>
              </w:rPr>
              <w:t>,</w:t>
            </w:r>
            <w:r w:rsidRPr="00D93871">
              <w:rPr>
                <w:rFonts w:ascii="Arial" w:hAnsi="Arial" w:cs="Arial"/>
                <w:sz w:val="20"/>
                <w:szCs w:val="20"/>
              </w:rPr>
              <w:t>876</w:t>
            </w:r>
          </w:p>
        </w:tc>
        <w:tc>
          <w:tcPr>
            <w:tcW w:w="3162" w:type="dxa"/>
            <w:tcBorders>
              <w:top w:val="nil"/>
              <w:bottom w:val="nil"/>
            </w:tcBorders>
            <w:vAlign w:val="bottom"/>
          </w:tcPr>
          <w:p w14:paraId="30418954"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23</w:t>
            </w:r>
            <w:r>
              <w:rPr>
                <w:rFonts w:ascii="Arial" w:hAnsi="Arial" w:cs="Arial"/>
                <w:sz w:val="20"/>
                <w:szCs w:val="20"/>
                <w:lang w:val="en-US"/>
              </w:rPr>
              <w:t>.</w:t>
            </w:r>
            <w:r w:rsidRPr="00D93871">
              <w:rPr>
                <w:rFonts w:ascii="Arial" w:hAnsi="Arial" w:cs="Arial"/>
                <w:sz w:val="20"/>
                <w:szCs w:val="20"/>
              </w:rPr>
              <w:t>3</w:t>
            </w:r>
          </w:p>
        </w:tc>
      </w:tr>
      <w:tr w:rsidR="00EC5D51" w:rsidRPr="00D25A7C" w14:paraId="52BB56AB" w14:textId="77777777" w:rsidTr="00CA23A3">
        <w:trPr>
          <w:trHeight w:val="408"/>
        </w:trPr>
        <w:tc>
          <w:tcPr>
            <w:tcW w:w="4892" w:type="dxa"/>
            <w:tcBorders>
              <w:top w:val="nil"/>
              <w:bottom w:val="nil"/>
            </w:tcBorders>
            <w:vAlign w:val="center"/>
          </w:tcPr>
          <w:p w14:paraId="37130FE9"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Means of transport and components</w:t>
            </w:r>
          </w:p>
        </w:tc>
        <w:tc>
          <w:tcPr>
            <w:tcW w:w="1657" w:type="dxa"/>
            <w:tcBorders>
              <w:top w:val="nil"/>
              <w:bottom w:val="nil"/>
            </w:tcBorders>
            <w:vAlign w:val="bottom"/>
          </w:tcPr>
          <w:p w14:paraId="71563D66"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8</w:t>
            </w:r>
            <w:r>
              <w:rPr>
                <w:rFonts w:ascii="Arial" w:hAnsi="Arial" w:cs="Arial"/>
                <w:sz w:val="20"/>
                <w:szCs w:val="20"/>
                <w:lang w:val="en-US"/>
              </w:rPr>
              <w:t>,</w:t>
            </w:r>
            <w:r w:rsidRPr="00D93871">
              <w:rPr>
                <w:rFonts w:ascii="Arial" w:hAnsi="Arial" w:cs="Arial"/>
                <w:sz w:val="20"/>
                <w:szCs w:val="20"/>
              </w:rPr>
              <w:t>411</w:t>
            </w:r>
          </w:p>
        </w:tc>
        <w:tc>
          <w:tcPr>
            <w:tcW w:w="3162" w:type="dxa"/>
            <w:tcBorders>
              <w:top w:val="nil"/>
              <w:bottom w:val="nil"/>
            </w:tcBorders>
            <w:vAlign w:val="bottom"/>
          </w:tcPr>
          <w:p w14:paraId="147E7781"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2</w:t>
            </w:r>
            <w:r>
              <w:rPr>
                <w:rFonts w:ascii="Arial" w:hAnsi="Arial" w:cs="Arial"/>
                <w:sz w:val="20"/>
                <w:szCs w:val="20"/>
                <w:lang w:val="en-US"/>
              </w:rPr>
              <w:t>.</w:t>
            </w:r>
            <w:r w:rsidRPr="00D93871">
              <w:rPr>
                <w:rFonts w:ascii="Arial" w:hAnsi="Arial" w:cs="Arial"/>
                <w:sz w:val="20"/>
                <w:szCs w:val="20"/>
              </w:rPr>
              <w:t>5</w:t>
            </w:r>
          </w:p>
        </w:tc>
      </w:tr>
      <w:tr w:rsidR="00EC5D51" w:rsidRPr="00D25A7C" w14:paraId="6FCA36CB" w14:textId="77777777" w:rsidTr="00CA23A3">
        <w:trPr>
          <w:trHeight w:val="408"/>
        </w:trPr>
        <w:tc>
          <w:tcPr>
            <w:tcW w:w="4892" w:type="dxa"/>
            <w:tcBorders>
              <w:top w:val="nil"/>
              <w:bottom w:val="nil"/>
            </w:tcBorders>
            <w:vAlign w:val="center"/>
          </w:tcPr>
          <w:p w14:paraId="77F8D0E8" w14:textId="77777777" w:rsidR="00EC5D51" w:rsidRPr="00D25A7C" w:rsidRDefault="00EC5D51" w:rsidP="00CA23A3">
            <w:pPr>
              <w:spacing w:before="40" w:after="40" w:line="288" w:lineRule="auto"/>
              <w:ind w:firstLine="171"/>
              <w:rPr>
                <w:rFonts w:ascii="Arial" w:hAnsi="Arial" w:cs="Arial"/>
                <w:sz w:val="20"/>
                <w:szCs w:val="20"/>
              </w:rPr>
            </w:pPr>
            <w:r w:rsidRPr="0051111F">
              <w:rPr>
                <w:rFonts w:ascii="Arial" w:hAnsi="Arial" w:cs="Arial"/>
                <w:sz w:val="20"/>
                <w:szCs w:val="20"/>
              </w:rPr>
              <w:t>Iron, steel</w:t>
            </w:r>
          </w:p>
        </w:tc>
        <w:tc>
          <w:tcPr>
            <w:tcW w:w="1657" w:type="dxa"/>
            <w:tcBorders>
              <w:top w:val="nil"/>
              <w:bottom w:val="nil"/>
            </w:tcBorders>
            <w:vAlign w:val="bottom"/>
          </w:tcPr>
          <w:p w14:paraId="1F735EFA" w14:textId="77777777" w:rsidR="00EC5D51" w:rsidRPr="00591953"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5</w:t>
            </w:r>
            <w:r>
              <w:rPr>
                <w:rFonts w:ascii="Arial" w:hAnsi="Arial" w:cs="Arial"/>
                <w:sz w:val="20"/>
                <w:szCs w:val="20"/>
                <w:lang w:val="en-US"/>
              </w:rPr>
              <w:t>,</w:t>
            </w:r>
            <w:r w:rsidRPr="00D93871">
              <w:rPr>
                <w:rFonts w:ascii="Arial" w:hAnsi="Arial" w:cs="Arial"/>
                <w:sz w:val="20"/>
                <w:szCs w:val="20"/>
              </w:rPr>
              <w:t>475</w:t>
            </w:r>
          </w:p>
        </w:tc>
        <w:tc>
          <w:tcPr>
            <w:tcW w:w="3162" w:type="dxa"/>
            <w:tcBorders>
              <w:top w:val="nil"/>
              <w:bottom w:val="nil"/>
            </w:tcBorders>
            <w:vAlign w:val="bottom"/>
          </w:tcPr>
          <w:p w14:paraId="280F58B1" w14:textId="77777777" w:rsidR="00EC5D51" w:rsidRPr="00591953"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9</w:t>
            </w:r>
            <w:r>
              <w:rPr>
                <w:rFonts w:ascii="Arial" w:hAnsi="Arial" w:cs="Arial"/>
                <w:sz w:val="20"/>
                <w:szCs w:val="20"/>
                <w:lang w:val="en-US"/>
              </w:rPr>
              <w:t>.</w:t>
            </w:r>
            <w:r w:rsidRPr="00D93871">
              <w:rPr>
                <w:rFonts w:ascii="Arial" w:hAnsi="Arial" w:cs="Arial"/>
                <w:sz w:val="20"/>
                <w:szCs w:val="20"/>
              </w:rPr>
              <w:t>8</w:t>
            </w:r>
          </w:p>
        </w:tc>
      </w:tr>
      <w:tr w:rsidR="00EC5D51" w:rsidRPr="00D25A7C" w14:paraId="2D2CCAC7" w14:textId="77777777" w:rsidTr="00CA23A3">
        <w:trPr>
          <w:trHeight w:val="408"/>
        </w:trPr>
        <w:tc>
          <w:tcPr>
            <w:tcW w:w="4892" w:type="dxa"/>
            <w:tcBorders>
              <w:top w:val="nil"/>
              <w:bottom w:val="single" w:sz="4" w:space="0" w:color="auto"/>
            </w:tcBorders>
            <w:vAlign w:val="center"/>
          </w:tcPr>
          <w:p w14:paraId="3BA5084D" w14:textId="77777777" w:rsidR="00EC5D51" w:rsidRPr="00D25A7C" w:rsidRDefault="00EC5D51" w:rsidP="00CA23A3">
            <w:pPr>
              <w:spacing w:before="40" w:after="40" w:line="288" w:lineRule="auto"/>
              <w:ind w:firstLine="171"/>
              <w:rPr>
                <w:rFonts w:ascii="Arial" w:hAnsi="Arial" w:cs="Arial"/>
                <w:sz w:val="20"/>
                <w:szCs w:val="20"/>
              </w:rPr>
            </w:pPr>
            <w:r w:rsidRPr="0051111F">
              <w:rPr>
                <w:rFonts w:ascii="Arial" w:hAnsi="Arial" w:cs="Arial"/>
                <w:sz w:val="20"/>
                <w:szCs w:val="20"/>
              </w:rPr>
              <w:t>Aquatic products</w:t>
            </w:r>
          </w:p>
        </w:tc>
        <w:tc>
          <w:tcPr>
            <w:tcW w:w="1657" w:type="dxa"/>
            <w:tcBorders>
              <w:top w:val="nil"/>
              <w:bottom w:val="single" w:sz="4" w:space="0" w:color="auto"/>
            </w:tcBorders>
            <w:vAlign w:val="bottom"/>
          </w:tcPr>
          <w:p w14:paraId="453C43DF" w14:textId="77777777" w:rsidR="00EC5D51" w:rsidRPr="00591953"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5</w:t>
            </w:r>
            <w:r>
              <w:rPr>
                <w:rFonts w:ascii="Arial" w:hAnsi="Arial" w:cs="Arial"/>
                <w:sz w:val="20"/>
                <w:szCs w:val="20"/>
                <w:lang w:val="en-US"/>
              </w:rPr>
              <w:t>,</w:t>
            </w:r>
            <w:r w:rsidRPr="00D93871">
              <w:rPr>
                <w:rFonts w:ascii="Arial" w:hAnsi="Arial" w:cs="Arial"/>
                <w:sz w:val="20"/>
                <w:szCs w:val="20"/>
              </w:rPr>
              <w:t>293</w:t>
            </w:r>
          </w:p>
        </w:tc>
        <w:tc>
          <w:tcPr>
            <w:tcW w:w="3162" w:type="dxa"/>
            <w:tcBorders>
              <w:top w:val="nil"/>
              <w:bottom w:val="single" w:sz="4" w:space="0" w:color="auto"/>
            </w:tcBorders>
            <w:vAlign w:val="bottom"/>
          </w:tcPr>
          <w:p w14:paraId="340489F2" w14:textId="77777777" w:rsidR="00EC5D51" w:rsidRPr="00591953"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7</w:t>
            </w:r>
            <w:r>
              <w:rPr>
                <w:rFonts w:ascii="Arial" w:hAnsi="Arial" w:cs="Arial"/>
                <w:sz w:val="20"/>
                <w:szCs w:val="20"/>
                <w:lang w:val="en-US"/>
              </w:rPr>
              <w:t>.</w:t>
            </w:r>
            <w:r w:rsidRPr="00D93871">
              <w:rPr>
                <w:rFonts w:ascii="Arial" w:hAnsi="Arial" w:cs="Arial"/>
                <w:sz w:val="20"/>
                <w:szCs w:val="20"/>
              </w:rPr>
              <w:t>3</w:t>
            </w:r>
          </w:p>
        </w:tc>
      </w:tr>
    </w:tbl>
    <w:p w14:paraId="2A6C012C" w14:textId="77777777" w:rsidR="00EC5D51" w:rsidRPr="00D25A7C" w:rsidRDefault="00EC5D51" w:rsidP="00EC5D51">
      <w:pPr>
        <w:tabs>
          <w:tab w:val="num" w:pos="0"/>
          <w:tab w:val="left" w:pos="9475"/>
        </w:tabs>
        <w:spacing w:beforeLines="40" w:before="96" w:afterLines="40" w:after="96" w:line="264" w:lineRule="auto"/>
        <w:ind w:right="119" w:firstLine="567"/>
        <w:jc w:val="right"/>
        <w:rPr>
          <w:rFonts w:ascii="Arial" w:hAnsi="Arial" w:cs="Arial"/>
          <w:b/>
          <w:bCs/>
          <w:i/>
          <w:iCs/>
          <w:sz w:val="2"/>
          <w:szCs w:val="20"/>
          <w:lang w:val="es-NI"/>
        </w:rPr>
      </w:pPr>
    </w:p>
    <w:p w14:paraId="0C75B666" w14:textId="77777777" w:rsidR="00EC5D51" w:rsidRPr="00D25A7C" w:rsidRDefault="00EC5D51" w:rsidP="00EC5D51">
      <w:pPr>
        <w:spacing w:beforeLines="40" w:before="96" w:afterLines="40" w:after="96" w:line="264" w:lineRule="auto"/>
        <w:jc w:val="both"/>
        <w:rPr>
          <w:rFonts w:eastAsia="Batang"/>
          <w:bCs/>
          <w:iCs/>
        </w:rPr>
      </w:pPr>
      <w:r w:rsidRPr="00D25A7C">
        <w:rPr>
          <w:noProof/>
          <w:lang w:val="en-US"/>
        </w:rPr>
        <mc:AlternateContent>
          <mc:Choice Requires="wps">
            <w:drawing>
              <wp:anchor distT="0" distB="0" distL="114300" distR="114300" simplePos="0" relativeHeight="251667968" behindDoc="0" locked="0" layoutInCell="1" allowOverlap="1" wp14:anchorId="3092E9D6" wp14:editId="0F2171A4">
                <wp:simplePos x="0" y="0"/>
                <wp:positionH relativeFrom="column">
                  <wp:posOffset>24765</wp:posOffset>
                </wp:positionH>
                <wp:positionV relativeFrom="paragraph">
                  <wp:posOffset>64135</wp:posOffset>
                </wp:positionV>
                <wp:extent cx="3476625" cy="2190750"/>
                <wp:effectExtent l="0" t="0" r="9525" b="0"/>
                <wp:wrapSquare wrapText="bothSides"/>
                <wp:docPr id="18192912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190750"/>
                        </a:xfrm>
                        <a:prstGeom prst="rect">
                          <a:avLst/>
                        </a:prstGeom>
                        <a:solidFill>
                          <a:srgbClr val="FFFFFF"/>
                        </a:solidFill>
                        <a:ln w="9525">
                          <a:noFill/>
                          <a:miter lim="800000"/>
                          <a:headEnd/>
                          <a:tailEnd/>
                        </a:ln>
                      </wps:spPr>
                      <wps:txbx>
                        <w:txbxContent>
                          <w:p w14:paraId="380418F1"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103D9851"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260908D6" w14:textId="77777777" w:rsidR="00EC5D51" w:rsidRDefault="00EC5D51" w:rsidP="00EC5D51">
                            <w:pPr>
                              <w:ind w:left="-142"/>
                              <w:jc w:val="center"/>
                              <w:rPr>
                                <w:rFonts w:ascii="Arial" w:hAnsi="Arial" w:cs="Arial"/>
                                <w:sz w:val="24"/>
                                <w:szCs w:val="24"/>
                              </w:rPr>
                            </w:pPr>
                            <w:r w:rsidRPr="0051111F">
                              <w:rPr>
                                <w:noProof/>
                              </w:rPr>
                              <w:drawing>
                                <wp:inline distT="0" distB="0" distL="0" distR="0" wp14:anchorId="20034A1A" wp14:editId="393E9DB0">
                                  <wp:extent cx="3395345" cy="1706245"/>
                                  <wp:effectExtent l="0" t="0" r="0" b="8255"/>
                                  <wp:docPr id="544616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06245"/>
                                          </a:xfrm>
                                          <a:prstGeom prst="rect">
                                            <a:avLst/>
                                          </a:prstGeom>
                                          <a:noFill/>
                                          <a:ln>
                                            <a:noFill/>
                                          </a:ln>
                                        </pic:spPr>
                                      </pic:pic>
                                    </a:graphicData>
                                  </a:graphic>
                                </wp:inline>
                              </w:drawing>
                            </w:r>
                          </w:p>
                        </w:txbxContent>
                      </wps:txbx>
                      <wps:bodyPr rot="0" vertOverflow="clip" horzOverflow="clip"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3092E9D6" id="_x0000_t202" coordsize="21600,21600" o:spt="202" path="m,l,21600r21600,l21600,xe">
                <v:stroke joinstyle="miter"/>
                <v:path gradientshapeok="t" o:connecttype="rect"/>
              </v:shapetype>
              <v:shape id="Text Box 11" o:spid="_x0000_s1026" type="#_x0000_t202" style="position:absolute;left:0;text-align:left;margin-left:1.95pt;margin-top:5.05pt;width:273.75pt;height:1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" stroked="f">
                <v:textbox inset="1mm,1mm,1mm,1mm">
                  <w:txbxContent>
                    <w:p w14:paraId="380418F1"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103D9851"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260908D6" w14:textId="77777777" w:rsidR="00EC5D51" w:rsidRDefault="00EC5D51" w:rsidP="00EC5D51">
                      <w:pPr>
                        <w:ind w:left="-142"/>
                        <w:jc w:val="center"/>
                        <w:rPr>
                          <w:rFonts w:ascii="Arial" w:hAnsi="Arial" w:cs="Arial"/>
                          <w:sz w:val="24"/>
                          <w:szCs w:val="24"/>
                        </w:rPr>
                      </w:pPr>
                      <w:r w:rsidRPr="0051111F">
                        <w:rPr>
                          <w:noProof/>
                        </w:rPr>
                        <w:drawing>
                          <wp:inline distT="0" distB="0" distL="0" distR="0" wp14:anchorId="20034A1A" wp14:editId="393E9DB0">
                            <wp:extent cx="3395345" cy="1706245"/>
                            <wp:effectExtent l="0" t="0" r="0" b="8255"/>
                            <wp:docPr id="5446164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06245"/>
                                    </a:xfrm>
                                    <a:prstGeom prst="rect">
                                      <a:avLst/>
                                    </a:prstGeom>
                                    <a:noFill/>
                                    <a:ln>
                                      <a:noFill/>
                                    </a:ln>
                                  </pic:spPr>
                                </pic:pic>
                              </a:graphicData>
                            </a:graphic>
                          </wp:inline>
                        </w:drawing>
                      </w:r>
                    </w:p>
                  </w:txbxContent>
                </v:textbox>
                <w10:wrap type="square"/>
              </v:shape>
            </w:pict>
          </mc:Fallback>
        </mc:AlternateContent>
      </w:r>
      <w:r w:rsidRPr="00D25A7C">
        <w:rPr>
          <w:rFonts w:eastAsia="Batang"/>
          <w:bCs/>
          <w:i/>
          <w:iCs/>
          <w:noProof/>
          <w:lang w:val="en-US"/>
        </w:rPr>
        <w:t>Regarding the structure of exported groups in</w:t>
      </w:r>
      <w:r w:rsidRPr="00D25A7C">
        <w:rPr>
          <w:rFonts w:eastAsia="Batang"/>
          <w:bCs/>
          <w:i/>
          <w:noProof/>
        </w:rPr>
        <w:t xml:space="preserve"> </w:t>
      </w:r>
      <w:r>
        <w:rPr>
          <w:rFonts w:eastAsia="Batang"/>
          <w:bCs/>
          <w:i/>
          <w:noProof/>
        </w:rPr>
        <w:t>seven months</w:t>
      </w:r>
      <w:r w:rsidRPr="00D25A7C">
        <w:rPr>
          <w:rFonts w:eastAsia="Batang"/>
          <w:bCs/>
          <w:i/>
          <w:noProof/>
        </w:rPr>
        <w:t xml:space="preserve"> of 2024, </w:t>
      </w:r>
      <w:r w:rsidRPr="00D25A7C">
        <w:rPr>
          <w:rFonts w:eastAsia="Batang"/>
          <w:bCs/>
          <w:iCs/>
          <w:noProof/>
        </w:rPr>
        <w:t xml:space="preserve">the group of fuels and minerals </w:t>
      </w:r>
      <w:r w:rsidRPr="00D25A7C">
        <w:rPr>
          <w:rFonts w:eastAsia="Batang"/>
          <w:bCs/>
          <w:iCs/>
          <w:noProof/>
          <w:lang w:val="en-US"/>
        </w:rPr>
        <w:t>was estimated at 2.</w:t>
      </w:r>
      <w:r>
        <w:rPr>
          <w:rFonts w:eastAsia="Batang"/>
          <w:bCs/>
          <w:iCs/>
          <w:noProof/>
          <w:lang w:val="en-US"/>
        </w:rPr>
        <w:t>48</w:t>
      </w:r>
      <w:r w:rsidRPr="00D25A7C">
        <w:rPr>
          <w:rFonts w:eastAsia="Batang"/>
          <w:bCs/>
          <w:iCs/>
          <w:noProof/>
          <w:lang w:val="en-US"/>
        </w:rPr>
        <w:t xml:space="preserve"> billion USD,</w:t>
      </w:r>
      <w:r w:rsidRPr="00D25A7C">
        <w:rPr>
          <w:rFonts w:eastAsia="Batang"/>
          <w:bCs/>
          <w:iCs/>
          <w:noProof/>
        </w:rPr>
        <w:t xml:space="preserve"> accounting for </w:t>
      </w:r>
      <w:r w:rsidRPr="00D25A7C">
        <w:rPr>
          <w:rFonts w:eastAsia="Batang"/>
          <w:bCs/>
          <w:iCs/>
          <w:noProof/>
          <w:lang w:val="vi-VN"/>
        </w:rPr>
        <w:t>1</w:t>
      </w:r>
      <w:r w:rsidRPr="00D25A7C">
        <w:rPr>
          <w:rFonts w:eastAsia="Batang"/>
          <w:bCs/>
          <w:iCs/>
          <w:noProof/>
          <w:lang w:val="en-US"/>
        </w:rPr>
        <w:t>.</w:t>
      </w:r>
      <w:r>
        <w:rPr>
          <w:rFonts w:eastAsia="Batang"/>
          <w:bCs/>
          <w:iCs/>
          <w:noProof/>
          <w:lang w:val="en-US"/>
        </w:rPr>
        <w:t>1</w:t>
      </w:r>
      <w:r w:rsidRPr="00D25A7C">
        <w:rPr>
          <w:rFonts w:eastAsia="Batang"/>
          <w:bCs/>
          <w:iCs/>
          <w:noProof/>
        </w:rPr>
        <w:t xml:space="preserve">%; the group of processing industry </w:t>
      </w:r>
      <w:r w:rsidRPr="00D25A7C">
        <w:rPr>
          <w:rFonts w:eastAsia="Batang"/>
          <w:bCs/>
          <w:iCs/>
          <w:noProof/>
          <w:lang w:val="en-US"/>
        </w:rPr>
        <w:t>was estimated at 1</w:t>
      </w:r>
      <w:r>
        <w:rPr>
          <w:rFonts w:eastAsia="Batang"/>
          <w:bCs/>
          <w:iCs/>
          <w:noProof/>
          <w:lang w:val="en-US"/>
        </w:rPr>
        <w:t>99.94</w:t>
      </w:r>
      <w:r w:rsidRPr="00D25A7C">
        <w:rPr>
          <w:rFonts w:eastAsia="Batang"/>
          <w:bCs/>
          <w:iCs/>
          <w:noProof/>
          <w:lang w:val="en-US"/>
        </w:rPr>
        <w:t xml:space="preserve"> billion USD,</w:t>
      </w:r>
      <w:r w:rsidRPr="00D25A7C">
        <w:rPr>
          <w:rFonts w:eastAsia="Batang"/>
          <w:bCs/>
          <w:iCs/>
          <w:noProof/>
        </w:rPr>
        <w:t xml:space="preserve"> accounting for </w:t>
      </w:r>
      <w:r w:rsidRPr="00D25A7C">
        <w:rPr>
          <w:rFonts w:eastAsia="Batang"/>
          <w:bCs/>
          <w:iCs/>
          <w:noProof/>
          <w:lang w:val="vi-VN"/>
        </w:rPr>
        <w:t>8</w:t>
      </w:r>
      <w:r>
        <w:rPr>
          <w:rFonts w:eastAsia="Batang"/>
          <w:bCs/>
          <w:iCs/>
          <w:noProof/>
          <w:lang w:val="en-US"/>
        </w:rPr>
        <w:t>8</w:t>
      </w:r>
      <w:r w:rsidRPr="00D25A7C">
        <w:rPr>
          <w:rFonts w:eastAsia="Batang"/>
          <w:bCs/>
          <w:iCs/>
          <w:noProof/>
          <w:lang w:val="en-US"/>
        </w:rPr>
        <w:t>.</w:t>
      </w:r>
      <w:r>
        <w:rPr>
          <w:rFonts w:eastAsia="Batang"/>
          <w:bCs/>
          <w:iCs/>
          <w:noProof/>
          <w:lang w:val="en-US"/>
        </w:rPr>
        <w:t>1</w:t>
      </w:r>
      <w:r w:rsidRPr="00D25A7C">
        <w:rPr>
          <w:rFonts w:eastAsia="Batang"/>
          <w:bCs/>
          <w:iCs/>
          <w:noProof/>
        </w:rPr>
        <w:t xml:space="preserve">%;  agricultural and forestry products </w:t>
      </w:r>
      <w:r w:rsidRPr="00D25A7C">
        <w:rPr>
          <w:rFonts w:eastAsia="Batang"/>
          <w:bCs/>
          <w:iCs/>
          <w:noProof/>
          <w:lang w:val="en-US"/>
        </w:rPr>
        <w:t>was estimated at 1</w:t>
      </w:r>
      <w:r>
        <w:rPr>
          <w:rFonts w:eastAsia="Batang"/>
          <w:bCs/>
          <w:iCs/>
          <w:noProof/>
          <w:lang w:val="en-US"/>
        </w:rPr>
        <w:t>9.27</w:t>
      </w:r>
      <w:r w:rsidRPr="00D25A7C">
        <w:rPr>
          <w:rFonts w:eastAsia="Batang"/>
          <w:bCs/>
          <w:iCs/>
          <w:noProof/>
          <w:lang w:val="en-US"/>
        </w:rPr>
        <w:t xml:space="preserve"> billion USD,</w:t>
      </w:r>
      <w:r w:rsidRPr="00D25A7C">
        <w:rPr>
          <w:rFonts w:eastAsia="Batang"/>
          <w:bCs/>
          <w:iCs/>
          <w:noProof/>
        </w:rPr>
        <w:t xml:space="preserve"> accounting for 8.</w:t>
      </w:r>
      <w:r>
        <w:rPr>
          <w:rFonts w:eastAsia="Batang"/>
          <w:bCs/>
          <w:iCs/>
          <w:noProof/>
        </w:rPr>
        <w:t>5</w:t>
      </w:r>
      <w:r w:rsidRPr="00D25A7C">
        <w:rPr>
          <w:rFonts w:eastAsia="Batang"/>
          <w:bCs/>
          <w:iCs/>
          <w:noProof/>
        </w:rPr>
        <w:t xml:space="preserve">%; the group of fishery products </w:t>
      </w:r>
      <w:r w:rsidRPr="00D25A7C">
        <w:rPr>
          <w:rFonts w:eastAsia="Batang"/>
          <w:bCs/>
          <w:iCs/>
          <w:noProof/>
          <w:lang w:val="en-US"/>
        </w:rPr>
        <w:t xml:space="preserve">was estimated at </w:t>
      </w:r>
      <w:r>
        <w:rPr>
          <w:rFonts w:eastAsia="Batang"/>
          <w:bCs/>
          <w:iCs/>
          <w:noProof/>
          <w:lang w:val="en-US"/>
        </w:rPr>
        <w:t>5.29</w:t>
      </w:r>
      <w:r w:rsidRPr="00D25A7C">
        <w:rPr>
          <w:rFonts w:eastAsia="Batang"/>
          <w:bCs/>
          <w:iCs/>
          <w:noProof/>
          <w:lang w:val="en-US"/>
        </w:rPr>
        <w:t xml:space="preserve"> billion USD,</w:t>
      </w:r>
      <w:r w:rsidRPr="00D25A7C">
        <w:rPr>
          <w:rFonts w:eastAsia="Batang"/>
          <w:bCs/>
          <w:iCs/>
          <w:noProof/>
        </w:rPr>
        <w:t xml:space="preserve"> accounting for 2.</w:t>
      </w:r>
      <w:r>
        <w:rPr>
          <w:rFonts w:eastAsia="Batang"/>
          <w:bCs/>
          <w:iCs/>
          <w:noProof/>
        </w:rPr>
        <w:t>3</w:t>
      </w:r>
      <w:r w:rsidRPr="00D25A7C">
        <w:rPr>
          <w:rFonts w:eastAsia="Batang"/>
          <w:bCs/>
          <w:iCs/>
          <w:noProof/>
        </w:rPr>
        <w:t>%.</w:t>
      </w:r>
    </w:p>
    <w:p w14:paraId="1AE3307D" w14:textId="77777777" w:rsidR="00EC5D51" w:rsidRPr="00D25A7C" w:rsidRDefault="00EC5D51" w:rsidP="00EC5D51">
      <w:pPr>
        <w:tabs>
          <w:tab w:val="left" w:pos="900"/>
          <w:tab w:val="left" w:pos="9475"/>
        </w:tabs>
        <w:spacing w:beforeLines="40" w:before="96" w:afterLines="40" w:after="96" w:line="264" w:lineRule="auto"/>
        <w:ind w:right="6" w:firstLine="567"/>
        <w:jc w:val="both"/>
        <w:rPr>
          <w:b/>
          <w:bCs/>
          <w:i/>
          <w:sz w:val="2"/>
          <w:lang w:val="de-DE"/>
        </w:rPr>
      </w:pPr>
    </w:p>
    <w:p w14:paraId="18C7DF30" w14:textId="77777777" w:rsidR="00EC5D51" w:rsidRPr="00D25A7C" w:rsidRDefault="00EC5D51" w:rsidP="00EC5D51">
      <w:pPr>
        <w:tabs>
          <w:tab w:val="num" w:pos="0"/>
          <w:tab w:val="left" w:pos="9475"/>
        </w:tabs>
        <w:spacing w:beforeLines="40" w:before="96" w:afterLines="40" w:after="96" w:line="259" w:lineRule="auto"/>
        <w:ind w:right="6" w:firstLine="567"/>
        <w:jc w:val="both"/>
        <w:rPr>
          <w:b/>
          <w:bCs/>
          <w:i/>
          <w:iCs/>
          <w:lang w:val="de-DE"/>
        </w:rPr>
      </w:pPr>
      <w:r w:rsidRPr="00D25A7C">
        <w:rPr>
          <w:b/>
          <w:bCs/>
          <w:i/>
          <w:iCs/>
          <w:lang w:val="de-DE"/>
        </w:rPr>
        <w:lastRenderedPageBreak/>
        <w:t>Import of goods</w:t>
      </w:r>
    </w:p>
    <w:p w14:paraId="46C9FB9F" w14:textId="77777777" w:rsidR="00EC5D51" w:rsidRPr="00D25A7C" w:rsidRDefault="00EC5D51" w:rsidP="00EC5D51">
      <w:pPr>
        <w:tabs>
          <w:tab w:val="num" w:pos="0"/>
          <w:tab w:val="left" w:pos="9475"/>
        </w:tabs>
        <w:spacing w:beforeLines="40" w:before="96" w:afterLines="40" w:after="96" w:line="259" w:lineRule="auto"/>
        <w:ind w:right="6" w:firstLine="567"/>
        <w:jc w:val="both"/>
      </w:pPr>
      <w:r w:rsidRPr="00D25A7C">
        <w:rPr>
          <w:bCs/>
          <w:lang w:val="en-US"/>
        </w:rPr>
        <w:t xml:space="preserve">Preliminary import turnover of goods </w:t>
      </w:r>
      <w:r w:rsidRPr="00D25A7C">
        <w:rPr>
          <w:bCs/>
          <w:lang w:val="de-DE"/>
        </w:rPr>
        <w:t xml:space="preserve">in </w:t>
      </w:r>
      <w:r>
        <w:rPr>
          <w:bCs/>
          <w:lang w:val="de-DE"/>
        </w:rPr>
        <w:t>6/2024</w:t>
      </w:r>
      <w:r w:rsidRPr="00D25A7C">
        <w:rPr>
          <w:bCs/>
          <w:lang w:val="de-DE"/>
        </w:rPr>
        <w:t xml:space="preserve"> reached </w:t>
      </w:r>
      <w:r>
        <w:rPr>
          <w:bCs/>
          <w:lang w:val="de-DE"/>
        </w:rPr>
        <w:t>30.46</w:t>
      </w:r>
      <w:r w:rsidRPr="00D25A7C">
        <w:rPr>
          <w:bCs/>
          <w:lang w:val="de-DE"/>
        </w:rPr>
        <w:t xml:space="preserve"> billion USD, </w:t>
      </w:r>
      <w:r>
        <w:rPr>
          <w:bCs/>
          <w:lang w:val="de-DE"/>
        </w:rPr>
        <w:t>307</w:t>
      </w:r>
      <w:r w:rsidRPr="00D25A7C">
        <w:rPr>
          <w:bCs/>
          <w:lang w:val="de-DE"/>
        </w:rPr>
        <w:t xml:space="preserve"> </w:t>
      </w:r>
      <w:r>
        <w:rPr>
          <w:bCs/>
          <w:lang w:val="de-DE"/>
        </w:rPr>
        <w:t>m</w:t>
      </w:r>
      <w:r w:rsidRPr="00D25A7C">
        <w:rPr>
          <w:bCs/>
          <w:lang w:val="de-DE"/>
        </w:rPr>
        <w:t xml:space="preserve">illion USD </w:t>
      </w:r>
      <w:r>
        <w:rPr>
          <w:bCs/>
          <w:lang w:val="de-DE"/>
        </w:rPr>
        <w:t>high</w:t>
      </w:r>
      <w:r w:rsidRPr="00D25A7C">
        <w:rPr>
          <w:bCs/>
          <w:lang w:val="de-DE"/>
        </w:rPr>
        <w:t>er than the estimate figure.</w:t>
      </w:r>
    </w:p>
    <w:p w14:paraId="4DC6CBAB" w14:textId="77777777" w:rsidR="00EC5D51" w:rsidRPr="00D25A7C" w:rsidRDefault="00EC5D51" w:rsidP="00EC5D51">
      <w:pPr>
        <w:tabs>
          <w:tab w:val="num" w:pos="0"/>
          <w:tab w:val="left" w:pos="9475"/>
        </w:tabs>
        <w:spacing w:beforeLines="40" w:before="96" w:afterLines="40" w:after="96" w:line="259" w:lineRule="auto"/>
        <w:ind w:right="6" w:firstLine="567"/>
        <w:jc w:val="both"/>
        <w:rPr>
          <w:bCs/>
          <w:spacing w:val="-2"/>
          <w:lang w:val="en-US"/>
        </w:rPr>
      </w:pPr>
      <w:r w:rsidRPr="00D25A7C">
        <w:rPr>
          <w:bCs/>
          <w:i/>
          <w:iCs/>
          <w:spacing w:val="-2"/>
          <w:lang w:val="de-DE"/>
        </w:rPr>
        <w:t xml:space="preserve">Import turnover in </w:t>
      </w:r>
      <w:r>
        <w:rPr>
          <w:bCs/>
          <w:i/>
          <w:iCs/>
          <w:spacing w:val="-2"/>
          <w:lang w:val="de-DE"/>
        </w:rPr>
        <w:t>7/2024</w:t>
      </w:r>
      <w:r w:rsidRPr="00D25A7C">
        <w:rPr>
          <w:bCs/>
          <w:i/>
          <w:iCs/>
          <w:spacing w:val="-2"/>
          <w:lang w:val="de-DE"/>
        </w:rPr>
        <w:t xml:space="preserve"> </w:t>
      </w:r>
      <w:r w:rsidRPr="00D25A7C">
        <w:rPr>
          <w:bCs/>
          <w:spacing w:val="-2"/>
          <w:lang w:val="en-US"/>
        </w:rPr>
        <w:t>was estimated at 3</w:t>
      </w:r>
      <w:r>
        <w:rPr>
          <w:bCs/>
          <w:spacing w:val="-2"/>
          <w:lang w:val="en-US"/>
        </w:rPr>
        <w:t>3.8</w:t>
      </w:r>
      <w:r w:rsidRPr="00D25A7C">
        <w:rPr>
          <w:bCs/>
          <w:spacing w:val="-2"/>
          <w:lang w:val="en-US"/>
        </w:rPr>
        <w:t xml:space="preserve"> billion USD, </w:t>
      </w:r>
      <w:r>
        <w:rPr>
          <w:bCs/>
          <w:spacing w:val="-2"/>
          <w:lang w:val="en-US"/>
        </w:rPr>
        <w:t>in</w:t>
      </w:r>
      <w:r w:rsidRPr="00D25A7C">
        <w:rPr>
          <w:bCs/>
          <w:spacing w:val="-2"/>
          <w:lang w:val="en-US"/>
        </w:rPr>
        <w:t xml:space="preserve">creased by </w:t>
      </w:r>
      <w:r>
        <w:rPr>
          <w:bCs/>
          <w:spacing w:val="-2"/>
          <w:lang w:val="en-US"/>
        </w:rPr>
        <w:t>11</w:t>
      </w:r>
      <w:r w:rsidRPr="00D25A7C">
        <w:rPr>
          <w:bCs/>
          <w:spacing w:val="-2"/>
          <w:lang w:val="en-US"/>
        </w:rPr>
        <w:t>% over the previous month. Of which the domestic economic sector gained 1</w:t>
      </w:r>
      <w:r>
        <w:rPr>
          <w:bCs/>
          <w:spacing w:val="-2"/>
          <w:lang w:val="en-US"/>
        </w:rPr>
        <w:t>2.2</w:t>
      </w:r>
      <w:r w:rsidRPr="00D25A7C">
        <w:rPr>
          <w:bCs/>
          <w:spacing w:val="-2"/>
          <w:lang w:val="en-US"/>
        </w:rPr>
        <w:t xml:space="preserve"> billion USD, </w:t>
      </w:r>
      <w:r>
        <w:rPr>
          <w:bCs/>
          <w:spacing w:val="-2"/>
          <w:lang w:val="en-US"/>
        </w:rPr>
        <w:t>in</w:t>
      </w:r>
      <w:r w:rsidRPr="00D25A7C">
        <w:rPr>
          <w:bCs/>
          <w:spacing w:val="-2"/>
          <w:lang w:val="en-US"/>
        </w:rPr>
        <w:t xml:space="preserve">creased by </w:t>
      </w:r>
      <w:r>
        <w:rPr>
          <w:bCs/>
          <w:spacing w:val="-2"/>
          <w:lang w:val="en-US"/>
        </w:rPr>
        <w:t>11.3</w:t>
      </w:r>
      <w:r w:rsidRPr="00D25A7C">
        <w:rPr>
          <w:bCs/>
          <w:spacing w:val="-2"/>
          <w:lang w:val="en-US"/>
        </w:rPr>
        <w:t xml:space="preserve">%; the FDI sector reached </w:t>
      </w:r>
      <w:r>
        <w:rPr>
          <w:bCs/>
          <w:spacing w:val="-2"/>
          <w:lang w:val="en-US"/>
        </w:rPr>
        <w:t>21.6</w:t>
      </w:r>
      <w:r w:rsidRPr="00D25A7C">
        <w:rPr>
          <w:bCs/>
          <w:spacing w:val="-2"/>
          <w:lang w:val="en-US"/>
        </w:rPr>
        <w:t xml:space="preserve"> billion USD, </w:t>
      </w:r>
      <w:r>
        <w:rPr>
          <w:bCs/>
          <w:spacing w:val="-2"/>
          <w:lang w:val="en-US"/>
        </w:rPr>
        <w:t>in</w:t>
      </w:r>
      <w:r w:rsidRPr="00D25A7C">
        <w:rPr>
          <w:bCs/>
          <w:spacing w:val="-2"/>
          <w:lang w:val="en-US"/>
        </w:rPr>
        <w:t xml:space="preserve">creased by </w:t>
      </w:r>
      <w:r>
        <w:rPr>
          <w:bCs/>
          <w:spacing w:val="-2"/>
          <w:lang w:val="en-US"/>
        </w:rPr>
        <w:t>10.8</w:t>
      </w:r>
      <w:r w:rsidRPr="00D25A7C">
        <w:rPr>
          <w:bCs/>
          <w:spacing w:val="-2"/>
          <w:lang w:val="en-US"/>
        </w:rPr>
        <w:t>%. Compared to the same period last year, the import turnover of goods in</w:t>
      </w:r>
      <w:r>
        <w:rPr>
          <w:bCs/>
          <w:spacing w:val="-2"/>
          <w:lang w:val="en-US"/>
        </w:rPr>
        <w:t xml:space="preserve"> July</w:t>
      </w:r>
      <w:r w:rsidRPr="00D25A7C">
        <w:rPr>
          <w:bCs/>
          <w:spacing w:val="-2"/>
          <w:lang w:val="en-US"/>
        </w:rPr>
        <w:t xml:space="preserve"> increased by</w:t>
      </w:r>
      <w:r>
        <w:rPr>
          <w:bCs/>
          <w:spacing w:val="-2"/>
          <w:lang w:val="en-US"/>
        </w:rPr>
        <w:t xml:space="preserve"> 24.7</w:t>
      </w:r>
      <w:r w:rsidRPr="00D25A7C">
        <w:rPr>
          <w:bCs/>
          <w:spacing w:val="-2"/>
          <w:lang w:val="en-US"/>
        </w:rPr>
        <w:t xml:space="preserve">%, of which the domestic economic sector increased by </w:t>
      </w:r>
      <w:r>
        <w:rPr>
          <w:bCs/>
          <w:spacing w:val="-2"/>
          <w:lang w:val="en-US"/>
        </w:rPr>
        <w:t>16.5</w:t>
      </w:r>
      <w:r w:rsidRPr="00D25A7C">
        <w:rPr>
          <w:bCs/>
          <w:spacing w:val="-2"/>
          <w:lang w:val="en-US"/>
        </w:rPr>
        <w:t xml:space="preserve">%; the FDI sector increased by </w:t>
      </w:r>
      <w:r>
        <w:rPr>
          <w:bCs/>
          <w:spacing w:val="-2"/>
          <w:lang w:val="en-US"/>
        </w:rPr>
        <w:t>29.9</w:t>
      </w:r>
      <w:r w:rsidRPr="00D25A7C">
        <w:rPr>
          <w:bCs/>
          <w:spacing w:val="-2"/>
          <w:lang w:val="en-US"/>
        </w:rPr>
        <w:t>%.</w:t>
      </w:r>
      <w:r w:rsidRPr="00D25A7C">
        <w:rPr>
          <w:spacing w:val="-2"/>
          <w:lang w:val="de-DE"/>
        </w:rPr>
        <w:t xml:space="preserve"> </w:t>
      </w:r>
    </w:p>
    <w:bookmarkEnd w:id="7"/>
    <w:p w14:paraId="5E802ED8" w14:textId="77777777" w:rsidR="00EC5D51" w:rsidRPr="00D25A7C" w:rsidRDefault="00EC5D51" w:rsidP="00EC5D51">
      <w:pPr>
        <w:tabs>
          <w:tab w:val="num" w:pos="0"/>
          <w:tab w:val="left" w:pos="9475"/>
        </w:tabs>
        <w:spacing w:beforeLines="40" w:before="96" w:afterLines="40" w:after="96" w:line="259" w:lineRule="auto"/>
        <w:ind w:right="6" w:firstLine="567"/>
        <w:jc w:val="both"/>
        <w:rPr>
          <w:bCs/>
          <w:lang w:val="de-DE"/>
        </w:rPr>
      </w:pPr>
      <w:proofErr w:type="gramStart"/>
      <w:r w:rsidRPr="00D25A7C">
        <w:rPr>
          <w:i/>
          <w:iCs/>
          <w:lang w:val="en-US"/>
        </w:rPr>
        <w:t>Generally</w:t>
      </w:r>
      <w:proofErr w:type="gramEnd"/>
      <w:r w:rsidRPr="00D25A7C">
        <w:rPr>
          <w:i/>
          <w:iCs/>
          <w:lang w:val="en-US"/>
        </w:rPr>
        <w:t xml:space="preserve"> in</w:t>
      </w:r>
      <w:r w:rsidRPr="00D25A7C">
        <w:rPr>
          <w:i/>
          <w:iCs/>
          <w:lang w:val="de-DE"/>
        </w:rPr>
        <w:t xml:space="preserve"> </w:t>
      </w:r>
      <w:r>
        <w:rPr>
          <w:i/>
          <w:iCs/>
          <w:lang w:val="de-DE"/>
        </w:rPr>
        <w:t>seven months</w:t>
      </w:r>
      <w:r w:rsidRPr="00D25A7C">
        <w:rPr>
          <w:i/>
          <w:iCs/>
          <w:lang w:val="de-DE"/>
        </w:rPr>
        <w:t xml:space="preserve"> of 2024</w:t>
      </w:r>
      <w:r w:rsidRPr="00D25A7C">
        <w:rPr>
          <w:lang w:val="de-DE"/>
        </w:rPr>
        <w:t xml:space="preserve">, </w:t>
      </w:r>
      <w:r w:rsidRPr="00D25A7C">
        <w:rPr>
          <w:lang w:val="en-US"/>
        </w:rPr>
        <w:t xml:space="preserve">the import turnover was estimated at </w:t>
      </w:r>
      <w:r>
        <w:rPr>
          <w:lang w:val="en-US"/>
        </w:rPr>
        <w:t>212.9</w:t>
      </w:r>
      <w:r w:rsidRPr="00D25A7C">
        <w:rPr>
          <w:lang w:val="en-US"/>
        </w:rPr>
        <w:t xml:space="preserve"> billion</w:t>
      </w:r>
      <w:r w:rsidRPr="00D25A7C">
        <w:rPr>
          <w:bCs/>
          <w:lang w:val="en-US"/>
        </w:rPr>
        <w:t xml:space="preserve"> USD,</w:t>
      </w:r>
      <w:r w:rsidRPr="00D25A7C">
        <w:rPr>
          <w:lang w:val="en-US"/>
        </w:rPr>
        <w:t xml:space="preserve"> increased by 1</w:t>
      </w:r>
      <w:r>
        <w:rPr>
          <w:lang w:val="en-US"/>
        </w:rPr>
        <w:t>8.5</w:t>
      </w:r>
      <w:r w:rsidRPr="00D25A7C">
        <w:rPr>
          <w:lang w:val="en-US"/>
        </w:rPr>
        <w:t xml:space="preserve">% over </w:t>
      </w:r>
      <w:r w:rsidRPr="00D25A7C">
        <w:rPr>
          <w:bCs/>
          <w:lang w:val="en-US"/>
        </w:rPr>
        <w:t>the same period last year</w:t>
      </w:r>
      <w:r w:rsidRPr="00D25A7C">
        <w:rPr>
          <w:lang w:val="en-US"/>
        </w:rPr>
        <w:t xml:space="preserve">. Of which the domestic economic sector reached </w:t>
      </w:r>
      <w:r>
        <w:rPr>
          <w:lang w:val="en-US"/>
        </w:rPr>
        <w:t>78</w:t>
      </w:r>
      <w:r w:rsidRPr="00D25A7C">
        <w:rPr>
          <w:lang w:val="en-US"/>
        </w:rPr>
        <w:t xml:space="preserve"> billion</w:t>
      </w:r>
      <w:r w:rsidRPr="00D25A7C">
        <w:rPr>
          <w:bCs/>
          <w:lang w:val="en-US"/>
        </w:rPr>
        <w:t xml:space="preserve"> USD,</w:t>
      </w:r>
      <w:r w:rsidRPr="00D25A7C">
        <w:rPr>
          <w:lang w:val="en-US"/>
        </w:rPr>
        <w:t xml:space="preserve"> went up 2</w:t>
      </w:r>
      <w:r>
        <w:rPr>
          <w:lang w:val="en-US"/>
        </w:rPr>
        <w:t>1.5</w:t>
      </w:r>
      <w:r w:rsidRPr="00D25A7C">
        <w:rPr>
          <w:lang w:val="en-US"/>
        </w:rPr>
        <w:t xml:space="preserve">%; the FDI sector gained </w:t>
      </w:r>
      <w:r>
        <w:rPr>
          <w:lang w:val="en-US"/>
        </w:rPr>
        <w:t>134.9</w:t>
      </w:r>
      <w:r w:rsidRPr="00D25A7C">
        <w:rPr>
          <w:lang w:val="en-US"/>
        </w:rPr>
        <w:t xml:space="preserve"> billion USD, up 1</w:t>
      </w:r>
      <w:r>
        <w:rPr>
          <w:lang w:val="en-US"/>
        </w:rPr>
        <w:t>6.9</w:t>
      </w:r>
      <w:r w:rsidRPr="00D25A7C">
        <w:rPr>
          <w:lang w:val="en-US"/>
        </w:rPr>
        <w:t>%.</w:t>
      </w:r>
      <w:r w:rsidRPr="00D25A7C">
        <w:rPr>
          <w:bCs/>
          <w:lang w:val="de-DE"/>
        </w:rPr>
        <w:t xml:space="preserve"> </w:t>
      </w:r>
    </w:p>
    <w:p w14:paraId="7691F87F" w14:textId="77777777" w:rsidR="00EC5D51" w:rsidRPr="00D25A7C" w:rsidRDefault="00EC5D51" w:rsidP="00EC5D51">
      <w:pPr>
        <w:tabs>
          <w:tab w:val="left" w:pos="9475"/>
        </w:tabs>
        <w:spacing w:beforeLines="40" w:before="96" w:afterLines="40" w:after="96" w:line="259" w:lineRule="auto"/>
        <w:ind w:right="6" w:firstLine="567"/>
        <w:jc w:val="both"/>
        <w:rPr>
          <w:spacing w:val="-2"/>
          <w:lang w:val="en-US"/>
        </w:rPr>
      </w:pPr>
      <w:r w:rsidRPr="00D25A7C">
        <w:rPr>
          <w:i/>
          <w:iCs/>
          <w:spacing w:val="-2"/>
        </w:rPr>
        <w:t xml:space="preserve">In </w:t>
      </w:r>
      <w:r>
        <w:rPr>
          <w:i/>
          <w:iCs/>
          <w:spacing w:val="-2"/>
        </w:rPr>
        <w:t>seven months</w:t>
      </w:r>
      <w:r w:rsidRPr="00D25A7C">
        <w:rPr>
          <w:i/>
          <w:iCs/>
          <w:spacing w:val="-2"/>
        </w:rPr>
        <w:t xml:space="preserve"> of 2024</w:t>
      </w:r>
      <w:r w:rsidRPr="00D25A7C">
        <w:rPr>
          <w:spacing w:val="-2"/>
        </w:rPr>
        <w:t xml:space="preserve">, there are </w:t>
      </w:r>
      <w:r>
        <w:rPr>
          <w:spacing w:val="-2"/>
        </w:rPr>
        <w:t>35</w:t>
      </w:r>
      <w:r w:rsidRPr="00D25A7C">
        <w:rPr>
          <w:spacing w:val="-2"/>
        </w:rPr>
        <w:t xml:space="preserve"> </w:t>
      </w:r>
      <w:r w:rsidRPr="00D25A7C">
        <w:rPr>
          <w:spacing w:val="-2"/>
          <w:lang w:val="en-US"/>
        </w:rPr>
        <w:t>imported products with a turnover of over 1 billion USD, accounting for 8</w:t>
      </w:r>
      <w:r>
        <w:rPr>
          <w:spacing w:val="-2"/>
          <w:lang w:val="en-US"/>
        </w:rPr>
        <w:t>9.4</w:t>
      </w:r>
      <w:r w:rsidRPr="00D25A7C">
        <w:rPr>
          <w:spacing w:val="-2"/>
          <w:lang w:val="en-US"/>
        </w:rPr>
        <w:t>% of total import turnover (</w:t>
      </w:r>
      <w:r>
        <w:rPr>
          <w:spacing w:val="-2"/>
          <w:lang w:val="en-US"/>
        </w:rPr>
        <w:t>10</w:t>
      </w:r>
      <w:r w:rsidRPr="00D25A7C">
        <w:rPr>
          <w:spacing w:val="-2"/>
          <w:lang w:val="en-US"/>
        </w:rPr>
        <w:t xml:space="preserve"> products with import turnover of over 5 billion USD, accounting for </w:t>
      </w:r>
      <w:r>
        <w:rPr>
          <w:spacing w:val="-2"/>
          <w:lang w:val="en-US"/>
        </w:rPr>
        <w:t>62.5</w:t>
      </w:r>
      <w:r w:rsidRPr="00D25A7C">
        <w:rPr>
          <w:spacing w:val="-2"/>
          <w:lang w:val="en-US"/>
        </w:rPr>
        <w:t xml:space="preserve">%). </w:t>
      </w:r>
    </w:p>
    <w:p w14:paraId="58F70CC8" w14:textId="77777777" w:rsidR="00EC5D51" w:rsidRPr="00D25A7C" w:rsidRDefault="00EC5D51" w:rsidP="00EC5D51">
      <w:pPr>
        <w:tabs>
          <w:tab w:val="left" w:pos="9475"/>
        </w:tabs>
        <w:spacing w:before="240" w:after="240" w:line="264" w:lineRule="auto"/>
        <w:ind w:right="6"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5</w:t>
      </w:r>
      <w:r w:rsidRPr="00D25A7C">
        <w:rPr>
          <w:rFonts w:ascii="Arial" w:hAnsi="Arial" w:cs="Arial"/>
          <w:b/>
          <w:sz w:val="24"/>
          <w:szCs w:val="20"/>
          <w:lang w:val="pl-PL"/>
        </w:rPr>
        <w:t xml:space="preserve">. Value of some imported goods in </w:t>
      </w:r>
      <w:r>
        <w:rPr>
          <w:rFonts w:ascii="Arial" w:hAnsi="Arial" w:cs="Arial"/>
          <w:b/>
          <w:sz w:val="24"/>
          <w:szCs w:val="20"/>
          <w:lang w:val="pl-PL"/>
        </w:rPr>
        <w:t>7 months</w:t>
      </w:r>
      <w:r w:rsidRPr="00D25A7C">
        <w:rPr>
          <w:rFonts w:ascii="Arial" w:hAnsi="Arial" w:cs="Arial"/>
          <w:b/>
          <w:sz w:val="24"/>
          <w:szCs w:val="20"/>
          <w:lang w:val="pl-PL"/>
        </w:rPr>
        <w:t xml:space="preserve"> of 2024</w:t>
      </w:r>
    </w:p>
    <w:tbl>
      <w:tblPr>
        <w:tblW w:w="9393" w:type="dxa"/>
        <w:tblLook w:val="04A0" w:firstRow="1" w:lastRow="0" w:firstColumn="1" w:lastColumn="0" w:noHBand="0" w:noVBand="1"/>
      </w:tblPr>
      <w:tblGrid>
        <w:gridCol w:w="276"/>
        <w:gridCol w:w="4209"/>
        <w:gridCol w:w="1963"/>
        <w:gridCol w:w="2945"/>
      </w:tblGrid>
      <w:tr w:rsidR="00EC5D51" w:rsidRPr="00D25A7C" w14:paraId="050641B5" w14:textId="77777777" w:rsidTr="00CA23A3">
        <w:trPr>
          <w:trHeight w:val="317"/>
        </w:trPr>
        <w:tc>
          <w:tcPr>
            <w:tcW w:w="276" w:type="dxa"/>
            <w:tcBorders>
              <w:top w:val="single" w:sz="4" w:space="0" w:color="auto"/>
              <w:left w:val="nil"/>
              <w:bottom w:val="nil"/>
              <w:right w:val="nil"/>
            </w:tcBorders>
            <w:shd w:val="clear" w:color="auto" w:fill="auto"/>
            <w:noWrap/>
            <w:vAlign w:val="center"/>
            <w:hideMark/>
          </w:tcPr>
          <w:p w14:paraId="18B23D2F"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 </w:t>
            </w:r>
          </w:p>
        </w:tc>
        <w:tc>
          <w:tcPr>
            <w:tcW w:w="4209" w:type="dxa"/>
            <w:tcBorders>
              <w:top w:val="single" w:sz="4" w:space="0" w:color="auto"/>
              <w:left w:val="nil"/>
              <w:bottom w:val="nil"/>
              <w:right w:val="nil"/>
            </w:tcBorders>
            <w:shd w:val="clear" w:color="auto" w:fill="auto"/>
            <w:noWrap/>
            <w:vAlign w:val="center"/>
            <w:hideMark/>
          </w:tcPr>
          <w:p w14:paraId="08E1F677"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 </w:t>
            </w:r>
          </w:p>
        </w:tc>
        <w:tc>
          <w:tcPr>
            <w:tcW w:w="1963" w:type="dxa"/>
            <w:tcBorders>
              <w:top w:val="single" w:sz="4" w:space="0" w:color="auto"/>
              <w:left w:val="nil"/>
            </w:tcBorders>
            <w:shd w:val="clear" w:color="auto" w:fill="auto"/>
            <w:vAlign w:val="center"/>
            <w:hideMark/>
          </w:tcPr>
          <w:p w14:paraId="5FB8E428"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Estimate</w:t>
            </w:r>
          </w:p>
        </w:tc>
        <w:tc>
          <w:tcPr>
            <w:tcW w:w="2945" w:type="dxa"/>
            <w:tcBorders>
              <w:top w:val="single" w:sz="4" w:space="0" w:color="auto"/>
            </w:tcBorders>
            <w:shd w:val="clear" w:color="auto" w:fill="auto"/>
            <w:vAlign w:val="center"/>
            <w:hideMark/>
          </w:tcPr>
          <w:p w14:paraId="5315C3D2"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 xml:space="preserve">Growth </w:t>
            </w:r>
            <w:proofErr w:type="gramStart"/>
            <w:r w:rsidRPr="00D25A7C">
              <w:rPr>
                <w:rFonts w:ascii="Arial" w:hAnsi="Arial" w:cs="Arial"/>
                <w:sz w:val="20"/>
                <w:szCs w:val="20"/>
              </w:rPr>
              <w:t>rate</w:t>
            </w:r>
            <w:proofErr w:type="gramEnd"/>
            <w:r w:rsidRPr="00D25A7C">
              <w:rPr>
                <w:rFonts w:ascii="Arial" w:hAnsi="Arial" w:cs="Arial"/>
                <w:sz w:val="20"/>
                <w:szCs w:val="20"/>
              </w:rPr>
              <w:t xml:space="preserve"> compare to</w:t>
            </w:r>
          </w:p>
        </w:tc>
      </w:tr>
      <w:tr w:rsidR="00EC5D51" w:rsidRPr="00D25A7C" w14:paraId="22B7FDF2" w14:textId="77777777" w:rsidTr="00CA23A3">
        <w:trPr>
          <w:trHeight w:val="152"/>
        </w:trPr>
        <w:tc>
          <w:tcPr>
            <w:tcW w:w="276" w:type="dxa"/>
            <w:tcBorders>
              <w:top w:val="nil"/>
              <w:left w:val="nil"/>
              <w:bottom w:val="nil"/>
              <w:right w:val="nil"/>
            </w:tcBorders>
            <w:shd w:val="clear" w:color="auto" w:fill="auto"/>
            <w:noWrap/>
            <w:vAlign w:val="center"/>
            <w:hideMark/>
          </w:tcPr>
          <w:p w14:paraId="5C137E3D" w14:textId="77777777" w:rsidR="00EC5D51" w:rsidRPr="00D25A7C" w:rsidRDefault="00EC5D51" w:rsidP="00CA23A3">
            <w:pPr>
              <w:spacing w:before="40" w:after="40" w:line="288" w:lineRule="auto"/>
              <w:jc w:val="center"/>
              <w:rPr>
                <w:rFonts w:ascii="Arial" w:hAnsi="Arial" w:cs="Arial"/>
                <w:color w:val="000000"/>
                <w:sz w:val="20"/>
                <w:szCs w:val="20"/>
              </w:rPr>
            </w:pPr>
          </w:p>
        </w:tc>
        <w:tc>
          <w:tcPr>
            <w:tcW w:w="4209" w:type="dxa"/>
            <w:tcBorders>
              <w:top w:val="nil"/>
              <w:left w:val="nil"/>
              <w:bottom w:val="nil"/>
              <w:right w:val="nil"/>
            </w:tcBorders>
            <w:shd w:val="clear" w:color="auto" w:fill="auto"/>
            <w:noWrap/>
            <w:vAlign w:val="center"/>
            <w:hideMark/>
          </w:tcPr>
          <w:p w14:paraId="72DEE0EB" w14:textId="77777777" w:rsidR="00EC5D51" w:rsidRPr="00D25A7C" w:rsidRDefault="00EC5D51" w:rsidP="00CA23A3">
            <w:pPr>
              <w:spacing w:before="40" w:after="40" w:line="288" w:lineRule="auto"/>
              <w:rPr>
                <w:rFonts w:ascii="Arial" w:hAnsi="Arial" w:cs="Arial"/>
                <w:sz w:val="20"/>
                <w:szCs w:val="20"/>
              </w:rPr>
            </w:pPr>
          </w:p>
        </w:tc>
        <w:tc>
          <w:tcPr>
            <w:tcW w:w="1963" w:type="dxa"/>
            <w:tcBorders>
              <w:top w:val="nil"/>
              <w:left w:val="nil"/>
              <w:bottom w:val="single" w:sz="4" w:space="0" w:color="auto"/>
            </w:tcBorders>
            <w:shd w:val="clear" w:color="auto" w:fill="auto"/>
            <w:vAlign w:val="center"/>
            <w:hideMark/>
          </w:tcPr>
          <w:p w14:paraId="6B6793C0"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i/>
                <w:iCs/>
                <w:sz w:val="20"/>
                <w:szCs w:val="20"/>
              </w:rPr>
              <w:t>(Mill. USD)</w:t>
            </w:r>
          </w:p>
        </w:tc>
        <w:tc>
          <w:tcPr>
            <w:tcW w:w="2945" w:type="dxa"/>
            <w:tcBorders>
              <w:top w:val="nil"/>
              <w:bottom w:val="single" w:sz="4" w:space="0" w:color="auto"/>
            </w:tcBorders>
            <w:shd w:val="clear" w:color="auto" w:fill="auto"/>
            <w:vAlign w:val="center"/>
            <w:hideMark/>
          </w:tcPr>
          <w:p w14:paraId="7F9C1AAB"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 xml:space="preserve">the same period last year </w:t>
            </w:r>
            <w:r w:rsidRPr="00D25A7C">
              <w:rPr>
                <w:rFonts w:ascii="Arial" w:hAnsi="Arial" w:cs="Arial"/>
                <w:i/>
                <w:iCs/>
                <w:sz w:val="20"/>
                <w:szCs w:val="20"/>
              </w:rPr>
              <w:t>(%)</w:t>
            </w:r>
          </w:p>
        </w:tc>
      </w:tr>
      <w:tr w:rsidR="00EC5D51" w:rsidRPr="00D25A7C" w14:paraId="3C42254C" w14:textId="77777777" w:rsidTr="00CA23A3">
        <w:trPr>
          <w:trHeight w:val="317"/>
        </w:trPr>
        <w:tc>
          <w:tcPr>
            <w:tcW w:w="4485" w:type="dxa"/>
            <w:gridSpan w:val="2"/>
            <w:tcBorders>
              <w:top w:val="nil"/>
              <w:left w:val="nil"/>
              <w:bottom w:val="nil"/>
              <w:right w:val="nil"/>
            </w:tcBorders>
            <w:shd w:val="clear" w:color="auto" w:fill="auto"/>
            <w:noWrap/>
            <w:vAlign w:val="center"/>
            <w:hideMark/>
          </w:tcPr>
          <w:p w14:paraId="0795EF14" w14:textId="77777777" w:rsidR="00EC5D51" w:rsidRPr="00D25A7C" w:rsidRDefault="00EC5D51" w:rsidP="00CA23A3">
            <w:pPr>
              <w:spacing w:before="40" w:after="40" w:line="288" w:lineRule="auto"/>
              <w:rPr>
                <w:rFonts w:ascii="Arial" w:hAnsi="Arial" w:cs="Arial"/>
                <w:b/>
                <w:bCs/>
                <w:color w:val="000000"/>
                <w:sz w:val="20"/>
                <w:szCs w:val="20"/>
              </w:rPr>
            </w:pPr>
            <w:r w:rsidRPr="00D25A7C">
              <w:rPr>
                <w:rFonts w:ascii="Arial" w:hAnsi="Arial" w:cs="Arial"/>
                <w:b/>
                <w:bCs/>
                <w:sz w:val="20"/>
                <w:szCs w:val="20"/>
              </w:rPr>
              <w:t>Items with a value of over 5 billion USD</w:t>
            </w:r>
          </w:p>
        </w:tc>
        <w:tc>
          <w:tcPr>
            <w:tcW w:w="1963" w:type="dxa"/>
            <w:tcBorders>
              <w:top w:val="nil"/>
              <w:left w:val="nil"/>
              <w:bottom w:val="nil"/>
              <w:right w:val="nil"/>
            </w:tcBorders>
            <w:shd w:val="clear" w:color="auto" w:fill="auto"/>
            <w:noWrap/>
            <w:vAlign w:val="center"/>
            <w:hideMark/>
          </w:tcPr>
          <w:p w14:paraId="1E0194A8" w14:textId="77777777" w:rsidR="00EC5D51" w:rsidRPr="00D25A7C" w:rsidRDefault="00EC5D51" w:rsidP="00CA23A3">
            <w:pPr>
              <w:spacing w:before="40" w:after="40" w:line="288" w:lineRule="auto"/>
              <w:rPr>
                <w:rFonts w:ascii="Arial" w:hAnsi="Arial" w:cs="Arial"/>
                <w:sz w:val="20"/>
                <w:szCs w:val="20"/>
              </w:rPr>
            </w:pPr>
          </w:p>
        </w:tc>
        <w:tc>
          <w:tcPr>
            <w:tcW w:w="2945" w:type="dxa"/>
            <w:tcBorders>
              <w:top w:val="nil"/>
              <w:left w:val="nil"/>
              <w:bottom w:val="nil"/>
              <w:right w:val="nil"/>
            </w:tcBorders>
            <w:shd w:val="clear" w:color="auto" w:fill="auto"/>
            <w:noWrap/>
            <w:vAlign w:val="center"/>
            <w:hideMark/>
          </w:tcPr>
          <w:p w14:paraId="3DB0A1F6" w14:textId="77777777" w:rsidR="00EC5D51" w:rsidRPr="00D25A7C" w:rsidRDefault="00EC5D51" w:rsidP="00CA23A3">
            <w:pPr>
              <w:spacing w:before="40" w:after="40" w:line="288" w:lineRule="auto"/>
              <w:rPr>
                <w:rFonts w:ascii="Arial" w:hAnsi="Arial" w:cs="Arial"/>
                <w:sz w:val="20"/>
                <w:szCs w:val="20"/>
              </w:rPr>
            </w:pPr>
          </w:p>
        </w:tc>
      </w:tr>
      <w:tr w:rsidR="00EC5D51" w:rsidRPr="00D25A7C" w14:paraId="6E8533B0" w14:textId="77777777" w:rsidTr="00CA23A3">
        <w:trPr>
          <w:trHeight w:val="317"/>
        </w:trPr>
        <w:tc>
          <w:tcPr>
            <w:tcW w:w="276" w:type="dxa"/>
            <w:tcBorders>
              <w:top w:val="nil"/>
              <w:left w:val="nil"/>
              <w:right w:val="nil"/>
            </w:tcBorders>
            <w:shd w:val="clear" w:color="auto" w:fill="auto"/>
            <w:noWrap/>
            <w:vAlign w:val="center"/>
            <w:hideMark/>
          </w:tcPr>
          <w:p w14:paraId="509DA0A9" w14:textId="77777777" w:rsidR="00EC5D51" w:rsidRPr="00D25A7C" w:rsidRDefault="00EC5D51" w:rsidP="00CA23A3">
            <w:pPr>
              <w:spacing w:before="40" w:after="40" w:line="288" w:lineRule="auto"/>
              <w:jc w:val="right"/>
              <w:rPr>
                <w:rFonts w:ascii="Arial" w:hAnsi="Arial" w:cs="Arial"/>
                <w:sz w:val="20"/>
                <w:szCs w:val="20"/>
              </w:rPr>
            </w:pPr>
          </w:p>
        </w:tc>
        <w:tc>
          <w:tcPr>
            <w:tcW w:w="4209" w:type="dxa"/>
            <w:tcBorders>
              <w:top w:val="nil"/>
              <w:left w:val="nil"/>
              <w:right w:val="nil"/>
            </w:tcBorders>
            <w:shd w:val="clear" w:color="auto" w:fill="auto"/>
            <w:noWrap/>
            <w:vAlign w:val="bottom"/>
            <w:hideMark/>
          </w:tcPr>
          <w:p w14:paraId="4A295B3F"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Electronic devices, computers and their parts</w:t>
            </w:r>
          </w:p>
        </w:tc>
        <w:tc>
          <w:tcPr>
            <w:tcW w:w="1963" w:type="dxa"/>
            <w:tcBorders>
              <w:top w:val="nil"/>
              <w:left w:val="nil"/>
              <w:right w:val="nil"/>
            </w:tcBorders>
            <w:shd w:val="clear" w:color="auto" w:fill="auto"/>
            <w:noWrap/>
            <w:vAlign w:val="bottom"/>
            <w:hideMark/>
          </w:tcPr>
          <w:p w14:paraId="2F9E5049" w14:textId="77777777" w:rsidR="00EC5D51" w:rsidRPr="00D25A7C" w:rsidRDefault="00EC5D51" w:rsidP="00CA23A3">
            <w:pPr>
              <w:spacing w:before="40" w:after="40" w:line="288" w:lineRule="auto"/>
              <w:ind w:right="458"/>
              <w:jc w:val="right"/>
              <w:rPr>
                <w:rFonts w:ascii="Arial" w:hAnsi="Arial" w:cs="Arial"/>
                <w:sz w:val="20"/>
                <w:szCs w:val="20"/>
              </w:rPr>
            </w:pPr>
            <w:r w:rsidRPr="00743434">
              <w:rPr>
                <w:rFonts w:ascii="Arial" w:hAnsi="Arial" w:cs="Arial"/>
                <w:sz w:val="20"/>
                <w:szCs w:val="20"/>
              </w:rPr>
              <w:t>58</w:t>
            </w:r>
            <w:r>
              <w:rPr>
                <w:rFonts w:ascii="Arial" w:hAnsi="Arial" w:cs="Arial"/>
                <w:sz w:val="20"/>
                <w:szCs w:val="20"/>
              </w:rPr>
              <w:t>,</w:t>
            </w:r>
            <w:r w:rsidRPr="00743434">
              <w:rPr>
                <w:rFonts w:ascii="Arial" w:hAnsi="Arial" w:cs="Arial"/>
                <w:sz w:val="20"/>
                <w:szCs w:val="20"/>
              </w:rPr>
              <w:t>822</w:t>
            </w:r>
          </w:p>
        </w:tc>
        <w:tc>
          <w:tcPr>
            <w:tcW w:w="2945" w:type="dxa"/>
            <w:tcBorders>
              <w:top w:val="nil"/>
              <w:left w:val="nil"/>
              <w:right w:val="nil"/>
            </w:tcBorders>
            <w:shd w:val="clear" w:color="auto" w:fill="auto"/>
            <w:noWrap/>
            <w:vAlign w:val="bottom"/>
          </w:tcPr>
          <w:p w14:paraId="677AD689"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28.1</w:t>
            </w:r>
          </w:p>
        </w:tc>
      </w:tr>
      <w:tr w:rsidR="00EC5D51" w:rsidRPr="00D25A7C" w14:paraId="5B853380" w14:textId="77777777" w:rsidTr="00CA23A3">
        <w:trPr>
          <w:trHeight w:val="317"/>
        </w:trPr>
        <w:tc>
          <w:tcPr>
            <w:tcW w:w="276" w:type="dxa"/>
            <w:tcBorders>
              <w:top w:val="nil"/>
              <w:left w:val="nil"/>
              <w:bottom w:val="nil"/>
              <w:right w:val="nil"/>
            </w:tcBorders>
            <w:shd w:val="clear" w:color="auto" w:fill="auto"/>
            <w:noWrap/>
            <w:vAlign w:val="center"/>
            <w:hideMark/>
          </w:tcPr>
          <w:p w14:paraId="071CD2B0"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hideMark/>
          </w:tcPr>
          <w:p w14:paraId="77CB6534"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Machinery, instrument, accessory</w:t>
            </w:r>
          </w:p>
        </w:tc>
        <w:tc>
          <w:tcPr>
            <w:tcW w:w="1963" w:type="dxa"/>
            <w:tcBorders>
              <w:top w:val="nil"/>
              <w:left w:val="nil"/>
              <w:bottom w:val="nil"/>
              <w:right w:val="nil"/>
            </w:tcBorders>
            <w:shd w:val="clear" w:color="auto" w:fill="auto"/>
            <w:noWrap/>
            <w:vAlign w:val="bottom"/>
            <w:hideMark/>
          </w:tcPr>
          <w:p w14:paraId="50F66FBB"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26</w:t>
            </w:r>
            <w:r>
              <w:rPr>
                <w:rFonts w:ascii="Arial" w:hAnsi="Arial" w:cs="Arial"/>
                <w:sz w:val="20"/>
                <w:szCs w:val="20"/>
              </w:rPr>
              <w:t>,</w:t>
            </w:r>
            <w:r w:rsidRPr="00743434">
              <w:rPr>
                <w:rFonts w:ascii="Arial" w:hAnsi="Arial" w:cs="Arial"/>
                <w:sz w:val="20"/>
                <w:szCs w:val="20"/>
              </w:rPr>
              <w:t>404</w:t>
            </w:r>
          </w:p>
        </w:tc>
        <w:tc>
          <w:tcPr>
            <w:tcW w:w="2945" w:type="dxa"/>
            <w:tcBorders>
              <w:top w:val="nil"/>
              <w:left w:val="nil"/>
              <w:bottom w:val="nil"/>
              <w:right w:val="nil"/>
            </w:tcBorders>
            <w:shd w:val="clear" w:color="auto" w:fill="auto"/>
            <w:noWrap/>
            <w:vAlign w:val="bottom"/>
          </w:tcPr>
          <w:p w14:paraId="19292BE2"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14.6</w:t>
            </w:r>
          </w:p>
        </w:tc>
      </w:tr>
      <w:tr w:rsidR="00EC5D51" w:rsidRPr="00D25A7C" w14:paraId="0785AF3F" w14:textId="77777777" w:rsidTr="00CA23A3">
        <w:trPr>
          <w:trHeight w:val="317"/>
        </w:trPr>
        <w:tc>
          <w:tcPr>
            <w:tcW w:w="276" w:type="dxa"/>
            <w:tcBorders>
              <w:top w:val="nil"/>
              <w:left w:val="nil"/>
              <w:bottom w:val="nil"/>
              <w:right w:val="nil"/>
            </w:tcBorders>
            <w:shd w:val="clear" w:color="auto" w:fill="auto"/>
            <w:noWrap/>
            <w:vAlign w:val="center"/>
          </w:tcPr>
          <w:p w14:paraId="20158A65"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756B16CF"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Fabrics</w:t>
            </w:r>
          </w:p>
        </w:tc>
        <w:tc>
          <w:tcPr>
            <w:tcW w:w="1963" w:type="dxa"/>
            <w:tcBorders>
              <w:top w:val="nil"/>
              <w:left w:val="nil"/>
              <w:bottom w:val="nil"/>
              <w:right w:val="nil"/>
            </w:tcBorders>
            <w:shd w:val="clear" w:color="auto" w:fill="auto"/>
            <w:noWrap/>
            <w:vAlign w:val="bottom"/>
          </w:tcPr>
          <w:p w14:paraId="28570667"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8</w:t>
            </w:r>
            <w:r>
              <w:rPr>
                <w:rFonts w:ascii="Arial" w:hAnsi="Arial" w:cs="Arial"/>
                <w:sz w:val="20"/>
                <w:szCs w:val="20"/>
              </w:rPr>
              <w:t>,</w:t>
            </w:r>
            <w:r w:rsidRPr="00743434">
              <w:rPr>
                <w:rFonts w:ascii="Arial" w:hAnsi="Arial" w:cs="Arial"/>
                <w:sz w:val="20"/>
                <w:szCs w:val="20"/>
              </w:rPr>
              <w:t>493</w:t>
            </w:r>
          </w:p>
        </w:tc>
        <w:tc>
          <w:tcPr>
            <w:tcW w:w="2945" w:type="dxa"/>
            <w:tcBorders>
              <w:top w:val="nil"/>
              <w:left w:val="nil"/>
              <w:bottom w:val="nil"/>
              <w:right w:val="nil"/>
            </w:tcBorders>
            <w:shd w:val="clear" w:color="auto" w:fill="auto"/>
            <w:noWrap/>
            <w:vAlign w:val="bottom"/>
          </w:tcPr>
          <w:p w14:paraId="2D9D52FE"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14.8</w:t>
            </w:r>
          </w:p>
        </w:tc>
      </w:tr>
      <w:tr w:rsidR="00EC5D51" w:rsidRPr="00D25A7C" w14:paraId="6B2802EE" w14:textId="77777777" w:rsidTr="00CA23A3">
        <w:trPr>
          <w:trHeight w:val="317"/>
        </w:trPr>
        <w:tc>
          <w:tcPr>
            <w:tcW w:w="276" w:type="dxa"/>
            <w:tcBorders>
              <w:top w:val="nil"/>
              <w:left w:val="nil"/>
              <w:bottom w:val="nil"/>
              <w:right w:val="nil"/>
            </w:tcBorders>
            <w:shd w:val="clear" w:color="auto" w:fill="auto"/>
            <w:noWrap/>
            <w:vAlign w:val="center"/>
          </w:tcPr>
          <w:p w14:paraId="2EA0B69D"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668A7DC0"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Iron, steel</w:t>
            </w:r>
          </w:p>
        </w:tc>
        <w:tc>
          <w:tcPr>
            <w:tcW w:w="1963" w:type="dxa"/>
            <w:tcBorders>
              <w:top w:val="nil"/>
              <w:left w:val="nil"/>
              <w:bottom w:val="nil"/>
              <w:right w:val="nil"/>
            </w:tcBorders>
            <w:shd w:val="clear" w:color="auto" w:fill="auto"/>
            <w:noWrap/>
            <w:vAlign w:val="bottom"/>
          </w:tcPr>
          <w:p w14:paraId="6A070AFC"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6</w:t>
            </w:r>
            <w:r>
              <w:rPr>
                <w:rFonts w:ascii="Arial" w:hAnsi="Arial" w:cs="Arial"/>
                <w:sz w:val="20"/>
                <w:szCs w:val="20"/>
              </w:rPr>
              <w:t>,</w:t>
            </w:r>
            <w:r w:rsidRPr="00743434">
              <w:rPr>
                <w:rFonts w:ascii="Arial" w:hAnsi="Arial" w:cs="Arial"/>
                <w:sz w:val="20"/>
                <w:szCs w:val="20"/>
              </w:rPr>
              <w:t>917</w:t>
            </w:r>
          </w:p>
        </w:tc>
        <w:tc>
          <w:tcPr>
            <w:tcW w:w="2945" w:type="dxa"/>
            <w:tcBorders>
              <w:top w:val="nil"/>
              <w:left w:val="nil"/>
              <w:bottom w:val="nil"/>
              <w:right w:val="nil"/>
            </w:tcBorders>
            <w:shd w:val="clear" w:color="auto" w:fill="auto"/>
            <w:noWrap/>
            <w:vAlign w:val="bottom"/>
          </w:tcPr>
          <w:p w14:paraId="2B3D5664"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23.4</w:t>
            </w:r>
          </w:p>
        </w:tc>
      </w:tr>
      <w:tr w:rsidR="00EC5D51" w:rsidRPr="00D25A7C" w14:paraId="02E6823A" w14:textId="77777777" w:rsidTr="00CA23A3">
        <w:trPr>
          <w:trHeight w:val="317"/>
        </w:trPr>
        <w:tc>
          <w:tcPr>
            <w:tcW w:w="276" w:type="dxa"/>
            <w:tcBorders>
              <w:top w:val="nil"/>
              <w:left w:val="nil"/>
              <w:bottom w:val="nil"/>
              <w:right w:val="nil"/>
            </w:tcBorders>
            <w:shd w:val="clear" w:color="auto" w:fill="auto"/>
            <w:noWrap/>
            <w:vAlign w:val="center"/>
          </w:tcPr>
          <w:p w14:paraId="79056509"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5F01FEC8" w14:textId="77777777" w:rsidR="00EC5D51" w:rsidRPr="00D25A7C" w:rsidRDefault="00EC5D51" w:rsidP="00CA23A3">
            <w:pPr>
              <w:spacing w:before="40" w:after="40" w:line="288" w:lineRule="auto"/>
              <w:rPr>
                <w:rFonts w:ascii="Arial" w:hAnsi="Arial" w:cs="Arial"/>
                <w:sz w:val="20"/>
                <w:szCs w:val="20"/>
              </w:rPr>
            </w:pPr>
            <w:r>
              <w:rPr>
                <w:rFonts w:ascii="Arial" w:hAnsi="Arial" w:cs="Arial"/>
                <w:sz w:val="20"/>
                <w:szCs w:val="20"/>
              </w:rPr>
              <w:t>Plastics</w:t>
            </w:r>
          </w:p>
        </w:tc>
        <w:tc>
          <w:tcPr>
            <w:tcW w:w="1963" w:type="dxa"/>
            <w:tcBorders>
              <w:top w:val="nil"/>
              <w:left w:val="nil"/>
              <w:bottom w:val="nil"/>
              <w:right w:val="nil"/>
            </w:tcBorders>
            <w:shd w:val="clear" w:color="auto" w:fill="auto"/>
            <w:noWrap/>
            <w:vAlign w:val="bottom"/>
          </w:tcPr>
          <w:p w14:paraId="6A9829E0"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6</w:t>
            </w:r>
            <w:r>
              <w:rPr>
                <w:rFonts w:ascii="Arial" w:hAnsi="Arial" w:cs="Arial"/>
                <w:sz w:val="20"/>
                <w:szCs w:val="20"/>
              </w:rPr>
              <w:t>,</w:t>
            </w:r>
            <w:r w:rsidRPr="00743434">
              <w:rPr>
                <w:rFonts w:ascii="Arial" w:hAnsi="Arial" w:cs="Arial"/>
                <w:sz w:val="20"/>
                <w:szCs w:val="20"/>
              </w:rPr>
              <w:t>405</w:t>
            </w:r>
          </w:p>
        </w:tc>
        <w:tc>
          <w:tcPr>
            <w:tcW w:w="2945" w:type="dxa"/>
            <w:tcBorders>
              <w:top w:val="nil"/>
              <w:left w:val="nil"/>
              <w:bottom w:val="nil"/>
              <w:right w:val="nil"/>
            </w:tcBorders>
            <w:shd w:val="clear" w:color="auto" w:fill="auto"/>
            <w:noWrap/>
            <w:vAlign w:val="bottom"/>
          </w:tcPr>
          <w:p w14:paraId="6A8B73CD"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17.5</w:t>
            </w:r>
          </w:p>
        </w:tc>
      </w:tr>
      <w:tr w:rsidR="00EC5D51" w:rsidRPr="00D25A7C" w14:paraId="631F136A" w14:textId="77777777" w:rsidTr="00CA23A3">
        <w:trPr>
          <w:trHeight w:val="317"/>
        </w:trPr>
        <w:tc>
          <w:tcPr>
            <w:tcW w:w="276" w:type="dxa"/>
            <w:tcBorders>
              <w:top w:val="nil"/>
              <w:left w:val="nil"/>
              <w:bottom w:val="nil"/>
              <w:right w:val="nil"/>
            </w:tcBorders>
            <w:shd w:val="clear" w:color="auto" w:fill="auto"/>
            <w:noWrap/>
            <w:vAlign w:val="center"/>
          </w:tcPr>
          <w:p w14:paraId="601E9D1F"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117E94FE"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Other basic metals</w:t>
            </w:r>
          </w:p>
        </w:tc>
        <w:tc>
          <w:tcPr>
            <w:tcW w:w="1963" w:type="dxa"/>
            <w:tcBorders>
              <w:top w:val="nil"/>
              <w:left w:val="nil"/>
              <w:bottom w:val="nil"/>
              <w:right w:val="nil"/>
            </w:tcBorders>
            <w:shd w:val="clear" w:color="auto" w:fill="auto"/>
            <w:noWrap/>
            <w:vAlign w:val="bottom"/>
          </w:tcPr>
          <w:p w14:paraId="40269FE0"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479</w:t>
            </w:r>
          </w:p>
        </w:tc>
        <w:tc>
          <w:tcPr>
            <w:tcW w:w="2945" w:type="dxa"/>
            <w:tcBorders>
              <w:top w:val="nil"/>
              <w:left w:val="nil"/>
              <w:bottom w:val="nil"/>
              <w:right w:val="nil"/>
            </w:tcBorders>
            <w:shd w:val="clear" w:color="auto" w:fill="auto"/>
            <w:noWrap/>
            <w:vAlign w:val="bottom"/>
          </w:tcPr>
          <w:p w14:paraId="24D038C8"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27.2</w:t>
            </w:r>
          </w:p>
        </w:tc>
      </w:tr>
      <w:tr w:rsidR="00EC5D51" w:rsidRPr="00D25A7C" w14:paraId="0AB51166" w14:textId="77777777" w:rsidTr="00CA23A3">
        <w:trPr>
          <w:trHeight w:val="317"/>
        </w:trPr>
        <w:tc>
          <w:tcPr>
            <w:tcW w:w="276" w:type="dxa"/>
            <w:tcBorders>
              <w:top w:val="nil"/>
              <w:left w:val="nil"/>
              <w:bottom w:val="nil"/>
              <w:right w:val="nil"/>
            </w:tcBorders>
            <w:shd w:val="clear" w:color="auto" w:fill="auto"/>
            <w:noWrap/>
            <w:vAlign w:val="center"/>
          </w:tcPr>
          <w:p w14:paraId="3A38C3A4"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2EB64744"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Phones all of kinds and their parts</w:t>
            </w:r>
          </w:p>
        </w:tc>
        <w:tc>
          <w:tcPr>
            <w:tcW w:w="1963" w:type="dxa"/>
            <w:tcBorders>
              <w:top w:val="nil"/>
              <w:left w:val="nil"/>
              <w:bottom w:val="nil"/>
              <w:right w:val="nil"/>
            </w:tcBorders>
            <w:shd w:val="clear" w:color="auto" w:fill="auto"/>
            <w:noWrap/>
            <w:vAlign w:val="bottom"/>
          </w:tcPr>
          <w:p w14:paraId="21D8C9A1"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440</w:t>
            </w:r>
          </w:p>
        </w:tc>
        <w:tc>
          <w:tcPr>
            <w:tcW w:w="2945" w:type="dxa"/>
            <w:tcBorders>
              <w:top w:val="nil"/>
              <w:left w:val="nil"/>
              <w:bottom w:val="nil"/>
              <w:right w:val="nil"/>
            </w:tcBorders>
            <w:shd w:val="clear" w:color="auto" w:fill="auto"/>
            <w:noWrap/>
            <w:vAlign w:val="bottom"/>
          </w:tcPr>
          <w:p w14:paraId="14BBFBBC"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26.9</w:t>
            </w:r>
          </w:p>
        </w:tc>
      </w:tr>
      <w:tr w:rsidR="00EC5D51" w:rsidRPr="00D25A7C" w14:paraId="74633008" w14:textId="77777777" w:rsidTr="00CA23A3">
        <w:trPr>
          <w:trHeight w:val="317"/>
        </w:trPr>
        <w:tc>
          <w:tcPr>
            <w:tcW w:w="276" w:type="dxa"/>
            <w:tcBorders>
              <w:top w:val="nil"/>
              <w:left w:val="nil"/>
              <w:bottom w:val="nil"/>
              <w:right w:val="nil"/>
            </w:tcBorders>
            <w:shd w:val="clear" w:color="auto" w:fill="auto"/>
            <w:noWrap/>
            <w:vAlign w:val="center"/>
          </w:tcPr>
          <w:p w14:paraId="5F692F13"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613FCE82"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Petroleum</w:t>
            </w:r>
          </w:p>
        </w:tc>
        <w:tc>
          <w:tcPr>
            <w:tcW w:w="1963" w:type="dxa"/>
            <w:tcBorders>
              <w:top w:val="nil"/>
              <w:left w:val="nil"/>
              <w:bottom w:val="nil"/>
              <w:right w:val="nil"/>
            </w:tcBorders>
            <w:shd w:val="clear" w:color="auto" w:fill="auto"/>
            <w:noWrap/>
            <w:vAlign w:val="bottom"/>
          </w:tcPr>
          <w:p w14:paraId="67E22C90"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086</w:t>
            </w:r>
          </w:p>
        </w:tc>
        <w:tc>
          <w:tcPr>
            <w:tcW w:w="2945" w:type="dxa"/>
            <w:tcBorders>
              <w:top w:val="nil"/>
              <w:left w:val="nil"/>
              <w:bottom w:val="nil"/>
              <w:right w:val="nil"/>
            </w:tcBorders>
            <w:shd w:val="clear" w:color="auto" w:fill="auto"/>
            <w:noWrap/>
            <w:vAlign w:val="bottom"/>
          </w:tcPr>
          <w:p w14:paraId="6AD47A42"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4.0</w:t>
            </w:r>
          </w:p>
        </w:tc>
      </w:tr>
      <w:tr w:rsidR="00EC5D51" w:rsidRPr="00D25A7C" w14:paraId="536E9ED5" w14:textId="77777777" w:rsidTr="00CA23A3">
        <w:trPr>
          <w:trHeight w:val="317"/>
        </w:trPr>
        <w:tc>
          <w:tcPr>
            <w:tcW w:w="276" w:type="dxa"/>
            <w:tcBorders>
              <w:top w:val="nil"/>
              <w:left w:val="nil"/>
              <w:bottom w:val="nil"/>
              <w:right w:val="nil"/>
            </w:tcBorders>
            <w:shd w:val="clear" w:color="auto" w:fill="auto"/>
            <w:noWrap/>
            <w:vAlign w:val="center"/>
          </w:tcPr>
          <w:p w14:paraId="1C369F11"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768101E6"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Crude oil</w:t>
            </w:r>
          </w:p>
        </w:tc>
        <w:tc>
          <w:tcPr>
            <w:tcW w:w="1963" w:type="dxa"/>
            <w:tcBorders>
              <w:top w:val="nil"/>
              <w:left w:val="nil"/>
              <w:bottom w:val="nil"/>
              <w:right w:val="nil"/>
            </w:tcBorders>
            <w:shd w:val="clear" w:color="auto" w:fill="auto"/>
            <w:noWrap/>
            <w:vAlign w:val="bottom"/>
          </w:tcPr>
          <w:p w14:paraId="4E32D3A2"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045</w:t>
            </w:r>
          </w:p>
        </w:tc>
        <w:tc>
          <w:tcPr>
            <w:tcW w:w="2945" w:type="dxa"/>
            <w:tcBorders>
              <w:top w:val="nil"/>
              <w:left w:val="nil"/>
              <w:bottom w:val="nil"/>
              <w:right w:val="nil"/>
            </w:tcBorders>
            <w:shd w:val="clear" w:color="auto" w:fill="auto"/>
            <w:noWrap/>
            <w:vAlign w:val="bottom"/>
          </w:tcPr>
          <w:p w14:paraId="0EEDCA17"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19.1</w:t>
            </w:r>
          </w:p>
        </w:tc>
      </w:tr>
      <w:tr w:rsidR="00EC5D51" w:rsidRPr="00D25A7C" w14:paraId="00D85D7A" w14:textId="77777777" w:rsidTr="00CA23A3">
        <w:trPr>
          <w:trHeight w:val="317"/>
        </w:trPr>
        <w:tc>
          <w:tcPr>
            <w:tcW w:w="276" w:type="dxa"/>
            <w:tcBorders>
              <w:top w:val="nil"/>
              <w:left w:val="nil"/>
              <w:bottom w:val="single" w:sz="4" w:space="0" w:color="auto"/>
              <w:right w:val="nil"/>
            </w:tcBorders>
            <w:shd w:val="clear" w:color="auto" w:fill="auto"/>
            <w:noWrap/>
            <w:vAlign w:val="center"/>
          </w:tcPr>
          <w:p w14:paraId="55D04059"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single" w:sz="4" w:space="0" w:color="auto"/>
              <w:right w:val="nil"/>
            </w:tcBorders>
            <w:shd w:val="clear" w:color="auto" w:fill="auto"/>
            <w:noWrap/>
            <w:vAlign w:val="bottom"/>
          </w:tcPr>
          <w:p w14:paraId="3141708C"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Coal</w:t>
            </w:r>
          </w:p>
        </w:tc>
        <w:tc>
          <w:tcPr>
            <w:tcW w:w="1963" w:type="dxa"/>
            <w:tcBorders>
              <w:top w:val="nil"/>
              <w:left w:val="nil"/>
              <w:bottom w:val="single" w:sz="4" w:space="0" w:color="auto"/>
              <w:right w:val="nil"/>
            </w:tcBorders>
            <w:shd w:val="clear" w:color="auto" w:fill="auto"/>
            <w:noWrap/>
            <w:vAlign w:val="bottom"/>
          </w:tcPr>
          <w:p w14:paraId="36877903"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013</w:t>
            </w:r>
          </w:p>
        </w:tc>
        <w:tc>
          <w:tcPr>
            <w:tcW w:w="2945" w:type="dxa"/>
            <w:tcBorders>
              <w:top w:val="nil"/>
              <w:left w:val="nil"/>
              <w:bottom w:val="single" w:sz="4" w:space="0" w:color="auto"/>
              <w:right w:val="nil"/>
            </w:tcBorders>
            <w:shd w:val="clear" w:color="auto" w:fill="auto"/>
            <w:noWrap/>
            <w:vAlign w:val="bottom"/>
          </w:tcPr>
          <w:p w14:paraId="063A2CE1"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15.5</w:t>
            </w:r>
          </w:p>
        </w:tc>
      </w:tr>
    </w:tbl>
    <w:p w14:paraId="0786CB78" w14:textId="77777777" w:rsidR="00EC5D51" w:rsidRPr="00D25A7C" w:rsidRDefault="00EC5D51" w:rsidP="00EC5D51">
      <w:pPr>
        <w:tabs>
          <w:tab w:val="num" w:pos="0"/>
          <w:tab w:val="left" w:pos="9475"/>
        </w:tabs>
        <w:spacing w:beforeLines="40" w:before="96" w:afterLines="40" w:after="96" w:line="264" w:lineRule="auto"/>
        <w:ind w:right="187" w:firstLine="567"/>
        <w:jc w:val="right"/>
        <w:rPr>
          <w:rFonts w:ascii="Arial" w:hAnsi="Arial" w:cs="Arial"/>
          <w:b/>
          <w:bCs/>
          <w:i/>
          <w:iCs/>
          <w:sz w:val="2"/>
          <w:szCs w:val="20"/>
          <w:lang w:val="en-US"/>
        </w:rPr>
      </w:pPr>
      <w:r w:rsidRPr="00D25A7C">
        <w:rPr>
          <w:noProof/>
          <w:lang w:val="en-US"/>
        </w:rPr>
        <w:lastRenderedPageBreak/>
        <mc:AlternateContent>
          <mc:Choice Requires="wps">
            <w:drawing>
              <wp:anchor distT="0" distB="0" distL="114300" distR="114300" simplePos="0" relativeHeight="251671040" behindDoc="0" locked="0" layoutInCell="1" allowOverlap="1" wp14:anchorId="11114B37" wp14:editId="5F7F3E04">
                <wp:simplePos x="0" y="0"/>
                <wp:positionH relativeFrom="column">
                  <wp:posOffset>81915</wp:posOffset>
                </wp:positionH>
                <wp:positionV relativeFrom="paragraph">
                  <wp:posOffset>170815</wp:posOffset>
                </wp:positionV>
                <wp:extent cx="3248025" cy="2725420"/>
                <wp:effectExtent l="0" t="0" r="9525" b="0"/>
                <wp:wrapSquare wrapText="bothSides"/>
                <wp:docPr id="124734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725420"/>
                        </a:xfrm>
                        <a:prstGeom prst="rect">
                          <a:avLst/>
                        </a:prstGeom>
                        <a:solidFill>
                          <a:srgbClr val="FFFFFF"/>
                        </a:solidFill>
                        <a:ln w="9525">
                          <a:noFill/>
                          <a:miter lim="800000"/>
                          <a:headEnd/>
                          <a:tailEnd/>
                        </a:ln>
                      </wps:spPr>
                      <wps:txbx>
                        <w:txbxContent>
                          <w:p w14:paraId="32344566"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1A573971"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1F43604C" w14:textId="77777777" w:rsidR="00EC5D51" w:rsidRDefault="00EC5D51" w:rsidP="00EC5D51">
                            <w:pPr>
                              <w:ind w:left="-142"/>
                              <w:jc w:val="right"/>
                              <w:rPr>
                                <w:rFonts w:ascii="Arial" w:hAnsi="Arial" w:cs="Arial"/>
                                <w:sz w:val="24"/>
                                <w:szCs w:val="24"/>
                              </w:rPr>
                            </w:pPr>
                            <w:r w:rsidRPr="0044431C">
                              <w:rPr>
                                <w:noProof/>
                              </w:rPr>
                              <w:drawing>
                                <wp:inline distT="0" distB="0" distL="0" distR="0" wp14:anchorId="703A5613" wp14:editId="0905111D">
                                  <wp:extent cx="3056255" cy="2007870"/>
                                  <wp:effectExtent l="0" t="0" r="0" b="0"/>
                                  <wp:docPr id="20469112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14B37" id="Text Box 9" o:spid="_x0000_s1027" type="#_x0000_t202" style="position:absolute;left:0;text-align:left;margin-left:6.45pt;margin-top:13.45pt;width:255.75pt;height:214.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" stroked="f">
                <v:textbox>
                  <w:txbxContent>
                    <w:p w14:paraId="32344566"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1A573971"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1F43604C" w14:textId="77777777" w:rsidR="00EC5D51" w:rsidRDefault="00EC5D51" w:rsidP="00EC5D51">
                      <w:pPr>
                        <w:ind w:left="-142"/>
                        <w:jc w:val="right"/>
                        <w:rPr>
                          <w:rFonts w:ascii="Arial" w:hAnsi="Arial" w:cs="Arial"/>
                          <w:sz w:val="24"/>
                          <w:szCs w:val="24"/>
                        </w:rPr>
                      </w:pPr>
                      <w:r w:rsidRPr="0044431C">
                        <w:rPr>
                          <w:noProof/>
                        </w:rPr>
                        <w:drawing>
                          <wp:inline distT="0" distB="0" distL="0" distR="0" wp14:anchorId="703A5613" wp14:editId="0905111D">
                            <wp:extent cx="3056255" cy="2007870"/>
                            <wp:effectExtent l="0" t="0" r="0" b="0"/>
                            <wp:docPr id="20469112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v:textbox>
                <w10:wrap type="square"/>
              </v:shape>
            </w:pict>
          </mc:Fallback>
        </mc:AlternateContent>
      </w:r>
    </w:p>
    <w:p w14:paraId="59386C45" w14:textId="77777777" w:rsidR="00EC5D51" w:rsidRPr="00D25A7C" w:rsidRDefault="00EC5D51" w:rsidP="00EC5D51">
      <w:pPr>
        <w:tabs>
          <w:tab w:val="left" w:pos="9475"/>
        </w:tabs>
        <w:spacing w:beforeLines="40" w:before="96" w:afterLines="40" w:after="96" w:line="259" w:lineRule="auto"/>
        <w:ind w:right="6"/>
        <w:jc w:val="both"/>
        <w:rPr>
          <w:rFonts w:eastAsia="Batang"/>
          <w:b/>
          <w:bCs/>
          <w:spacing w:val="-6"/>
        </w:rPr>
      </w:pPr>
      <w:r w:rsidRPr="00D25A7C">
        <w:rPr>
          <w:rFonts w:eastAsia="Batang"/>
          <w:i/>
          <w:iCs/>
          <w:noProof/>
          <w:spacing w:val="-6"/>
          <w:lang w:val="en-US"/>
        </w:rPr>
        <w:t xml:space="preserve">Regarding the structure of imported groups </w:t>
      </w:r>
      <w:r w:rsidRPr="00D25A7C">
        <w:rPr>
          <w:rFonts w:eastAsia="Batang"/>
          <w:bCs/>
          <w:i/>
          <w:iCs/>
          <w:spacing w:val="-6"/>
          <w:lang w:val="en-US"/>
        </w:rPr>
        <w:t xml:space="preserve">in </w:t>
      </w:r>
      <w:r>
        <w:rPr>
          <w:rFonts w:eastAsia="Batang"/>
          <w:bCs/>
          <w:i/>
          <w:iCs/>
          <w:spacing w:val="-6"/>
          <w:lang w:val="en-US"/>
        </w:rPr>
        <w:t>seven months</w:t>
      </w:r>
      <w:r w:rsidRPr="00D25A7C">
        <w:rPr>
          <w:rFonts w:eastAsia="Batang"/>
          <w:bCs/>
          <w:i/>
          <w:iCs/>
          <w:spacing w:val="-6"/>
          <w:lang w:val="en-US"/>
        </w:rPr>
        <w:t xml:space="preserve"> of 2024, </w:t>
      </w:r>
      <w:r w:rsidRPr="00D25A7C">
        <w:rPr>
          <w:rFonts w:eastAsia="Batang"/>
          <w:bCs/>
          <w:spacing w:val="-6"/>
          <w:lang w:val="en-US"/>
        </w:rPr>
        <w:t>the group of production materials was estimated at 1</w:t>
      </w:r>
      <w:r>
        <w:rPr>
          <w:rFonts w:eastAsia="Batang"/>
          <w:bCs/>
          <w:spacing w:val="-6"/>
          <w:lang w:val="en-US"/>
        </w:rPr>
        <w:t>99.88</w:t>
      </w:r>
      <w:r w:rsidRPr="00D25A7C">
        <w:rPr>
          <w:rFonts w:eastAsia="Batang"/>
          <w:bCs/>
          <w:spacing w:val="-6"/>
          <w:lang w:val="en-US"/>
        </w:rPr>
        <w:t xml:space="preserve"> billion USD, accounted for 9</w:t>
      </w:r>
      <w:r>
        <w:rPr>
          <w:rFonts w:eastAsia="Batang"/>
          <w:bCs/>
          <w:spacing w:val="-6"/>
          <w:lang w:val="en-US"/>
        </w:rPr>
        <w:t>3.9</w:t>
      </w:r>
      <w:r w:rsidRPr="00D25A7C">
        <w:rPr>
          <w:rFonts w:eastAsia="Batang"/>
          <w:bCs/>
          <w:spacing w:val="-6"/>
          <w:lang w:val="en-US"/>
        </w:rPr>
        <w:t>%, in which the group of machinery, equipment, tools spare parts accounted for 4</w:t>
      </w:r>
      <w:r>
        <w:rPr>
          <w:rFonts w:eastAsia="Batang"/>
          <w:bCs/>
          <w:spacing w:val="-6"/>
          <w:lang w:val="en-US"/>
        </w:rPr>
        <w:t>6.2</w:t>
      </w:r>
      <w:r w:rsidRPr="00D25A7C">
        <w:rPr>
          <w:rFonts w:eastAsia="Batang"/>
          <w:bCs/>
          <w:spacing w:val="-6"/>
          <w:lang w:val="en-US"/>
        </w:rPr>
        <w:t>%; raw materials, fuel and materials accounted for 4</w:t>
      </w:r>
      <w:r>
        <w:rPr>
          <w:rFonts w:eastAsia="Batang"/>
          <w:bCs/>
          <w:spacing w:val="-6"/>
          <w:lang w:val="en-US"/>
        </w:rPr>
        <w:t>7.7</w:t>
      </w:r>
      <w:r w:rsidRPr="00D25A7C">
        <w:rPr>
          <w:rFonts w:eastAsia="Batang"/>
          <w:bCs/>
          <w:spacing w:val="-6"/>
          <w:lang w:val="en-US"/>
        </w:rPr>
        <w:t xml:space="preserve">%. The group of consumer products was estimated at </w:t>
      </w:r>
      <w:r>
        <w:rPr>
          <w:rFonts w:eastAsia="Batang"/>
          <w:bCs/>
          <w:spacing w:val="-6"/>
          <w:lang w:val="en-US"/>
        </w:rPr>
        <w:t>13.02</w:t>
      </w:r>
      <w:r w:rsidRPr="00D25A7C">
        <w:rPr>
          <w:rFonts w:eastAsia="Batang"/>
          <w:bCs/>
          <w:spacing w:val="-6"/>
          <w:lang w:val="en-US"/>
        </w:rPr>
        <w:t xml:space="preserve"> billion USD, accounted for 6</w:t>
      </w:r>
      <w:r>
        <w:rPr>
          <w:rFonts w:eastAsia="Batang"/>
          <w:bCs/>
          <w:spacing w:val="-6"/>
          <w:lang w:val="en-US"/>
        </w:rPr>
        <w:t>.1</w:t>
      </w:r>
      <w:r w:rsidRPr="00D25A7C">
        <w:rPr>
          <w:rFonts w:eastAsia="Batang"/>
          <w:bCs/>
          <w:spacing w:val="-6"/>
          <w:lang w:val="en-US"/>
        </w:rPr>
        <w:t>%</w:t>
      </w:r>
      <w:r w:rsidRPr="00D25A7C">
        <w:rPr>
          <w:rFonts w:eastAsia="Batang"/>
          <w:bCs/>
          <w:i/>
          <w:iCs/>
          <w:spacing w:val="-6"/>
          <w:lang w:val="en-US"/>
        </w:rPr>
        <w:t>.</w:t>
      </w:r>
    </w:p>
    <w:p w14:paraId="649E88D0" w14:textId="77777777" w:rsidR="00EC5D51" w:rsidRPr="00C92367" w:rsidRDefault="00EC5D51" w:rsidP="00EC5D51">
      <w:pPr>
        <w:tabs>
          <w:tab w:val="num" w:pos="0"/>
          <w:tab w:val="left" w:pos="9475"/>
        </w:tabs>
        <w:spacing w:beforeLines="100" w:before="240" w:afterLines="100" w:after="240" w:line="264" w:lineRule="auto"/>
        <w:ind w:right="6" w:firstLine="567"/>
        <w:jc w:val="both"/>
        <w:rPr>
          <w:i/>
          <w:spacing w:val="-2"/>
          <w:lang w:val="en-US"/>
        </w:rPr>
      </w:pPr>
      <w:r w:rsidRPr="00C92367">
        <w:rPr>
          <w:bCs/>
          <w:i/>
          <w:spacing w:val="-2"/>
        </w:rPr>
        <w:t xml:space="preserve">Regarding the export and import market of goods in seven months of 2024, </w:t>
      </w:r>
      <w:r w:rsidRPr="00C92367">
        <w:rPr>
          <w:bCs/>
          <w:iCs/>
          <w:spacing w:val="-2"/>
        </w:rPr>
        <w:t>the United States was the Viet Nam's largest export market with a turnover of 66.1 billion USD.</w:t>
      </w:r>
      <w:r w:rsidRPr="00C92367">
        <w:rPr>
          <w:bCs/>
          <w:iCs/>
          <w:spacing w:val="-2"/>
          <w:lang w:val="en-US"/>
        </w:rPr>
        <w:t xml:space="preserve"> China remained the largest import market of Viet Nam with a turnover of 79.2 billion USD. </w:t>
      </w:r>
      <w:r w:rsidRPr="00C92367">
        <w:rPr>
          <w:bCs/>
          <w:iCs/>
          <w:spacing w:val="-2"/>
        </w:rPr>
        <w:t>In seven months of 2024, the trade surplus to the United States reached 57.5 billion USD, up 27.6% over the same period last year; the trade surplus to the EU reached 20.1 billion USD, up 19.4%; the trade surplus to Japan was 1.1 billion USD, down 14%; the trade deficit from China was 45.8 billion USD, went up 65.4%; the trade deficit from Korea was 17.7 billion USD, went up 15.7%; the trade deficit from ASEAN was 5.5 billion USD, increased by 21%.</w:t>
      </w:r>
    </w:p>
    <w:p w14:paraId="30F391BE" w14:textId="77777777" w:rsidR="00EC5D51" w:rsidRPr="00D25A7C" w:rsidRDefault="00EC5D51" w:rsidP="00EC5D51">
      <w:pPr>
        <w:tabs>
          <w:tab w:val="num" w:pos="0"/>
          <w:tab w:val="left" w:pos="9475"/>
        </w:tabs>
        <w:spacing w:beforeLines="40" w:before="96" w:afterLines="40" w:after="96" w:line="264" w:lineRule="auto"/>
        <w:ind w:right="6" w:firstLine="567"/>
        <w:jc w:val="center"/>
        <w:rPr>
          <w:rFonts w:ascii="Arial" w:hAnsi="Arial" w:cs="Arial"/>
          <w:b/>
          <w:iCs/>
          <w:sz w:val="24"/>
          <w:szCs w:val="24"/>
        </w:rPr>
      </w:pPr>
      <w:r w:rsidRPr="00D25A7C">
        <w:rPr>
          <w:rFonts w:ascii="Arial" w:hAnsi="Arial" w:cs="Arial"/>
          <w:b/>
          <w:iCs/>
          <w:sz w:val="24"/>
          <w:szCs w:val="24"/>
        </w:rPr>
        <w:t>Figure 1</w:t>
      </w:r>
      <w:r>
        <w:rPr>
          <w:rFonts w:ascii="Arial" w:hAnsi="Arial" w:cs="Arial"/>
          <w:b/>
          <w:iCs/>
          <w:sz w:val="24"/>
          <w:szCs w:val="24"/>
        </w:rPr>
        <w:t>4</w:t>
      </w:r>
      <w:r w:rsidRPr="00D25A7C">
        <w:rPr>
          <w:rFonts w:ascii="Arial" w:hAnsi="Arial" w:cs="Arial"/>
          <w:b/>
          <w:iCs/>
          <w:sz w:val="24"/>
          <w:szCs w:val="24"/>
        </w:rPr>
        <w:t xml:space="preserve">. Major </w:t>
      </w:r>
      <w:proofErr w:type="gramStart"/>
      <w:r w:rsidRPr="00D25A7C">
        <w:rPr>
          <w:rFonts w:ascii="Arial" w:hAnsi="Arial" w:cs="Arial"/>
          <w:b/>
          <w:iCs/>
          <w:sz w:val="24"/>
          <w:szCs w:val="24"/>
        </w:rPr>
        <w:t>commodity</w:t>
      </w:r>
      <w:proofErr w:type="gramEnd"/>
      <w:r w:rsidRPr="00D25A7C">
        <w:rPr>
          <w:rFonts w:ascii="Arial" w:hAnsi="Arial" w:cs="Arial"/>
          <w:b/>
          <w:iCs/>
          <w:sz w:val="24"/>
          <w:szCs w:val="24"/>
        </w:rPr>
        <w:t xml:space="preserve"> import and export markets </w:t>
      </w:r>
      <w:r w:rsidRPr="00D25A7C">
        <w:rPr>
          <w:rFonts w:ascii="Arial" w:hAnsi="Arial" w:cs="Arial"/>
          <w:b/>
          <w:iCs/>
          <w:sz w:val="24"/>
          <w:szCs w:val="24"/>
        </w:rPr>
        <w:br/>
        <w:t xml:space="preserve"> in </w:t>
      </w:r>
      <w:r>
        <w:rPr>
          <w:rFonts w:ascii="Arial" w:hAnsi="Arial" w:cs="Arial"/>
          <w:b/>
          <w:iCs/>
          <w:sz w:val="24"/>
          <w:szCs w:val="24"/>
        </w:rPr>
        <w:t>7 months</w:t>
      </w:r>
      <w:r w:rsidRPr="00D25A7C">
        <w:rPr>
          <w:rFonts w:ascii="Arial" w:hAnsi="Arial" w:cs="Arial"/>
          <w:b/>
          <w:iCs/>
          <w:sz w:val="24"/>
          <w:szCs w:val="24"/>
        </w:rPr>
        <w:t xml:space="preserve"> of 2024</w:t>
      </w:r>
    </w:p>
    <w:tbl>
      <w:tblPr>
        <w:tblStyle w:val="TableGrid2"/>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604"/>
        <w:gridCol w:w="2212"/>
        <w:gridCol w:w="2770"/>
        <w:gridCol w:w="1413"/>
        <w:gridCol w:w="523"/>
      </w:tblGrid>
      <w:tr w:rsidR="00EC5D51" w:rsidRPr="00D25A7C" w14:paraId="37DFC8F4" w14:textId="77777777" w:rsidTr="00CA23A3">
        <w:trPr>
          <w:trHeight w:val="3989"/>
          <w:jc w:val="center"/>
        </w:trPr>
        <w:tc>
          <w:tcPr>
            <w:tcW w:w="4564" w:type="dxa"/>
            <w:gridSpan w:val="3"/>
            <w:hideMark/>
          </w:tcPr>
          <w:p w14:paraId="0B2AFB5F" w14:textId="77777777" w:rsidR="00EC5D51" w:rsidRPr="00D25A7C" w:rsidRDefault="00EC5D51" w:rsidP="00CA23A3">
            <w:pPr>
              <w:tabs>
                <w:tab w:val="num" w:pos="0"/>
                <w:tab w:val="left" w:pos="9475"/>
              </w:tabs>
              <w:spacing w:beforeLines="40" w:before="96" w:afterLines="40" w:after="96" w:line="264" w:lineRule="auto"/>
              <w:ind w:right="-118"/>
              <w:jc w:val="both"/>
              <w:rPr>
                <w:iCs/>
              </w:rPr>
            </w:pPr>
            <w:r>
              <w:rPr>
                <w:noProof/>
              </w:rPr>
              <w:drawing>
                <wp:inline distT="0" distB="0" distL="0" distR="0" wp14:anchorId="2F7B12C5" wp14:editId="1F8BD7F3">
                  <wp:extent cx="2811439" cy="2312670"/>
                  <wp:effectExtent l="0" t="0" r="8255" b="11430"/>
                  <wp:docPr id="503903447" name="Chart 1">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706" w:type="dxa"/>
            <w:gridSpan w:val="3"/>
            <w:hideMark/>
          </w:tcPr>
          <w:p w14:paraId="0AFA1AB8" w14:textId="77777777" w:rsidR="00EC5D51" w:rsidRPr="00D25A7C" w:rsidRDefault="00EC5D51" w:rsidP="00CA23A3">
            <w:pPr>
              <w:tabs>
                <w:tab w:val="num" w:pos="-134"/>
                <w:tab w:val="left" w:pos="9475"/>
              </w:tabs>
              <w:spacing w:beforeLines="40" w:before="96" w:afterLines="40" w:after="96" w:line="264" w:lineRule="auto"/>
              <w:ind w:right="6" w:hanging="134"/>
              <w:jc w:val="both"/>
              <w:rPr>
                <w:iCs/>
              </w:rPr>
            </w:pPr>
            <w:r>
              <w:rPr>
                <w:noProof/>
              </w:rPr>
              <w:drawing>
                <wp:inline distT="0" distB="0" distL="0" distR="0" wp14:anchorId="52E84A96" wp14:editId="34823702">
                  <wp:extent cx="2851150" cy="2313296"/>
                  <wp:effectExtent l="0" t="0" r="6350" b="11430"/>
                  <wp:docPr id="489431290" name="Chart 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EC5D51" w:rsidRPr="00D25A7C" w14:paraId="3D074A8B" w14:textId="77777777" w:rsidTr="00CA23A3">
        <w:trPr>
          <w:gridAfter w:val="1"/>
          <w:wAfter w:w="523" w:type="dxa"/>
          <w:trHeight w:val="160"/>
          <w:jc w:val="center"/>
        </w:trPr>
        <w:tc>
          <w:tcPr>
            <w:tcW w:w="1748" w:type="dxa"/>
          </w:tcPr>
          <w:p w14:paraId="1F2D16C1" w14:textId="77777777" w:rsidR="00EC5D51" w:rsidRPr="00D25A7C" w:rsidRDefault="00EC5D51" w:rsidP="00CA23A3">
            <w:pPr>
              <w:spacing w:beforeLines="40" w:before="96" w:afterLines="40" w:after="96" w:line="264" w:lineRule="auto"/>
              <w:ind w:firstLine="567"/>
              <w:jc w:val="both"/>
              <w:rPr>
                <w:b/>
                <w:bCs/>
                <w:i/>
                <w:iCs/>
              </w:rPr>
            </w:pPr>
          </w:p>
        </w:tc>
        <w:tc>
          <w:tcPr>
            <w:tcW w:w="604" w:type="dxa"/>
          </w:tcPr>
          <w:p w14:paraId="1FCEA2FC" w14:textId="77777777" w:rsidR="00EC5D51" w:rsidRPr="00D25A7C" w:rsidRDefault="00EC5D51" w:rsidP="00CA23A3">
            <w:pPr>
              <w:spacing w:beforeLines="40" w:before="96" w:afterLines="40" w:after="96" w:line="264" w:lineRule="auto"/>
              <w:ind w:firstLine="567"/>
              <w:jc w:val="both"/>
              <w:rPr>
                <w:b/>
                <w:bCs/>
                <w:i/>
                <w:iCs/>
                <w:color w:val="FF0000"/>
              </w:rPr>
            </w:pPr>
          </w:p>
        </w:tc>
        <w:tc>
          <w:tcPr>
            <w:tcW w:w="2212" w:type="dxa"/>
            <w:hideMark/>
          </w:tcPr>
          <w:p w14:paraId="554F7237" w14:textId="77777777" w:rsidR="00EC5D51" w:rsidRPr="00D25A7C" w:rsidRDefault="00EC5D51" w:rsidP="00CA23A3">
            <w:pPr>
              <w:spacing w:beforeLines="40" w:before="96" w:afterLines="40" w:after="96" w:line="264" w:lineRule="auto"/>
              <w:ind w:firstLine="567"/>
              <w:jc w:val="both"/>
              <w:rPr>
                <w:b/>
                <w:bCs/>
                <w:i/>
                <w:iCs/>
              </w:rPr>
            </w:pPr>
            <w:r w:rsidRPr="00D25A7C">
              <w:rPr>
                <w:noProof/>
                <w:lang w:val="en-US"/>
              </w:rPr>
              <mc:AlternateContent>
                <mc:Choice Requires="wps">
                  <w:drawing>
                    <wp:anchor distT="0" distB="0" distL="114300" distR="114300" simplePos="0" relativeHeight="251668992" behindDoc="0" locked="0" layoutInCell="1" allowOverlap="1" wp14:anchorId="02850B64" wp14:editId="4512AFA1">
                      <wp:simplePos x="0" y="0"/>
                      <wp:positionH relativeFrom="column">
                        <wp:posOffset>98425</wp:posOffset>
                      </wp:positionH>
                      <wp:positionV relativeFrom="paragraph">
                        <wp:posOffset>36195</wp:posOffset>
                      </wp:positionV>
                      <wp:extent cx="125730" cy="90170"/>
                      <wp:effectExtent l="0" t="0" r="0" b="0"/>
                      <wp:wrapNone/>
                      <wp:docPr id="6480429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E6553" id="Rectangle 7" o:spid="_x0000_s1026" style="position:absolute;margin-left:7.75pt;margin-top:2.85pt;width:9.9pt;height:7.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" fillcolor="#c00000" stroked="f" strokeweight="1pt"/>
                  </w:pict>
                </mc:Fallback>
              </mc:AlternateContent>
            </w:r>
            <w:r w:rsidRPr="00D25A7C">
              <w:rPr>
                <w:rFonts w:ascii="Arial" w:hAnsi="Arial" w:cs="Arial"/>
                <w:b/>
                <w:bCs/>
                <w:iCs/>
                <w:sz w:val="16"/>
                <w:szCs w:val="16"/>
              </w:rPr>
              <w:t>Export of goods</w:t>
            </w:r>
          </w:p>
        </w:tc>
        <w:tc>
          <w:tcPr>
            <w:tcW w:w="2770" w:type="dxa"/>
            <w:hideMark/>
          </w:tcPr>
          <w:p w14:paraId="63DD8B8F" w14:textId="77777777" w:rsidR="00EC5D51" w:rsidRPr="00D25A7C" w:rsidRDefault="00EC5D51" w:rsidP="00CA23A3">
            <w:pPr>
              <w:spacing w:beforeLines="40" w:before="96" w:afterLines="40" w:after="96" w:line="264" w:lineRule="auto"/>
              <w:ind w:firstLine="567"/>
              <w:jc w:val="both"/>
              <w:rPr>
                <w:b/>
                <w:bCs/>
                <w:i/>
                <w:iCs/>
              </w:rPr>
            </w:pPr>
            <w:r w:rsidRPr="00D25A7C">
              <w:rPr>
                <w:noProof/>
                <w:lang w:val="en-US"/>
              </w:rPr>
              <mc:AlternateContent>
                <mc:Choice Requires="wps">
                  <w:drawing>
                    <wp:anchor distT="0" distB="0" distL="114300" distR="114300" simplePos="0" relativeHeight="251670016" behindDoc="0" locked="0" layoutInCell="1" allowOverlap="1" wp14:anchorId="78E88516" wp14:editId="0B46866B">
                      <wp:simplePos x="0" y="0"/>
                      <wp:positionH relativeFrom="column">
                        <wp:posOffset>109855</wp:posOffset>
                      </wp:positionH>
                      <wp:positionV relativeFrom="paragraph">
                        <wp:posOffset>36195</wp:posOffset>
                      </wp:positionV>
                      <wp:extent cx="125730" cy="90170"/>
                      <wp:effectExtent l="0" t="0" r="26670" b="24130"/>
                      <wp:wrapNone/>
                      <wp:docPr id="4138579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cap="flat" cmpd="sng" algn="ctr">
                                <a:solidFill>
                                  <a:srgbClr val="E7E6E6">
                                    <a:lumMod val="2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00218" id="Rectangle 6" o:spid="_x0000_s1026" style="position:absolute;margin-left:8.65pt;margin-top:2.85pt;width:9.9pt;height:7.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" fillcolor="yellow" strokecolor="#3b3838" strokeweight=".5pt">
                      <v:path arrowok="t"/>
                    </v:rect>
                  </w:pict>
                </mc:Fallback>
              </mc:AlternateContent>
            </w:r>
            <w:r w:rsidRPr="00D25A7C">
              <w:rPr>
                <w:rFonts w:ascii="Arial" w:hAnsi="Arial" w:cs="Arial"/>
                <w:b/>
                <w:bCs/>
                <w:iCs/>
                <w:sz w:val="16"/>
                <w:szCs w:val="16"/>
              </w:rPr>
              <w:t>Import of goods</w:t>
            </w:r>
          </w:p>
        </w:tc>
        <w:tc>
          <w:tcPr>
            <w:tcW w:w="1413" w:type="dxa"/>
          </w:tcPr>
          <w:p w14:paraId="453FD626" w14:textId="77777777" w:rsidR="00EC5D51" w:rsidRPr="00D25A7C" w:rsidRDefault="00EC5D51" w:rsidP="00CA23A3">
            <w:pPr>
              <w:spacing w:beforeLines="40" w:before="96" w:afterLines="40" w:after="96" w:line="264" w:lineRule="auto"/>
              <w:ind w:firstLine="567"/>
              <w:jc w:val="both"/>
              <w:rPr>
                <w:b/>
                <w:bCs/>
                <w:i/>
                <w:iCs/>
              </w:rPr>
            </w:pPr>
          </w:p>
        </w:tc>
      </w:tr>
    </w:tbl>
    <w:p w14:paraId="5BC38F0F" w14:textId="77777777" w:rsidR="00EC5D51" w:rsidRPr="00D25A7C" w:rsidRDefault="00EC5D51" w:rsidP="00EC5D51">
      <w:pPr>
        <w:spacing w:beforeLines="40" w:before="96" w:afterLines="40" w:after="96" w:line="264" w:lineRule="auto"/>
        <w:ind w:firstLine="567"/>
        <w:jc w:val="both"/>
        <w:rPr>
          <w:iCs/>
        </w:rPr>
      </w:pPr>
      <w:r w:rsidRPr="00D25A7C">
        <w:rPr>
          <w:i/>
          <w:lang w:val="en-US"/>
        </w:rPr>
        <w:lastRenderedPageBreak/>
        <w:t>The trade balance of goods</w:t>
      </w:r>
      <w:r w:rsidRPr="00D25A7C">
        <w:rPr>
          <w:iCs/>
          <w:lang w:val="en-US"/>
        </w:rPr>
        <w:t xml:space="preserve"> in </w:t>
      </w:r>
      <w:r>
        <w:rPr>
          <w:iCs/>
          <w:lang w:val="en-US"/>
        </w:rPr>
        <w:t>June</w:t>
      </w:r>
      <w:r w:rsidRPr="00D25A7C">
        <w:rPr>
          <w:iCs/>
        </w:rPr>
        <w:t xml:space="preserve"> had a trade </w:t>
      </w:r>
      <w:r>
        <w:rPr>
          <w:iCs/>
        </w:rPr>
        <w:t>surplus</w:t>
      </w:r>
      <w:r w:rsidRPr="00D25A7C">
        <w:rPr>
          <w:iCs/>
        </w:rPr>
        <w:t xml:space="preserve"> of </w:t>
      </w:r>
      <w:r>
        <w:rPr>
          <w:iCs/>
        </w:rPr>
        <w:t xml:space="preserve">3.2 </w:t>
      </w:r>
      <w:r w:rsidRPr="00D25A7C">
        <w:rPr>
          <w:iCs/>
        </w:rPr>
        <w:t>billion USD</w:t>
      </w:r>
      <w:r w:rsidRPr="00D25A7C">
        <w:rPr>
          <w:vertAlign w:val="superscript"/>
        </w:rPr>
        <w:footnoteReference w:id="18"/>
      </w:r>
      <w:r w:rsidRPr="00D25A7C">
        <w:rPr>
          <w:iCs/>
        </w:rPr>
        <w:t xml:space="preserve">; the first </w:t>
      </w:r>
      <w:r>
        <w:rPr>
          <w:iCs/>
        </w:rPr>
        <w:t>six</w:t>
      </w:r>
      <w:r w:rsidRPr="00D25A7C">
        <w:rPr>
          <w:iCs/>
        </w:rPr>
        <w:t xml:space="preserve"> months of 2024 had a trade surplus of </w:t>
      </w:r>
      <w:r>
        <w:rPr>
          <w:iCs/>
        </w:rPr>
        <w:t>11.96</w:t>
      </w:r>
      <w:r w:rsidRPr="00D25A7C">
        <w:rPr>
          <w:iCs/>
        </w:rPr>
        <w:t xml:space="preserve"> billion USD; </w:t>
      </w:r>
      <w:r>
        <w:rPr>
          <w:iCs/>
        </w:rPr>
        <w:t>July</w:t>
      </w:r>
      <w:r w:rsidRPr="00D25A7C">
        <w:rPr>
          <w:iCs/>
        </w:rPr>
        <w:t xml:space="preserve"> was estimated to have a trade surplus of </w:t>
      </w:r>
      <w:r>
        <w:rPr>
          <w:iCs/>
        </w:rPr>
        <w:t>2.12</w:t>
      </w:r>
      <w:r w:rsidRPr="00D25A7C">
        <w:rPr>
          <w:iCs/>
        </w:rPr>
        <w:t xml:space="preserve"> billion USD. </w:t>
      </w:r>
      <w:proofErr w:type="gramStart"/>
      <w:r w:rsidRPr="00D25A7C">
        <w:rPr>
          <w:iCs/>
        </w:rPr>
        <w:t>Generally</w:t>
      </w:r>
      <w:proofErr w:type="gramEnd"/>
      <w:r w:rsidRPr="00D25A7C">
        <w:rPr>
          <w:iCs/>
        </w:rPr>
        <w:t xml:space="preserve"> in </w:t>
      </w:r>
      <w:r>
        <w:rPr>
          <w:iCs/>
        </w:rPr>
        <w:t>seven months</w:t>
      </w:r>
      <w:r w:rsidRPr="00D25A7C">
        <w:rPr>
          <w:iCs/>
        </w:rPr>
        <w:t xml:space="preserve"> of 2024, the trade balance of goods is estimated to have a trade surplus of </w:t>
      </w:r>
      <w:r>
        <w:rPr>
          <w:iCs/>
        </w:rPr>
        <w:t>14.08</w:t>
      </w:r>
      <w:r w:rsidRPr="00D25A7C">
        <w:rPr>
          <w:iCs/>
        </w:rPr>
        <w:t xml:space="preserve"> billion USD (in the same period last year, the trade surplus of 1</w:t>
      </w:r>
      <w:r>
        <w:rPr>
          <w:iCs/>
        </w:rPr>
        <w:t>6.5</w:t>
      </w:r>
      <w:r w:rsidRPr="00D25A7C">
        <w:rPr>
          <w:iCs/>
        </w:rPr>
        <w:t xml:space="preserve"> billion USD). Of which, the domestic economic sector has a trade deficit of 1</w:t>
      </w:r>
      <w:r>
        <w:rPr>
          <w:iCs/>
        </w:rPr>
        <w:t>4.92</w:t>
      </w:r>
      <w:r w:rsidRPr="00D25A7C">
        <w:rPr>
          <w:iCs/>
        </w:rPr>
        <w:t xml:space="preserve"> billion USD; the FDI sector (including crude oil) had a trade surplus of </w:t>
      </w:r>
      <w:r>
        <w:rPr>
          <w:iCs/>
        </w:rPr>
        <w:t>29</w:t>
      </w:r>
      <w:r w:rsidRPr="00D25A7C">
        <w:rPr>
          <w:iCs/>
        </w:rPr>
        <w:t xml:space="preserve"> billion USD.</w:t>
      </w:r>
    </w:p>
    <w:p w14:paraId="7FC431CE" w14:textId="77777777" w:rsidR="00EC5D51" w:rsidRPr="00BF0DCD" w:rsidRDefault="00EC5D51" w:rsidP="00EC5D51">
      <w:pPr>
        <w:tabs>
          <w:tab w:val="left" w:pos="900"/>
        </w:tabs>
        <w:spacing w:before="40" w:after="40" w:line="288" w:lineRule="auto"/>
        <w:ind w:firstLine="562"/>
        <w:jc w:val="both"/>
        <w:rPr>
          <w:rStyle w:val="Strong"/>
          <w:i/>
          <w:iCs/>
          <w:lang w:val="en-US"/>
        </w:rPr>
      </w:pPr>
      <w:r>
        <w:rPr>
          <w:rStyle w:val="Strong"/>
          <w:i/>
          <w:iCs/>
          <w:color w:val="000000" w:themeColor="text1"/>
          <w:lang w:val="de-DE"/>
        </w:rPr>
        <w:t>b</w:t>
      </w:r>
      <w:r w:rsidRPr="00BC5895">
        <w:rPr>
          <w:rStyle w:val="Strong"/>
          <w:i/>
          <w:iCs/>
          <w:color w:val="000000" w:themeColor="text1"/>
          <w:lang w:val="de-DE"/>
        </w:rPr>
        <w:t xml:space="preserve">) </w:t>
      </w:r>
      <w:r w:rsidRPr="00BF0DCD">
        <w:rPr>
          <w:rStyle w:val="Strong"/>
          <w:i/>
          <w:iCs/>
          <w:lang w:val="en-US"/>
        </w:rPr>
        <w:t>Export and import of goods</w:t>
      </w:r>
      <w:r w:rsidRPr="006F47C2">
        <w:rPr>
          <w:b/>
          <w:bCs/>
          <w:i/>
          <w:iCs/>
          <w:vertAlign w:val="superscript"/>
          <w:lang w:val="en-US"/>
        </w:rPr>
        <w:footnoteReference w:id="19"/>
      </w:r>
    </w:p>
    <w:p w14:paraId="24B7A885" w14:textId="77777777" w:rsidR="00EC5D51" w:rsidRPr="00405AE1" w:rsidRDefault="00EC5D51" w:rsidP="00EC5D51">
      <w:pPr>
        <w:tabs>
          <w:tab w:val="left" w:pos="900"/>
          <w:tab w:val="left" w:pos="9475"/>
        </w:tabs>
        <w:spacing w:before="120" w:after="120" w:line="288" w:lineRule="auto"/>
        <w:ind w:right="119" w:firstLine="567"/>
        <w:jc w:val="both"/>
        <w:rPr>
          <w:rFonts w:ascii="Times New Roman Italic" w:hAnsi="Times New Roman Italic"/>
          <w:i/>
          <w:lang w:val="es-NI"/>
        </w:rPr>
      </w:pPr>
      <w:r w:rsidRPr="00F351F4">
        <w:rPr>
          <w:rFonts w:ascii="Times New Roman Italic" w:hAnsi="Times New Roman Italic"/>
          <w:i/>
          <w:lang w:val="de-DE"/>
        </w:rPr>
        <w:t xml:space="preserve">Total </w:t>
      </w:r>
      <w:r>
        <w:rPr>
          <w:rFonts w:ascii="Times New Roman Italic" w:hAnsi="Times New Roman Italic"/>
          <w:i/>
          <w:lang w:val="de-DE"/>
        </w:rPr>
        <w:t>ex</w:t>
      </w:r>
      <w:r w:rsidRPr="00F351F4">
        <w:rPr>
          <w:rFonts w:ascii="Times New Roman Italic" w:hAnsi="Times New Roman Italic"/>
          <w:i/>
          <w:lang w:val="de-DE"/>
        </w:rPr>
        <w:t xml:space="preserve">port and </w:t>
      </w:r>
      <w:r>
        <w:rPr>
          <w:rFonts w:ascii="Times New Roman Italic" w:hAnsi="Times New Roman Italic"/>
          <w:i/>
          <w:lang w:val="de-DE"/>
        </w:rPr>
        <w:t>im</w:t>
      </w:r>
      <w:r w:rsidRPr="00F351F4">
        <w:rPr>
          <w:rFonts w:ascii="Times New Roman Italic" w:hAnsi="Times New Roman Italic"/>
          <w:i/>
          <w:lang w:val="de-DE"/>
        </w:rPr>
        <w:t>port turnover of goods</w:t>
      </w:r>
      <w:r w:rsidRPr="006F47C2">
        <w:rPr>
          <w:rFonts w:ascii="Times New Roman Italic" w:hAnsi="Times New Roman Italic"/>
          <w:i/>
          <w:iCs/>
          <w:vertAlign w:val="superscript"/>
          <w:lang w:val="en-US"/>
        </w:rPr>
        <w:footnoteReference w:id="20"/>
      </w:r>
      <w:r w:rsidRPr="00F351F4">
        <w:rPr>
          <w:rFonts w:ascii="Times New Roman Italic" w:hAnsi="Times New Roman Italic"/>
          <w:i/>
          <w:lang w:val="de-DE"/>
        </w:rPr>
        <w:t xml:space="preserve"> in </w:t>
      </w:r>
      <w:r>
        <w:rPr>
          <w:rFonts w:ascii="Times New Roman Italic" w:hAnsi="Times New Roman Italic"/>
          <w:i/>
          <w:lang w:val="de-DE"/>
        </w:rPr>
        <w:t>7/2024</w:t>
      </w:r>
      <w:r w:rsidRPr="00F351F4">
        <w:rPr>
          <w:rFonts w:ascii="Times New Roman Italic" w:hAnsi="Times New Roman Italic"/>
          <w:i/>
          <w:lang w:val="de-DE"/>
        </w:rPr>
        <w:t xml:space="preserve"> was estimated at </w:t>
      </w:r>
      <w:r>
        <w:rPr>
          <w:rFonts w:ascii="Times New Roman Italic" w:hAnsi="Times New Roman Italic"/>
          <w:i/>
          <w:lang w:val="de-DE"/>
        </w:rPr>
        <w:t>69.72</w:t>
      </w:r>
      <w:r w:rsidRPr="00F351F4">
        <w:rPr>
          <w:rFonts w:ascii="Times New Roman Italic" w:hAnsi="Times New Roman Italic"/>
          <w:i/>
          <w:lang w:val="de-DE"/>
        </w:rPr>
        <w:t xml:space="preserve"> billion USD,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8.7</w:t>
      </w:r>
      <w:r w:rsidRPr="00F351F4">
        <w:rPr>
          <w:rFonts w:ascii="Times New Roman Italic" w:hAnsi="Times New Roman Italic"/>
          <w:i/>
          <w:lang w:val="de-DE"/>
        </w:rPr>
        <w:t xml:space="preserve">% over the previous month and </w:t>
      </w:r>
      <w:r>
        <w:rPr>
          <w:rFonts w:ascii="Times New Roman Italic" w:hAnsi="Times New Roman Italic"/>
          <w:i/>
          <w:lang w:val="de-DE"/>
        </w:rPr>
        <w:t>up</w:t>
      </w:r>
      <w:r w:rsidRPr="00F351F4">
        <w:rPr>
          <w:rFonts w:ascii="Times New Roman Italic" w:hAnsi="Times New Roman Italic"/>
          <w:i/>
          <w:lang w:val="de-DE"/>
        </w:rPr>
        <w:t xml:space="preserve"> </w:t>
      </w:r>
      <w:r>
        <w:rPr>
          <w:rFonts w:ascii="Times New Roman Italic" w:hAnsi="Times New Roman Italic"/>
          <w:i/>
          <w:lang w:val="de-DE"/>
        </w:rPr>
        <w:t>21.8</w:t>
      </w:r>
      <w:r w:rsidRPr="00F351F4">
        <w:rPr>
          <w:rFonts w:ascii="Times New Roman Italic" w:hAnsi="Times New Roman Italic"/>
          <w:i/>
          <w:lang w:val="de-DE"/>
        </w:rPr>
        <w:t>% over the same period last year.</w:t>
      </w:r>
      <w:r w:rsidRPr="00CB66F1">
        <w:rPr>
          <w:rFonts w:ascii="Times New Roman Italic" w:hAnsi="Times New Roman Italic"/>
          <w:i/>
          <w:lang w:val="de-DE"/>
        </w:rPr>
        <w:t xml:space="preserve"> </w:t>
      </w:r>
      <w:r w:rsidRPr="00D25A7C">
        <w:rPr>
          <w:rFonts w:ascii="Times New Roman Italic" w:hAnsi="Times New Roman Italic"/>
          <w:i/>
          <w:lang w:val="de-DE"/>
        </w:rPr>
        <w:t xml:space="preserve">Generally, in </w:t>
      </w:r>
      <w:r>
        <w:rPr>
          <w:rFonts w:ascii="Times New Roman Italic" w:hAnsi="Times New Roman Italic"/>
          <w:i/>
          <w:lang w:val="de-DE"/>
        </w:rPr>
        <w:t>seven months</w:t>
      </w:r>
      <w:r w:rsidRPr="00D25A7C">
        <w:rPr>
          <w:rFonts w:ascii="Times New Roman Italic" w:hAnsi="Times New Roman Italic"/>
          <w:i/>
          <w:lang w:val="de-DE"/>
        </w:rPr>
        <w:t xml:space="preserve"> of 2024, the total export and import turnover of goods reached </w:t>
      </w:r>
      <w:r>
        <w:rPr>
          <w:rFonts w:ascii="Times New Roman Italic" w:hAnsi="Times New Roman Italic"/>
          <w:i/>
          <w:lang w:val="de-DE"/>
        </w:rPr>
        <w:t>439.88</w:t>
      </w:r>
      <w:r w:rsidRPr="00D25A7C">
        <w:rPr>
          <w:rFonts w:ascii="Times New Roman Italic" w:hAnsi="Times New Roman Italic"/>
          <w:i/>
          <w:lang w:val="de-DE"/>
        </w:rPr>
        <w:t xml:space="preserve"> billion USD, up 1</w:t>
      </w:r>
      <w:r>
        <w:rPr>
          <w:rFonts w:ascii="Times New Roman Italic" w:hAnsi="Times New Roman Italic"/>
          <w:i/>
          <w:lang w:val="de-DE"/>
        </w:rPr>
        <w:t>7.1</w:t>
      </w:r>
      <w:r w:rsidRPr="00D25A7C">
        <w:rPr>
          <w:rFonts w:ascii="Times New Roman Italic" w:hAnsi="Times New Roman Italic"/>
          <w:i/>
          <w:lang w:val="de-DE"/>
        </w:rPr>
        <w:t>% over the same period last year, of which exports increased by 1</w:t>
      </w:r>
      <w:r>
        <w:rPr>
          <w:rFonts w:ascii="Times New Roman Italic" w:hAnsi="Times New Roman Italic"/>
          <w:i/>
          <w:lang w:val="de-DE"/>
        </w:rPr>
        <w:t>5.7</w:t>
      </w:r>
      <w:r w:rsidRPr="00D25A7C">
        <w:rPr>
          <w:rFonts w:ascii="Times New Roman Italic" w:hAnsi="Times New Roman Italic"/>
          <w:i/>
          <w:lang w:val="de-DE"/>
        </w:rPr>
        <w:t>%; imports increased by 1</w:t>
      </w:r>
      <w:r>
        <w:rPr>
          <w:rFonts w:ascii="Times New Roman Italic" w:hAnsi="Times New Roman Italic"/>
          <w:i/>
          <w:lang w:val="de-DE"/>
        </w:rPr>
        <w:t>8.5</w:t>
      </w:r>
      <w:r w:rsidRPr="00D25A7C">
        <w:rPr>
          <w:rFonts w:ascii="Times New Roman Italic" w:hAnsi="Times New Roman Italic"/>
          <w:i/>
          <w:lang w:val="de-DE"/>
        </w:rPr>
        <w:t>%</w:t>
      </w:r>
      <w:r>
        <w:rPr>
          <w:rStyle w:val="FootnoteReference"/>
          <w:rFonts w:ascii="Times New Roman Italic" w:hAnsi="Times New Roman Italic"/>
          <w:i/>
          <w:lang w:val="de-DE"/>
        </w:rPr>
        <w:footnoteReference w:id="21"/>
      </w:r>
      <w:r w:rsidRPr="00D25A7C">
        <w:rPr>
          <w:rFonts w:ascii="Times New Roman Italic" w:hAnsi="Times New Roman Italic"/>
          <w:i/>
          <w:lang w:val="de-DE"/>
        </w:rPr>
        <w:t xml:space="preserve">. The trade balance of goods had a surplus of </w:t>
      </w:r>
      <w:r>
        <w:rPr>
          <w:rFonts w:ascii="Times New Roman Italic" w:hAnsi="Times New Roman Italic"/>
          <w:i/>
          <w:lang w:val="de-DE"/>
        </w:rPr>
        <w:t>14.08</w:t>
      </w:r>
      <w:r w:rsidRPr="00D25A7C">
        <w:rPr>
          <w:rFonts w:ascii="Times New Roman Italic" w:hAnsi="Times New Roman Italic"/>
          <w:i/>
          <w:lang w:val="de-DE"/>
        </w:rPr>
        <w:t xml:space="preserve"> billion USD.</w:t>
      </w:r>
      <w:r>
        <w:rPr>
          <w:rFonts w:ascii="Times New Roman Italic" w:hAnsi="Times New Roman Italic"/>
          <w:i/>
          <w:lang w:val="es-NI"/>
        </w:rPr>
        <w:t xml:space="preserve"> </w:t>
      </w:r>
    </w:p>
    <w:p w14:paraId="34C8B362" w14:textId="77777777" w:rsidR="00EC5D51" w:rsidRDefault="00EC5D51" w:rsidP="00EC5D51">
      <w:pPr>
        <w:tabs>
          <w:tab w:val="left" w:pos="900"/>
          <w:tab w:val="left" w:pos="9475"/>
        </w:tabs>
        <w:spacing w:before="240" w:after="240" w:line="288" w:lineRule="auto"/>
        <w:jc w:val="center"/>
        <w:rPr>
          <w:rFonts w:ascii="Arial" w:hAnsi="Arial" w:cs="Arial"/>
          <w:b/>
          <w:bCs/>
          <w:sz w:val="24"/>
          <w:szCs w:val="24"/>
          <w:lang w:val="es-NI"/>
        </w:rPr>
      </w:pPr>
      <w:r w:rsidRPr="00D25A7C">
        <w:rPr>
          <w:rFonts w:ascii="Arial" w:hAnsi="Arial" w:cs="Arial"/>
          <w:b/>
          <w:bCs/>
          <w:sz w:val="24"/>
          <w:szCs w:val="24"/>
          <w:lang w:val="es-NI"/>
        </w:rPr>
        <w:t>Figure 1</w:t>
      </w:r>
      <w:r>
        <w:rPr>
          <w:rFonts w:ascii="Arial" w:hAnsi="Arial" w:cs="Arial"/>
          <w:b/>
          <w:bCs/>
          <w:sz w:val="24"/>
          <w:szCs w:val="24"/>
          <w:lang w:val="es-NI"/>
        </w:rPr>
        <w:t>1</w:t>
      </w:r>
      <w:r w:rsidRPr="00D25A7C">
        <w:rPr>
          <w:rFonts w:ascii="Arial" w:hAnsi="Arial" w:cs="Arial"/>
          <w:b/>
          <w:bCs/>
          <w:sz w:val="24"/>
          <w:szCs w:val="24"/>
          <w:lang w:val="es-NI"/>
        </w:rPr>
        <w:t xml:space="preserve">. Import and export of goods in </w:t>
      </w:r>
      <w:r>
        <w:rPr>
          <w:rFonts w:ascii="Arial" w:hAnsi="Arial" w:cs="Arial"/>
          <w:b/>
          <w:bCs/>
          <w:sz w:val="24"/>
          <w:szCs w:val="24"/>
          <w:lang w:val="es-NI"/>
        </w:rPr>
        <w:t>7 months</w:t>
      </w:r>
      <w:r w:rsidRPr="00D25A7C">
        <w:rPr>
          <w:rFonts w:ascii="Arial" w:hAnsi="Arial" w:cs="Arial"/>
          <w:b/>
          <w:bCs/>
          <w:sz w:val="24"/>
          <w:szCs w:val="24"/>
          <w:lang w:val="es-NI"/>
        </w:rPr>
        <w:t xml:space="preserve"> of 2024</w:t>
      </w:r>
    </w:p>
    <w:p w14:paraId="129691DE" w14:textId="77777777" w:rsidR="00EC5D51" w:rsidRPr="00D25A7C" w:rsidRDefault="00EC5D51" w:rsidP="00EC5D51">
      <w:pPr>
        <w:tabs>
          <w:tab w:val="left" w:pos="900"/>
          <w:tab w:val="left" w:pos="9475"/>
        </w:tabs>
        <w:spacing w:before="240" w:after="240" w:line="288" w:lineRule="auto"/>
        <w:jc w:val="center"/>
        <w:rPr>
          <w:iCs/>
          <w:spacing w:val="2"/>
          <w:lang w:val="es-NI"/>
        </w:rPr>
      </w:pPr>
      <w:r>
        <w:rPr>
          <w:noProof/>
        </w:rPr>
        <w:drawing>
          <wp:inline distT="0" distB="0" distL="0" distR="0" wp14:anchorId="075C77C0" wp14:editId="016AC4B7">
            <wp:extent cx="5275044" cy="1719618"/>
            <wp:effectExtent l="0" t="0" r="1905" b="0"/>
            <wp:docPr id="7303390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2582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282557" cy="1722067"/>
                    </a:xfrm>
                    <a:prstGeom prst="rect">
                      <a:avLst/>
                    </a:prstGeom>
                  </pic:spPr>
                </pic:pic>
              </a:graphicData>
            </a:graphic>
          </wp:inline>
        </w:drawing>
      </w:r>
    </w:p>
    <w:p w14:paraId="3566AE44" w14:textId="77777777" w:rsidR="00EC5D51" w:rsidRPr="008816F9" w:rsidRDefault="00EC5D51" w:rsidP="00EC5D51">
      <w:pPr>
        <w:tabs>
          <w:tab w:val="left" w:pos="900"/>
          <w:tab w:val="left" w:pos="9475"/>
        </w:tabs>
        <w:spacing w:before="40" w:after="40" w:line="278" w:lineRule="auto"/>
        <w:ind w:right="119" w:firstLine="567"/>
        <w:jc w:val="both"/>
        <w:rPr>
          <w:rStyle w:val="Strong"/>
          <w:i/>
          <w:iCs/>
          <w:color w:val="000000" w:themeColor="text1"/>
          <w:sz w:val="2"/>
          <w:szCs w:val="4"/>
          <w:lang w:val="de-DE"/>
        </w:rPr>
      </w:pPr>
    </w:p>
    <w:p w14:paraId="3F383E85" w14:textId="77777777" w:rsidR="00EC5D51" w:rsidRPr="00D64BE4" w:rsidRDefault="00EC5D51" w:rsidP="00EC5D51">
      <w:pPr>
        <w:tabs>
          <w:tab w:val="left" w:pos="900"/>
        </w:tabs>
        <w:spacing w:after="40" w:line="288" w:lineRule="auto"/>
        <w:ind w:firstLine="561"/>
        <w:jc w:val="both"/>
        <w:rPr>
          <w:b/>
          <w:bCs/>
          <w:i/>
          <w:iCs/>
          <w:lang w:val="en-US"/>
        </w:rPr>
      </w:pPr>
      <w:r w:rsidRPr="00D64BE4">
        <w:rPr>
          <w:b/>
          <w:bCs/>
          <w:i/>
          <w:iCs/>
          <w:lang w:val="en-US"/>
        </w:rPr>
        <w:t>Export of goods</w:t>
      </w:r>
    </w:p>
    <w:p w14:paraId="6BC349A8" w14:textId="77777777" w:rsidR="00EC5D51" w:rsidRPr="00D25A7C" w:rsidRDefault="00EC5D51" w:rsidP="00EC5D51">
      <w:pPr>
        <w:tabs>
          <w:tab w:val="num" w:pos="0"/>
          <w:tab w:val="left" w:pos="9475"/>
        </w:tabs>
        <w:spacing w:beforeLines="40" w:before="96" w:afterLines="40" w:after="96" w:line="288" w:lineRule="auto"/>
        <w:ind w:right="6" w:firstLine="567"/>
        <w:jc w:val="both"/>
        <w:rPr>
          <w:bCs/>
          <w:lang w:val="de-DE"/>
        </w:rPr>
      </w:pPr>
      <w:r w:rsidRPr="00D25A7C">
        <w:rPr>
          <w:bCs/>
          <w:lang w:val="en-US"/>
        </w:rPr>
        <w:t>Preliminary export turnover of goods in</w:t>
      </w:r>
      <w:r w:rsidRPr="00D25A7C">
        <w:rPr>
          <w:bCs/>
          <w:lang w:val="de-DE"/>
        </w:rPr>
        <w:t xml:space="preserve"> </w:t>
      </w:r>
      <w:r>
        <w:rPr>
          <w:bCs/>
          <w:lang w:val="de-DE"/>
        </w:rPr>
        <w:t>6/2024</w:t>
      </w:r>
      <w:r w:rsidRPr="00D25A7C">
        <w:rPr>
          <w:bCs/>
          <w:lang w:val="de-DE"/>
        </w:rPr>
        <w:t xml:space="preserve"> reached USD 3</w:t>
      </w:r>
      <w:r>
        <w:rPr>
          <w:bCs/>
          <w:lang w:val="de-DE"/>
        </w:rPr>
        <w:t>3.66</w:t>
      </w:r>
      <w:r w:rsidRPr="00D25A7C">
        <w:rPr>
          <w:bCs/>
          <w:lang w:val="de-DE"/>
        </w:rPr>
        <w:t xml:space="preserve"> billion, </w:t>
      </w:r>
      <w:r>
        <w:rPr>
          <w:bCs/>
          <w:lang w:val="de-DE"/>
        </w:rPr>
        <w:t>568</w:t>
      </w:r>
      <w:r w:rsidRPr="00D25A7C">
        <w:rPr>
          <w:bCs/>
          <w:lang w:val="de-DE"/>
        </w:rPr>
        <w:t xml:space="preserve"> million USD </w:t>
      </w:r>
      <w:r>
        <w:rPr>
          <w:bCs/>
          <w:lang w:val="de-DE"/>
        </w:rPr>
        <w:t>high</w:t>
      </w:r>
      <w:r w:rsidRPr="00D25A7C">
        <w:rPr>
          <w:bCs/>
          <w:lang w:val="de-DE"/>
        </w:rPr>
        <w:t xml:space="preserve">er than the estimated </w:t>
      </w:r>
      <w:r w:rsidRPr="00D25A7C">
        <w:rPr>
          <w:bCs/>
          <w:lang w:val="en-US"/>
        </w:rPr>
        <w:t>figure</w:t>
      </w:r>
      <w:r w:rsidRPr="00D25A7C">
        <w:rPr>
          <w:bCs/>
          <w:lang w:val="de-DE"/>
        </w:rPr>
        <w:t>.</w:t>
      </w:r>
    </w:p>
    <w:p w14:paraId="3DEDADF7" w14:textId="77777777" w:rsidR="00EC5D51" w:rsidRPr="00D25A7C" w:rsidRDefault="00EC5D51" w:rsidP="00EC5D51">
      <w:pPr>
        <w:tabs>
          <w:tab w:val="num" w:pos="0"/>
          <w:tab w:val="left" w:pos="9475"/>
        </w:tabs>
        <w:spacing w:beforeLines="40" w:before="96" w:afterLines="40" w:after="96" w:line="288" w:lineRule="auto"/>
        <w:ind w:right="6" w:firstLine="567"/>
        <w:jc w:val="both"/>
        <w:rPr>
          <w:bCs/>
          <w:lang w:val="en-US"/>
        </w:rPr>
      </w:pPr>
      <w:r w:rsidRPr="00D25A7C">
        <w:rPr>
          <w:bCs/>
          <w:i/>
          <w:iCs/>
          <w:lang w:val="en-US"/>
        </w:rPr>
        <w:t xml:space="preserve">Export turnover of goods in </w:t>
      </w:r>
      <w:r>
        <w:rPr>
          <w:bCs/>
          <w:i/>
          <w:iCs/>
          <w:lang w:val="en-US"/>
        </w:rPr>
        <w:t>7/2024</w:t>
      </w:r>
      <w:r w:rsidRPr="00D25A7C">
        <w:rPr>
          <w:bCs/>
          <w:i/>
          <w:iCs/>
          <w:lang w:val="en-US"/>
        </w:rPr>
        <w:t xml:space="preserve"> </w:t>
      </w:r>
      <w:r w:rsidRPr="00D25A7C">
        <w:rPr>
          <w:bCs/>
          <w:lang w:val="de-DE"/>
        </w:rPr>
        <w:t>was estimated at 3</w:t>
      </w:r>
      <w:r>
        <w:rPr>
          <w:bCs/>
          <w:lang w:val="de-DE"/>
        </w:rPr>
        <w:t>5.92</w:t>
      </w:r>
      <w:r w:rsidRPr="00D25A7C">
        <w:rPr>
          <w:bCs/>
          <w:lang w:val="de-DE"/>
        </w:rPr>
        <w:t xml:space="preserve"> billion USD, up </w:t>
      </w:r>
      <w:r>
        <w:rPr>
          <w:bCs/>
          <w:lang w:val="de-DE"/>
        </w:rPr>
        <w:t>6.7</w:t>
      </w:r>
      <w:r w:rsidRPr="00D25A7C">
        <w:rPr>
          <w:bCs/>
          <w:lang w:val="de-DE"/>
        </w:rPr>
        <w:t xml:space="preserve">% over the previous month. </w:t>
      </w:r>
      <w:r w:rsidRPr="00D25A7C">
        <w:rPr>
          <w:bCs/>
          <w:lang w:val="en-US"/>
        </w:rPr>
        <w:t>Of which, the domestic economic sector gained 9.</w:t>
      </w:r>
      <w:r>
        <w:rPr>
          <w:bCs/>
          <w:lang w:val="en-US"/>
        </w:rPr>
        <w:t>87</w:t>
      </w:r>
      <w:r w:rsidRPr="00D25A7C">
        <w:rPr>
          <w:bCs/>
          <w:lang w:val="en-US"/>
        </w:rPr>
        <w:t xml:space="preserve"> billion USD, increased by </w:t>
      </w:r>
      <w:r>
        <w:rPr>
          <w:bCs/>
          <w:lang w:val="en-US"/>
        </w:rPr>
        <w:t>9.8</w:t>
      </w:r>
      <w:r w:rsidRPr="00D25A7C">
        <w:rPr>
          <w:bCs/>
          <w:lang w:val="en-US"/>
        </w:rPr>
        <w:t>%; the FDI sector (including crude oil) reached 2</w:t>
      </w:r>
      <w:r>
        <w:rPr>
          <w:bCs/>
          <w:lang w:val="en-US"/>
        </w:rPr>
        <w:t>6.05</w:t>
      </w:r>
      <w:r w:rsidRPr="00D25A7C">
        <w:rPr>
          <w:bCs/>
          <w:lang w:val="en-US"/>
        </w:rPr>
        <w:t xml:space="preserve"> billion USD, increased by </w:t>
      </w:r>
      <w:r>
        <w:rPr>
          <w:bCs/>
          <w:lang w:val="en-US"/>
        </w:rPr>
        <w:t>5.6</w:t>
      </w:r>
      <w:r w:rsidRPr="00D25A7C">
        <w:rPr>
          <w:bCs/>
          <w:lang w:val="en-US"/>
        </w:rPr>
        <w:t xml:space="preserve">%. Compared to the same period last </w:t>
      </w:r>
      <w:r w:rsidRPr="00D25A7C">
        <w:rPr>
          <w:bCs/>
          <w:lang w:val="en-US"/>
        </w:rPr>
        <w:lastRenderedPageBreak/>
        <w:t xml:space="preserve">year, export turnover of goods in </w:t>
      </w:r>
      <w:r>
        <w:rPr>
          <w:bCs/>
          <w:lang w:val="en-US"/>
        </w:rPr>
        <w:t>July</w:t>
      </w:r>
      <w:r w:rsidRPr="00D25A7C">
        <w:rPr>
          <w:bCs/>
          <w:lang w:val="en-US"/>
        </w:rPr>
        <w:t xml:space="preserve"> increased by 1</w:t>
      </w:r>
      <w:r>
        <w:rPr>
          <w:bCs/>
          <w:lang w:val="en-US"/>
        </w:rPr>
        <w:t>9.1</w:t>
      </w:r>
      <w:r w:rsidRPr="00D25A7C">
        <w:rPr>
          <w:bCs/>
          <w:lang w:val="en-US"/>
        </w:rPr>
        <w:t xml:space="preserve">%, of which the domestic economic sector increased by </w:t>
      </w:r>
      <w:r>
        <w:rPr>
          <w:bCs/>
          <w:lang w:val="en-US"/>
        </w:rPr>
        <w:t>25.9</w:t>
      </w:r>
      <w:r w:rsidRPr="00D25A7C">
        <w:rPr>
          <w:bCs/>
          <w:lang w:val="en-US"/>
        </w:rPr>
        <w:t xml:space="preserve">%, the FDI sector (including crude oil) increased by </w:t>
      </w:r>
      <w:r>
        <w:rPr>
          <w:bCs/>
          <w:lang w:val="en-US"/>
        </w:rPr>
        <w:t>16.7</w:t>
      </w:r>
      <w:r w:rsidRPr="00D25A7C">
        <w:rPr>
          <w:bCs/>
          <w:lang w:val="en-US"/>
        </w:rPr>
        <w:t>%.</w:t>
      </w:r>
    </w:p>
    <w:p w14:paraId="6237A0FD" w14:textId="77777777" w:rsidR="00EC5D51" w:rsidRPr="00D25A7C" w:rsidRDefault="00EC5D51" w:rsidP="00EC5D51">
      <w:pPr>
        <w:tabs>
          <w:tab w:val="num" w:pos="0"/>
          <w:tab w:val="left" w:pos="9475"/>
        </w:tabs>
        <w:spacing w:beforeLines="40" w:before="96" w:afterLines="40" w:after="96" w:line="288" w:lineRule="auto"/>
        <w:ind w:right="6" w:firstLine="567"/>
        <w:jc w:val="both"/>
        <w:rPr>
          <w:iCs/>
          <w:lang w:val="de-DE"/>
        </w:rPr>
      </w:pPr>
      <w:proofErr w:type="gramStart"/>
      <w:r w:rsidRPr="00D25A7C">
        <w:rPr>
          <w:i/>
          <w:iCs/>
          <w:lang w:val="en-US"/>
        </w:rPr>
        <w:t>Generally</w:t>
      </w:r>
      <w:proofErr w:type="gramEnd"/>
      <w:r w:rsidRPr="00D25A7C">
        <w:rPr>
          <w:i/>
          <w:iCs/>
          <w:lang w:val="en-US"/>
        </w:rPr>
        <w:t xml:space="preserve"> in</w:t>
      </w:r>
      <w:r w:rsidRPr="00D25A7C">
        <w:rPr>
          <w:i/>
          <w:iCs/>
          <w:lang w:val="de-DE"/>
        </w:rPr>
        <w:t xml:space="preserve"> </w:t>
      </w:r>
      <w:r>
        <w:rPr>
          <w:i/>
          <w:iCs/>
          <w:lang w:val="de-DE"/>
        </w:rPr>
        <w:t>seven months</w:t>
      </w:r>
      <w:r w:rsidRPr="00D25A7C">
        <w:rPr>
          <w:i/>
          <w:iCs/>
          <w:lang w:val="de-DE"/>
        </w:rPr>
        <w:t xml:space="preserve"> of 2024</w:t>
      </w:r>
      <w:r w:rsidRPr="00D25A7C">
        <w:rPr>
          <w:iCs/>
          <w:lang w:val="de-DE"/>
        </w:rPr>
        <w:t xml:space="preserve">, </w:t>
      </w:r>
      <w:r w:rsidRPr="00D25A7C">
        <w:rPr>
          <w:iCs/>
          <w:lang w:val="en-US"/>
        </w:rPr>
        <w:t xml:space="preserve">the export turnover was estimated at </w:t>
      </w:r>
      <w:r>
        <w:rPr>
          <w:iCs/>
          <w:lang w:val="en-US"/>
        </w:rPr>
        <w:t>226.98</w:t>
      </w:r>
      <w:r w:rsidRPr="00D25A7C">
        <w:rPr>
          <w:iCs/>
          <w:lang w:val="en-US"/>
        </w:rPr>
        <w:t xml:space="preserve"> billion</w:t>
      </w:r>
      <w:r w:rsidRPr="00D25A7C">
        <w:rPr>
          <w:bCs/>
          <w:iCs/>
          <w:lang w:val="en-US"/>
        </w:rPr>
        <w:t xml:space="preserve"> USD</w:t>
      </w:r>
      <w:r w:rsidRPr="00D25A7C">
        <w:rPr>
          <w:iCs/>
          <w:lang w:val="en-US"/>
        </w:rPr>
        <w:t>, increased by 1</w:t>
      </w:r>
      <w:r>
        <w:rPr>
          <w:iCs/>
          <w:lang w:val="en-US"/>
        </w:rPr>
        <w:t>5.7</w:t>
      </w:r>
      <w:r w:rsidRPr="00D25A7C">
        <w:rPr>
          <w:iCs/>
          <w:lang w:val="en-US"/>
        </w:rPr>
        <w:t xml:space="preserve">% over </w:t>
      </w:r>
      <w:r w:rsidRPr="00D25A7C">
        <w:rPr>
          <w:bCs/>
          <w:iCs/>
          <w:lang w:val="en-US"/>
        </w:rPr>
        <w:t>the same period last year</w:t>
      </w:r>
      <w:r w:rsidRPr="00D25A7C">
        <w:rPr>
          <w:iCs/>
          <w:lang w:val="en-US"/>
        </w:rPr>
        <w:t xml:space="preserve">. Of which, the domestic economic sector </w:t>
      </w:r>
      <w:r w:rsidRPr="00D25A7C">
        <w:rPr>
          <w:bCs/>
          <w:iCs/>
          <w:lang w:val="en-US"/>
        </w:rPr>
        <w:t>was</w:t>
      </w:r>
      <w:r w:rsidRPr="00D25A7C">
        <w:rPr>
          <w:iCs/>
          <w:lang w:val="en-US"/>
        </w:rPr>
        <w:t xml:space="preserve"> </w:t>
      </w:r>
      <w:r>
        <w:rPr>
          <w:iCs/>
          <w:lang w:val="en-US"/>
        </w:rPr>
        <w:t>63.08</w:t>
      </w:r>
      <w:r w:rsidRPr="00D25A7C">
        <w:rPr>
          <w:iCs/>
          <w:lang w:val="en-US"/>
        </w:rPr>
        <w:t xml:space="preserve"> billion USD, went up 2</w:t>
      </w:r>
      <w:r>
        <w:rPr>
          <w:iCs/>
          <w:lang w:val="en-US"/>
        </w:rPr>
        <w:t>1.1</w:t>
      </w:r>
      <w:r w:rsidRPr="00D25A7C">
        <w:rPr>
          <w:iCs/>
          <w:lang w:val="en-US"/>
        </w:rPr>
        <w:t>%, accounting for 2</w:t>
      </w:r>
      <w:r>
        <w:rPr>
          <w:iCs/>
          <w:lang w:val="en-US"/>
        </w:rPr>
        <w:t>7.8</w:t>
      </w:r>
      <w:r w:rsidRPr="00D25A7C">
        <w:rPr>
          <w:iCs/>
          <w:lang w:val="en-US"/>
        </w:rPr>
        <w:t>% of total export turnover; the FDI sector (including crude oil) attained 1</w:t>
      </w:r>
      <w:r>
        <w:rPr>
          <w:iCs/>
          <w:lang w:val="en-US"/>
        </w:rPr>
        <w:t>63.9</w:t>
      </w:r>
      <w:r w:rsidRPr="00D25A7C">
        <w:rPr>
          <w:iCs/>
          <w:lang w:val="en-US"/>
        </w:rPr>
        <w:t xml:space="preserve"> billion USD, increased by 13</w:t>
      </w:r>
      <w:r>
        <w:rPr>
          <w:iCs/>
          <w:lang w:val="en-US"/>
        </w:rPr>
        <w:t>.8</w:t>
      </w:r>
      <w:r w:rsidRPr="00D25A7C">
        <w:rPr>
          <w:iCs/>
          <w:lang w:val="en-US"/>
        </w:rPr>
        <w:t>%, sharing 7</w:t>
      </w:r>
      <w:r>
        <w:rPr>
          <w:iCs/>
          <w:lang w:val="en-US"/>
        </w:rPr>
        <w:t>2.2</w:t>
      </w:r>
      <w:r w:rsidRPr="00D25A7C">
        <w:rPr>
          <w:iCs/>
          <w:lang w:val="en-US"/>
        </w:rPr>
        <w:t>%.</w:t>
      </w:r>
      <w:r w:rsidRPr="00D25A7C">
        <w:rPr>
          <w:iCs/>
          <w:lang w:val="de-DE"/>
        </w:rPr>
        <w:t xml:space="preserve"> </w:t>
      </w:r>
    </w:p>
    <w:p w14:paraId="0B27F5F6" w14:textId="77777777" w:rsidR="00EC5D51" w:rsidRPr="00D25A7C" w:rsidRDefault="00EC5D51" w:rsidP="00EC5D51">
      <w:pPr>
        <w:tabs>
          <w:tab w:val="num" w:pos="0"/>
        </w:tabs>
        <w:spacing w:beforeLines="40" w:before="96" w:afterLines="40" w:after="96" w:line="288" w:lineRule="auto"/>
        <w:ind w:right="6" w:firstLine="567"/>
        <w:jc w:val="both"/>
        <w:rPr>
          <w:b/>
          <w:bCs/>
          <w:lang w:val="es-NI"/>
        </w:rPr>
      </w:pPr>
      <w:r w:rsidRPr="00D25A7C">
        <w:rPr>
          <w:i/>
          <w:iCs/>
          <w:lang w:val="de-DE"/>
        </w:rPr>
        <w:t xml:space="preserve">In </w:t>
      </w:r>
      <w:r>
        <w:rPr>
          <w:i/>
          <w:iCs/>
          <w:lang w:val="de-DE"/>
        </w:rPr>
        <w:t>seven months</w:t>
      </w:r>
      <w:r w:rsidRPr="00D25A7C">
        <w:rPr>
          <w:i/>
          <w:iCs/>
          <w:lang w:val="de-DE"/>
        </w:rPr>
        <w:t xml:space="preserve"> of 2024</w:t>
      </w:r>
      <w:r w:rsidRPr="00D25A7C">
        <w:rPr>
          <w:lang w:val="de-DE"/>
        </w:rPr>
        <w:t xml:space="preserve">, </w:t>
      </w:r>
      <w:r w:rsidRPr="00D25A7C">
        <w:rPr>
          <w:lang w:val="en-US"/>
        </w:rPr>
        <w:t xml:space="preserve">there were </w:t>
      </w:r>
      <w:r>
        <w:rPr>
          <w:lang w:val="en-US"/>
        </w:rPr>
        <w:t>30</w:t>
      </w:r>
      <w:r w:rsidRPr="00D25A7C">
        <w:rPr>
          <w:lang w:val="en-US"/>
        </w:rPr>
        <w:t xml:space="preserve"> products with export turnover of over 1 billion USD, contributing 9</w:t>
      </w:r>
      <w:r>
        <w:rPr>
          <w:lang w:val="en-US"/>
        </w:rPr>
        <w:t>1.9</w:t>
      </w:r>
      <w:r w:rsidRPr="00D25A7C">
        <w:rPr>
          <w:lang w:val="en-US"/>
        </w:rPr>
        <w:t>% to the total export turnover (</w:t>
      </w:r>
      <w:r>
        <w:rPr>
          <w:lang w:val="en-US"/>
        </w:rPr>
        <w:t>9</w:t>
      </w:r>
      <w:r w:rsidRPr="00D25A7C">
        <w:rPr>
          <w:lang w:val="en-US"/>
        </w:rPr>
        <w:t xml:space="preserve"> products with export turnover of over 5 billion USD, accounting for </w:t>
      </w:r>
      <w:r>
        <w:rPr>
          <w:lang w:val="en-US"/>
        </w:rPr>
        <w:t>70.8</w:t>
      </w:r>
      <w:r w:rsidRPr="00D25A7C">
        <w:rPr>
          <w:lang w:val="en-US"/>
        </w:rPr>
        <w:t>%).</w:t>
      </w:r>
      <w:r w:rsidRPr="00D25A7C">
        <w:rPr>
          <w:lang w:val="de-DE"/>
        </w:rPr>
        <w:t xml:space="preserve"> </w:t>
      </w:r>
    </w:p>
    <w:p w14:paraId="17138F00" w14:textId="77777777" w:rsidR="00EC5D51" w:rsidRPr="00D25A7C" w:rsidRDefault="00EC5D51" w:rsidP="00EC5D51">
      <w:pPr>
        <w:tabs>
          <w:tab w:val="num" w:pos="0"/>
          <w:tab w:val="left" w:pos="9475"/>
        </w:tabs>
        <w:spacing w:beforeLines="40" w:before="96" w:afterLines="40" w:after="96" w:line="264" w:lineRule="auto"/>
        <w:ind w:right="119"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4</w:t>
      </w:r>
      <w:r w:rsidRPr="00D25A7C">
        <w:rPr>
          <w:rFonts w:ascii="Arial" w:hAnsi="Arial" w:cs="Arial"/>
          <w:b/>
          <w:sz w:val="24"/>
          <w:szCs w:val="20"/>
          <w:lang w:val="pl-PL"/>
        </w:rPr>
        <w:t xml:space="preserve">. Value of some export products in </w:t>
      </w:r>
      <w:r>
        <w:rPr>
          <w:rFonts w:ascii="Arial" w:hAnsi="Arial" w:cs="Arial"/>
          <w:b/>
          <w:sz w:val="24"/>
          <w:szCs w:val="20"/>
          <w:lang w:val="pl-PL"/>
        </w:rPr>
        <w:t>7 months</w:t>
      </w:r>
      <w:r w:rsidRPr="00D25A7C">
        <w:rPr>
          <w:rFonts w:ascii="Arial" w:hAnsi="Arial" w:cs="Arial"/>
          <w:b/>
          <w:sz w:val="24"/>
          <w:szCs w:val="20"/>
          <w:lang w:val="pl-PL"/>
        </w:rPr>
        <w:t xml:space="preserve"> of 2024</w:t>
      </w:r>
    </w:p>
    <w:tbl>
      <w:tblPr>
        <w:tblStyle w:val="TableGrid1"/>
        <w:tblW w:w="9711"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92"/>
        <w:gridCol w:w="1657"/>
        <w:gridCol w:w="3162"/>
      </w:tblGrid>
      <w:tr w:rsidR="00EC5D51" w:rsidRPr="00D25A7C" w14:paraId="73622056" w14:textId="77777777" w:rsidTr="00CA23A3">
        <w:trPr>
          <w:trHeight w:val="781"/>
        </w:trPr>
        <w:tc>
          <w:tcPr>
            <w:tcW w:w="4892" w:type="dxa"/>
          </w:tcPr>
          <w:p w14:paraId="6461A20E" w14:textId="77777777" w:rsidR="00EC5D51" w:rsidRPr="00D25A7C" w:rsidRDefault="00EC5D51" w:rsidP="00CA23A3">
            <w:pPr>
              <w:tabs>
                <w:tab w:val="num" w:pos="0"/>
                <w:tab w:val="left" w:pos="9475"/>
              </w:tabs>
              <w:spacing w:before="40" w:after="40" w:line="288" w:lineRule="auto"/>
              <w:ind w:right="119"/>
              <w:jc w:val="right"/>
              <w:rPr>
                <w:rFonts w:ascii="Arial" w:hAnsi="Arial" w:cs="Arial"/>
                <w:b/>
                <w:bCs/>
                <w:i/>
                <w:iCs/>
                <w:sz w:val="20"/>
                <w:szCs w:val="20"/>
              </w:rPr>
            </w:pPr>
          </w:p>
        </w:tc>
        <w:tc>
          <w:tcPr>
            <w:tcW w:w="1657" w:type="dxa"/>
            <w:tcBorders>
              <w:top w:val="single" w:sz="4" w:space="0" w:color="auto"/>
              <w:bottom w:val="single" w:sz="4" w:space="0" w:color="auto"/>
            </w:tcBorders>
          </w:tcPr>
          <w:p w14:paraId="1092CFA0" w14:textId="77777777" w:rsidR="00EC5D51" w:rsidRPr="00D25A7C" w:rsidRDefault="00EC5D51" w:rsidP="00CA23A3">
            <w:pPr>
              <w:spacing w:before="40" w:after="40" w:line="288" w:lineRule="auto"/>
              <w:jc w:val="center"/>
              <w:rPr>
                <w:rFonts w:ascii="Arial" w:hAnsi="Arial" w:cs="Arial"/>
                <w:color w:val="000000"/>
                <w:sz w:val="20"/>
                <w:szCs w:val="20"/>
              </w:rPr>
            </w:pPr>
            <w:r w:rsidRPr="00D25A7C">
              <w:rPr>
                <w:rFonts w:ascii="Arial" w:hAnsi="Arial" w:cs="Arial"/>
                <w:color w:val="000000"/>
                <w:sz w:val="20"/>
                <w:szCs w:val="20"/>
                <w:lang w:val="en-US"/>
              </w:rPr>
              <w:t>Estimate</w:t>
            </w:r>
          </w:p>
          <w:p w14:paraId="6B33ED1D" w14:textId="77777777" w:rsidR="00EC5D51" w:rsidRPr="00D25A7C" w:rsidRDefault="00EC5D51" w:rsidP="00CA23A3">
            <w:pPr>
              <w:spacing w:before="40" w:after="40" w:line="288" w:lineRule="auto"/>
              <w:jc w:val="center"/>
              <w:rPr>
                <w:rFonts w:ascii="Arial" w:hAnsi="Arial" w:cs="Arial"/>
                <w:b/>
                <w:bCs/>
                <w:i/>
                <w:iCs/>
                <w:sz w:val="20"/>
                <w:szCs w:val="20"/>
              </w:rPr>
            </w:pPr>
            <w:r w:rsidRPr="00D25A7C">
              <w:rPr>
                <w:rFonts w:ascii="Arial" w:hAnsi="Arial" w:cs="Arial"/>
                <w:i/>
                <w:iCs/>
                <w:color w:val="000000"/>
                <w:sz w:val="20"/>
                <w:szCs w:val="20"/>
                <w:lang w:val="en-US"/>
              </w:rPr>
              <w:t>(Mill. USD)</w:t>
            </w:r>
          </w:p>
        </w:tc>
        <w:tc>
          <w:tcPr>
            <w:tcW w:w="3162" w:type="dxa"/>
            <w:tcBorders>
              <w:top w:val="single" w:sz="4" w:space="0" w:color="auto"/>
              <w:bottom w:val="single" w:sz="4" w:space="0" w:color="auto"/>
            </w:tcBorders>
          </w:tcPr>
          <w:p w14:paraId="421C5005" w14:textId="77777777" w:rsidR="00EC5D51" w:rsidRPr="00D25A7C" w:rsidRDefault="00EC5D51" w:rsidP="00CA23A3">
            <w:pPr>
              <w:spacing w:before="40" w:after="40" w:line="288" w:lineRule="auto"/>
              <w:jc w:val="center"/>
              <w:rPr>
                <w:rFonts w:ascii="Arial" w:hAnsi="Arial" w:cs="Arial"/>
                <w:sz w:val="20"/>
                <w:szCs w:val="20"/>
                <w:lang w:val="en-US"/>
              </w:rPr>
            </w:pPr>
            <w:r w:rsidRPr="00D25A7C">
              <w:rPr>
                <w:rFonts w:ascii="Arial" w:hAnsi="Arial" w:cs="Arial"/>
                <w:sz w:val="20"/>
                <w:szCs w:val="20"/>
              </w:rPr>
              <w:t xml:space="preserve">Growth </w:t>
            </w:r>
            <w:proofErr w:type="gramStart"/>
            <w:r w:rsidRPr="00D25A7C">
              <w:rPr>
                <w:rFonts w:ascii="Arial" w:hAnsi="Arial" w:cs="Arial"/>
                <w:sz w:val="20"/>
                <w:szCs w:val="20"/>
              </w:rPr>
              <w:t>rate</w:t>
            </w:r>
            <w:proofErr w:type="gramEnd"/>
            <w:r w:rsidRPr="00D25A7C">
              <w:rPr>
                <w:rFonts w:ascii="Arial" w:hAnsi="Arial" w:cs="Arial"/>
                <w:sz w:val="20"/>
                <w:szCs w:val="20"/>
              </w:rPr>
              <w:t xml:space="preserve"> </w:t>
            </w:r>
            <w:r w:rsidRPr="00D25A7C">
              <w:rPr>
                <w:rFonts w:ascii="Arial" w:hAnsi="Arial" w:cs="Arial"/>
                <w:sz w:val="20"/>
                <w:szCs w:val="20"/>
                <w:lang w:val="en-US"/>
              </w:rPr>
              <w:t>compare to</w:t>
            </w:r>
          </w:p>
          <w:p w14:paraId="5336AB9A"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lang w:val="en-US"/>
              </w:rPr>
              <w:t xml:space="preserve">the same period last year </w:t>
            </w:r>
            <w:r w:rsidRPr="00D25A7C">
              <w:rPr>
                <w:rFonts w:ascii="Arial" w:hAnsi="Arial" w:cs="Arial"/>
                <w:i/>
                <w:iCs/>
                <w:sz w:val="20"/>
                <w:szCs w:val="20"/>
                <w:lang w:val="en-US"/>
              </w:rPr>
              <w:t>(%)</w:t>
            </w:r>
          </w:p>
        </w:tc>
      </w:tr>
      <w:tr w:rsidR="00EC5D51" w:rsidRPr="00D25A7C" w14:paraId="4C679AFE" w14:textId="77777777" w:rsidTr="00CA23A3">
        <w:trPr>
          <w:trHeight w:val="426"/>
        </w:trPr>
        <w:tc>
          <w:tcPr>
            <w:tcW w:w="4892" w:type="dxa"/>
          </w:tcPr>
          <w:p w14:paraId="167F8AF1" w14:textId="77777777" w:rsidR="00EC5D51" w:rsidRPr="00D25A7C" w:rsidRDefault="00EC5D51" w:rsidP="00CA23A3">
            <w:pPr>
              <w:spacing w:before="40" w:after="40" w:line="288" w:lineRule="auto"/>
              <w:rPr>
                <w:rFonts w:ascii="Arial" w:hAnsi="Arial" w:cs="Arial"/>
                <w:b/>
                <w:bCs/>
                <w:color w:val="000000"/>
                <w:sz w:val="20"/>
                <w:szCs w:val="20"/>
              </w:rPr>
            </w:pPr>
            <w:r w:rsidRPr="00D25A7C">
              <w:rPr>
                <w:rFonts w:ascii="Arial" w:hAnsi="Arial" w:cs="Arial"/>
                <w:b/>
                <w:bCs/>
                <w:sz w:val="20"/>
                <w:szCs w:val="20"/>
              </w:rPr>
              <w:t>Items with a value of over 5 billion USD</w:t>
            </w:r>
          </w:p>
        </w:tc>
        <w:tc>
          <w:tcPr>
            <w:tcW w:w="1657" w:type="dxa"/>
            <w:tcBorders>
              <w:top w:val="single" w:sz="4" w:space="0" w:color="auto"/>
            </w:tcBorders>
          </w:tcPr>
          <w:p w14:paraId="3601F13B" w14:textId="77777777" w:rsidR="00EC5D51" w:rsidRPr="00D25A7C" w:rsidRDefault="00EC5D51" w:rsidP="00CA23A3">
            <w:pPr>
              <w:tabs>
                <w:tab w:val="num" w:pos="0"/>
                <w:tab w:val="left" w:pos="9475"/>
              </w:tabs>
              <w:spacing w:before="40" w:after="40" w:line="288" w:lineRule="auto"/>
              <w:ind w:right="119"/>
              <w:jc w:val="right"/>
              <w:rPr>
                <w:rFonts w:ascii="Arial" w:hAnsi="Arial" w:cs="Arial"/>
                <w:b/>
                <w:bCs/>
                <w:i/>
                <w:iCs/>
                <w:sz w:val="20"/>
                <w:szCs w:val="20"/>
              </w:rPr>
            </w:pPr>
          </w:p>
        </w:tc>
        <w:tc>
          <w:tcPr>
            <w:tcW w:w="3162" w:type="dxa"/>
            <w:tcBorders>
              <w:top w:val="single" w:sz="4" w:space="0" w:color="auto"/>
            </w:tcBorders>
          </w:tcPr>
          <w:p w14:paraId="03902853" w14:textId="77777777" w:rsidR="00EC5D51" w:rsidRPr="00D25A7C" w:rsidRDefault="00EC5D51" w:rsidP="00CA23A3">
            <w:pPr>
              <w:tabs>
                <w:tab w:val="num" w:pos="0"/>
                <w:tab w:val="left" w:pos="9475"/>
              </w:tabs>
              <w:spacing w:before="40" w:after="40" w:line="288" w:lineRule="auto"/>
              <w:ind w:right="119"/>
              <w:jc w:val="right"/>
              <w:rPr>
                <w:rFonts w:ascii="Arial" w:hAnsi="Arial" w:cs="Arial"/>
                <w:b/>
                <w:bCs/>
                <w:i/>
                <w:iCs/>
                <w:sz w:val="20"/>
                <w:szCs w:val="20"/>
              </w:rPr>
            </w:pPr>
          </w:p>
        </w:tc>
      </w:tr>
      <w:tr w:rsidR="00EC5D51" w:rsidRPr="00D25A7C" w14:paraId="542A705F" w14:textId="77777777" w:rsidTr="00CA23A3">
        <w:trPr>
          <w:trHeight w:val="408"/>
        </w:trPr>
        <w:tc>
          <w:tcPr>
            <w:tcW w:w="4892" w:type="dxa"/>
            <w:vAlign w:val="center"/>
          </w:tcPr>
          <w:p w14:paraId="3DB1EDDF"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Electronic goods, computers and their parts</w:t>
            </w:r>
          </w:p>
        </w:tc>
        <w:tc>
          <w:tcPr>
            <w:tcW w:w="1657" w:type="dxa"/>
            <w:vAlign w:val="bottom"/>
          </w:tcPr>
          <w:p w14:paraId="6DFF578E"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39</w:t>
            </w:r>
            <w:r>
              <w:rPr>
                <w:rFonts w:ascii="Arial" w:hAnsi="Arial" w:cs="Arial"/>
                <w:sz w:val="20"/>
                <w:szCs w:val="20"/>
                <w:lang w:val="en-US"/>
              </w:rPr>
              <w:t>,</w:t>
            </w:r>
            <w:r w:rsidRPr="00D93871">
              <w:rPr>
                <w:rFonts w:ascii="Arial" w:hAnsi="Arial" w:cs="Arial"/>
                <w:sz w:val="20"/>
                <w:szCs w:val="20"/>
              </w:rPr>
              <w:t>867</w:t>
            </w:r>
          </w:p>
        </w:tc>
        <w:tc>
          <w:tcPr>
            <w:tcW w:w="3162" w:type="dxa"/>
            <w:vAlign w:val="bottom"/>
          </w:tcPr>
          <w:p w14:paraId="77CED0BA"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30</w:t>
            </w:r>
            <w:r>
              <w:rPr>
                <w:rFonts w:ascii="Arial" w:hAnsi="Arial" w:cs="Arial"/>
                <w:sz w:val="20"/>
                <w:szCs w:val="20"/>
                <w:lang w:val="en-US"/>
              </w:rPr>
              <w:t>.</w:t>
            </w:r>
            <w:r w:rsidRPr="00D93871">
              <w:rPr>
                <w:rFonts w:ascii="Arial" w:hAnsi="Arial" w:cs="Arial"/>
                <w:sz w:val="20"/>
                <w:szCs w:val="20"/>
              </w:rPr>
              <w:t>0</w:t>
            </w:r>
          </w:p>
        </w:tc>
      </w:tr>
      <w:tr w:rsidR="00EC5D51" w:rsidRPr="00D25A7C" w14:paraId="0E0B0452" w14:textId="77777777" w:rsidTr="00CA23A3">
        <w:trPr>
          <w:trHeight w:val="426"/>
        </w:trPr>
        <w:tc>
          <w:tcPr>
            <w:tcW w:w="4892" w:type="dxa"/>
            <w:vAlign w:val="center"/>
          </w:tcPr>
          <w:p w14:paraId="7B25CFA3"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 xml:space="preserve">Phones all of kinds and their parts </w:t>
            </w:r>
          </w:p>
        </w:tc>
        <w:tc>
          <w:tcPr>
            <w:tcW w:w="1657" w:type="dxa"/>
            <w:vAlign w:val="bottom"/>
          </w:tcPr>
          <w:p w14:paraId="749BAC54"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32</w:t>
            </w:r>
            <w:r>
              <w:rPr>
                <w:rFonts w:ascii="Arial" w:hAnsi="Arial" w:cs="Arial"/>
                <w:sz w:val="20"/>
                <w:szCs w:val="20"/>
                <w:lang w:val="en-US"/>
              </w:rPr>
              <w:t>,</w:t>
            </w:r>
            <w:r w:rsidRPr="00D93871">
              <w:rPr>
                <w:rFonts w:ascii="Arial" w:hAnsi="Arial" w:cs="Arial"/>
                <w:sz w:val="20"/>
                <w:szCs w:val="20"/>
              </w:rPr>
              <w:t>446</w:t>
            </w:r>
          </w:p>
        </w:tc>
        <w:tc>
          <w:tcPr>
            <w:tcW w:w="3162" w:type="dxa"/>
            <w:vAlign w:val="bottom"/>
          </w:tcPr>
          <w:p w14:paraId="132F0622"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12</w:t>
            </w:r>
            <w:r>
              <w:rPr>
                <w:rFonts w:ascii="Arial" w:hAnsi="Arial" w:cs="Arial"/>
                <w:sz w:val="20"/>
                <w:szCs w:val="20"/>
                <w:lang w:val="en-US"/>
              </w:rPr>
              <w:t>.</w:t>
            </w:r>
            <w:r w:rsidRPr="00D93871">
              <w:rPr>
                <w:rFonts w:ascii="Arial" w:hAnsi="Arial" w:cs="Arial"/>
                <w:sz w:val="20"/>
                <w:szCs w:val="20"/>
              </w:rPr>
              <w:t>3</w:t>
            </w:r>
          </w:p>
        </w:tc>
      </w:tr>
      <w:tr w:rsidR="00EC5D51" w:rsidRPr="00D25A7C" w14:paraId="26445870" w14:textId="77777777" w:rsidTr="00CA23A3">
        <w:trPr>
          <w:trHeight w:val="408"/>
        </w:trPr>
        <w:tc>
          <w:tcPr>
            <w:tcW w:w="4892" w:type="dxa"/>
            <w:tcBorders>
              <w:bottom w:val="nil"/>
            </w:tcBorders>
            <w:vAlign w:val="center"/>
          </w:tcPr>
          <w:p w14:paraId="57B17995"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Machinery, instrument, accessory</w:t>
            </w:r>
          </w:p>
        </w:tc>
        <w:tc>
          <w:tcPr>
            <w:tcW w:w="1657" w:type="dxa"/>
            <w:tcBorders>
              <w:bottom w:val="nil"/>
            </w:tcBorders>
            <w:vAlign w:val="bottom"/>
          </w:tcPr>
          <w:p w14:paraId="4E922105" w14:textId="77777777" w:rsidR="00EC5D51" w:rsidRPr="00D25A7C" w:rsidRDefault="00EC5D51" w:rsidP="00CA23A3">
            <w:pPr>
              <w:spacing w:before="40" w:after="40" w:line="288" w:lineRule="auto"/>
              <w:ind w:right="320" w:firstLine="171"/>
              <w:jc w:val="right"/>
              <w:rPr>
                <w:rFonts w:ascii="Arial" w:hAnsi="Arial" w:cs="Arial"/>
                <w:sz w:val="20"/>
                <w:szCs w:val="20"/>
              </w:rPr>
            </w:pPr>
            <w:r w:rsidRPr="00D93871">
              <w:rPr>
                <w:rFonts w:ascii="Arial" w:hAnsi="Arial" w:cs="Arial"/>
                <w:sz w:val="20"/>
                <w:szCs w:val="20"/>
              </w:rPr>
              <w:t>27</w:t>
            </w:r>
            <w:r>
              <w:rPr>
                <w:rFonts w:ascii="Arial" w:hAnsi="Arial" w:cs="Arial"/>
                <w:sz w:val="20"/>
                <w:szCs w:val="20"/>
                <w:lang w:val="en-US"/>
              </w:rPr>
              <w:t>,</w:t>
            </w:r>
            <w:r w:rsidRPr="00D93871">
              <w:rPr>
                <w:rFonts w:ascii="Arial" w:hAnsi="Arial" w:cs="Arial"/>
                <w:sz w:val="20"/>
                <w:szCs w:val="20"/>
              </w:rPr>
              <w:t>656</w:t>
            </w:r>
          </w:p>
        </w:tc>
        <w:tc>
          <w:tcPr>
            <w:tcW w:w="3162" w:type="dxa"/>
            <w:tcBorders>
              <w:bottom w:val="nil"/>
            </w:tcBorders>
            <w:vAlign w:val="bottom"/>
          </w:tcPr>
          <w:p w14:paraId="57099921"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19</w:t>
            </w:r>
            <w:r>
              <w:rPr>
                <w:rFonts w:ascii="Arial" w:hAnsi="Arial" w:cs="Arial"/>
                <w:sz w:val="20"/>
                <w:szCs w:val="20"/>
                <w:lang w:val="en-US"/>
              </w:rPr>
              <w:t>.</w:t>
            </w:r>
            <w:r w:rsidRPr="00D93871">
              <w:rPr>
                <w:rFonts w:ascii="Arial" w:hAnsi="Arial" w:cs="Arial"/>
                <w:sz w:val="20"/>
                <w:szCs w:val="20"/>
              </w:rPr>
              <w:t>0</w:t>
            </w:r>
          </w:p>
        </w:tc>
      </w:tr>
      <w:tr w:rsidR="00EC5D51" w:rsidRPr="00D25A7C" w14:paraId="5F3E6E73" w14:textId="77777777" w:rsidTr="00CA23A3">
        <w:trPr>
          <w:trHeight w:val="408"/>
        </w:trPr>
        <w:tc>
          <w:tcPr>
            <w:tcW w:w="4892" w:type="dxa"/>
            <w:tcBorders>
              <w:top w:val="nil"/>
              <w:bottom w:val="nil"/>
            </w:tcBorders>
            <w:vAlign w:val="center"/>
          </w:tcPr>
          <w:p w14:paraId="2701852C"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Textiles and garments</w:t>
            </w:r>
          </w:p>
        </w:tc>
        <w:tc>
          <w:tcPr>
            <w:tcW w:w="1657" w:type="dxa"/>
            <w:tcBorders>
              <w:top w:val="nil"/>
              <w:bottom w:val="nil"/>
            </w:tcBorders>
            <w:vAlign w:val="bottom"/>
          </w:tcPr>
          <w:p w14:paraId="005EC394"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19</w:t>
            </w:r>
            <w:r>
              <w:rPr>
                <w:rFonts w:ascii="Arial" w:hAnsi="Arial" w:cs="Arial"/>
                <w:sz w:val="20"/>
                <w:szCs w:val="20"/>
              </w:rPr>
              <w:t>,</w:t>
            </w:r>
            <w:r w:rsidRPr="00D93871">
              <w:rPr>
                <w:rFonts w:ascii="Arial" w:hAnsi="Arial" w:cs="Arial"/>
                <w:sz w:val="20"/>
                <w:szCs w:val="20"/>
              </w:rPr>
              <w:t>873</w:t>
            </w:r>
          </w:p>
        </w:tc>
        <w:tc>
          <w:tcPr>
            <w:tcW w:w="3162" w:type="dxa"/>
            <w:tcBorders>
              <w:top w:val="nil"/>
              <w:bottom w:val="nil"/>
            </w:tcBorders>
            <w:vAlign w:val="bottom"/>
          </w:tcPr>
          <w:p w14:paraId="4E81A908"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4</w:t>
            </w:r>
            <w:r>
              <w:rPr>
                <w:rFonts w:ascii="Arial" w:hAnsi="Arial" w:cs="Arial"/>
                <w:sz w:val="20"/>
                <w:szCs w:val="20"/>
                <w:lang w:val="en-US"/>
              </w:rPr>
              <w:t>.</w:t>
            </w:r>
            <w:r w:rsidRPr="00D93871">
              <w:rPr>
                <w:rFonts w:ascii="Arial" w:hAnsi="Arial" w:cs="Arial"/>
                <w:sz w:val="20"/>
                <w:szCs w:val="20"/>
              </w:rPr>
              <w:t>2</w:t>
            </w:r>
          </w:p>
        </w:tc>
      </w:tr>
      <w:tr w:rsidR="00EC5D51" w:rsidRPr="00D25A7C" w14:paraId="570D0732" w14:textId="77777777" w:rsidTr="00CA23A3">
        <w:trPr>
          <w:trHeight w:val="408"/>
        </w:trPr>
        <w:tc>
          <w:tcPr>
            <w:tcW w:w="4892" w:type="dxa"/>
            <w:tcBorders>
              <w:top w:val="nil"/>
              <w:bottom w:val="nil"/>
            </w:tcBorders>
            <w:vAlign w:val="center"/>
          </w:tcPr>
          <w:p w14:paraId="79201222"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Footwear</w:t>
            </w:r>
          </w:p>
        </w:tc>
        <w:tc>
          <w:tcPr>
            <w:tcW w:w="1657" w:type="dxa"/>
            <w:tcBorders>
              <w:top w:val="nil"/>
              <w:bottom w:val="nil"/>
            </w:tcBorders>
            <w:vAlign w:val="bottom"/>
          </w:tcPr>
          <w:p w14:paraId="5E6492D1"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12</w:t>
            </w:r>
            <w:r>
              <w:rPr>
                <w:rFonts w:ascii="Arial" w:hAnsi="Arial" w:cs="Arial"/>
                <w:sz w:val="20"/>
                <w:szCs w:val="20"/>
                <w:lang w:val="en-US"/>
              </w:rPr>
              <w:t>,</w:t>
            </w:r>
            <w:r w:rsidRPr="00D93871">
              <w:rPr>
                <w:rFonts w:ascii="Arial" w:hAnsi="Arial" w:cs="Arial"/>
                <w:sz w:val="20"/>
                <w:szCs w:val="20"/>
              </w:rPr>
              <w:t>818</w:t>
            </w:r>
          </w:p>
        </w:tc>
        <w:tc>
          <w:tcPr>
            <w:tcW w:w="3162" w:type="dxa"/>
            <w:tcBorders>
              <w:top w:val="nil"/>
              <w:bottom w:val="nil"/>
            </w:tcBorders>
            <w:vAlign w:val="bottom"/>
          </w:tcPr>
          <w:p w14:paraId="53614E7E"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10</w:t>
            </w:r>
            <w:r>
              <w:rPr>
                <w:rFonts w:ascii="Arial" w:hAnsi="Arial" w:cs="Arial"/>
                <w:sz w:val="20"/>
                <w:szCs w:val="20"/>
                <w:lang w:val="en-US"/>
              </w:rPr>
              <w:t>.</w:t>
            </w:r>
            <w:r w:rsidRPr="00D93871">
              <w:rPr>
                <w:rFonts w:ascii="Arial" w:hAnsi="Arial" w:cs="Arial"/>
                <w:sz w:val="20"/>
                <w:szCs w:val="20"/>
              </w:rPr>
              <w:t>1</w:t>
            </w:r>
          </w:p>
        </w:tc>
      </w:tr>
      <w:tr w:rsidR="00EC5D51" w:rsidRPr="00D25A7C" w14:paraId="14E0EA96" w14:textId="77777777" w:rsidTr="00CA23A3">
        <w:trPr>
          <w:trHeight w:val="408"/>
        </w:trPr>
        <w:tc>
          <w:tcPr>
            <w:tcW w:w="4892" w:type="dxa"/>
            <w:tcBorders>
              <w:top w:val="nil"/>
              <w:bottom w:val="nil"/>
            </w:tcBorders>
            <w:vAlign w:val="center"/>
          </w:tcPr>
          <w:p w14:paraId="29D9F7AF"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Wood and products</w:t>
            </w:r>
          </w:p>
        </w:tc>
        <w:tc>
          <w:tcPr>
            <w:tcW w:w="1657" w:type="dxa"/>
            <w:tcBorders>
              <w:top w:val="nil"/>
              <w:bottom w:val="nil"/>
            </w:tcBorders>
            <w:vAlign w:val="bottom"/>
          </w:tcPr>
          <w:p w14:paraId="29FFCB58"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8</w:t>
            </w:r>
            <w:r>
              <w:rPr>
                <w:rFonts w:ascii="Arial" w:hAnsi="Arial" w:cs="Arial"/>
                <w:sz w:val="20"/>
                <w:szCs w:val="20"/>
                <w:lang w:val="en-US"/>
              </w:rPr>
              <w:t>,</w:t>
            </w:r>
            <w:r w:rsidRPr="00D93871">
              <w:rPr>
                <w:rFonts w:ascii="Arial" w:hAnsi="Arial" w:cs="Arial"/>
                <w:sz w:val="20"/>
                <w:szCs w:val="20"/>
              </w:rPr>
              <w:t>876</w:t>
            </w:r>
          </w:p>
        </w:tc>
        <w:tc>
          <w:tcPr>
            <w:tcW w:w="3162" w:type="dxa"/>
            <w:tcBorders>
              <w:top w:val="nil"/>
              <w:bottom w:val="nil"/>
            </w:tcBorders>
            <w:vAlign w:val="bottom"/>
          </w:tcPr>
          <w:p w14:paraId="5528AF7B"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23</w:t>
            </w:r>
            <w:r>
              <w:rPr>
                <w:rFonts w:ascii="Arial" w:hAnsi="Arial" w:cs="Arial"/>
                <w:sz w:val="20"/>
                <w:szCs w:val="20"/>
                <w:lang w:val="en-US"/>
              </w:rPr>
              <w:t>.</w:t>
            </w:r>
            <w:r w:rsidRPr="00D93871">
              <w:rPr>
                <w:rFonts w:ascii="Arial" w:hAnsi="Arial" w:cs="Arial"/>
                <w:sz w:val="20"/>
                <w:szCs w:val="20"/>
              </w:rPr>
              <w:t>3</w:t>
            </w:r>
          </w:p>
        </w:tc>
      </w:tr>
      <w:tr w:rsidR="00EC5D51" w:rsidRPr="00D25A7C" w14:paraId="1C438A44" w14:textId="77777777" w:rsidTr="00CA23A3">
        <w:trPr>
          <w:trHeight w:val="408"/>
        </w:trPr>
        <w:tc>
          <w:tcPr>
            <w:tcW w:w="4892" w:type="dxa"/>
            <w:tcBorders>
              <w:top w:val="nil"/>
              <w:bottom w:val="nil"/>
            </w:tcBorders>
            <w:vAlign w:val="center"/>
          </w:tcPr>
          <w:p w14:paraId="13943B5C" w14:textId="77777777" w:rsidR="00EC5D51" w:rsidRPr="00D25A7C" w:rsidRDefault="00EC5D51" w:rsidP="00CA23A3">
            <w:pPr>
              <w:spacing w:before="40" w:after="40" w:line="288" w:lineRule="auto"/>
              <w:ind w:firstLine="171"/>
              <w:rPr>
                <w:rFonts w:ascii="Arial" w:hAnsi="Arial" w:cs="Arial"/>
                <w:sz w:val="20"/>
                <w:szCs w:val="20"/>
              </w:rPr>
            </w:pPr>
            <w:r w:rsidRPr="00D25A7C">
              <w:rPr>
                <w:rFonts w:ascii="Arial" w:hAnsi="Arial" w:cs="Arial"/>
                <w:sz w:val="20"/>
                <w:szCs w:val="20"/>
              </w:rPr>
              <w:t>Means of transport and components</w:t>
            </w:r>
          </w:p>
        </w:tc>
        <w:tc>
          <w:tcPr>
            <w:tcW w:w="1657" w:type="dxa"/>
            <w:tcBorders>
              <w:top w:val="nil"/>
              <w:bottom w:val="nil"/>
            </w:tcBorders>
            <w:vAlign w:val="bottom"/>
          </w:tcPr>
          <w:p w14:paraId="38B5FB1C" w14:textId="77777777" w:rsidR="00EC5D51" w:rsidRPr="00D25A7C"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8</w:t>
            </w:r>
            <w:r>
              <w:rPr>
                <w:rFonts w:ascii="Arial" w:hAnsi="Arial" w:cs="Arial"/>
                <w:sz w:val="20"/>
                <w:szCs w:val="20"/>
                <w:lang w:val="en-US"/>
              </w:rPr>
              <w:t>,</w:t>
            </w:r>
            <w:r w:rsidRPr="00D93871">
              <w:rPr>
                <w:rFonts w:ascii="Arial" w:hAnsi="Arial" w:cs="Arial"/>
                <w:sz w:val="20"/>
                <w:szCs w:val="20"/>
              </w:rPr>
              <w:t>411</w:t>
            </w:r>
          </w:p>
        </w:tc>
        <w:tc>
          <w:tcPr>
            <w:tcW w:w="3162" w:type="dxa"/>
            <w:tcBorders>
              <w:top w:val="nil"/>
              <w:bottom w:val="nil"/>
            </w:tcBorders>
            <w:vAlign w:val="bottom"/>
          </w:tcPr>
          <w:p w14:paraId="386F2DF9" w14:textId="77777777" w:rsidR="00EC5D51" w:rsidRPr="00D25A7C"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2</w:t>
            </w:r>
            <w:r>
              <w:rPr>
                <w:rFonts w:ascii="Arial" w:hAnsi="Arial" w:cs="Arial"/>
                <w:sz w:val="20"/>
                <w:szCs w:val="20"/>
                <w:lang w:val="en-US"/>
              </w:rPr>
              <w:t>.</w:t>
            </w:r>
            <w:r w:rsidRPr="00D93871">
              <w:rPr>
                <w:rFonts w:ascii="Arial" w:hAnsi="Arial" w:cs="Arial"/>
                <w:sz w:val="20"/>
                <w:szCs w:val="20"/>
              </w:rPr>
              <w:t>5</w:t>
            </w:r>
          </w:p>
        </w:tc>
      </w:tr>
      <w:tr w:rsidR="00EC5D51" w:rsidRPr="00D25A7C" w14:paraId="7534510F" w14:textId="77777777" w:rsidTr="00CA23A3">
        <w:trPr>
          <w:trHeight w:val="408"/>
        </w:trPr>
        <w:tc>
          <w:tcPr>
            <w:tcW w:w="4892" w:type="dxa"/>
            <w:tcBorders>
              <w:top w:val="nil"/>
              <w:bottom w:val="nil"/>
            </w:tcBorders>
            <w:vAlign w:val="center"/>
          </w:tcPr>
          <w:p w14:paraId="661C2040" w14:textId="77777777" w:rsidR="00EC5D51" w:rsidRPr="00D25A7C" w:rsidRDefault="00EC5D51" w:rsidP="00CA23A3">
            <w:pPr>
              <w:spacing w:before="40" w:after="40" w:line="288" w:lineRule="auto"/>
              <w:ind w:firstLine="171"/>
              <w:rPr>
                <w:rFonts w:ascii="Arial" w:hAnsi="Arial" w:cs="Arial"/>
                <w:sz w:val="20"/>
                <w:szCs w:val="20"/>
              </w:rPr>
            </w:pPr>
            <w:r w:rsidRPr="0051111F">
              <w:rPr>
                <w:rFonts w:ascii="Arial" w:hAnsi="Arial" w:cs="Arial"/>
                <w:sz w:val="20"/>
                <w:szCs w:val="20"/>
              </w:rPr>
              <w:t>Iron, steel</w:t>
            </w:r>
          </w:p>
        </w:tc>
        <w:tc>
          <w:tcPr>
            <w:tcW w:w="1657" w:type="dxa"/>
            <w:tcBorders>
              <w:top w:val="nil"/>
              <w:bottom w:val="nil"/>
            </w:tcBorders>
            <w:vAlign w:val="bottom"/>
          </w:tcPr>
          <w:p w14:paraId="600E3760" w14:textId="77777777" w:rsidR="00EC5D51" w:rsidRPr="00591953"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5</w:t>
            </w:r>
            <w:r>
              <w:rPr>
                <w:rFonts w:ascii="Arial" w:hAnsi="Arial" w:cs="Arial"/>
                <w:sz w:val="20"/>
                <w:szCs w:val="20"/>
                <w:lang w:val="en-US"/>
              </w:rPr>
              <w:t>,</w:t>
            </w:r>
            <w:r w:rsidRPr="00D93871">
              <w:rPr>
                <w:rFonts w:ascii="Arial" w:hAnsi="Arial" w:cs="Arial"/>
                <w:sz w:val="20"/>
                <w:szCs w:val="20"/>
              </w:rPr>
              <w:t>475</w:t>
            </w:r>
          </w:p>
        </w:tc>
        <w:tc>
          <w:tcPr>
            <w:tcW w:w="3162" w:type="dxa"/>
            <w:tcBorders>
              <w:top w:val="nil"/>
              <w:bottom w:val="nil"/>
            </w:tcBorders>
            <w:vAlign w:val="bottom"/>
          </w:tcPr>
          <w:p w14:paraId="1C6F4EF2" w14:textId="77777777" w:rsidR="00EC5D51" w:rsidRPr="00591953"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9</w:t>
            </w:r>
            <w:r>
              <w:rPr>
                <w:rFonts w:ascii="Arial" w:hAnsi="Arial" w:cs="Arial"/>
                <w:sz w:val="20"/>
                <w:szCs w:val="20"/>
                <w:lang w:val="en-US"/>
              </w:rPr>
              <w:t>.</w:t>
            </w:r>
            <w:r w:rsidRPr="00D93871">
              <w:rPr>
                <w:rFonts w:ascii="Arial" w:hAnsi="Arial" w:cs="Arial"/>
                <w:sz w:val="20"/>
                <w:szCs w:val="20"/>
              </w:rPr>
              <w:t>8</w:t>
            </w:r>
          </w:p>
        </w:tc>
      </w:tr>
      <w:tr w:rsidR="00EC5D51" w:rsidRPr="00D25A7C" w14:paraId="4CBD3C2E" w14:textId="77777777" w:rsidTr="00CA23A3">
        <w:trPr>
          <w:trHeight w:val="408"/>
        </w:trPr>
        <w:tc>
          <w:tcPr>
            <w:tcW w:w="4892" w:type="dxa"/>
            <w:tcBorders>
              <w:top w:val="nil"/>
              <w:bottom w:val="single" w:sz="4" w:space="0" w:color="auto"/>
            </w:tcBorders>
            <w:vAlign w:val="center"/>
          </w:tcPr>
          <w:p w14:paraId="7316A0A9" w14:textId="77777777" w:rsidR="00EC5D51" w:rsidRPr="00D25A7C" w:rsidRDefault="00EC5D51" w:rsidP="00CA23A3">
            <w:pPr>
              <w:spacing w:before="40" w:after="40" w:line="288" w:lineRule="auto"/>
              <w:ind w:firstLine="171"/>
              <w:rPr>
                <w:rFonts w:ascii="Arial" w:hAnsi="Arial" w:cs="Arial"/>
                <w:sz w:val="20"/>
                <w:szCs w:val="20"/>
              </w:rPr>
            </w:pPr>
            <w:r w:rsidRPr="0051111F">
              <w:rPr>
                <w:rFonts w:ascii="Arial" w:hAnsi="Arial" w:cs="Arial"/>
                <w:sz w:val="20"/>
                <w:szCs w:val="20"/>
              </w:rPr>
              <w:t>Aquatic products</w:t>
            </w:r>
          </w:p>
        </w:tc>
        <w:tc>
          <w:tcPr>
            <w:tcW w:w="1657" w:type="dxa"/>
            <w:tcBorders>
              <w:top w:val="nil"/>
              <w:bottom w:val="single" w:sz="4" w:space="0" w:color="auto"/>
            </w:tcBorders>
            <w:vAlign w:val="bottom"/>
          </w:tcPr>
          <w:p w14:paraId="461E691B" w14:textId="77777777" w:rsidR="00EC5D51" w:rsidRPr="00591953" w:rsidRDefault="00EC5D51" w:rsidP="00CA23A3">
            <w:pPr>
              <w:spacing w:before="40" w:after="40" w:line="288" w:lineRule="auto"/>
              <w:ind w:right="317"/>
              <w:jc w:val="right"/>
              <w:rPr>
                <w:rFonts w:ascii="Arial" w:hAnsi="Arial" w:cs="Arial"/>
                <w:sz w:val="20"/>
                <w:szCs w:val="20"/>
              </w:rPr>
            </w:pPr>
            <w:r w:rsidRPr="00D93871">
              <w:rPr>
                <w:rFonts w:ascii="Arial" w:hAnsi="Arial" w:cs="Arial"/>
                <w:sz w:val="20"/>
                <w:szCs w:val="20"/>
              </w:rPr>
              <w:t>5</w:t>
            </w:r>
            <w:r>
              <w:rPr>
                <w:rFonts w:ascii="Arial" w:hAnsi="Arial" w:cs="Arial"/>
                <w:sz w:val="20"/>
                <w:szCs w:val="20"/>
                <w:lang w:val="en-US"/>
              </w:rPr>
              <w:t>,</w:t>
            </w:r>
            <w:r w:rsidRPr="00D93871">
              <w:rPr>
                <w:rFonts w:ascii="Arial" w:hAnsi="Arial" w:cs="Arial"/>
                <w:sz w:val="20"/>
                <w:szCs w:val="20"/>
              </w:rPr>
              <w:t>293</w:t>
            </w:r>
          </w:p>
        </w:tc>
        <w:tc>
          <w:tcPr>
            <w:tcW w:w="3162" w:type="dxa"/>
            <w:tcBorders>
              <w:top w:val="nil"/>
              <w:bottom w:val="single" w:sz="4" w:space="0" w:color="auto"/>
            </w:tcBorders>
            <w:vAlign w:val="bottom"/>
          </w:tcPr>
          <w:p w14:paraId="17B31870" w14:textId="77777777" w:rsidR="00EC5D51" w:rsidRPr="00591953" w:rsidRDefault="00EC5D51" w:rsidP="00CA23A3">
            <w:pPr>
              <w:tabs>
                <w:tab w:val="left" w:pos="1735"/>
              </w:tabs>
              <w:spacing w:before="40" w:after="40" w:line="288" w:lineRule="auto"/>
              <w:ind w:right="1063"/>
              <w:jc w:val="right"/>
              <w:rPr>
                <w:rFonts w:ascii="Arial" w:hAnsi="Arial" w:cs="Arial"/>
                <w:sz w:val="20"/>
                <w:szCs w:val="20"/>
              </w:rPr>
            </w:pPr>
            <w:r w:rsidRPr="00D93871">
              <w:rPr>
                <w:rFonts w:ascii="Arial" w:hAnsi="Arial" w:cs="Arial"/>
                <w:sz w:val="20"/>
                <w:szCs w:val="20"/>
              </w:rPr>
              <w:t>7</w:t>
            </w:r>
            <w:r>
              <w:rPr>
                <w:rFonts w:ascii="Arial" w:hAnsi="Arial" w:cs="Arial"/>
                <w:sz w:val="20"/>
                <w:szCs w:val="20"/>
                <w:lang w:val="en-US"/>
              </w:rPr>
              <w:t>.</w:t>
            </w:r>
            <w:r w:rsidRPr="00D93871">
              <w:rPr>
                <w:rFonts w:ascii="Arial" w:hAnsi="Arial" w:cs="Arial"/>
                <w:sz w:val="20"/>
                <w:szCs w:val="20"/>
              </w:rPr>
              <w:t>3</w:t>
            </w:r>
          </w:p>
        </w:tc>
      </w:tr>
    </w:tbl>
    <w:p w14:paraId="12BA9318" w14:textId="77777777" w:rsidR="00EC5D51" w:rsidRPr="00D25A7C" w:rsidRDefault="00EC5D51" w:rsidP="00EC5D51">
      <w:pPr>
        <w:tabs>
          <w:tab w:val="num" w:pos="0"/>
          <w:tab w:val="left" w:pos="9475"/>
        </w:tabs>
        <w:spacing w:beforeLines="40" w:before="96" w:afterLines="40" w:after="96" w:line="264" w:lineRule="auto"/>
        <w:ind w:right="119" w:firstLine="567"/>
        <w:jc w:val="right"/>
        <w:rPr>
          <w:rFonts w:ascii="Arial" w:hAnsi="Arial" w:cs="Arial"/>
          <w:b/>
          <w:bCs/>
          <w:i/>
          <w:iCs/>
          <w:sz w:val="2"/>
          <w:szCs w:val="20"/>
          <w:lang w:val="es-NI"/>
        </w:rPr>
      </w:pPr>
    </w:p>
    <w:p w14:paraId="1AA9C627" w14:textId="77777777" w:rsidR="00EC5D51" w:rsidRPr="00D25A7C" w:rsidRDefault="00EC5D51" w:rsidP="00EC5D51">
      <w:pPr>
        <w:spacing w:beforeLines="40" w:before="96" w:afterLines="40" w:after="96" w:line="264" w:lineRule="auto"/>
        <w:jc w:val="both"/>
        <w:rPr>
          <w:rFonts w:eastAsia="Batang"/>
          <w:bCs/>
          <w:iCs/>
        </w:rPr>
      </w:pPr>
      <w:r w:rsidRPr="00D25A7C">
        <w:rPr>
          <w:noProof/>
          <w:lang w:val="en-US"/>
        </w:rPr>
        <mc:AlternateContent>
          <mc:Choice Requires="wps">
            <w:drawing>
              <wp:anchor distT="0" distB="0" distL="114300" distR="114300" simplePos="0" relativeHeight="251673088" behindDoc="0" locked="0" layoutInCell="1" allowOverlap="1" wp14:anchorId="78094A4A" wp14:editId="1773E05D">
                <wp:simplePos x="0" y="0"/>
                <wp:positionH relativeFrom="column">
                  <wp:posOffset>24765</wp:posOffset>
                </wp:positionH>
                <wp:positionV relativeFrom="paragraph">
                  <wp:posOffset>64135</wp:posOffset>
                </wp:positionV>
                <wp:extent cx="3476625" cy="2190750"/>
                <wp:effectExtent l="0" t="0" r="9525" b="0"/>
                <wp:wrapSquare wrapText="bothSides"/>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190750"/>
                        </a:xfrm>
                        <a:prstGeom prst="rect">
                          <a:avLst/>
                        </a:prstGeom>
                        <a:solidFill>
                          <a:srgbClr val="FFFFFF"/>
                        </a:solidFill>
                        <a:ln w="9525">
                          <a:noFill/>
                          <a:miter lim="800000"/>
                          <a:headEnd/>
                          <a:tailEnd/>
                        </a:ln>
                      </wps:spPr>
                      <wps:txbx>
                        <w:txbxContent>
                          <w:p w14:paraId="532FA774"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6637EFE5"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0AFB0D78" w14:textId="77777777" w:rsidR="00EC5D51" w:rsidRDefault="00EC5D51" w:rsidP="00EC5D51">
                            <w:pPr>
                              <w:ind w:left="-142"/>
                              <w:jc w:val="center"/>
                              <w:rPr>
                                <w:rFonts w:ascii="Arial" w:hAnsi="Arial" w:cs="Arial"/>
                                <w:sz w:val="24"/>
                                <w:szCs w:val="24"/>
                              </w:rPr>
                            </w:pPr>
                            <w:r w:rsidRPr="0051111F">
                              <w:rPr>
                                <w:noProof/>
                              </w:rPr>
                              <w:drawing>
                                <wp:inline distT="0" distB="0" distL="0" distR="0" wp14:anchorId="5C406FF0" wp14:editId="2F131EA2">
                                  <wp:extent cx="3395345" cy="1706245"/>
                                  <wp:effectExtent l="0" t="0" r="0" b="8255"/>
                                  <wp:docPr id="1515905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06245"/>
                                          </a:xfrm>
                                          <a:prstGeom prst="rect">
                                            <a:avLst/>
                                          </a:prstGeom>
                                          <a:noFill/>
                                          <a:ln>
                                            <a:noFill/>
                                          </a:ln>
                                        </pic:spPr>
                                      </pic:pic>
                                    </a:graphicData>
                                  </a:graphic>
                                </wp:inline>
                              </w:drawing>
                            </w:r>
                          </w:p>
                        </w:txbxContent>
                      </wps:txbx>
                      <wps:bodyPr rot="0" vertOverflow="clip" horzOverflow="clip"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 w14:anchorId="78094A4A" id="_x0000_s1028" type="#_x0000_t202" style="position:absolute;left:0;text-align:left;margin-left:1.95pt;margin-top:5.05pt;width:273.75pt;height:1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" stroked="f">
                <v:textbox inset="1mm,1mm,1mm,1mm">
                  <w:txbxContent>
                    <w:p w14:paraId="532FA774"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Figure 1</w:t>
                      </w:r>
                      <w:r>
                        <w:rPr>
                          <w:rFonts w:ascii="Arial" w:hAnsi="Arial" w:cs="Arial"/>
                          <w:b/>
                          <w:bCs/>
                          <w:sz w:val="24"/>
                          <w:szCs w:val="24"/>
                        </w:rPr>
                        <w:t>2</w:t>
                      </w:r>
                      <w:r w:rsidRPr="004B4D22">
                        <w:rPr>
                          <w:rFonts w:ascii="Arial" w:hAnsi="Arial" w:cs="Arial"/>
                          <w:b/>
                          <w:bCs/>
                          <w:sz w:val="24"/>
                          <w:szCs w:val="24"/>
                        </w:rPr>
                        <w:t>. Structure of exported groups</w:t>
                      </w:r>
                    </w:p>
                    <w:p w14:paraId="6637EFE5" w14:textId="77777777" w:rsidR="00EC5D51" w:rsidRPr="004B4D22" w:rsidRDefault="00EC5D51" w:rsidP="00EC5D51">
                      <w:pPr>
                        <w:spacing w:line="264" w:lineRule="auto"/>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0AFB0D78" w14:textId="77777777" w:rsidR="00EC5D51" w:rsidRDefault="00EC5D51" w:rsidP="00EC5D51">
                      <w:pPr>
                        <w:ind w:left="-142"/>
                        <w:jc w:val="center"/>
                        <w:rPr>
                          <w:rFonts w:ascii="Arial" w:hAnsi="Arial" w:cs="Arial"/>
                          <w:sz w:val="24"/>
                          <w:szCs w:val="24"/>
                        </w:rPr>
                      </w:pPr>
                      <w:r w:rsidRPr="0051111F">
                        <w:rPr>
                          <w:noProof/>
                        </w:rPr>
                        <w:drawing>
                          <wp:inline distT="0" distB="0" distL="0" distR="0" wp14:anchorId="5C406FF0" wp14:editId="2F131EA2">
                            <wp:extent cx="3395345" cy="1706245"/>
                            <wp:effectExtent l="0" t="0" r="0" b="8255"/>
                            <wp:docPr id="1515905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06245"/>
                                    </a:xfrm>
                                    <a:prstGeom prst="rect">
                                      <a:avLst/>
                                    </a:prstGeom>
                                    <a:noFill/>
                                    <a:ln>
                                      <a:noFill/>
                                    </a:ln>
                                  </pic:spPr>
                                </pic:pic>
                              </a:graphicData>
                            </a:graphic>
                          </wp:inline>
                        </w:drawing>
                      </w:r>
                    </w:p>
                  </w:txbxContent>
                </v:textbox>
                <w10:wrap type="square"/>
              </v:shape>
            </w:pict>
          </mc:Fallback>
        </mc:AlternateContent>
      </w:r>
      <w:r w:rsidRPr="00D25A7C">
        <w:rPr>
          <w:rFonts w:eastAsia="Batang"/>
          <w:bCs/>
          <w:i/>
          <w:iCs/>
          <w:noProof/>
          <w:lang w:val="en-US"/>
        </w:rPr>
        <w:t>Regarding the structure of exported groups in</w:t>
      </w:r>
      <w:r w:rsidRPr="00D25A7C">
        <w:rPr>
          <w:rFonts w:eastAsia="Batang"/>
          <w:bCs/>
          <w:i/>
          <w:noProof/>
        </w:rPr>
        <w:t xml:space="preserve"> </w:t>
      </w:r>
      <w:r>
        <w:rPr>
          <w:rFonts w:eastAsia="Batang"/>
          <w:bCs/>
          <w:i/>
          <w:noProof/>
        </w:rPr>
        <w:t>seven months</w:t>
      </w:r>
      <w:r w:rsidRPr="00D25A7C">
        <w:rPr>
          <w:rFonts w:eastAsia="Batang"/>
          <w:bCs/>
          <w:i/>
          <w:noProof/>
        </w:rPr>
        <w:t xml:space="preserve"> of 2024, </w:t>
      </w:r>
      <w:r w:rsidRPr="00D25A7C">
        <w:rPr>
          <w:rFonts w:eastAsia="Batang"/>
          <w:bCs/>
          <w:iCs/>
          <w:noProof/>
        </w:rPr>
        <w:t xml:space="preserve">the group of fuels and minerals </w:t>
      </w:r>
      <w:r w:rsidRPr="00D25A7C">
        <w:rPr>
          <w:rFonts w:eastAsia="Batang"/>
          <w:bCs/>
          <w:iCs/>
          <w:noProof/>
          <w:lang w:val="en-US"/>
        </w:rPr>
        <w:t>was estimated at 2.</w:t>
      </w:r>
      <w:r>
        <w:rPr>
          <w:rFonts w:eastAsia="Batang"/>
          <w:bCs/>
          <w:iCs/>
          <w:noProof/>
          <w:lang w:val="en-US"/>
        </w:rPr>
        <w:t>48</w:t>
      </w:r>
      <w:r w:rsidRPr="00D25A7C">
        <w:rPr>
          <w:rFonts w:eastAsia="Batang"/>
          <w:bCs/>
          <w:iCs/>
          <w:noProof/>
          <w:lang w:val="en-US"/>
        </w:rPr>
        <w:t xml:space="preserve"> billion USD,</w:t>
      </w:r>
      <w:r w:rsidRPr="00D25A7C">
        <w:rPr>
          <w:rFonts w:eastAsia="Batang"/>
          <w:bCs/>
          <w:iCs/>
          <w:noProof/>
        </w:rPr>
        <w:t xml:space="preserve"> accounting for </w:t>
      </w:r>
      <w:r w:rsidRPr="00D25A7C">
        <w:rPr>
          <w:rFonts w:eastAsia="Batang"/>
          <w:bCs/>
          <w:iCs/>
          <w:noProof/>
          <w:lang w:val="vi-VN"/>
        </w:rPr>
        <w:t>1</w:t>
      </w:r>
      <w:r w:rsidRPr="00D25A7C">
        <w:rPr>
          <w:rFonts w:eastAsia="Batang"/>
          <w:bCs/>
          <w:iCs/>
          <w:noProof/>
          <w:lang w:val="en-US"/>
        </w:rPr>
        <w:t>.</w:t>
      </w:r>
      <w:r>
        <w:rPr>
          <w:rFonts w:eastAsia="Batang"/>
          <w:bCs/>
          <w:iCs/>
          <w:noProof/>
          <w:lang w:val="en-US"/>
        </w:rPr>
        <w:t>1</w:t>
      </w:r>
      <w:r w:rsidRPr="00D25A7C">
        <w:rPr>
          <w:rFonts w:eastAsia="Batang"/>
          <w:bCs/>
          <w:iCs/>
          <w:noProof/>
        </w:rPr>
        <w:t xml:space="preserve">%; the group of processing industry </w:t>
      </w:r>
      <w:r w:rsidRPr="00D25A7C">
        <w:rPr>
          <w:rFonts w:eastAsia="Batang"/>
          <w:bCs/>
          <w:iCs/>
          <w:noProof/>
          <w:lang w:val="en-US"/>
        </w:rPr>
        <w:t>was estimated at 1</w:t>
      </w:r>
      <w:r>
        <w:rPr>
          <w:rFonts w:eastAsia="Batang"/>
          <w:bCs/>
          <w:iCs/>
          <w:noProof/>
          <w:lang w:val="en-US"/>
        </w:rPr>
        <w:t>99.94</w:t>
      </w:r>
      <w:r w:rsidRPr="00D25A7C">
        <w:rPr>
          <w:rFonts w:eastAsia="Batang"/>
          <w:bCs/>
          <w:iCs/>
          <w:noProof/>
          <w:lang w:val="en-US"/>
        </w:rPr>
        <w:t xml:space="preserve"> billion USD,</w:t>
      </w:r>
      <w:r w:rsidRPr="00D25A7C">
        <w:rPr>
          <w:rFonts w:eastAsia="Batang"/>
          <w:bCs/>
          <w:iCs/>
          <w:noProof/>
        </w:rPr>
        <w:t xml:space="preserve"> accounting for </w:t>
      </w:r>
      <w:r w:rsidRPr="00D25A7C">
        <w:rPr>
          <w:rFonts w:eastAsia="Batang"/>
          <w:bCs/>
          <w:iCs/>
          <w:noProof/>
          <w:lang w:val="vi-VN"/>
        </w:rPr>
        <w:t>8</w:t>
      </w:r>
      <w:r>
        <w:rPr>
          <w:rFonts w:eastAsia="Batang"/>
          <w:bCs/>
          <w:iCs/>
          <w:noProof/>
          <w:lang w:val="en-US"/>
        </w:rPr>
        <w:t>8</w:t>
      </w:r>
      <w:r w:rsidRPr="00D25A7C">
        <w:rPr>
          <w:rFonts w:eastAsia="Batang"/>
          <w:bCs/>
          <w:iCs/>
          <w:noProof/>
          <w:lang w:val="en-US"/>
        </w:rPr>
        <w:t>.</w:t>
      </w:r>
      <w:r>
        <w:rPr>
          <w:rFonts w:eastAsia="Batang"/>
          <w:bCs/>
          <w:iCs/>
          <w:noProof/>
          <w:lang w:val="en-US"/>
        </w:rPr>
        <w:t>1</w:t>
      </w:r>
      <w:r w:rsidRPr="00D25A7C">
        <w:rPr>
          <w:rFonts w:eastAsia="Batang"/>
          <w:bCs/>
          <w:iCs/>
          <w:noProof/>
        </w:rPr>
        <w:t xml:space="preserve">%;  agricultural and forestry </w:t>
      </w:r>
      <w:r w:rsidRPr="00D25A7C">
        <w:rPr>
          <w:rFonts w:eastAsia="Batang"/>
          <w:bCs/>
          <w:iCs/>
          <w:noProof/>
        </w:rPr>
        <w:lastRenderedPageBreak/>
        <w:t xml:space="preserve">products </w:t>
      </w:r>
      <w:r w:rsidRPr="00D25A7C">
        <w:rPr>
          <w:rFonts w:eastAsia="Batang"/>
          <w:bCs/>
          <w:iCs/>
          <w:noProof/>
          <w:lang w:val="en-US"/>
        </w:rPr>
        <w:t>was estimated at 1</w:t>
      </w:r>
      <w:r>
        <w:rPr>
          <w:rFonts w:eastAsia="Batang"/>
          <w:bCs/>
          <w:iCs/>
          <w:noProof/>
          <w:lang w:val="en-US"/>
        </w:rPr>
        <w:t>9.27</w:t>
      </w:r>
      <w:r w:rsidRPr="00D25A7C">
        <w:rPr>
          <w:rFonts w:eastAsia="Batang"/>
          <w:bCs/>
          <w:iCs/>
          <w:noProof/>
          <w:lang w:val="en-US"/>
        </w:rPr>
        <w:t xml:space="preserve"> billion USD,</w:t>
      </w:r>
      <w:r w:rsidRPr="00D25A7C">
        <w:rPr>
          <w:rFonts w:eastAsia="Batang"/>
          <w:bCs/>
          <w:iCs/>
          <w:noProof/>
        </w:rPr>
        <w:t xml:space="preserve"> accounting for 8.</w:t>
      </w:r>
      <w:r>
        <w:rPr>
          <w:rFonts w:eastAsia="Batang"/>
          <w:bCs/>
          <w:iCs/>
          <w:noProof/>
        </w:rPr>
        <w:t>5</w:t>
      </w:r>
      <w:r w:rsidRPr="00D25A7C">
        <w:rPr>
          <w:rFonts w:eastAsia="Batang"/>
          <w:bCs/>
          <w:iCs/>
          <w:noProof/>
        </w:rPr>
        <w:t xml:space="preserve">%; the group of fishery products </w:t>
      </w:r>
      <w:r w:rsidRPr="00D25A7C">
        <w:rPr>
          <w:rFonts w:eastAsia="Batang"/>
          <w:bCs/>
          <w:iCs/>
          <w:noProof/>
          <w:lang w:val="en-US"/>
        </w:rPr>
        <w:t xml:space="preserve">was estimated at </w:t>
      </w:r>
      <w:r>
        <w:rPr>
          <w:rFonts w:eastAsia="Batang"/>
          <w:bCs/>
          <w:iCs/>
          <w:noProof/>
          <w:lang w:val="en-US"/>
        </w:rPr>
        <w:t>5.29</w:t>
      </w:r>
      <w:r w:rsidRPr="00D25A7C">
        <w:rPr>
          <w:rFonts w:eastAsia="Batang"/>
          <w:bCs/>
          <w:iCs/>
          <w:noProof/>
          <w:lang w:val="en-US"/>
        </w:rPr>
        <w:t xml:space="preserve"> billion USD,</w:t>
      </w:r>
      <w:r w:rsidRPr="00D25A7C">
        <w:rPr>
          <w:rFonts w:eastAsia="Batang"/>
          <w:bCs/>
          <w:iCs/>
          <w:noProof/>
        </w:rPr>
        <w:t xml:space="preserve"> accounting for 2.</w:t>
      </w:r>
      <w:r>
        <w:rPr>
          <w:rFonts w:eastAsia="Batang"/>
          <w:bCs/>
          <w:iCs/>
          <w:noProof/>
        </w:rPr>
        <w:t>3</w:t>
      </w:r>
      <w:r w:rsidRPr="00D25A7C">
        <w:rPr>
          <w:rFonts w:eastAsia="Batang"/>
          <w:bCs/>
          <w:iCs/>
          <w:noProof/>
        </w:rPr>
        <w:t>%.</w:t>
      </w:r>
    </w:p>
    <w:p w14:paraId="7E23961D" w14:textId="77777777" w:rsidR="00EC5D51" w:rsidRPr="00D25A7C" w:rsidRDefault="00EC5D51" w:rsidP="00EC5D51">
      <w:pPr>
        <w:tabs>
          <w:tab w:val="left" w:pos="900"/>
          <w:tab w:val="left" w:pos="9475"/>
        </w:tabs>
        <w:spacing w:beforeLines="40" w:before="96" w:afterLines="40" w:after="96" w:line="264" w:lineRule="auto"/>
        <w:ind w:right="6" w:firstLine="567"/>
        <w:jc w:val="both"/>
        <w:rPr>
          <w:b/>
          <w:bCs/>
          <w:i/>
          <w:sz w:val="2"/>
          <w:lang w:val="de-DE"/>
        </w:rPr>
      </w:pPr>
    </w:p>
    <w:p w14:paraId="3642CF78" w14:textId="77777777" w:rsidR="00EC5D51" w:rsidRPr="00D25A7C" w:rsidRDefault="00EC5D51" w:rsidP="00EC5D51">
      <w:pPr>
        <w:tabs>
          <w:tab w:val="num" w:pos="0"/>
          <w:tab w:val="left" w:pos="9475"/>
        </w:tabs>
        <w:spacing w:beforeLines="40" w:before="96" w:afterLines="40" w:after="96" w:line="259" w:lineRule="auto"/>
        <w:ind w:right="6" w:firstLine="567"/>
        <w:jc w:val="both"/>
        <w:rPr>
          <w:b/>
          <w:bCs/>
          <w:i/>
          <w:iCs/>
          <w:lang w:val="de-DE"/>
        </w:rPr>
      </w:pPr>
      <w:r w:rsidRPr="00D25A7C">
        <w:rPr>
          <w:b/>
          <w:bCs/>
          <w:i/>
          <w:iCs/>
          <w:lang w:val="de-DE"/>
        </w:rPr>
        <w:t>Import of goods</w:t>
      </w:r>
    </w:p>
    <w:p w14:paraId="3C1E0F07" w14:textId="77777777" w:rsidR="00EC5D51" w:rsidRPr="00D25A7C" w:rsidRDefault="00EC5D51" w:rsidP="00EC5D51">
      <w:pPr>
        <w:tabs>
          <w:tab w:val="num" w:pos="0"/>
          <w:tab w:val="left" w:pos="9475"/>
        </w:tabs>
        <w:spacing w:beforeLines="40" w:before="96" w:afterLines="40" w:after="96" w:line="259" w:lineRule="auto"/>
        <w:ind w:right="6" w:firstLine="567"/>
        <w:jc w:val="both"/>
      </w:pPr>
      <w:r w:rsidRPr="00D25A7C">
        <w:rPr>
          <w:bCs/>
          <w:lang w:val="en-US"/>
        </w:rPr>
        <w:t xml:space="preserve">Preliminary import turnover of goods </w:t>
      </w:r>
      <w:r w:rsidRPr="00D25A7C">
        <w:rPr>
          <w:bCs/>
          <w:lang w:val="de-DE"/>
        </w:rPr>
        <w:t xml:space="preserve">in </w:t>
      </w:r>
      <w:r>
        <w:rPr>
          <w:bCs/>
          <w:lang w:val="de-DE"/>
        </w:rPr>
        <w:t>6/2024</w:t>
      </w:r>
      <w:r w:rsidRPr="00D25A7C">
        <w:rPr>
          <w:bCs/>
          <w:lang w:val="de-DE"/>
        </w:rPr>
        <w:t xml:space="preserve"> reached </w:t>
      </w:r>
      <w:r>
        <w:rPr>
          <w:bCs/>
          <w:lang w:val="de-DE"/>
        </w:rPr>
        <w:t>30.46</w:t>
      </w:r>
      <w:r w:rsidRPr="00D25A7C">
        <w:rPr>
          <w:bCs/>
          <w:lang w:val="de-DE"/>
        </w:rPr>
        <w:t xml:space="preserve"> billion USD, </w:t>
      </w:r>
      <w:r>
        <w:rPr>
          <w:bCs/>
          <w:lang w:val="de-DE"/>
        </w:rPr>
        <w:t>307</w:t>
      </w:r>
      <w:r w:rsidRPr="00D25A7C">
        <w:rPr>
          <w:bCs/>
          <w:lang w:val="de-DE"/>
        </w:rPr>
        <w:t xml:space="preserve"> </w:t>
      </w:r>
      <w:r>
        <w:rPr>
          <w:bCs/>
          <w:lang w:val="de-DE"/>
        </w:rPr>
        <w:t>m</w:t>
      </w:r>
      <w:r w:rsidRPr="00D25A7C">
        <w:rPr>
          <w:bCs/>
          <w:lang w:val="de-DE"/>
        </w:rPr>
        <w:t xml:space="preserve">illion USD </w:t>
      </w:r>
      <w:r>
        <w:rPr>
          <w:bCs/>
          <w:lang w:val="de-DE"/>
        </w:rPr>
        <w:t>high</w:t>
      </w:r>
      <w:r w:rsidRPr="00D25A7C">
        <w:rPr>
          <w:bCs/>
          <w:lang w:val="de-DE"/>
        </w:rPr>
        <w:t>er than the estimate figure.</w:t>
      </w:r>
    </w:p>
    <w:p w14:paraId="6833509D" w14:textId="77777777" w:rsidR="00EC5D51" w:rsidRPr="00D25A7C" w:rsidRDefault="00EC5D51" w:rsidP="00EC5D51">
      <w:pPr>
        <w:tabs>
          <w:tab w:val="num" w:pos="0"/>
          <w:tab w:val="left" w:pos="9475"/>
        </w:tabs>
        <w:spacing w:beforeLines="40" w:before="96" w:afterLines="40" w:after="96" w:line="259" w:lineRule="auto"/>
        <w:ind w:right="6" w:firstLine="567"/>
        <w:jc w:val="both"/>
        <w:rPr>
          <w:bCs/>
          <w:spacing w:val="-2"/>
          <w:lang w:val="en-US"/>
        </w:rPr>
      </w:pPr>
      <w:r w:rsidRPr="00D25A7C">
        <w:rPr>
          <w:bCs/>
          <w:i/>
          <w:iCs/>
          <w:spacing w:val="-2"/>
          <w:lang w:val="de-DE"/>
        </w:rPr>
        <w:t xml:space="preserve">Import turnover in </w:t>
      </w:r>
      <w:r>
        <w:rPr>
          <w:bCs/>
          <w:i/>
          <w:iCs/>
          <w:spacing w:val="-2"/>
          <w:lang w:val="de-DE"/>
        </w:rPr>
        <w:t>7/2024</w:t>
      </w:r>
      <w:r w:rsidRPr="00D25A7C">
        <w:rPr>
          <w:bCs/>
          <w:i/>
          <w:iCs/>
          <w:spacing w:val="-2"/>
          <w:lang w:val="de-DE"/>
        </w:rPr>
        <w:t xml:space="preserve"> </w:t>
      </w:r>
      <w:r w:rsidRPr="00D25A7C">
        <w:rPr>
          <w:bCs/>
          <w:spacing w:val="-2"/>
          <w:lang w:val="en-US"/>
        </w:rPr>
        <w:t>was estimated at 3</w:t>
      </w:r>
      <w:r>
        <w:rPr>
          <w:bCs/>
          <w:spacing w:val="-2"/>
          <w:lang w:val="en-US"/>
        </w:rPr>
        <w:t>3.8</w:t>
      </w:r>
      <w:r w:rsidRPr="00D25A7C">
        <w:rPr>
          <w:bCs/>
          <w:spacing w:val="-2"/>
          <w:lang w:val="en-US"/>
        </w:rPr>
        <w:t xml:space="preserve"> billion USD, </w:t>
      </w:r>
      <w:r>
        <w:rPr>
          <w:bCs/>
          <w:spacing w:val="-2"/>
          <w:lang w:val="en-US"/>
        </w:rPr>
        <w:t>in</w:t>
      </w:r>
      <w:r w:rsidRPr="00D25A7C">
        <w:rPr>
          <w:bCs/>
          <w:spacing w:val="-2"/>
          <w:lang w:val="en-US"/>
        </w:rPr>
        <w:t xml:space="preserve">creased by </w:t>
      </w:r>
      <w:r>
        <w:rPr>
          <w:bCs/>
          <w:spacing w:val="-2"/>
          <w:lang w:val="en-US"/>
        </w:rPr>
        <w:t>11</w:t>
      </w:r>
      <w:r w:rsidRPr="00D25A7C">
        <w:rPr>
          <w:bCs/>
          <w:spacing w:val="-2"/>
          <w:lang w:val="en-US"/>
        </w:rPr>
        <w:t>% over the previous month. Of which the domestic economic sector gained 1</w:t>
      </w:r>
      <w:r>
        <w:rPr>
          <w:bCs/>
          <w:spacing w:val="-2"/>
          <w:lang w:val="en-US"/>
        </w:rPr>
        <w:t>2.2</w:t>
      </w:r>
      <w:r w:rsidRPr="00D25A7C">
        <w:rPr>
          <w:bCs/>
          <w:spacing w:val="-2"/>
          <w:lang w:val="en-US"/>
        </w:rPr>
        <w:t xml:space="preserve"> billion USD, </w:t>
      </w:r>
      <w:r>
        <w:rPr>
          <w:bCs/>
          <w:spacing w:val="-2"/>
          <w:lang w:val="en-US"/>
        </w:rPr>
        <w:t>in</w:t>
      </w:r>
      <w:r w:rsidRPr="00D25A7C">
        <w:rPr>
          <w:bCs/>
          <w:spacing w:val="-2"/>
          <w:lang w:val="en-US"/>
        </w:rPr>
        <w:t xml:space="preserve">creased by </w:t>
      </w:r>
      <w:r>
        <w:rPr>
          <w:bCs/>
          <w:spacing w:val="-2"/>
          <w:lang w:val="en-US"/>
        </w:rPr>
        <w:t>11.3</w:t>
      </w:r>
      <w:r w:rsidRPr="00D25A7C">
        <w:rPr>
          <w:bCs/>
          <w:spacing w:val="-2"/>
          <w:lang w:val="en-US"/>
        </w:rPr>
        <w:t xml:space="preserve">%; the FDI sector reached </w:t>
      </w:r>
      <w:r>
        <w:rPr>
          <w:bCs/>
          <w:spacing w:val="-2"/>
          <w:lang w:val="en-US"/>
        </w:rPr>
        <w:t>21.6</w:t>
      </w:r>
      <w:r w:rsidRPr="00D25A7C">
        <w:rPr>
          <w:bCs/>
          <w:spacing w:val="-2"/>
          <w:lang w:val="en-US"/>
        </w:rPr>
        <w:t xml:space="preserve"> billion USD, </w:t>
      </w:r>
      <w:r>
        <w:rPr>
          <w:bCs/>
          <w:spacing w:val="-2"/>
          <w:lang w:val="en-US"/>
        </w:rPr>
        <w:t>in</w:t>
      </w:r>
      <w:r w:rsidRPr="00D25A7C">
        <w:rPr>
          <w:bCs/>
          <w:spacing w:val="-2"/>
          <w:lang w:val="en-US"/>
        </w:rPr>
        <w:t xml:space="preserve">creased by </w:t>
      </w:r>
      <w:r>
        <w:rPr>
          <w:bCs/>
          <w:spacing w:val="-2"/>
          <w:lang w:val="en-US"/>
        </w:rPr>
        <w:t>10.8</w:t>
      </w:r>
      <w:r w:rsidRPr="00D25A7C">
        <w:rPr>
          <w:bCs/>
          <w:spacing w:val="-2"/>
          <w:lang w:val="en-US"/>
        </w:rPr>
        <w:t>%. Compared to the same period last year, the import turnover of goods in</w:t>
      </w:r>
      <w:r>
        <w:rPr>
          <w:bCs/>
          <w:spacing w:val="-2"/>
          <w:lang w:val="en-US"/>
        </w:rPr>
        <w:t xml:space="preserve"> July</w:t>
      </w:r>
      <w:r w:rsidRPr="00D25A7C">
        <w:rPr>
          <w:bCs/>
          <w:spacing w:val="-2"/>
          <w:lang w:val="en-US"/>
        </w:rPr>
        <w:t xml:space="preserve"> increased by</w:t>
      </w:r>
      <w:r>
        <w:rPr>
          <w:bCs/>
          <w:spacing w:val="-2"/>
          <w:lang w:val="en-US"/>
        </w:rPr>
        <w:t xml:space="preserve"> 24.7</w:t>
      </w:r>
      <w:r w:rsidRPr="00D25A7C">
        <w:rPr>
          <w:bCs/>
          <w:spacing w:val="-2"/>
          <w:lang w:val="en-US"/>
        </w:rPr>
        <w:t xml:space="preserve">%, of which the domestic economic sector increased by </w:t>
      </w:r>
      <w:r>
        <w:rPr>
          <w:bCs/>
          <w:spacing w:val="-2"/>
          <w:lang w:val="en-US"/>
        </w:rPr>
        <w:t>16.5</w:t>
      </w:r>
      <w:r w:rsidRPr="00D25A7C">
        <w:rPr>
          <w:bCs/>
          <w:spacing w:val="-2"/>
          <w:lang w:val="en-US"/>
        </w:rPr>
        <w:t xml:space="preserve">%; the FDI sector increased by </w:t>
      </w:r>
      <w:r>
        <w:rPr>
          <w:bCs/>
          <w:spacing w:val="-2"/>
          <w:lang w:val="en-US"/>
        </w:rPr>
        <w:t>29.9</w:t>
      </w:r>
      <w:r w:rsidRPr="00D25A7C">
        <w:rPr>
          <w:bCs/>
          <w:spacing w:val="-2"/>
          <w:lang w:val="en-US"/>
        </w:rPr>
        <w:t>%.</w:t>
      </w:r>
      <w:r w:rsidRPr="00D25A7C">
        <w:rPr>
          <w:spacing w:val="-2"/>
          <w:lang w:val="de-DE"/>
        </w:rPr>
        <w:t xml:space="preserve"> </w:t>
      </w:r>
    </w:p>
    <w:p w14:paraId="13A88568" w14:textId="77777777" w:rsidR="00EC5D51" w:rsidRPr="00D25A7C" w:rsidRDefault="00EC5D51" w:rsidP="00EC5D51">
      <w:pPr>
        <w:tabs>
          <w:tab w:val="num" w:pos="0"/>
          <w:tab w:val="left" w:pos="9475"/>
        </w:tabs>
        <w:spacing w:beforeLines="40" w:before="96" w:afterLines="40" w:after="96" w:line="259" w:lineRule="auto"/>
        <w:ind w:right="6" w:firstLine="567"/>
        <w:jc w:val="both"/>
        <w:rPr>
          <w:bCs/>
          <w:lang w:val="de-DE"/>
        </w:rPr>
      </w:pPr>
      <w:proofErr w:type="gramStart"/>
      <w:r w:rsidRPr="00D25A7C">
        <w:rPr>
          <w:i/>
          <w:iCs/>
          <w:lang w:val="en-US"/>
        </w:rPr>
        <w:t>Generally</w:t>
      </w:r>
      <w:proofErr w:type="gramEnd"/>
      <w:r w:rsidRPr="00D25A7C">
        <w:rPr>
          <w:i/>
          <w:iCs/>
          <w:lang w:val="en-US"/>
        </w:rPr>
        <w:t xml:space="preserve"> in</w:t>
      </w:r>
      <w:r w:rsidRPr="00D25A7C">
        <w:rPr>
          <w:i/>
          <w:iCs/>
          <w:lang w:val="de-DE"/>
        </w:rPr>
        <w:t xml:space="preserve"> </w:t>
      </w:r>
      <w:r>
        <w:rPr>
          <w:i/>
          <w:iCs/>
          <w:lang w:val="de-DE"/>
        </w:rPr>
        <w:t>seven months</w:t>
      </w:r>
      <w:r w:rsidRPr="00D25A7C">
        <w:rPr>
          <w:i/>
          <w:iCs/>
          <w:lang w:val="de-DE"/>
        </w:rPr>
        <w:t xml:space="preserve"> of 2024</w:t>
      </w:r>
      <w:r w:rsidRPr="00D25A7C">
        <w:rPr>
          <w:lang w:val="de-DE"/>
        </w:rPr>
        <w:t xml:space="preserve">, </w:t>
      </w:r>
      <w:r w:rsidRPr="00D25A7C">
        <w:rPr>
          <w:lang w:val="en-US"/>
        </w:rPr>
        <w:t xml:space="preserve">the import turnover was estimated at </w:t>
      </w:r>
      <w:r>
        <w:rPr>
          <w:lang w:val="en-US"/>
        </w:rPr>
        <w:t>212.9</w:t>
      </w:r>
      <w:r w:rsidRPr="00D25A7C">
        <w:rPr>
          <w:lang w:val="en-US"/>
        </w:rPr>
        <w:t xml:space="preserve"> billion</w:t>
      </w:r>
      <w:r w:rsidRPr="00D25A7C">
        <w:rPr>
          <w:bCs/>
          <w:lang w:val="en-US"/>
        </w:rPr>
        <w:t xml:space="preserve"> USD,</w:t>
      </w:r>
      <w:r w:rsidRPr="00D25A7C">
        <w:rPr>
          <w:lang w:val="en-US"/>
        </w:rPr>
        <w:t xml:space="preserve"> increased by 1</w:t>
      </w:r>
      <w:r>
        <w:rPr>
          <w:lang w:val="en-US"/>
        </w:rPr>
        <w:t>8.5</w:t>
      </w:r>
      <w:r w:rsidRPr="00D25A7C">
        <w:rPr>
          <w:lang w:val="en-US"/>
        </w:rPr>
        <w:t xml:space="preserve">% over </w:t>
      </w:r>
      <w:r w:rsidRPr="00D25A7C">
        <w:rPr>
          <w:bCs/>
          <w:lang w:val="en-US"/>
        </w:rPr>
        <w:t>the same period last year</w:t>
      </w:r>
      <w:r w:rsidRPr="00D25A7C">
        <w:rPr>
          <w:lang w:val="en-US"/>
        </w:rPr>
        <w:t xml:space="preserve">. Of which the domestic economic sector reached </w:t>
      </w:r>
      <w:r>
        <w:rPr>
          <w:lang w:val="en-US"/>
        </w:rPr>
        <w:t>78</w:t>
      </w:r>
      <w:r w:rsidRPr="00D25A7C">
        <w:rPr>
          <w:lang w:val="en-US"/>
        </w:rPr>
        <w:t xml:space="preserve"> billion</w:t>
      </w:r>
      <w:r w:rsidRPr="00D25A7C">
        <w:rPr>
          <w:bCs/>
          <w:lang w:val="en-US"/>
        </w:rPr>
        <w:t xml:space="preserve"> USD,</w:t>
      </w:r>
      <w:r w:rsidRPr="00D25A7C">
        <w:rPr>
          <w:lang w:val="en-US"/>
        </w:rPr>
        <w:t xml:space="preserve"> went up 2</w:t>
      </w:r>
      <w:r>
        <w:rPr>
          <w:lang w:val="en-US"/>
        </w:rPr>
        <w:t>1.5</w:t>
      </w:r>
      <w:r w:rsidRPr="00D25A7C">
        <w:rPr>
          <w:lang w:val="en-US"/>
        </w:rPr>
        <w:t xml:space="preserve">%; the FDI sector gained </w:t>
      </w:r>
      <w:r>
        <w:rPr>
          <w:lang w:val="en-US"/>
        </w:rPr>
        <w:t>134.9</w:t>
      </w:r>
      <w:r w:rsidRPr="00D25A7C">
        <w:rPr>
          <w:lang w:val="en-US"/>
        </w:rPr>
        <w:t xml:space="preserve"> billion USD, up 1</w:t>
      </w:r>
      <w:r>
        <w:rPr>
          <w:lang w:val="en-US"/>
        </w:rPr>
        <w:t>6.9</w:t>
      </w:r>
      <w:r w:rsidRPr="00D25A7C">
        <w:rPr>
          <w:lang w:val="en-US"/>
        </w:rPr>
        <w:t>%.</w:t>
      </w:r>
      <w:r w:rsidRPr="00D25A7C">
        <w:rPr>
          <w:bCs/>
          <w:lang w:val="de-DE"/>
        </w:rPr>
        <w:t xml:space="preserve"> </w:t>
      </w:r>
    </w:p>
    <w:p w14:paraId="4312AF9D" w14:textId="77777777" w:rsidR="00EC5D51" w:rsidRPr="00D25A7C" w:rsidRDefault="00EC5D51" w:rsidP="00EC5D51">
      <w:pPr>
        <w:tabs>
          <w:tab w:val="left" w:pos="9475"/>
        </w:tabs>
        <w:spacing w:beforeLines="40" w:before="96" w:afterLines="40" w:after="96" w:line="259" w:lineRule="auto"/>
        <w:ind w:right="6" w:firstLine="567"/>
        <w:jc w:val="both"/>
        <w:rPr>
          <w:spacing w:val="-2"/>
          <w:lang w:val="en-US"/>
        </w:rPr>
      </w:pPr>
      <w:r w:rsidRPr="00D25A7C">
        <w:rPr>
          <w:i/>
          <w:iCs/>
          <w:spacing w:val="-2"/>
        </w:rPr>
        <w:t xml:space="preserve">In </w:t>
      </w:r>
      <w:r>
        <w:rPr>
          <w:i/>
          <w:iCs/>
          <w:spacing w:val="-2"/>
        </w:rPr>
        <w:t>seven months</w:t>
      </w:r>
      <w:r w:rsidRPr="00D25A7C">
        <w:rPr>
          <w:i/>
          <w:iCs/>
          <w:spacing w:val="-2"/>
        </w:rPr>
        <w:t xml:space="preserve"> of 2024</w:t>
      </w:r>
      <w:r w:rsidRPr="00D25A7C">
        <w:rPr>
          <w:spacing w:val="-2"/>
        </w:rPr>
        <w:t xml:space="preserve">, there are </w:t>
      </w:r>
      <w:r>
        <w:rPr>
          <w:spacing w:val="-2"/>
        </w:rPr>
        <w:t>35</w:t>
      </w:r>
      <w:r w:rsidRPr="00D25A7C">
        <w:rPr>
          <w:spacing w:val="-2"/>
        </w:rPr>
        <w:t xml:space="preserve"> </w:t>
      </w:r>
      <w:r w:rsidRPr="00D25A7C">
        <w:rPr>
          <w:spacing w:val="-2"/>
          <w:lang w:val="en-US"/>
        </w:rPr>
        <w:t>imported products with a turnover of over 1 billion USD, accounting for 8</w:t>
      </w:r>
      <w:r>
        <w:rPr>
          <w:spacing w:val="-2"/>
          <w:lang w:val="en-US"/>
        </w:rPr>
        <w:t>9.4</w:t>
      </w:r>
      <w:r w:rsidRPr="00D25A7C">
        <w:rPr>
          <w:spacing w:val="-2"/>
          <w:lang w:val="en-US"/>
        </w:rPr>
        <w:t>% of total import turnover (</w:t>
      </w:r>
      <w:r>
        <w:rPr>
          <w:spacing w:val="-2"/>
          <w:lang w:val="en-US"/>
        </w:rPr>
        <w:t>10</w:t>
      </w:r>
      <w:r w:rsidRPr="00D25A7C">
        <w:rPr>
          <w:spacing w:val="-2"/>
          <w:lang w:val="en-US"/>
        </w:rPr>
        <w:t xml:space="preserve"> products with import turnover of over 5 billion USD, accounting for </w:t>
      </w:r>
      <w:r>
        <w:rPr>
          <w:spacing w:val="-2"/>
          <w:lang w:val="en-US"/>
        </w:rPr>
        <w:t>62.5</w:t>
      </w:r>
      <w:r w:rsidRPr="00D25A7C">
        <w:rPr>
          <w:spacing w:val="-2"/>
          <w:lang w:val="en-US"/>
        </w:rPr>
        <w:t xml:space="preserve">%). </w:t>
      </w:r>
    </w:p>
    <w:p w14:paraId="3EE7E2CA" w14:textId="77777777" w:rsidR="00EC5D51" w:rsidRPr="00D25A7C" w:rsidRDefault="00EC5D51" w:rsidP="00EC5D51">
      <w:pPr>
        <w:tabs>
          <w:tab w:val="left" w:pos="9475"/>
        </w:tabs>
        <w:spacing w:before="240" w:after="240" w:line="264" w:lineRule="auto"/>
        <w:ind w:right="6" w:firstLine="567"/>
        <w:jc w:val="center"/>
        <w:rPr>
          <w:rFonts w:ascii="Arial" w:hAnsi="Arial" w:cs="Arial"/>
          <w:b/>
          <w:sz w:val="24"/>
          <w:szCs w:val="20"/>
          <w:lang w:val="pl-PL"/>
        </w:rPr>
      </w:pPr>
      <w:r w:rsidRPr="00D25A7C">
        <w:rPr>
          <w:rFonts w:ascii="Arial" w:hAnsi="Arial" w:cs="Arial"/>
          <w:b/>
          <w:sz w:val="24"/>
          <w:szCs w:val="20"/>
          <w:lang w:val="pl-PL"/>
        </w:rPr>
        <w:t xml:space="preserve">Table </w:t>
      </w:r>
      <w:r>
        <w:rPr>
          <w:rFonts w:ascii="Arial" w:hAnsi="Arial" w:cs="Arial"/>
          <w:b/>
          <w:sz w:val="24"/>
          <w:szCs w:val="20"/>
          <w:lang w:val="pl-PL"/>
        </w:rPr>
        <w:t>5</w:t>
      </w:r>
      <w:r w:rsidRPr="00D25A7C">
        <w:rPr>
          <w:rFonts w:ascii="Arial" w:hAnsi="Arial" w:cs="Arial"/>
          <w:b/>
          <w:sz w:val="24"/>
          <w:szCs w:val="20"/>
          <w:lang w:val="pl-PL"/>
        </w:rPr>
        <w:t xml:space="preserve">. Value of some imported goods in </w:t>
      </w:r>
      <w:r>
        <w:rPr>
          <w:rFonts w:ascii="Arial" w:hAnsi="Arial" w:cs="Arial"/>
          <w:b/>
          <w:sz w:val="24"/>
          <w:szCs w:val="20"/>
          <w:lang w:val="pl-PL"/>
        </w:rPr>
        <w:t>7 months</w:t>
      </w:r>
      <w:r w:rsidRPr="00D25A7C">
        <w:rPr>
          <w:rFonts w:ascii="Arial" w:hAnsi="Arial" w:cs="Arial"/>
          <w:b/>
          <w:sz w:val="24"/>
          <w:szCs w:val="20"/>
          <w:lang w:val="pl-PL"/>
        </w:rPr>
        <w:t xml:space="preserve"> of 2024</w:t>
      </w:r>
    </w:p>
    <w:tbl>
      <w:tblPr>
        <w:tblW w:w="9393" w:type="dxa"/>
        <w:tblLook w:val="04A0" w:firstRow="1" w:lastRow="0" w:firstColumn="1" w:lastColumn="0" w:noHBand="0" w:noVBand="1"/>
      </w:tblPr>
      <w:tblGrid>
        <w:gridCol w:w="276"/>
        <w:gridCol w:w="4209"/>
        <w:gridCol w:w="1963"/>
        <w:gridCol w:w="2945"/>
      </w:tblGrid>
      <w:tr w:rsidR="00EC5D51" w:rsidRPr="00D25A7C" w14:paraId="185DA4B7" w14:textId="77777777" w:rsidTr="00CA23A3">
        <w:trPr>
          <w:trHeight w:val="317"/>
        </w:trPr>
        <w:tc>
          <w:tcPr>
            <w:tcW w:w="276" w:type="dxa"/>
            <w:tcBorders>
              <w:top w:val="single" w:sz="4" w:space="0" w:color="auto"/>
              <w:left w:val="nil"/>
              <w:bottom w:val="nil"/>
              <w:right w:val="nil"/>
            </w:tcBorders>
            <w:shd w:val="clear" w:color="auto" w:fill="auto"/>
            <w:noWrap/>
            <w:vAlign w:val="center"/>
            <w:hideMark/>
          </w:tcPr>
          <w:p w14:paraId="60F44788"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 </w:t>
            </w:r>
          </w:p>
        </w:tc>
        <w:tc>
          <w:tcPr>
            <w:tcW w:w="4209" w:type="dxa"/>
            <w:tcBorders>
              <w:top w:val="single" w:sz="4" w:space="0" w:color="auto"/>
              <w:left w:val="nil"/>
              <w:bottom w:val="nil"/>
              <w:right w:val="nil"/>
            </w:tcBorders>
            <w:shd w:val="clear" w:color="auto" w:fill="auto"/>
            <w:noWrap/>
            <w:vAlign w:val="center"/>
            <w:hideMark/>
          </w:tcPr>
          <w:p w14:paraId="166918AE"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 </w:t>
            </w:r>
          </w:p>
        </w:tc>
        <w:tc>
          <w:tcPr>
            <w:tcW w:w="1963" w:type="dxa"/>
            <w:tcBorders>
              <w:top w:val="single" w:sz="4" w:space="0" w:color="auto"/>
              <w:left w:val="nil"/>
            </w:tcBorders>
            <w:shd w:val="clear" w:color="auto" w:fill="auto"/>
            <w:vAlign w:val="center"/>
            <w:hideMark/>
          </w:tcPr>
          <w:p w14:paraId="58E490BE"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Estimate</w:t>
            </w:r>
          </w:p>
        </w:tc>
        <w:tc>
          <w:tcPr>
            <w:tcW w:w="2945" w:type="dxa"/>
            <w:tcBorders>
              <w:top w:val="single" w:sz="4" w:space="0" w:color="auto"/>
            </w:tcBorders>
            <w:shd w:val="clear" w:color="auto" w:fill="auto"/>
            <w:vAlign w:val="center"/>
            <w:hideMark/>
          </w:tcPr>
          <w:p w14:paraId="5391B871"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 xml:space="preserve">Growth </w:t>
            </w:r>
            <w:proofErr w:type="gramStart"/>
            <w:r w:rsidRPr="00D25A7C">
              <w:rPr>
                <w:rFonts w:ascii="Arial" w:hAnsi="Arial" w:cs="Arial"/>
                <w:sz w:val="20"/>
                <w:szCs w:val="20"/>
              </w:rPr>
              <w:t>rate</w:t>
            </w:r>
            <w:proofErr w:type="gramEnd"/>
            <w:r w:rsidRPr="00D25A7C">
              <w:rPr>
                <w:rFonts w:ascii="Arial" w:hAnsi="Arial" w:cs="Arial"/>
                <w:sz w:val="20"/>
                <w:szCs w:val="20"/>
              </w:rPr>
              <w:t xml:space="preserve"> compare to</w:t>
            </w:r>
          </w:p>
        </w:tc>
      </w:tr>
      <w:tr w:rsidR="00EC5D51" w:rsidRPr="00D25A7C" w14:paraId="5988AC4F" w14:textId="77777777" w:rsidTr="00CA23A3">
        <w:trPr>
          <w:trHeight w:val="152"/>
        </w:trPr>
        <w:tc>
          <w:tcPr>
            <w:tcW w:w="276" w:type="dxa"/>
            <w:tcBorders>
              <w:top w:val="nil"/>
              <w:left w:val="nil"/>
              <w:bottom w:val="nil"/>
              <w:right w:val="nil"/>
            </w:tcBorders>
            <w:shd w:val="clear" w:color="auto" w:fill="auto"/>
            <w:noWrap/>
            <w:vAlign w:val="center"/>
            <w:hideMark/>
          </w:tcPr>
          <w:p w14:paraId="5B84B5E7" w14:textId="77777777" w:rsidR="00EC5D51" w:rsidRPr="00D25A7C" w:rsidRDefault="00EC5D51" w:rsidP="00CA23A3">
            <w:pPr>
              <w:spacing w:before="40" w:after="40" w:line="288" w:lineRule="auto"/>
              <w:jc w:val="center"/>
              <w:rPr>
                <w:rFonts w:ascii="Arial" w:hAnsi="Arial" w:cs="Arial"/>
                <w:color w:val="000000"/>
                <w:sz w:val="20"/>
                <w:szCs w:val="20"/>
              </w:rPr>
            </w:pPr>
          </w:p>
        </w:tc>
        <w:tc>
          <w:tcPr>
            <w:tcW w:w="4209" w:type="dxa"/>
            <w:tcBorders>
              <w:top w:val="nil"/>
              <w:left w:val="nil"/>
              <w:bottom w:val="nil"/>
              <w:right w:val="nil"/>
            </w:tcBorders>
            <w:shd w:val="clear" w:color="auto" w:fill="auto"/>
            <w:noWrap/>
            <w:vAlign w:val="center"/>
            <w:hideMark/>
          </w:tcPr>
          <w:p w14:paraId="0D434C51" w14:textId="77777777" w:rsidR="00EC5D51" w:rsidRPr="00D25A7C" w:rsidRDefault="00EC5D51" w:rsidP="00CA23A3">
            <w:pPr>
              <w:spacing w:before="40" w:after="40" w:line="288" w:lineRule="auto"/>
              <w:rPr>
                <w:rFonts w:ascii="Arial" w:hAnsi="Arial" w:cs="Arial"/>
                <w:sz w:val="20"/>
                <w:szCs w:val="20"/>
              </w:rPr>
            </w:pPr>
          </w:p>
        </w:tc>
        <w:tc>
          <w:tcPr>
            <w:tcW w:w="1963" w:type="dxa"/>
            <w:tcBorders>
              <w:top w:val="nil"/>
              <w:left w:val="nil"/>
              <w:bottom w:val="single" w:sz="4" w:space="0" w:color="auto"/>
            </w:tcBorders>
            <w:shd w:val="clear" w:color="auto" w:fill="auto"/>
            <w:vAlign w:val="center"/>
            <w:hideMark/>
          </w:tcPr>
          <w:p w14:paraId="69D37A64"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i/>
                <w:iCs/>
                <w:sz w:val="20"/>
                <w:szCs w:val="20"/>
              </w:rPr>
              <w:t>(Mill. USD)</w:t>
            </w:r>
          </w:p>
        </w:tc>
        <w:tc>
          <w:tcPr>
            <w:tcW w:w="2945" w:type="dxa"/>
            <w:tcBorders>
              <w:top w:val="nil"/>
              <w:bottom w:val="single" w:sz="4" w:space="0" w:color="auto"/>
            </w:tcBorders>
            <w:shd w:val="clear" w:color="auto" w:fill="auto"/>
            <w:vAlign w:val="center"/>
            <w:hideMark/>
          </w:tcPr>
          <w:p w14:paraId="710B4CA8" w14:textId="77777777" w:rsidR="00EC5D51" w:rsidRPr="00D25A7C" w:rsidRDefault="00EC5D51" w:rsidP="00CA23A3">
            <w:pPr>
              <w:spacing w:before="40" w:after="40" w:line="288" w:lineRule="auto"/>
              <w:jc w:val="center"/>
              <w:rPr>
                <w:rFonts w:ascii="Arial" w:hAnsi="Arial" w:cs="Arial"/>
                <w:sz w:val="20"/>
                <w:szCs w:val="20"/>
              </w:rPr>
            </w:pPr>
            <w:r w:rsidRPr="00D25A7C">
              <w:rPr>
                <w:rFonts w:ascii="Arial" w:hAnsi="Arial" w:cs="Arial"/>
                <w:sz w:val="20"/>
                <w:szCs w:val="20"/>
              </w:rPr>
              <w:t xml:space="preserve">the same period last year </w:t>
            </w:r>
            <w:r w:rsidRPr="00D25A7C">
              <w:rPr>
                <w:rFonts w:ascii="Arial" w:hAnsi="Arial" w:cs="Arial"/>
                <w:i/>
                <w:iCs/>
                <w:sz w:val="20"/>
                <w:szCs w:val="20"/>
              </w:rPr>
              <w:t>(%)</w:t>
            </w:r>
          </w:p>
        </w:tc>
      </w:tr>
      <w:tr w:rsidR="00EC5D51" w:rsidRPr="00D25A7C" w14:paraId="2C3F5074" w14:textId="77777777" w:rsidTr="00CA23A3">
        <w:trPr>
          <w:trHeight w:val="317"/>
        </w:trPr>
        <w:tc>
          <w:tcPr>
            <w:tcW w:w="4485" w:type="dxa"/>
            <w:gridSpan w:val="2"/>
            <w:tcBorders>
              <w:top w:val="nil"/>
              <w:left w:val="nil"/>
              <w:bottom w:val="nil"/>
              <w:right w:val="nil"/>
            </w:tcBorders>
            <w:shd w:val="clear" w:color="auto" w:fill="auto"/>
            <w:noWrap/>
            <w:vAlign w:val="center"/>
            <w:hideMark/>
          </w:tcPr>
          <w:p w14:paraId="6B474676" w14:textId="77777777" w:rsidR="00EC5D51" w:rsidRPr="00D25A7C" w:rsidRDefault="00EC5D51" w:rsidP="00CA23A3">
            <w:pPr>
              <w:spacing w:before="40" w:after="40" w:line="288" w:lineRule="auto"/>
              <w:rPr>
                <w:rFonts w:ascii="Arial" w:hAnsi="Arial" w:cs="Arial"/>
                <w:b/>
                <w:bCs/>
                <w:color w:val="000000"/>
                <w:sz w:val="20"/>
                <w:szCs w:val="20"/>
              </w:rPr>
            </w:pPr>
            <w:r w:rsidRPr="00D25A7C">
              <w:rPr>
                <w:rFonts w:ascii="Arial" w:hAnsi="Arial" w:cs="Arial"/>
                <w:b/>
                <w:bCs/>
                <w:sz w:val="20"/>
                <w:szCs w:val="20"/>
              </w:rPr>
              <w:t>Items with a value of over 5 billion USD</w:t>
            </w:r>
          </w:p>
        </w:tc>
        <w:tc>
          <w:tcPr>
            <w:tcW w:w="1963" w:type="dxa"/>
            <w:tcBorders>
              <w:top w:val="nil"/>
              <w:left w:val="nil"/>
              <w:bottom w:val="nil"/>
              <w:right w:val="nil"/>
            </w:tcBorders>
            <w:shd w:val="clear" w:color="auto" w:fill="auto"/>
            <w:noWrap/>
            <w:vAlign w:val="center"/>
            <w:hideMark/>
          </w:tcPr>
          <w:p w14:paraId="28670F0F" w14:textId="77777777" w:rsidR="00EC5D51" w:rsidRPr="00D25A7C" w:rsidRDefault="00EC5D51" w:rsidP="00CA23A3">
            <w:pPr>
              <w:spacing w:before="40" w:after="40" w:line="288" w:lineRule="auto"/>
              <w:rPr>
                <w:rFonts w:ascii="Arial" w:hAnsi="Arial" w:cs="Arial"/>
                <w:sz w:val="20"/>
                <w:szCs w:val="20"/>
              </w:rPr>
            </w:pPr>
          </w:p>
        </w:tc>
        <w:tc>
          <w:tcPr>
            <w:tcW w:w="2945" w:type="dxa"/>
            <w:tcBorders>
              <w:top w:val="nil"/>
              <w:left w:val="nil"/>
              <w:bottom w:val="nil"/>
              <w:right w:val="nil"/>
            </w:tcBorders>
            <w:shd w:val="clear" w:color="auto" w:fill="auto"/>
            <w:noWrap/>
            <w:vAlign w:val="center"/>
            <w:hideMark/>
          </w:tcPr>
          <w:p w14:paraId="14B98566" w14:textId="77777777" w:rsidR="00EC5D51" w:rsidRPr="00D25A7C" w:rsidRDefault="00EC5D51" w:rsidP="00CA23A3">
            <w:pPr>
              <w:spacing w:before="40" w:after="40" w:line="288" w:lineRule="auto"/>
              <w:rPr>
                <w:rFonts w:ascii="Arial" w:hAnsi="Arial" w:cs="Arial"/>
                <w:sz w:val="20"/>
                <w:szCs w:val="20"/>
              </w:rPr>
            </w:pPr>
          </w:p>
        </w:tc>
      </w:tr>
      <w:tr w:rsidR="00EC5D51" w:rsidRPr="00D25A7C" w14:paraId="12EACD6A" w14:textId="77777777" w:rsidTr="00CA23A3">
        <w:trPr>
          <w:trHeight w:val="317"/>
        </w:trPr>
        <w:tc>
          <w:tcPr>
            <w:tcW w:w="276" w:type="dxa"/>
            <w:tcBorders>
              <w:top w:val="nil"/>
              <w:left w:val="nil"/>
              <w:right w:val="nil"/>
            </w:tcBorders>
            <w:shd w:val="clear" w:color="auto" w:fill="auto"/>
            <w:noWrap/>
            <w:vAlign w:val="center"/>
            <w:hideMark/>
          </w:tcPr>
          <w:p w14:paraId="13FE470A" w14:textId="77777777" w:rsidR="00EC5D51" w:rsidRPr="00D25A7C" w:rsidRDefault="00EC5D51" w:rsidP="00CA23A3">
            <w:pPr>
              <w:spacing w:before="40" w:after="40" w:line="288" w:lineRule="auto"/>
              <w:jc w:val="right"/>
              <w:rPr>
                <w:rFonts w:ascii="Arial" w:hAnsi="Arial" w:cs="Arial"/>
                <w:sz w:val="20"/>
                <w:szCs w:val="20"/>
              </w:rPr>
            </w:pPr>
          </w:p>
        </w:tc>
        <w:tc>
          <w:tcPr>
            <w:tcW w:w="4209" w:type="dxa"/>
            <w:tcBorders>
              <w:top w:val="nil"/>
              <w:left w:val="nil"/>
              <w:right w:val="nil"/>
            </w:tcBorders>
            <w:shd w:val="clear" w:color="auto" w:fill="auto"/>
            <w:noWrap/>
            <w:vAlign w:val="bottom"/>
            <w:hideMark/>
          </w:tcPr>
          <w:p w14:paraId="1CF7F665"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Electronic devices, computers and their parts</w:t>
            </w:r>
          </w:p>
        </w:tc>
        <w:tc>
          <w:tcPr>
            <w:tcW w:w="1963" w:type="dxa"/>
            <w:tcBorders>
              <w:top w:val="nil"/>
              <w:left w:val="nil"/>
              <w:right w:val="nil"/>
            </w:tcBorders>
            <w:shd w:val="clear" w:color="auto" w:fill="auto"/>
            <w:noWrap/>
            <w:vAlign w:val="bottom"/>
            <w:hideMark/>
          </w:tcPr>
          <w:p w14:paraId="6FB43729" w14:textId="77777777" w:rsidR="00EC5D51" w:rsidRPr="00D25A7C" w:rsidRDefault="00EC5D51" w:rsidP="00CA23A3">
            <w:pPr>
              <w:spacing w:before="40" w:after="40" w:line="288" w:lineRule="auto"/>
              <w:ind w:right="458"/>
              <w:jc w:val="right"/>
              <w:rPr>
                <w:rFonts w:ascii="Arial" w:hAnsi="Arial" w:cs="Arial"/>
                <w:sz w:val="20"/>
                <w:szCs w:val="20"/>
              </w:rPr>
            </w:pPr>
            <w:r w:rsidRPr="00743434">
              <w:rPr>
                <w:rFonts w:ascii="Arial" w:hAnsi="Arial" w:cs="Arial"/>
                <w:sz w:val="20"/>
                <w:szCs w:val="20"/>
              </w:rPr>
              <w:t>58</w:t>
            </w:r>
            <w:r>
              <w:rPr>
                <w:rFonts w:ascii="Arial" w:hAnsi="Arial" w:cs="Arial"/>
                <w:sz w:val="20"/>
                <w:szCs w:val="20"/>
              </w:rPr>
              <w:t>,</w:t>
            </w:r>
            <w:r w:rsidRPr="00743434">
              <w:rPr>
                <w:rFonts w:ascii="Arial" w:hAnsi="Arial" w:cs="Arial"/>
                <w:sz w:val="20"/>
                <w:szCs w:val="20"/>
              </w:rPr>
              <w:t>822</w:t>
            </w:r>
          </w:p>
        </w:tc>
        <w:tc>
          <w:tcPr>
            <w:tcW w:w="2945" w:type="dxa"/>
            <w:tcBorders>
              <w:top w:val="nil"/>
              <w:left w:val="nil"/>
              <w:right w:val="nil"/>
            </w:tcBorders>
            <w:shd w:val="clear" w:color="auto" w:fill="auto"/>
            <w:noWrap/>
            <w:vAlign w:val="bottom"/>
          </w:tcPr>
          <w:p w14:paraId="6FB5221E"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28.1</w:t>
            </w:r>
          </w:p>
        </w:tc>
      </w:tr>
      <w:tr w:rsidR="00EC5D51" w:rsidRPr="00D25A7C" w14:paraId="6A321C09" w14:textId="77777777" w:rsidTr="00CA23A3">
        <w:trPr>
          <w:trHeight w:val="317"/>
        </w:trPr>
        <w:tc>
          <w:tcPr>
            <w:tcW w:w="276" w:type="dxa"/>
            <w:tcBorders>
              <w:top w:val="nil"/>
              <w:left w:val="nil"/>
              <w:bottom w:val="nil"/>
              <w:right w:val="nil"/>
            </w:tcBorders>
            <w:shd w:val="clear" w:color="auto" w:fill="auto"/>
            <w:noWrap/>
            <w:vAlign w:val="center"/>
            <w:hideMark/>
          </w:tcPr>
          <w:p w14:paraId="54D7205E"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hideMark/>
          </w:tcPr>
          <w:p w14:paraId="5C018D37"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Machinery, instrument, accessory</w:t>
            </w:r>
          </w:p>
        </w:tc>
        <w:tc>
          <w:tcPr>
            <w:tcW w:w="1963" w:type="dxa"/>
            <w:tcBorders>
              <w:top w:val="nil"/>
              <w:left w:val="nil"/>
              <w:bottom w:val="nil"/>
              <w:right w:val="nil"/>
            </w:tcBorders>
            <w:shd w:val="clear" w:color="auto" w:fill="auto"/>
            <w:noWrap/>
            <w:vAlign w:val="bottom"/>
            <w:hideMark/>
          </w:tcPr>
          <w:p w14:paraId="4293535E"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26</w:t>
            </w:r>
            <w:r>
              <w:rPr>
                <w:rFonts w:ascii="Arial" w:hAnsi="Arial" w:cs="Arial"/>
                <w:sz w:val="20"/>
                <w:szCs w:val="20"/>
              </w:rPr>
              <w:t>,</w:t>
            </w:r>
            <w:r w:rsidRPr="00743434">
              <w:rPr>
                <w:rFonts w:ascii="Arial" w:hAnsi="Arial" w:cs="Arial"/>
                <w:sz w:val="20"/>
                <w:szCs w:val="20"/>
              </w:rPr>
              <w:t>404</w:t>
            </w:r>
          </w:p>
        </w:tc>
        <w:tc>
          <w:tcPr>
            <w:tcW w:w="2945" w:type="dxa"/>
            <w:tcBorders>
              <w:top w:val="nil"/>
              <w:left w:val="nil"/>
              <w:bottom w:val="nil"/>
              <w:right w:val="nil"/>
            </w:tcBorders>
            <w:shd w:val="clear" w:color="auto" w:fill="auto"/>
            <w:noWrap/>
            <w:vAlign w:val="bottom"/>
          </w:tcPr>
          <w:p w14:paraId="28F21591"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14.6</w:t>
            </w:r>
          </w:p>
        </w:tc>
      </w:tr>
      <w:tr w:rsidR="00EC5D51" w:rsidRPr="00D25A7C" w14:paraId="490B9405" w14:textId="77777777" w:rsidTr="00CA23A3">
        <w:trPr>
          <w:trHeight w:val="317"/>
        </w:trPr>
        <w:tc>
          <w:tcPr>
            <w:tcW w:w="276" w:type="dxa"/>
            <w:tcBorders>
              <w:top w:val="nil"/>
              <w:left w:val="nil"/>
              <w:bottom w:val="nil"/>
              <w:right w:val="nil"/>
            </w:tcBorders>
            <w:shd w:val="clear" w:color="auto" w:fill="auto"/>
            <w:noWrap/>
            <w:vAlign w:val="center"/>
          </w:tcPr>
          <w:p w14:paraId="1F6A8699"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54BA62B0"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Fabrics</w:t>
            </w:r>
          </w:p>
        </w:tc>
        <w:tc>
          <w:tcPr>
            <w:tcW w:w="1963" w:type="dxa"/>
            <w:tcBorders>
              <w:top w:val="nil"/>
              <w:left w:val="nil"/>
              <w:bottom w:val="nil"/>
              <w:right w:val="nil"/>
            </w:tcBorders>
            <w:shd w:val="clear" w:color="auto" w:fill="auto"/>
            <w:noWrap/>
            <w:vAlign w:val="bottom"/>
          </w:tcPr>
          <w:p w14:paraId="0D68E23E"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8</w:t>
            </w:r>
            <w:r>
              <w:rPr>
                <w:rFonts w:ascii="Arial" w:hAnsi="Arial" w:cs="Arial"/>
                <w:sz w:val="20"/>
                <w:szCs w:val="20"/>
              </w:rPr>
              <w:t>,</w:t>
            </w:r>
            <w:r w:rsidRPr="00743434">
              <w:rPr>
                <w:rFonts w:ascii="Arial" w:hAnsi="Arial" w:cs="Arial"/>
                <w:sz w:val="20"/>
                <w:szCs w:val="20"/>
              </w:rPr>
              <w:t>493</w:t>
            </w:r>
          </w:p>
        </w:tc>
        <w:tc>
          <w:tcPr>
            <w:tcW w:w="2945" w:type="dxa"/>
            <w:tcBorders>
              <w:top w:val="nil"/>
              <w:left w:val="nil"/>
              <w:bottom w:val="nil"/>
              <w:right w:val="nil"/>
            </w:tcBorders>
            <w:shd w:val="clear" w:color="auto" w:fill="auto"/>
            <w:noWrap/>
            <w:vAlign w:val="bottom"/>
          </w:tcPr>
          <w:p w14:paraId="0BBC1202"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14.8</w:t>
            </w:r>
          </w:p>
        </w:tc>
      </w:tr>
      <w:tr w:rsidR="00EC5D51" w:rsidRPr="00D25A7C" w14:paraId="263553E4" w14:textId="77777777" w:rsidTr="00CA23A3">
        <w:trPr>
          <w:trHeight w:val="317"/>
        </w:trPr>
        <w:tc>
          <w:tcPr>
            <w:tcW w:w="276" w:type="dxa"/>
            <w:tcBorders>
              <w:top w:val="nil"/>
              <w:left w:val="nil"/>
              <w:bottom w:val="nil"/>
              <w:right w:val="nil"/>
            </w:tcBorders>
            <w:shd w:val="clear" w:color="auto" w:fill="auto"/>
            <w:noWrap/>
            <w:vAlign w:val="center"/>
          </w:tcPr>
          <w:p w14:paraId="5C3A4D9F"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43C0A361" w14:textId="77777777" w:rsidR="00EC5D51" w:rsidRPr="00D25A7C" w:rsidRDefault="00EC5D51" w:rsidP="00CA23A3">
            <w:pPr>
              <w:spacing w:before="40" w:after="40" w:line="288" w:lineRule="auto"/>
              <w:rPr>
                <w:rFonts w:ascii="Arial" w:hAnsi="Arial" w:cs="Arial"/>
                <w:sz w:val="20"/>
                <w:szCs w:val="20"/>
              </w:rPr>
            </w:pPr>
            <w:r w:rsidRPr="00D25A7C">
              <w:rPr>
                <w:rFonts w:ascii="Arial" w:hAnsi="Arial" w:cs="Arial"/>
                <w:sz w:val="20"/>
                <w:szCs w:val="20"/>
              </w:rPr>
              <w:t>Iron, steel</w:t>
            </w:r>
          </w:p>
        </w:tc>
        <w:tc>
          <w:tcPr>
            <w:tcW w:w="1963" w:type="dxa"/>
            <w:tcBorders>
              <w:top w:val="nil"/>
              <w:left w:val="nil"/>
              <w:bottom w:val="nil"/>
              <w:right w:val="nil"/>
            </w:tcBorders>
            <w:shd w:val="clear" w:color="auto" w:fill="auto"/>
            <w:noWrap/>
            <w:vAlign w:val="bottom"/>
          </w:tcPr>
          <w:p w14:paraId="5048992D"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6</w:t>
            </w:r>
            <w:r>
              <w:rPr>
                <w:rFonts w:ascii="Arial" w:hAnsi="Arial" w:cs="Arial"/>
                <w:sz w:val="20"/>
                <w:szCs w:val="20"/>
              </w:rPr>
              <w:t>,</w:t>
            </w:r>
            <w:r w:rsidRPr="00743434">
              <w:rPr>
                <w:rFonts w:ascii="Arial" w:hAnsi="Arial" w:cs="Arial"/>
                <w:sz w:val="20"/>
                <w:szCs w:val="20"/>
              </w:rPr>
              <w:t>917</w:t>
            </w:r>
          </w:p>
        </w:tc>
        <w:tc>
          <w:tcPr>
            <w:tcW w:w="2945" w:type="dxa"/>
            <w:tcBorders>
              <w:top w:val="nil"/>
              <w:left w:val="nil"/>
              <w:bottom w:val="nil"/>
              <w:right w:val="nil"/>
            </w:tcBorders>
            <w:shd w:val="clear" w:color="auto" w:fill="auto"/>
            <w:noWrap/>
            <w:vAlign w:val="bottom"/>
          </w:tcPr>
          <w:p w14:paraId="0C29447E"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23.4</w:t>
            </w:r>
          </w:p>
        </w:tc>
      </w:tr>
      <w:tr w:rsidR="00EC5D51" w:rsidRPr="00D25A7C" w14:paraId="10B4E1F9" w14:textId="77777777" w:rsidTr="00CA23A3">
        <w:trPr>
          <w:trHeight w:val="317"/>
        </w:trPr>
        <w:tc>
          <w:tcPr>
            <w:tcW w:w="276" w:type="dxa"/>
            <w:tcBorders>
              <w:top w:val="nil"/>
              <w:left w:val="nil"/>
              <w:bottom w:val="nil"/>
              <w:right w:val="nil"/>
            </w:tcBorders>
            <w:shd w:val="clear" w:color="auto" w:fill="auto"/>
            <w:noWrap/>
            <w:vAlign w:val="center"/>
          </w:tcPr>
          <w:p w14:paraId="66E01B8E"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3E8E0C99" w14:textId="77777777" w:rsidR="00EC5D51" w:rsidRPr="00D25A7C" w:rsidRDefault="00EC5D51" w:rsidP="00CA23A3">
            <w:pPr>
              <w:spacing w:before="40" w:after="40" w:line="288" w:lineRule="auto"/>
              <w:rPr>
                <w:rFonts w:ascii="Arial" w:hAnsi="Arial" w:cs="Arial"/>
                <w:sz w:val="20"/>
                <w:szCs w:val="20"/>
              </w:rPr>
            </w:pPr>
            <w:r>
              <w:rPr>
                <w:rFonts w:ascii="Arial" w:hAnsi="Arial" w:cs="Arial"/>
                <w:sz w:val="20"/>
                <w:szCs w:val="20"/>
              </w:rPr>
              <w:t>Plastics</w:t>
            </w:r>
          </w:p>
        </w:tc>
        <w:tc>
          <w:tcPr>
            <w:tcW w:w="1963" w:type="dxa"/>
            <w:tcBorders>
              <w:top w:val="nil"/>
              <w:left w:val="nil"/>
              <w:bottom w:val="nil"/>
              <w:right w:val="nil"/>
            </w:tcBorders>
            <w:shd w:val="clear" w:color="auto" w:fill="auto"/>
            <w:noWrap/>
            <w:vAlign w:val="bottom"/>
          </w:tcPr>
          <w:p w14:paraId="6A8626A4" w14:textId="77777777" w:rsidR="00EC5D51" w:rsidRPr="00D25A7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6</w:t>
            </w:r>
            <w:r>
              <w:rPr>
                <w:rFonts w:ascii="Arial" w:hAnsi="Arial" w:cs="Arial"/>
                <w:sz w:val="20"/>
                <w:szCs w:val="20"/>
              </w:rPr>
              <w:t>,</w:t>
            </w:r>
            <w:r w:rsidRPr="00743434">
              <w:rPr>
                <w:rFonts w:ascii="Arial" w:hAnsi="Arial" w:cs="Arial"/>
                <w:sz w:val="20"/>
                <w:szCs w:val="20"/>
              </w:rPr>
              <w:t>405</w:t>
            </w:r>
          </w:p>
        </w:tc>
        <w:tc>
          <w:tcPr>
            <w:tcW w:w="2945" w:type="dxa"/>
            <w:tcBorders>
              <w:top w:val="nil"/>
              <w:left w:val="nil"/>
              <w:bottom w:val="nil"/>
              <w:right w:val="nil"/>
            </w:tcBorders>
            <w:shd w:val="clear" w:color="auto" w:fill="auto"/>
            <w:noWrap/>
            <w:vAlign w:val="bottom"/>
          </w:tcPr>
          <w:p w14:paraId="37855259" w14:textId="77777777" w:rsidR="00EC5D51" w:rsidRPr="00D25A7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17.5</w:t>
            </w:r>
          </w:p>
        </w:tc>
      </w:tr>
      <w:tr w:rsidR="00EC5D51" w:rsidRPr="00D25A7C" w14:paraId="198454D5" w14:textId="77777777" w:rsidTr="00CA23A3">
        <w:trPr>
          <w:trHeight w:val="317"/>
        </w:trPr>
        <w:tc>
          <w:tcPr>
            <w:tcW w:w="276" w:type="dxa"/>
            <w:tcBorders>
              <w:top w:val="nil"/>
              <w:left w:val="nil"/>
              <w:bottom w:val="nil"/>
              <w:right w:val="nil"/>
            </w:tcBorders>
            <w:shd w:val="clear" w:color="auto" w:fill="auto"/>
            <w:noWrap/>
            <w:vAlign w:val="center"/>
          </w:tcPr>
          <w:p w14:paraId="064DC56F"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709BDABC"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Other basic metals</w:t>
            </w:r>
          </w:p>
        </w:tc>
        <w:tc>
          <w:tcPr>
            <w:tcW w:w="1963" w:type="dxa"/>
            <w:tcBorders>
              <w:top w:val="nil"/>
              <w:left w:val="nil"/>
              <w:bottom w:val="nil"/>
              <w:right w:val="nil"/>
            </w:tcBorders>
            <w:shd w:val="clear" w:color="auto" w:fill="auto"/>
            <w:noWrap/>
            <w:vAlign w:val="bottom"/>
          </w:tcPr>
          <w:p w14:paraId="26234CF8"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479</w:t>
            </w:r>
          </w:p>
        </w:tc>
        <w:tc>
          <w:tcPr>
            <w:tcW w:w="2945" w:type="dxa"/>
            <w:tcBorders>
              <w:top w:val="nil"/>
              <w:left w:val="nil"/>
              <w:bottom w:val="nil"/>
              <w:right w:val="nil"/>
            </w:tcBorders>
            <w:shd w:val="clear" w:color="auto" w:fill="auto"/>
            <w:noWrap/>
            <w:vAlign w:val="bottom"/>
          </w:tcPr>
          <w:p w14:paraId="334C8483"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27.2</w:t>
            </w:r>
          </w:p>
        </w:tc>
      </w:tr>
      <w:tr w:rsidR="00EC5D51" w:rsidRPr="00D25A7C" w14:paraId="03C13510" w14:textId="77777777" w:rsidTr="00CA23A3">
        <w:trPr>
          <w:trHeight w:val="317"/>
        </w:trPr>
        <w:tc>
          <w:tcPr>
            <w:tcW w:w="276" w:type="dxa"/>
            <w:tcBorders>
              <w:top w:val="nil"/>
              <w:left w:val="nil"/>
              <w:bottom w:val="nil"/>
              <w:right w:val="nil"/>
            </w:tcBorders>
            <w:shd w:val="clear" w:color="auto" w:fill="auto"/>
            <w:noWrap/>
            <w:vAlign w:val="center"/>
          </w:tcPr>
          <w:p w14:paraId="04B72E8C"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0281690F"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Phones all of kinds and their parts</w:t>
            </w:r>
          </w:p>
        </w:tc>
        <w:tc>
          <w:tcPr>
            <w:tcW w:w="1963" w:type="dxa"/>
            <w:tcBorders>
              <w:top w:val="nil"/>
              <w:left w:val="nil"/>
              <w:bottom w:val="nil"/>
              <w:right w:val="nil"/>
            </w:tcBorders>
            <w:shd w:val="clear" w:color="auto" w:fill="auto"/>
            <w:noWrap/>
            <w:vAlign w:val="bottom"/>
          </w:tcPr>
          <w:p w14:paraId="39A820C4"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440</w:t>
            </w:r>
          </w:p>
        </w:tc>
        <w:tc>
          <w:tcPr>
            <w:tcW w:w="2945" w:type="dxa"/>
            <w:tcBorders>
              <w:top w:val="nil"/>
              <w:left w:val="nil"/>
              <w:bottom w:val="nil"/>
              <w:right w:val="nil"/>
            </w:tcBorders>
            <w:shd w:val="clear" w:color="auto" w:fill="auto"/>
            <w:noWrap/>
            <w:vAlign w:val="bottom"/>
          </w:tcPr>
          <w:p w14:paraId="01FDE184"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26.9</w:t>
            </w:r>
          </w:p>
        </w:tc>
      </w:tr>
      <w:tr w:rsidR="00EC5D51" w:rsidRPr="00D25A7C" w14:paraId="7D5D1971" w14:textId="77777777" w:rsidTr="00CA23A3">
        <w:trPr>
          <w:trHeight w:val="317"/>
        </w:trPr>
        <w:tc>
          <w:tcPr>
            <w:tcW w:w="276" w:type="dxa"/>
            <w:tcBorders>
              <w:top w:val="nil"/>
              <w:left w:val="nil"/>
              <w:bottom w:val="nil"/>
              <w:right w:val="nil"/>
            </w:tcBorders>
            <w:shd w:val="clear" w:color="auto" w:fill="auto"/>
            <w:noWrap/>
            <w:vAlign w:val="center"/>
          </w:tcPr>
          <w:p w14:paraId="261D4B75"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4CE48B28"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Petroleum</w:t>
            </w:r>
          </w:p>
        </w:tc>
        <w:tc>
          <w:tcPr>
            <w:tcW w:w="1963" w:type="dxa"/>
            <w:tcBorders>
              <w:top w:val="nil"/>
              <w:left w:val="nil"/>
              <w:bottom w:val="nil"/>
              <w:right w:val="nil"/>
            </w:tcBorders>
            <w:shd w:val="clear" w:color="auto" w:fill="auto"/>
            <w:noWrap/>
            <w:vAlign w:val="bottom"/>
          </w:tcPr>
          <w:p w14:paraId="76BB48F2"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086</w:t>
            </w:r>
          </w:p>
        </w:tc>
        <w:tc>
          <w:tcPr>
            <w:tcW w:w="2945" w:type="dxa"/>
            <w:tcBorders>
              <w:top w:val="nil"/>
              <w:left w:val="nil"/>
              <w:bottom w:val="nil"/>
              <w:right w:val="nil"/>
            </w:tcBorders>
            <w:shd w:val="clear" w:color="auto" w:fill="auto"/>
            <w:noWrap/>
            <w:vAlign w:val="bottom"/>
          </w:tcPr>
          <w:p w14:paraId="09EA521F"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4.0</w:t>
            </w:r>
          </w:p>
        </w:tc>
      </w:tr>
      <w:tr w:rsidR="00EC5D51" w:rsidRPr="00D25A7C" w14:paraId="4EE48C06" w14:textId="77777777" w:rsidTr="00CA23A3">
        <w:trPr>
          <w:trHeight w:val="317"/>
        </w:trPr>
        <w:tc>
          <w:tcPr>
            <w:tcW w:w="276" w:type="dxa"/>
            <w:tcBorders>
              <w:top w:val="nil"/>
              <w:left w:val="nil"/>
              <w:bottom w:val="nil"/>
              <w:right w:val="nil"/>
            </w:tcBorders>
            <w:shd w:val="clear" w:color="auto" w:fill="auto"/>
            <w:noWrap/>
            <w:vAlign w:val="center"/>
          </w:tcPr>
          <w:p w14:paraId="77A60E5E"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388211FA"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Crude oil</w:t>
            </w:r>
          </w:p>
        </w:tc>
        <w:tc>
          <w:tcPr>
            <w:tcW w:w="1963" w:type="dxa"/>
            <w:tcBorders>
              <w:top w:val="nil"/>
              <w:left w:val="nil"/>
              <w:bottom w:val="nil"/>
              <w:right w:val="nil"/>
            </w:tcBorders>
            <w:shd w:val="clear" w:color="auto" w:fill="auto"/>
            <w:noWrap/>
            <w:vAlign w:val="bottom"/>
          </w:tcPr>
          <w:p w14:paraId="70F877F6"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045</w:t>
            </w:r>
          </w:p>
        </w:tc>
        <w:tc>
          <w:tcPr>
            <w:tcW w:w="2945" w:type="dxa"/>
            <w:tcBorders>
              <w:top w:val="nil"/>
              <w:left w:val="nil"/>
              <w:bottom w:val="nil"/>
              <w:right w:val="nil"/>
            </w:tcBorders>
            <w:shd w:val="clear" w:color="auto" w:fill="auto"/>
            <w:noWrap/>
            <w:vAlign w:val="bottom"/>
          </w:tcPr>
          <w:p w14:paraId="071F17E6"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19.1</w:t>
            </w:r>
          </w:p>
        </w:tc>
      </w:tr>
      <w:tr w:rsidR="00EC5D51" w:rsidRPr="00D25A7C" w14:paraId="7ABED2EC" w14:textId="77777777" w:rsidTr="00CA23A3">
        <w:trPr>
          <w:trHeight w:val="317"/>
        </w:trPr>
        <w:tc>
          <w:tcPr>
            <w:tcW w:w="276" w:type="dxa"/>
            <w:tcBorders>
              <w:top w:val="nil"/>
              <w:left w:val="nil"/>
              <w:bottom w:val="single" w:sz="4" w:space="0" w:color="auto"/>
              <w:right w:val="nil"/>
            </w:tcBorders>
            <w:shd w:val="clear" w:color="auto" w:fill="auto"/>
            <w:noWrap/>
            <w:vAlign w:val="center"/>
          </w:tcPr>
          <w:p w14:paraId="30DCA83C" w14:textId="77777777" w:rsidR="00EC5D51" w:rsidRPr="00D25A7C" w:rsidRDefault="00EC5D51" w:rsidP="00CA23A3">
            <w:pPr>
              <w:spacing w:before="40" w:after="40" w:line="288" w:lineRule="auto"/>
              <w:rPr>
                <w:rFonts w:ascii="Arial" w:hAnsi="Arial" w:cs="Arial"/>
                <w:sz w:val="20"/>
                <w:szCs w:val="20"/>
              </w:rPr>
            </w:pPr>
          </w:p>
        </w:tc>
        <w:tc>
          <w:tcPr>
            <w:tcW w:w="4209" w:type="dxa"/>
            <w:tcBorders>
              <w:top w:val="nil"/>
              <w:left w:val="nil"/>
              <w:bottom w:val="single" w:sz="4" w:space="0" w:color="auto"/>
              <w:right w:val="nil"/>
            </w:tcBorders>
            <w:shd w:val="clear" w:color="auto" w:fill="auto"/>
            <w:noWrap/>
            <w:vAlign w:val="bottom"/>
          </w:tcPr>
          <w:p w14:paraId="1C2EC869" w14:textId="77777777" w:rsidR="00EC5D51" w:rsidRDefault="00EC5D51" w:rsidP="00CA23A3">
            <w:pPr>
              <w:spacing w:before="40" w:after="40" w:line="288" w:lineRule="auto"/>
              <w:rPr>
                <w:rFonts w:ascii="Arial" w:hAnsi="Arial" w:cs="Arial"/>
                <w:sz w:val="20"/>
                <w:szCs w:val="20"/>
              </w:rPr>
            </w:pPr>
            <w:r w:rsidRPr="0044431C">
              <w:rPr>
                <w:rFonts w:ascii="Arial" w:hAnsi="Arial" w:cs="Arial"/>
                <w:sz w:val="20"/>
                <w:szCs w:val="20"/>
              </w:rPr>
              <w:t>Coal</w:t>
            </w:r>
          </w:p>
        </w:tc>
        <w:tc>
          <w:tcPr>
            <w:tcW w:w="1963" w:type="dxa"/>
            <w:tcBorders>
              <w:top w:val="nil"/>
              <w:left w:val="nil"/>
              <w:bottom w:val="single" w:sz="4" w:space="0" w:color="auto"/>
              <w:right w:val="nil"/>
            </w:tcBorders>
            <w:shd w:val="clear" w:color="auto" w:fill="auto"/>
            <w:noWrap/>
            <w:vAlign w:val="bottom"/>
          </w:tcPr>
          <w:p w14:paraId="49CB29FA" w14:textId="77777777" w:rsidR="00EC5D51" w:rsidRPr="005227BC" w:rsidRDefault="00EC5D51" w:rsidP="00CA23A3">
            <w:pPr>
              <w:spacing w:before="40" w:after="40" w:line="288" w:lineRule="auto"/>
              <w:ind w:right="458" w:firstLine="28"/>
              <w:jc w:val="right"/>
              <w:rPr>
                <w:rFonts w:ascii="Arial" w:hAnsi="Arial" w:cs="Arial"/>
                <w:sz w:val="20"/>
                <w:szCs w:val="20"/>
              </w:rPr>
            </w:pPr>
            <w:r w:rsidRPr="00743434">
              <w:rPr>
                <w:rFonts w:ascii="Arial" w:hAnsi="Arial" w:cs="Arial"/>
                <w:sz w:val="20"/>
                <w:szCs w:val="20"/>
              </w:rPr>
              <w:t>5</w:t>
            </w:r>
            <w:r>
              <w:rPr>
                <w:rFonts w:ascii="Arial" w:hAnsi="Arial" w:cs="Arial"/>
                <w:sz w:val="20"/>
                <w:szCs w:val="20"/>
              </w:rPr>
              <w:t>,</w:t>
            </w:r>
            <w:r w:rsidRPr="00743434">
              <w:rPr>
                <w:rFonts w:ascii="Arial" w:hAnsi="Arial" w:cs="Arial"/>
                <w:sz w:val="20"/>
                <w:szCs w:val="20"/>
              </w:rPr>
              <w:t>013</w:t>
            </w:r>
          </w:p>
        </w:tc>
        <w:tc>
          <w:tcPr>
            <w:tcW w:w="2945" w:type="dxa"/>
            <w:tcBorders>
              <w:top w:val="nil"/>
              <w:left w:val="nil"/>
              <w:bottom w:val="single" w:sz="4" w:space="0" w:color="auto"/>
              <w:right w:val="nil"/>
            </w:tcBorders>
            <w:shd w:val="clear" w:color="auto" w:fill="auto"/>
            <w:noWrap/>
            <w:vAlign w:val="bottom"/>
          </w:tcPr>
          <w:p w14:paraId="121640C0" w14:textId="77777777" w:rsidR="00EC5D51" w:rsidRPr="005227BC" w:rsidRDefault="00EC5D51" w:rsidP="00CA23A3">
            <w:pPr>
              <w:spacing w:before="40" w:after="40" w:line="288" w:lineRule="auto"/>
              <w:ind w:right="1068"/>
              <w:jc w:val="right"/>
              <w:rPr>
                <w:rFonts w:ascii="Arial" w:hAnsi="Arial" w:cs="Arial"/>
                <w:sz w:val="20"/>
                <w:szCs w:val="20"/>
              </w:rPr>
            </w:pPr>
            <w:r w:rsidRPr="00743434">
              <w:rPr>
                <w:rFonts w:ascii="Arial" w:hAnsi="Arial" w:cs="Arial"/>
                <w:sz w:val="20"/>
                <w:szCs w:val="20"/>
              </w:rPr>
              <w:t>15.5</w:t>
            </w:r>
          </w:p>
        </w:tc>
      </w:tr>
    </w:tbl>
    <w:p w14:paraId="05AEAB63" w14:textId="77777777" w:rsidR="00EC5D51" w:rsidRPr="00D25A7C" w:rsidRDefault="00EC5D51" w:rsidP="00EC5D51">
      <w:pPr>
        <w:tabs>
          <w:tab w:val="num" w:pos="0"/>
          <w:tab w:val="left" w:pos="9475"/>
        </w:tabs>
        <w:spacing w:beforeLines="40" w:before="96" w:afterLines="40" w:after="96" w:line="264" w:lineRule="auto"/>
        <w:ind w:right="187" w:firstLine="567"/>
        <w:jc w:val="right"/>
        <w:rPr>
          <w:rFonts w:ascii="Arial" w:hAnsi="Arial" w:cs="Arial"/>
          <w:b/>
          <w:bCs/>
          <w:i/>
          <w:iCs/>
          <w:sz w:val="2"/>
          <w:szCs w:val="20"/>
          <w:lang w:val="en-US"/>
        </w:rPr>
      </w:pPr>
      <w:r w:rsidRPr="00D25A7C">
        <w:rPr>
          <w:noProof/>
          <w:lang w:val="en-US"/>
        </w:rPr>
        <w:lastRenderedPageBreak/>
        <mc:AlternateContent>
          <mc:Choice Requires="wps">
            <w:drawing>
              <wp:anchor distT="0" distB="0" distL="114300" distR="114300" simplePos="0" relativeHeight="251676160" behindDoc="0" locked="0" layoutInCell="1" allowOverlap="1" wp14:anchorId="537308F4" wp14:editId="7F2B692E">
                <wp:simplePos x="0" y="0"/>
                <wp:positionH relativeFrom="column">
                  <wp:posOffset>81915</wp:posOffset>
                </wp:positionH>
                <wp:positionV relativeFrom="paragraph">
                  <wp:posOffset>170815</wp:posOffset>
                </wp:positionV>
                <wp:extent cx="3248025" cy="2725420"/>
                <wp:effectExtent l="0" t="0" r="9525" b="0"/>
                <wp:wrapSquare wrapText="bothSides"/>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725420"/>
                        </a:xfrm>
                        <a:prstGeom prst="rect">
                          <a:avLst/>
                        </a:prstGeom>
                        <a:solidFill>
                          <a:srgbClr val="FFFFFF"/>
                        </a:solidFill>
                        <a:ln w="9525">
                          <a:noFill/>
                          <a:miter lim="800000"/>
                          <a:headEnd/>
                          <a:tailEnd/>
                        </a:ln>
                      </wps:spPr>
                      <wps:txbx>
                        <w:txbxContent>
                          <w:p w14:paraId="0B8AFB88"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6DE0393D"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4E00D923" w14:textId="77777777" w:rsidR="00EC5D51" w:rsidRDefault="00EC5D51" w:rsidP="00EC5D51">
                            <w:pPr>
                              <w:ind w:left="-142"/>
                              <w:jc w:val="right"/>
                              <w:rPr>
                                <w:rFonts w:ascii="Arial" w:hAnsi="Arial" w:cs="Arial"/>
                                <w:sz w:val="24"/>
                                <w:szCs w:val="24"/>
                              </w:rPr>
                            </w:pPr>
                            <w:r w:rsidRPr="0044431C">
                              <w:rPr>
                                <w:noProof/>
                              </w:rPr>
                              <w:drawing>
                                <wp:inline distT="0" distB="0" distL="0" distR="0" wp14:anchorId="1196F6D9" wp14:editId="6788A238">
                                  <wp:extent cx="3056255" cy="2007870"/>
                                  <wp:effectExtent l="0" t="0" r="0" b="0"/>
                                  <wp:docPr id="1974498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308F4" id="_x0000_s1029" type="#_x0000_t202" style="position:absolute;left:0;text-align:left;margin-left:6.45pt;margin-top:13.45pt;width:255.75pt;height:214.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" stroked="f">
                <v:textbox>
                  <w:txbxContent>
                    <w:p w14:paraId="0B8AFB88"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Figure </w:t>
                      </w:r>
                      <w:r>
                        <w:rPr>
                          <w:rFonts w:ascii="Arial" w:hAnsi="Arial" w:cs="Arial"/>
                          <w:b/>
                          <w:bCs/>
                          <w:sz w:val="24"/>
                          <w:szCs w:val="24"/>
                        </w:rPr>
                        <w:t>13</w:t>
                      </w:r>
                      <w:r w:rsidRPr="004B4D22">
                        <w:rPr>
                          <w:rFonts w:ascii="Arial" w:hAnsi="Arial" w:cs="Arial"/>
                          <w:b/>
                          <w:bCs/>
                          <w:sz w:val="24"/>
                          <w:szCs w:val="24"/>
                        </w:rPr>
                        <w:t>. Structure of imported groups</w:t>
                      </w:r>
                    </w:p>
                    <w:p w14:paraId="6DE0393D" w14:textId="77777777" w:rsidR="00EC5D51" w:rsidRPr="004B4D22" w:rsidRDefault="00EC5D51" w:rsidP="00EC5D51">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7 months</w:t>
                      </w:r>
                      <w:r w:rsidRPr="004B4D22">
                        <w:rPr>
                          <w:rFonts w:ascii="Arial" w:hAnsi="Arial" w:cs="Arial"/>
                          <w:b/>
                          <w:bCs/>
                          <w:sz w:val="24"/>
                          <w:szCs w:val="24"/>
                        </w:rPr>
                        <w:t xml:space="preserve"> of 2024</w:t>
                      </w:r>
                    </w:p>
                    <w:p w14:paraId="4E00D923" w14:textId="77777777" w:rsidR="00EC5D51" w:rsidRDefault="00EC5D51" w:rsidP="00EC5D51">
                      <w:pPr>
                        <w:ind w:left="-142"/>
                        <w:jc w:val="right"/>
                        <w:rPr>
                          <w:rFonts w:ascii="Arial" w:hAnsi="Arial" w:cs="Arial"/>
                          <w:sz w:val="24"/>
                          <w:szCs w:val="24"/>
                        </w:rPr>
                      </w:pPr>
                      <w:r w:rsidRPr="0044431C">
                        <w:rPr>
                          <w:noProof/>
                        </w:rPr>
                        <w:drawing>
                          <wp:inline distT="0" distB="0" distL="0" distR="0" wp14:anchorId="1196F6D9" wp14:editId="6788A238">
                            <wp:extent cx="3056255" cy="2007870"/>
                            <wp:effectExtent l="0" t="0" r="0" b="0"/>
                            <wp:docPr id="1974498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v:textbox>
                <w10:wrap type="square"/>
              </v:shape>
            </w:pict>
          </mc:Fallback>
        </mc:AlternateContent>
      </w:r>
    </w:p>
    <w:p w14:paraId="18F1ADFD" w14:textId="77777777" w:rsidR="00EC5D51" w:rsidRPr="00D25A7C" w:rsidRDefault="00EC5D51" w:rsidP="00EC5D51">
      <w:pPr>
        <w:tabs>
          <w:tab w:val="left" w:pos="9475"/>
        </w:tabs>
        <w:spacing w:beforeLines="40" w:before="96" w:afterLines="40" w:after="96" w:line="259" w:lineRule="auto"/>
        <w:ind w:right="6"/>
        <w:jc w:val="both"/>
        <w:rPr>
          <w:rFonts w:eastAsia="Batang"/>
          <w:b/>
          <w:bCs/>
          <w:spacing w:val="-6"/>
        </w:rPr>
      </w:pPr>
      <w:r w:rsidRPr="00D25A7C">
        <w:rPr>
          <w:rFonts w:eastAsia="Batang"/>
          <w:i/>
          <w:iCs/>
          <w:noProof/>
          <w:spacing w:val="-6"/>
          <w:lang w:val="en-US"/>
        </w:rPr>
        <w:t xml:space="preserve">Regarding the structure of imported groups </w:t>
      </w:r>
      <w:r w:rsidRPr="00D25A7C">
        <w:rPr>
          <w:rFonts w:eastAsia="Batang"/>
          <w:bCs/>
          <w:i/>
          <w:iCs/>
          <w:spacing w:val="-6"/>
          <w:lang w:val="en-US"/>
        </w:rPr>
        <w:t xml:space="preserve">in </w:t>
      </w:r>
      <w:r>
        <w:rPr>
          <w:rFonts w:eastAsia="Batang"/>
          <w:bCs/>
          <w:i/>
          <w:iCs/>
          <w:spacing w:val="-6"/>
          <w:lang w:val="en-US"/>
        </w:rPr>
        <w:t>seven months</w:t>
      </w:r>
      <w:r w:rsidRPr="00D25A7C">
        <w:rPr>
          <w:rFonts w:eastAsia="Batang"/>
          <w:bCs/>
          <w:i/>
          <w:iCs/>
          <w:spacing w:val="-6"/>
          <w:lang w:val="en-US"/>
        </w:rPr>
        <w:t xml:space="preserve"> of 2024, </w:t>
      </w:r>
      <w:r w:rsidRPr="00D25A7C">
        <w:rPr>
          <w:rFonts w:eastAsia="Batang"/>
          <w:bCs/>
          <w:spacing w:val="-6"/>
          <w:lang w:val="en-US"/>
        </w:rPr>
        <w:t>the group of production materials was estimated at 1</w:t>
      </w:r>
      <w:r>
        <w:rPr>
          <w:rFonts w:eastAsia="Batang"/>
          <w:bCs/>
          <w:spacing w:val="-6"/>
          <w:lang w:val="en-US"/>
        </w:rPr>
        <w:t>99.88</w:t>
      </w:r>
      <w:r w:rsidRPr="00D25A7C">
        <w:rPr>
          <w:rFonts w:eastAsia="Batang"/>
          <w:bCs/>
          <w:spacing w:val="-6"/>
          <w:lang w:val="en-US"/>
        </w:rPr>
        <w:t xml:space="preserve"> billion USD, accounted for 9</w:t>
      </w:r>
      <w:r>
        <w:rPr>
          <w:rFonts w:eastAsia="Batang"/>
          <w:bCs/>
          <w:spacing w:val="-6"/>
          <w:lang w:val="en-US"/>
        </w:rPr>
        <w:t>3.9</w:t>
      </w:r>
      <w:r w:rsidRPr="00D25A7C">
        <w:rPr>
          <w:rFonts w:eastAsia="Batang"/>
          <w:bCs/>
          <w:spacing w:val="-6"/>
          <w:lang w:val="en-US"/>
        </w:rPr>
        <w:t>%, in which the group of machinery, equipment, tools spare parts accounted for 4</w:t>
      </w:r>
      <w:r>
        <w:rPr>
          <w:rFonts w:eastAsia="Batang"/>
          <w:bCs/>
          <w:spacing w:val="-6"/>
          <w:lang w:val="en-US"/>
        </w:rPr>
        <w:t>6.2</w:t>
      </w:r>
      <w:r w:rsidRPr="00D25A7C">
        <w:rPr>
          <w:rFonts w:eastAsia="Batang"/>
          <w:bCs/>
          <w:spacing w:val="-6"/>
          <w:lang w:val="en-US"/>
        </w:rPr>
        <w:t>%; raw materials, fuel and materials accounted for 4</w:t>
      </w:r>
      <w:r>
        <w:rPr>
          <w:rFonts w:eastAsia="Batang"/>
          <w:bCs/>
          <w:spacing w:val="-6"/>
          <w:lang w:val="en-US"/>
        </w:rPr>
        <w:t>7.7</w:t>
      </w:r>
      <w:r w:rsidRPr="00D25A7C">
        <w:rPr>
          <w:rFonts w:eastAsia="Batang"/>
          <w:bCs/>
          <w:spacing w:val="-6"/>
          <w:lang w:val="en-US"/>
        </w:rPr>
        <w:t xml:space="preserve">%. The group of consumer products was estimated at </w:t>
      </w:r>
      <w:r>
        <w:rPr>
          <w:rFonts w:eastAsia="Batang"/>
          <w:bCs/>
          <w:spacing w:val="-6"/>
          <w:lang w:val="en-US"/>
        </w:rPr>
        <w:t>13.02</w:t>
      </w:r>
      <w:r w:rsidRPr="00D25A7C">
        <w:rPr>
          <w:rFonts w:eastAsia="Batang"/>
          <w:bCs/>
          <w:spacing w:val="-6"/>
          <w:lang w:val="en-US"/>
        </w:rPr>
        <w:t xml:space="preserve"> billion USD, accounted for 6</w:t>
      </w:r>
      <w:r>
        <w:rPr>
          <w:rFonts w:eastAsia="Batang"/>
          <w:bCs/>
          <w:spacing w:val="-6"/>
          <w:lang w:val="en-US"/>
        </w:rPr>
        <w:t>.1</w:t>
      </w:r>
      <w:r w:rsidRPr="00D25A7C">
        <w:rPr>
          <w:rFonts w:eastAsia="Batang"/>
          <w:bCs/>
          <w:spacing w:val="-6"/>
          <w:lang w:val="en-US"/>
        </w:rPr>
        <w:t>%</w:t>
      </w:r>
      <w:r w:rsidRPr="00D25A7C">
        <w:rPr>
          <w:rFonts w:eastAsia="Batang"/>
          <w:bCs/>
          <w:i/>
          <w:iCs/>
          <w:spacing w:val="-6"/>
          <w:lang w:val="en-US"/>
        </w:rPr>
        <w:t>.</w:t>
      </w:r>
    </w:p>
    <w:p w14:paraId="0AAC7F28" w14:textId="77777777" w:rsidR="00EC5D51" w:rsidRPr="00C92367" w:rsidRDefault="00EC5D51" w:rsidP="00EC5D51">
      <w:pPr>
        <w:tabs>
          <w:tab w:val="num" w:pos="0"/>
          <w:tab w:val="left" w:pos="9475"/>
        </w:tabs>
        <w:spacing w:beforeLines="100" w:before="240" w:afterLines="100" w:after="240" w:line="264" w:lineRule="auto"/>
        <w:ind w:right="6" w:firstLine="567"/>
        <w:jc w:val="both"/>
        <w:rPr>
          <w:i/>
          <w:spacing w:val="-2"/>
          <w:lang w:val="en-US"/>
        </w:rPr>
      </w:pPr>
      <w:r w:rsidRPr="00C92367">
        <w:rPr>
          <w:bCs/>
          <w:i/>
          <w:spacing w:val="-2"/>
        </w:rPr>
        <w:t xml:space="preserve">Regarding the export and import market of goods in seven months of 2024, </w:t>
      </w:r>
      <w:r w:rsidRPr="00C92367">
        <w:rPr>
          <w:bCs/>
          <w:iCs/>
          <w:spacing w:val="-2"/>
        </w:rPr>
        <w:t>the United States was the Viet Nam's largest export market with a turnover of 66.1 billion USD.</w:t>
      </w:r>
      <w:r w:rsidRPr="00C92367">
        <w:rPr>
          <w:bCs/>
          <w:iCs/>
          <w:spacing w:val="-2"/>
          <w:lang w:val="en-US"/>
        </w:rPr>
        <w:t xml:space="preserve"> China remained the largest import market of Viet Nam with a turnover of 79.2 billion USD. </w:t>
      </w:r>
      <w:r w:rsidRPr="00C92367">
        <w:rPr>
          <w:bCs/>
          <w:iCs/>
          <w:spacing w:val="-2"/>
        </w:rPr>
        <w:t>In seven months of 2024, the trade surplus to the United States reached 57.5 billion USD, up 27.6% over the same period last year; the trade surplus to the EU reached 20.1 billion USD, up 19.4%; the trade surplus to Japan was 1.1 billion USD, down 14%; the trade deficit from China was 45.8 billion USD, went up 65.4%; the trade deficit from Korea was 17.7 billion USD, went up 15.7%; the trade deficit from ASEAN was 5.5 billion USD, increased by 21%.</w:t>
      </w:r>
    </w:p>
    <w:p w14:paraId="1696D682" w14:textId="77777777" w:rsidR="00EC5D51" w:rsidRPr="00D25A7C" w:rsidRDefault="00EC5D51" w:rsidP="00EC5D51">
      <w:pPr>
        <w:tabs>
          <w:tab w:val="num" w:pos="0"/>
          <w:tab w:val="left" w:pos="9475"/>
        </w:tabs>
        <w:spacing w:beforeLines="40" w:before="96" w:afterLines="40" w:after="96" w:line="264" w:lineRule="auto"/>
        <w:ind w:right="6" w:firstLine="567"/>
        <w:jc w:val="center"/>
        <w:rPr>
          <w:rFonts w:ascii="Arial" w:hAnsi="Arial" w:cs="Arial"/>
          <w:b/>
          <w:iCs/>
          <w:sz w:val="24"/>
          <w:szCs w:val="24"/>
        </w:rPr>
      </w:pPr>
      <w:r w:rsidRPr="00D25A7C">
        <w:rPr>
          <w:rFonts w:ascii="Arial" w:hAnsi="Arial" w:cs="Arial"/>
          <w:b/>
          <w:iCs/>
          <w:sz w:val="24"/>
          <w:szCs w:val="24"/>
        </w:rPr>
        <w:t>Figure 1</w:t>
      </w:r>
      <w:r>
        <w:rPr>
          <w:rFonts w:ascii="Arial" w:hAnsi="Arial" w:cs="Arial"/>
          <w:b/>
          <w:iCs/>
          <w:sz w:val="24"/>
          <w:szCs w:val="24"/>
        </w:rPr>
        <w:t>4</w:t>
      </w:r>
      <w:r w:rsidRPr="00D25A7C">
        <w:rPr>
          <w:rFonts w:ascii="Arial" w:hAnsi="Arial" w:cs="Arial"/>
          <w:b/>
          <w:iCs/>
          <w:sz w:val="24"/>
          <w:szCs w:val="24"/>
        </w:rPr>
        <w:t xml:space="preserve">. Major </w:t>
      </w:r>
      <w:proofErr w:type="gramStart"/>
      <w:r w:rsidRPr="00D25A7C">
        <w:rPr>
          <w:rFonts w:ascii="Arial" w:hAnsi="Arial" w:cs="Arial"/>
          <w:b/>
          <w:iCs/>
          <w:sz w:val="24"/>
          <w:szCs w:val="24"/>
        </w:rPr>
        <w:t>commodity</w:t>
      </w:r>
      <w:proofErr w:type="gramEnd"/>
      <w:r w:rsidRPr="00D25A7C">
        <w:rPr>
          <w:rFonts w:ascii="Arial" w:hAnsi="Arial" w:cs="Arial"/>
          <w:b/>
          <w:iCs/>
          <w:sz w:val="24"/>
          <w:szCs w:val="24"/>
        </w:rPr>
        <w:t xml:space="preserve"> import and export markets </w:t>
      </w:r>
      <w:r w:rsidRPr="00D25A7C">
        <w:rPr>
          <w:rFonts w:ascii="Arial" w:hAnsi="Arial" w:cs="Arial"/>
          <w:b/>
          <w:iCs/>
          <w:sz w:val="24"/>
          <w:szCs w:val="24"/>
        </w:rPr>
        <w:br/>
        <w:t xml:space="preserve"> in </w:t>
      </w:r>
      <w:r>
        <w:rPr>
          <w:rFonts w:ascii="Arial" w:hAnsi="Arial" w:cs="Arial"/>
          <w:b/>
          <w:iCs/>
          <w:sz w:val="24"/>
          <w:szCs w:val="24"/>
        </w:rPr>
        <w:t>7 months</w:t>
      </w:r>
      <w:r w:rsidRPr="00D25A7C">
        <w:rPr>
          <w:rFonts w:ascii="Arial" w:hAnsi="Arial" w:cs="Arial"/>
          <w:b/>
          <w:iCs/>
          <w:sz w:val="24"/>
          <w:szCs w:val="24"/>
        </w:rPr>
        <w:t xml:space="preserve"> of 2024</w:t>
      </w:r>
    </w:p>
    <w:tbl>
      <w:tblPr>
        <w:tblStyle w:val="TableGrid2"/>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604"/>
        <w:gridCol w:w="2212"/>
        <w:gridCol w:w="2770"/>
        <w:gridCol w:w="1413"/>
        <w:gridCol w:w="523"/>
      </w:tblGrid>
      <w:tr w:rsidR="00EC5D51" w:rsidRPr="00D25A7C" w14:paraId="082538B3" w14:textId="77777777" w:rsidTr="00CA23A3">
        <w:trPr>
          <w:trHeight w:val="3989"/>
          <w:jc w:val="center"/>
        </w:trPr>
        <w:tc>
          <w:tcPr>
            <w:tcW w:w="4564" w:type="dxa"/>
            <w:gridSpan w:val="3"/>
            <w:hideMark/>
          </w:tcPr>
          <w:p w14:paraId="33AFFCD0" w14:textId="77777777" w:rsidR="00EC5D51" w:rsidRPr="00D25A7C" w:rsidRDefault="00EC5D51" w:rsidP="00CA23A3">
            <w:pPr>
              <w:tabs>
                <w:tab w:val="num" w:pos="0"/>
                <w:tab w:val="left" w:pos="9475"/>
              </w:tabs>
              <w:spacing w:beforeLines="40" w:before="96" w:afterLines="40" w:after="96" w:line="264" w:lineRule="auto"/>
              <w:ind w:right="-118"/>
              <w:jc w:val="both"/>
              <w:rPr>
                <w:iCs/>
              </w:rPr>
            </w:pPr>
            <w:r>
              <w:rPr>
                <w:noProof/>
              </w:rPr>
              <w:drawing>
                <wp:inline distT="0" distB="0" distL="0" distR="0" wp14:anchorId="3F6F032C" wp14:editId="20D97365">
                  <wp:extent cx="2811439" cy="2312670"/>
                  <wp:effectExtent l="0" t="0" r="8255" b="11430"/>
                  <wp:docPr id="1945487614" name="Chart 1">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706" w:type="dxa"/>
            <w:gridSpan w:val="3"/>
            <w:hideMark/>
          </w:tcPr>
          <w:p w14:paraId="01828B43" w14:textId="77777777" w:rsidR="00EC5D51" w:rsidRPr="00D25A7C" w:rsidRDefault="00EC5D51" w:rsidP="00CA23A3">
            <w:pPr>
              <w:tabs>
                <w:tab w:val="num" w:pos="-134"/>
                <w:tab w:val="left" w:pos="9475"/>
              </w:tabs>
              <w:spacing w:beforeLines="40" w:before="96" w:afterLines="40" w:after="96" w:line="264" w:lineRule="auto"/>
              <w:ind w:right="6" w:hanging="134"/>
              <w:jc w:val="both"/>
              <w:rPr>
                <w:iCs/>
              </w:rPr>
            </w:pPr>
            <w:r>
              <w:rPr>
                <w:noProof/>
              </w:rPr>
              <w:drawing>
                <wp:inline distT="0" distB="0" distL="0" distR="0" wp14:anchorId="512CBD50" wp14:editId="3C6774D0">
                  <wp:extent cx="2851150" cy="2313296"/>
                  <wp:effectExtent l="0" t="0" r="6350" b="11430"/>
                  <wp:docPr id="966044116" name="Chart 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EC5D51" w:rsidRPr="00D25A7C" w14:paraId="0ADA4224" w14:textId="77777777" w:rsidTr="00CA23A3">
        <w:trPr>
          <w:gridAfter w:val="1"/>
          <w:wAfter w:w="523" w:type="dxa"/>
          <w:trHeight w:val="160"/>
          <w:jc w:val="center"/>
        </w:trPr>
        <w:tc>
          <w:tcPr>
            <w:tcW w:w="1748" w:type="dxa"/>
          </w:tcPr>
          <w:p w14:paraId="16FCD6B7" w14:textId="77777777" w:rsidR="00EC5D51" w:rsidRPr="00D25A7C" w:rsidRDefault="00EC5D51" w:rsidP="00CA23A3">
            <w:pPr>
              <w:spacing w:beforeLines="40" w:before="96" w:afterLines="40" w:after="96" w:line="264" w:lineRule="auto"/>
              <w:ind w:firstLine="567"/>
              <w:jc w:val="both"/>
              <w:rPr>
                <w:b/>
                <w:bCs/>
                <w:i/>
                <w:iCs/>
              </w:rPr>
            </w:pPr>
          </w:p>
        </w:tc>
        <w:tc>
          <w:tcPr>
            <w:tcW w:w="604" w:type="dxa"/>
          </w:tcPr>
          <w:p w14:paraId="7CC5E57C" w14:textId="77777777" w:rsidR="00EC5D51" w:rsidRPr="00D25A7C" w:rsidRDefault="00EC5D51" w:rsidP="00CA23A3">
            <w:pPr>
              <w:spacing w:beforeLines="40" w:before="96" w:afterLines="40" w:after="96" w:line="264" w:lineRule="auto"/>
              <w:ind w:firstLine="567"/>
              <w:jc w:val="both"/>
              <w:rPr>
                <w:b/>
                <w:bCs/>
                <w:i/>
                <w:iCs/>
                <w:color w:val="FF0000"/>
              </w:rPr>
            </w:pPr>
          </w:p>
        </w:tc>
        <w:tc>
          <w:tcPr>
            <w:tcW w:w="2212" w:type="dxa"/>
            <w:hideMark/>
          </w:tcPr>
          <w:p w14:paraId="4F01B4AE" w14:textId="77777777" w:rsidR="00EC5D51" w:rsidRPr="00D25A7C" w:rsidRDefault="00EC5D51" w:rsidP="00CA23A3">
            <w:pPr>
              <w:spacing w:beforeLines="40" w:before="96" w:afterLines="40" w:after="96" w:line="264" w:lineRule="auto"/>
              <w:ind w:firstLine="567"/>
              <w:jc w:val="both"/>
              <w:rPr>
                <w:b/>
                <w:bCs/>
                <w:i/>
                <w:iCs/>
              </w:rPr>
            </w:pPr>
            <w:r w:rsidRPr="00D25A7C">
              <w:rPr>
                <w:noProof/>
                <w:lang w:val="en-US"/>
              </w:rPr>
              <mc:AlternateContent>
                <mc:Choice Requires="wps">
                  <w:drawing>
                    <wp:anchor distT="0" distB="0" distL="114300" distR="114300" simplePos="0" relativeHeight="251674112" behindDoc="0" locked="0" layoutInCell="1" allowOverlap="1" wp14:anchorId="67F925BA" wp14:editId="5C294C6D">
                      <wp:simplePos x="0" y="0"/>
                      <wp:positionH relativeFrom="column">
                        <wp:posOffset>98425</wp:posOffset>
                      </wp:positionH>
                      <wp:positionV relativeFrom="paragraph">
                        <wp:posOffset>36195</wp:posOffset>
                      </wp:positionV>
                      <wp:extent cx="125730" cy="90170"/>
                      <wp:effectExtent l="0" t="0" r="0" b="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A59DE" id="Rectangle 7" o:spid="_x0000_s1026" style="position:absolute;margin-left:7.75pt;margin-top:2.85pt;width:9.9pt;height:7.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" fillcolor="#c00000" stroked="f" strokeweight="1pt"/>
                  </w:pict>
                </mc:Fallback>
              </mc:AlternateContent>
            </w:r>
            <w:r w:rsidRPr="00D25A7C">
              <w:rPr>
                <w:rFonts w:ascii="Arial" w:hAnsi="Arial" w:cs="Arial"/>
                <w:b/>
                <w:bCs/>
                <w:iCs/>
                <w:sz w:val="16"/>
                <w:szCs w:val="16"/>
              </w:rPr>
              <w:t>Export of goods</w:t>
            </w:r>
          </w:p>
        </w:tc>
        <w:tc>
          <w:tcPr>
            <w:tcW w:w="2770" w:type="dxa"/>
            <w:hideMark/>
          </w:tcPr>
          <w:p w14:paraId="0F7D455D" w14:textId="77777777" w:rsidR="00EC5D51" w:rsidRPr="00D25A7C" w:rsidRDefault="00EC5D51" w:rsidP="00CA23A3">
            <w:pPr>
              <w:spacing w:beforeLines="40" w:before="96" w:afterLines="40" w:after="96" w:line="264" w:lineRule="auto"/>
              <w:ind w:firstLine="567"/>
              <w:jc w:val="both"/>
              <w:rPr>
                <w:b/>
                <w:bCs/>
                <w:i/>
                <w:iCs/>
              </w:rPr>
            </w:pPr>
            <w:r w:rsidRPr="00D25A7C">
              <w:rPr>
                <w:noProof/>
                <w:lang w:val="en-US"/>
              </w:rPr>
              <mc:AlternateContent>
                <mc:Choice Requires="wps">
                  <w:drawing>
                    <wp:anchor distT="0" distB="0" distL="114300" distR="114300" simplePos="0" relativeHeight="251675136" behindDoc="0" locked="0" layoutInCell="1" allowOverlap="1" wp14:anchorId="3765D51A" wp14:editId="58AD28AD">
                      <wp:simplePos x="0" y="0"/>
                      <wp:positionH relativeFrom="column">
                        <wp:posOffset>109855</wp:posOffset>
                      </wp:positionH>
                      <wp:positionV relativeFrom="paragraph">
                        <wp:posOffset>36195</wp:posOffset>
                      </wp:positionV>
                      <wp:extent cx="125730" cy="90170"/>
                      <wp:effectExtent l="0" t="0" r="26670" b="2413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cap="flat" cmpd="sng" algn="ctr">
                                <a:solidFill>
                                  <a:srgbClr val="E7E6E6">
                                    <a:lumMod val="2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550BB" id="Rectangle 6" o:spid="_x0000_s1026" style="position:absolute;margin-left:8.65pt;margin-top:2.85pt;width:9.9pt;height:7.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" fillcolor="yellow" strokecolor="#3b3838" strokeweight=".5pt">
                      <v:path arrowok="t"/>
                    </v:rect>
                  </w:pict>
                </mc:Fallback>
              </mc:AlternateContent>
            </w:r>
            <w:r w:rsidRPr="00D25A7C">
              <w:rPr>
                <w:rFonts w:ascii="Arial" w:hAnsi="Arial" w:cs="Arial"/>
                <w:b/>
                <w:bCs/>
                <w:iCs/>
                <w:sz w:val="16"/>
                <w:szCs w:val="16"/>
              </w:rPr>
              <w:t>Import of goods</w:t>
            </w:r>
          </w:p>
        </w:tc>
        <w:tc>
          <w:tcPr>
            <w:tcW w:w="1413" w:type="dxa"/>
          </w:tcPr>
          <w:p w14:paraId="53DAC592" w14:textId="77777777" w:rsidR="00EC5D51" w:rsidRPr="00D25A7C" w:rsidRDefault="00EC5D51" w:rsidP="00CA23A3">
            <w:pPr>
              <w:spacing w:beforeLines="40" w:before="96" w:afterLines="40" w:after="96" w:line="264" w:lineRule="auto"/>
              <w:ind w:firstLine="567"/>
              <w:jc w:val="both"/>
              <w:rPr>
                <w:b/>
                <w:bCs/>
                <w:i/>
                <w:iCs/>
              </w:rPr>
            </w:pPr>
          </w:p>
        </w:tc>
      </w:tr>
    </w:tbl>
    <w:p w14:paraId="72281938" w14:textId="77777777" w:rsidR="00EC5D51" w:rsidRPr="00D25A7C" w:rsidRDefault="00EC5D51" w:rsidP="00EC5D51">
      <w:pPr>
        <w:spacing w:beforeLines="40" w:before="96" w:afterLines="40" w:after="96" w:line="264" w:lineRule="auto"/>
        <w:ind w:firstLine="567"/>
        <w:jc w:val="both"/>
        <w:rPr>
          <w:iCs/>
        </w:rPr>
      </w:pPr>
      <w:r w:rsidRPr="00D25A7C">
        <w:rPr>
          <w:i/>
          <w:lang w:val="en-US"/>
        </w:rPr>
        <w:lastRenderedPageBreak/>
        <w:t>The trade balance of goods</w:t>
      </w:r>
      <w:r w:rsidRPr="00D25A7C">
        <w:rPr>
          <w:iCs/>
          <w:lang w:val="en-US"/>
        </w:rPr>
        <w:t xml:space="preserve"> in </w:t>
      </w:r>
      <w:r>
        <w:rPr>
          <w:iCs/>
          <w:lang w:val="en-US"/>
        </w:rPr>
        <w:t>June</w:t>
      </w:r>
      <w:r w:rsidRPr="00D25A7C">
        <w:rPr>
          <w:iCs/>
        </w:rPr>
        <w:t xml:space="preserve"> had a trade </w:t>
      </w:r>
      <w:r>
        <w:rPr>
          <w:iCs/>
        </w:rPr>
        <w:t>surplus</w:t>
      </w:r>
      <w:r w:rsidRPr="00D25A7C">
        <w:rPr>
          <w:iCs/>
        </w:rPr>
        <w:t xml:space="preserve"> of </w:t>
      </w:r>
      <w:r>
        <w:rPr>
          <w:iCs/>
        </w:rPr>
        <w:t xml:space="preserve">3.2 </w:t>
      </w:r>
      <w:r w:rsidRPr="00D25A7C">
        <w:rPr>
          <w:iCs/>
        </w:rPr>
        <w:t>billion USD</w:t>
      </w:r>
      <w:r w:rsidRPr="00D25A7C">
        <w:rPr>
          <w:vertAlign w:val="superscript"/>
        </w:rPr>
        <w:footnoteReference w:id="22"/>
      </w:r>
      <w:r w:rsidRPr="00D25A7C">
        <w:rPr>
          <w:iCs/>
        </w:rPr>
        <w:t xml:space="preserve">; the first </w:t>
      </w:r>
      <w:r>
        <w:rPr>
          <w:iCs/>
        </w:rPr>
        <w:t>six</w:t>
      </w:r>
      <w:r w:rsidRPr="00D25A7C">
        <w:rPr>
          <w:iCs/>
        </w:rPr>
        <w:t xml:space="preserve"> months of 2024 had a trade surplus of </w:t>
      </w:r>
      <w:r>
        <w:rPr>
          <w:iCs/>
        </w:rPr>
        <w:t>11.96</w:t>
      </w:r>
      <w:r w:rsidRPr="00D25A7C">
        <w:rPr>
          <w:iCs/>
        </w:rPr>
        <w:t xml:space="preserve"> billion USD; </w:t>
      </w:r>
      <w:r>
        <w:rPr>
          <w:iCs/>
        </w:rPr>
        <w:t>July</w:t>
      </w:r>
      <w:r w:rsidRPr="00D25A7C">
        <w:rPr>
          <w:iCs/>
        </w:rPr>
        <w:t xml:space="preserve"> was estimated to have a trade surplus of </w:t>
      </w:r>
      <w:r>
        <w:rPr>
          <w:iCs/>
        </w:rPr>
        <w:t>2.12</w:t>
      </w:r>
      <w:r w:rsidRPr="00D25A7C">
        <w:rPr>
          <w:iCs/>
        </w:rPr>
        <w:t xml:space="preserve"> billion USD. </w:t>
      </w:r>
      <w:proofErr w:type="gramStart"/>
      <w:r w:rsidRPr="00D25A7C">
        <w:rPr>
          <w:iCs/>
        </w:rPr>
        <w:t>Generally</w:t>
      </w:r>
      <w:proofErr w:type="gramEnd"/>
      <w:r w:rsidRPr="00D25A7C">
        <w:rPr>
          <w:iCs/>
        </w:rPr>
        <w:t xml:space="preserve"> in </w:t>
      </w:r>
      <w:r>
        <w:rPr>
          <w:iCs/>
        </w:rPr>
        <w:t>seven months</w:t>
      </w:r>
      <w:r w:rsidRPr="00D25A7C">
        <w:rPr>
          <w:iCs/>
        </w:rPr>
        <w:t xml:space="preserve"> of 2024, the trade balance of goods is estimated to have a trade surplus of </w:t>
      </w:r>
      <w:r>
        <w:rPr>
          <w:iCs/>
        </w:rPr>
        <w:t>14.08</w:t>
      </w:r>
      <w:r w:rsidRPr="00D25A7C">
        <w:rPr>
          <w:iCs/>
        </w:rPr>
        <w:t xml:space="preserve"> billion USD (in the same period last year, the trade surplus of 1</w:t>
      </w:r>
      <w:r>
        <w:rPr>
          <w:iCs/>
        </w:rPr>
        <w:t>6.5</w:t>
      </w:r>
      <w:r w:rsidRPr="00D25A7C">
        <w:rPr>
          <w:iCs/>
        </w:rPr>
        <w:t xml:space="preserve"> billion USD). Of which, the domestic economic sector has a trade deficit of 1</w:t>
      </w:r>
      <w:r>
        <w:rPr>
          <w:iCs/>
        </w:rPr>
        <w:t>4.92</w:t>
      </w:r>
      <w:r w:rsidRPr="00D25A7C">
        <w:rPr>
          <w:iCs/>
        </w:rPr>
        <w:t xml:space="preserve"> billion USD; the FDI sector (including crude oil) had a trade surplus of </w:t>
      </w:r>
      <w:r>
        <w:rPr>
          <w:iCs/>
        </w:rPr>
        <w:t>29</w:t>
      </w:r>
      <w:r w:rsidRPr="00D25A7C">
        <w:rPr>
          <w:iCs/>
        </w:rPr>
        <w:t xml:space="preserve"> billion USD.</w:t>
      </w:r>
    </w:p>
    <w:p w14:paraId="0EE72B50" w14:textId="2AD89C1A" w:rsidR="005222A3" w:rsidRPr="003D0208" w:rsidRDefault="005222A3" w:rsidP="005222A3">
      <w:pPr>
        <w:spacing w:after="120" w:line="264" w:lineRule="auto"/>
        <w:ind w:firstLine="567"/>
        <w:jc w:val="both"/>
        <w:rPr>
          <w:b/>
          <w:bCs/>
          <w:i/>
          <w:iCs/>
        </w:rPr>
      </w:pPr>
      <w:r w:rsidRPr="00DE1D70">
        <w:rPr>
          <w:b/>
          <w:bCs/>
          <w:i/>
          <w:iCs/>
        </w:rPr>
        <w:t>c) Consumer price index, gold price index and US dollar price index</w:t>
      </w:r>
    </w:p>
    <w:p w14:paraId="4088D59F" w14:textId="77777777" w:rsidR="00EC5D51" w:rsidRPr="00C84098" w:rsidRDefault="00EC5D51" w:rsidP="00EC5D51">
      <w:pPr>
        <w:spacing w:after="160" w:line="259" w:lineRule="auto"/>
        <w:jc w:val="both"/>
        <w:rPr>
          <w:i/>
          <w:iCs/>
        </w:rPr>
      </w:pPr>
    </w:p>
    <w:p w14:paraId="5C77FF50" w14:textId="77777777" w:rsidR="00EC5D51" w:rsidRPr="00FC383C" w:rsidRDefault="00EC5D51" w:rsidP="00EC5D51">
      <w:pPr>
        <w:pStyle w:val="NormalWeb"/>
        <w:spacing w:before="0" w:beforeAutospacing="0" w:after="120" w:afterAutospacing="0" w:line="288" w:lineRule="auto"/>
        <w:jc w:val="both"/>
        <w:rPr>
          <w:i/>
          <w:sz w:val="28"/>
          <w:szCs w:val="28"/>
        </w:rPr>
      </w:pPr>
      <w:r w:rsidRPr="00C84098">
        <w:br/>
      </w:r>
      <w:r>
        <w:rPr>
          <w:i/>
          <w:sz w:val="28"/>
          <w:szCs w:val="28"/>
        </w:rPr>
        <w:tab/>
      </w:r>
      <w:r w:rsidRPr="00FC383C">
        <w:rPr>
          <w:i/>
          <w:sz w:val="28"/>
          <w:szCs w:val="28"/>
        </w:rPr>
        <w:t xml:space="preserve">Domestic gasoline prices increased according to world prices, domestic electricity demand increased, and health insurance premiums were adjusted according to the new base salary. These are the main reasons for the monthly consumer price index (CPI) July 2024 </w:t>
      </w:r>
      <w:r w:rsidRPr="00FC383C">
        <w:rPr>
          <w:i/>
          <w:sz w:val="28"/>
          <w:szCs w:val="28"/>
          <w:lang w:val="en-GB"/>
        </w:rPr>
        <w:t>increase</w:t>
      </w:r>
      <w:r w:rsidRPr="00FC383C">
        <w:rPr>
          <w:i/>
          <w:sz w:val="28"/>
          <w:szCs w:val="28"/>
          <w:lang w:val="vi-VN"/>
        </w:rPr>
        <w:t xml:space="preserve"> </w:t>
      </w:r>
      <w:r w:rsidRPr="00FC383C">
        <w:rPr>
          <w:i/>
          <w:sz w:val="28"/>
          <w:szCs w:val="28"/>
        </w:rPr>
        <w:t>0.48% compared to last month. Compared to December 2023, CPI</w:t>
      </w:r>
      <w:r>
        <w:rPr>
          <w:i/>
          <w:sz w:val="28"/>
          <w:szCs w:val="28"/>
        </w:rPr>
        <w:t xml:space="preserve"> in July</w:t>
      </w:r>
      <w:r w:rsidRPr="00FC383C">
        <w:rPr>
          <w:i/>
          <w:sz w:val="28"/>
          <w:szCs w:val="28"/>
        </w:rPr>
        <w:t xml:space="preserve"> increased by 1.89% and compared to the same period last year increased by 4.36%.</w:t>
      </w:r>
    </w:p>
    <w:p w14:paraId="028A9601" w14:textId="77777777" w:rsidR="00EC5D51" w:rsidRDefault="00EC5D51" w:rsidP="00EC5D51">
      <w:pPr>
        <w:pStyle w:val="NormalWeb"/>
        <w:spacing w:before="0" w:beforeAutospacing="0" w:after="120" w:afterAutospacing="0" w:line="288" w:lineRule="auto"/>
        <w:ind w:firstLine="720"/>
        <w:jc w:val="both"/>
        <w:rPr>
          <w:i/>
          <w:sz w:val="28"/>
          <w:szCs w:val="28"/>
          <w:lang w:val="nl-NL"/>
        </w:rPr>
      </w:pPr>
      <w:r w:rsidRPr="00FC383C">
        <w:rPr>
          <w:i/>
          <w:sz w:val="28"/>
          <w:szCs w:val="28"/>
          <w:lang w:val="nl-NL"/>
        </w:rPr>
        <w:t xml:space="preserve">On average, in the seven </w:t>
      </w:r>
      <w:r w:rsidRPr="00FC383C">
        <w:rPr>
          <w:i/>
          <w:sz w:val="28"/>
          <w:szCs w:val="28"/>
          <w:lang w:val="vi-VN"/>
        </w:rPr>
        <w:t xml:space="preserve">months </w:t>
      </w:r>
      <w:r w:rsidRPr="00FC383C">
        <w:rPr>
          <w:i/>
          <w:sz w:val="28"/>
          <w:szCs w:val="28"/>
          <w:lang w:val="nl-NL"/>
        </w:rPr>
        <w:t xml:space="preserve">of 2024, CPI increased by 4.12% over the same period last year; </w:t>
      </w:r>
      <w:r>
        <w:rPr>
          <w:i/>
          <w:sz w:val="28"/>
          <w:szCs w:val="28"/>
          <w:lang w:val="nl-NL"/>
        </w:rPr>
        <w:t>c</w:t>
      </w:r>
      <w:r w:rsidRPr="00FC383C">
        <w:rPr>
          <w:i/>
          <w:sz w:val="28"/>
          <w:szCs w:val="28"/>
          <w:lang w:val="nl-NL"/>
        </w:rPr>
        <w:t>ore inflation increased by 2.73%.</w:t>
      </w:r>
    </w:p>
    <w:p w14:paraId="19A95418" w14:textId="77777777" w:rsidR="00EC5D51" w:rsidRDefault="00EC5D51" w:rsidP="00EC5D51">
      <w:pPr>
        <w:pStyle w:val="NormalWeb"/>
        <w:spacing w:before="60" w:beforeAutospacing="0" w:after="20" w:afterAutospacing="0" w:line="252" w:lineRule="auto"/>
        <w:jc w:val="center"/>
        <w:rPr>
          <w:rFonts w:ascii="Arial" w:hAnsi="Arial" w:cs="Arial"/>
          <w:b/>
          <w:lang w:val="nl-NL"/>
        </w:rPr>
      </w:pPr>
      <w:r w:rsidRPr="00CE6A2A">
        <w:rPr>
          <w:rFonts w:ascii="Arial" w:hAnsi="Arial" w:cs="Arial"/>
          <w:b/>
          <w:lang w:val="nl-NL"/>
        </w:rPr>
        <w:t>Figure 1</w:t>
      </w:r>
      <w:r>
        <w:rPr>
          <w:rFonts w:ascii="Arial" w:hAnsi="Arial" w:cs="Arial"/>
          <w:b/>
          <w:lang w:val="nl-NL"/>
        </w:rPr>
        <w:t>5</w:t>
      </w:r>
      <w:r w:rsidRPr="00CE6A2A">
        <w:rPr>
          <w:rFonts w:ascii="Arial" w:hAnsi="Arial" w:cs="Arial"/>
          <w:b/>
          <w:lang w:val="nl-NL"/>
        </w:rPr>
        <w:t xml:space="preserve">. </w:t>
      </w:r>
      <w:r>
        <w:rPr>
          <w:rFonts w:ascii="Arial" w:hAnsi="Arial" w:cs="Arial"/>
          <w:b/>
          <w:lang w:val="nl-NL"/>
        </w:rPr>
        <w:t xml:space="preserve">CPI growth rate </w:t>
      </w:r>
      <w:r w:rsidRPr="00CE6A2A">
        <w:rPr>
          <w:rFonts w:ascii="Arial" w:hAnsi="Arial" w:cs="Arial"/>
          <w:b/>
          <w:lang w:val="nl-NL"/>
        </w:rPr>
        <w:t xml:space="preserve">in </w:t>
      </w:r>
      <w:r>
        <w:rPr>
          <w:rFonts w:ascii="Arial" w:hAnsi="Arial" w:cs="Arial"/>
          <w:b/>
          <w:lang w:val="nl-NL"/>
        </w:rPr>
        <w:t>7/</w:t>
      </w:r>
      <w:r w:rsidRPr="00CE6A2A">
        <w:rPr>
          <w:rFonts w:ascii="Arial" w:hAnsi="Arial" w:cs="Arial"/>
          <w:b/>
          <w:lang w:val="nl-NL"/>
        </w:rPr>
        <w:t>2024 compared to the previous month</w:t>
      </w:r>
    </w:p>
    <w:p w14:paraId="100BEB40" w14:textId="77777777" w:rsidR="00EC5D51" w:rsidRPr="00C84098" w:rsidRDefault="00EC5D51" w:rsidP="00EC5D51">
      <w:pPr>
        <w:pStyle w:val="NormalWeb"/>
        <w:spacing w:before="0" w:beforeAutospacing="0" w:after="120" w:afterAutospacing="0" w:line="288" w:lineRule="auto"/>
        <w:ind w:firstLine="720"/>
        <w:jc w:val="both"/>
        <w:rPr>
          <w:i/>
          <w:sz w:val="28"/>
          <w:szCs w:val="28"/>
          <w:lang w:val="nl-NL"/>
        </w:rPr>
      </w:pPr>
      <w:r>
        <w:rPr>
          <w:noProof/>
          <w14:ligatures w14:val="standardContextual"/>
        </w:rPr>
        <w:drawing>
          <wp:inline distT="0" distB="0" distL="0" distR="0" wp14:anchorId="35AFCA00" wp14:editId="33E523B7">
            <wp:extent cx="5972175" cy="3747135"/>
            <wp:effectExtent l="0" t="0" r="9525" b="5715"/>
            <wp:docPr id="197436570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4CA827" w14:textId="77777777" w:rsidR="00EC5D51" w:rsidRPr="00FC383C" w:rsidRDefault="00EC5D51" w:rsidP="00EC5D51">
      <w:pPr>
        <w:widowControl w:val="0"/>
        <w:spacing w:after="120" w:line="288" w:lineRule="auto"/>
        <w:ind w:firstLine="720"/>
        <w:jc w:val="both"/>
        <w:rPr>
          <w:rFonts w:eastAsia="Calibri"/>
          <w:lang w:val="nl-NL"/>
        </w:rPr>
      </w:pPr>
      <w:r w:rsidRPr="00FC383C">
        <w:rPr>
          <w:rFonts w:eastAsia="Calibri"/>
          <w:lang w:val="nl-NL"/>
        </w:rPr>
        <w:t xml:space="preserve">In the 0.48% increase in CPI in July 2024 compared to the previous month, </w:t>
      </w:r>
      <w:r w:rsidRPr="00FC383C">
        <w:rPr>
          <w:rFonts w:eastAsia="Calibri"/>
          <w:lang w:val="nl-NL"/>
        </w:rPr>
        <w:lastRenderedPageBreak/>
        <w:t xml:space="preserve">there were 10 groups of goods and services with increased price indexes; </w:t>
      </w:r>
      <w:r>
        <w:rPr>
          <w:rFonts w:eastAsia="Calibri"/>
          <w:lang w:val="nl-NL"/>
        </w:rPr>
        <w:t>p</w:t>
      </w:r>
      <w:r w:rsidRPr="00FC383C">
        <w:rPr>
          <w:rFonts w:eastAsia="Calibri"/>
          <w:lang w:val="nl-NL"/>
        </w:rPr>
        <w:t>articularly, postal and communication groups have stable prices.</w:t>
      </w:r>
    </w:p>
    <w:p w14:paraId="7BDBB8F4"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lang w:val="es-NI"/>
        </w:rPr>
        <w:t>Ten groups of goods and services with increased price indexes include:</w:t>
      </w:r>
    </w:p>
    <w:p w14:paraId="37537236"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Other </w:t>
      </w:r>
      <w:r>
        <w:rPr>
          <w:rFonts w:eastAsia="Calibri"/>
          <w:i/>
          <w:iCs/>
          <w:lang w:val="es-NI"/>
        </w:rPr>
        <w:t xml:space="preserve">consumer </w:t>
      </w:r>
      <w:r w:rsidRPr="00FC383C">
        <w:rPr>
          <w:rFonts w:eastAsia="Calibri"/>
          <w:i/>
          <w:iCs/>
          <w:lang w:val="es-NI"/>
        </w:rPr>
        <w:t xml:space="preserve">goods and services group </w:t>
      </w:r>
      <w:r w:rsidRPr="00FC383C">
        <w:rPr>
          <w:rFonts w:eastAsia="Calibri"/>
          <w:lang w:val="es-NI"/>
        </w:rPr>
        <w:t>increased by 3.77% mainly due to health insurance price increasing by 28.45% when the base salary was adjusted from 1.8 million VND/month to 2.34 million VND/</w:t>
      </w:r>
      <w:proofErr w:type="gramStart"/>
      <w:r w:rsidRPr="00FC383C">
        <w:rPr>
          <w:rFonts w:eastAsia="Calibri"/>
          <w:lang w:val="es-NI"/>
        </w:rPr>
        <w:t>month .</w:t>
      </w:r>
      <w:proofErr w:type="gramEnd"/>
      <w:r w:rsidRPr="00FC383C">
        <w:rPr>
          <w:rFonts w:eastAsia="Calibri"/>
          <w:lang w:val="es-NI"/>
        </w:rPr>
        <w:t xml:space="preserve"> Besides, the price of elderly care services increased by 2.5% compared to the previous month; watch and jewelry repair increased by 0.47%; body care products increased by 0.24%; </w:t>
      </w:r>
      <w:r>
        <w:rPr>
          <w:rFonts w:eastAsia="Calibri"/>
          <w:lang w:val="es-NI"/>
        </w:rPr>
        <w:t>e</w:t>
      </w:r>
      <w:r w:rsidRPr="00FC383C">
        <w:rPr>
          <w:rFonts w:eastAsia="Calibri"/>
          <w:lang w:val="es-NI"/>
        </w:rPr>
        <w:t xml:space="preserve">nvironmental sanitation services increased by 0.3%. In the opposite direction, jewelry prices decreased by 0.44% according to domestic gold prices; </w:t>
      </w:r>
      <w:r>
        <w:rPr>
          <w:rFonts w:eastAsia="Calibri"/>
          <w:lang w:val="es-NI"/>
        </w:rPr>
        <w:t>e</w:t>
      </w:r>
      <w:r w:rsidRPr="00FC383C">
        <w:rPr>
          <w:rFonts w:eastAsia="Calibri"/>
          <w:lang w:val="es-NI"/>
        </w:rPr>
        <w:t>lectric appliances for personal care decreased by 0.08%.</w:t>
      </w:r>
    </w:p>
    <w:p w14:paraId="175147FA"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Transport group </w:t>
      </w:r>
      <w:r w:rsidRPr="00FC383C">
        <w:rPr>
          <w:rFonts w:eastAsia="Calibri"/>
          <w:lang w:val="es-NI"/>
        </w:rPr>
        <w:t>increased by 1.45% (</w:t>
      </w:r>
      <w:r w:rsidRPr="006B5A12">
        <w:t>making the general</w:t>
      </w:r>
      <w:r w:rsidRPr="00FC383C">
        <w:rPr>
          <w:rFonts w:eastAsia="Calibri"/>
          <w:lang w:val="es-NI"/>
        </w:rPr>
        <w:t xml:space="preserve"> CPI </w:t>
      </w:r>
      <w:r w:rsidRPr="00BA21B7">
        <w:rPr>
          <w:iCs/>
          <w:lang w:val="es-NI"/>
        </w:rPr>
        <w:t>increa</w:t>
      </w:r>
      <w:r>
        <w:rPr>
          <w:iCs/>
          <w:lang w:val="es-NI"/>
        </w:rPr>
        <w:t>se by</w:t>
      </w:r>
      <w:r w:rsidRPr="00FC383C">
        <w:rPr>
          <w:rFonts w:eastAsia="Calibri"/>
          <w:lang w:val="es-NI"/>
        </w:rPr>
        <w:t xml:space="preserve"> 0.14 percentage points), mainly due to: </w:t>
      </w:r>
      <w:r w:rsidRPr="00FC383C">
        <w:t xml:space="preserve">Diesel oil price increased by 4.07%; </w:t>
      </w:r>
      <w:r>
        <w:t>d</w:t>
      </w:r>
      <w:r w:rsidRPr="00FC383C">
        <w:t xml:space="preserve">omestic gasoline prices increased by 3.55% due to the </w:t>
      </w:r>
      <w:r w:rsidRPr="00FC383C">
        <w:rPr>
          <w:lang w:val="vi-VN"/>
        </w:rPr>
        <w:t xml:space="preserve">effects of </w:t>
      </w:r>
      <w:r w:rsidRPr="00FC383C">
        <w:t>adjustments</w:t>
      </w:r>
      <w:r w:rsidRPr="00FC383C">
        <w:rPr>
          <w:lang w:val="vi-VN"/>
        </w:rPr>
        <w:t xml:space="preserve"> </w:t>
      </w:r>
      <w:r w:rsidRPr="00FC383C">
        <w:t xml:space="preserve">price for the month. Passenger transport prices by air increased by 20.44%; railway increased by 4.4%; Passenger transport by road increased by 0.04%; </w:t>
      </w:r>
      <w:r>
        <w:t>c</w:t>
      </w:r>
      <w:r w:rsidRPr="00FC383C">
        <w:t xml:space="preserve">ombined passenger transport increased by 0.01% due to increased travel demand during the summer. Auto parts prices increased by 0.15%; </w:t>
      </w:r>
      <w:r>
        <w:t>b</w:t>
      </w:r>
      <w:r w:rsidRPr="00FC383C">
        <w:t xml:space="preserve">icycle tires and tubes increased by 0.31%; </w:t>
      </w:r>
      <w:r>
        <w:t>m</w:t>
      </w:r>
      <w:r w:rsidRPr="00FC383C">
        <w:t>otorcycle tire prices increased by 0.09%.</w:t>
      </w:r>
      <w:r w:rsidRPr="00FC383C">
        <w:rPr>
          <w:rFonts w:eastAsia="Calibri"/>
          <w:lang w:val="es-NI"/>
        </w:rPr>
        <w:t xml:space="preserve"> </w:t>
      </w:r>
      <w:r w:rsidRPr="00FC383C">
        <w:t xml:space="preserve">Vehicle maintenance service prices increased by 0.24%; </w:t>
      </w:r>
      <w:r>
        <w:t>s</w:t>
      </w:r>
      <w:r w:rsidRPr="00FC383C">
        <w:t xml:space="preserve">elf-driving car and motorbike rental fees increased by 0.15%; </w:t>
      </w:r>
      <w:r>
        <w:t>d</w:t>
      </w:r>
      <w:r w:rsidRPr="00FC383C">
        <w:t>river's license fees increased by 0.17% due to high demand. Particularly, the price of vehicles decreased by 0.18% compared to the previous month, of which the price of new cars decreased by 0.25%; motorbikes decreased by 0.16%; used cars decreased by 0.03% due to automobile manufacturing and assembling businesses applying incentive programs to encourage and support consumers in purchasing cars.</w:t>
      </w:r>
    </w:p>
    <w:p w14:paraId="24430ACD" w14:textId="77777777" w:rsidR="00EC5D51" w:rsidRPr="00FC383C" w:rsidRDefault="00EC5D51" w:rsidP="00EC5D51">
      <w:pPr>
        <w:pStyle w:val="Normal1"/>
        <w:spacing w:before="0" w:beforeAutospacing="0" w:after="120" w:afterAutospacing="0" w:line="288" w:lineRule="auto"/>
        <w:ind w:firstLine="720"/>
        <w:jc w:val="both"/>
        <w:rPr>
          <w:sz w:val="28"/>
          <w:szCs w:val="28"/>
        </w:rPr>
      </w:pPr>
      <w:r w:rsidRPr="00FC383C">
        <w:rPr>
          <w:rFonts w:eastAsia="Calibri"/>
          <w:i/>
          <w:iCs/>
          <w:sz w:val="28"/>
          <w:szCs w:val="28"/>
          <w:lang w:val="es-NI"/>
        </w:rPr>
        <w:t xml:space="preserve">- The group of housing, electricity, water, fuel and construction materials </w:t>
      </w:r>
      <w:r w:rsidRPr="00FC383C">
        <w:rPr>
          <w:rFonts w:eastAsia="Calibri"/>
          <w:sz w:val="28"/>
          <w:szCs w:val="28"/>
          <w:lang w:val="es-NI"/>
        </w:rPr>
        <w:t xml:space="preserve">increased by 0.5% mainly due to the following reasons: </w:t>
      </w:r>
      <w:r w:rsidRPr="00FC383C">
        <w:rPr>
          <w:sz w:val="28"/>
          <w:szCs w:val="28"/>
        </w:rPr>
        <w:t xml:space="preserve">Domestic electricity </w:t>
      </w:r>
      <w:r w:rsidRPr="00FC383C">
        <w:rPr>
          <w:sz w:val="28"/>
          <w:szCs w:val="28"/>
          <w:lang w:val="nl-NL"/>
        </w:rPr>
        <w:t xml:space="preserve">prices increased by 1.39%; </w:t>
      </w:r>
      <w:r w:rsidRPr="00FC383C">
        <w:rPr>
          <w:sz w:val="28"/>
          <w:szCs w:val="28"/>
        </w:rPr>
        <w:t>Domestic water increased by 0.22%</w:t>
      </w:r>
      <w:r w:rsidRPr="00FC383C">
        <w:rPr>
          <w:rStyle w:val="FootnoteReference"/>
          <w:iCs/>
          <w:sz w:val="28"/>
          <w:szCs w:val="28"/>
        </w:rPr>
        <w:footnoteReference w:id="23"/>
      </w:r>
      <w:r w:rsidRPr="00FC383C">
        <w:rPr>
          <w:sz w:val="28"/>
          <w:szCs w:val="28"/>
        </w:rPr>
        <w:t xml:space="preserve">. Kerosene prices increased by 4.02% </w:t>
      </w:r>
      <w:r w:rsidRPr="00FC383C">
        <w:rPr>
          <w:sz w:val="28"/>
          <w:szCs w:val="28"/>
          <w:lang w:val="vi-VN"/>
        </w:rPr>
        <w:t xml:space="preserve">due to the impact </w:t>
      </w:r>
      <w:r w:rsidRPr="00FC383C">
        <w:rPr>
          <w:sz w:val="28"/>
          <w:szCs w:val="28"/>
        </w:rPr>
        <w:t xml:space="preserve">of price adjustments during the month; </w:t>
      </w:r>
      <w:r>
        <w:rPr>
          <w:sz w:val="28"/>
          <w:szCs w:val="28"/>
        </w:rPr>
        <w:t>h</w:t>
      </w:r>
      <w:r w:rsidRPr="00FC383C">
        <w:rPr>
          <w:sz w:val="28"/>
          <w:szCs w:val="28"/>
        </w:rPr>
        <w:t xml:space="preserve">ouse rent increased by 0.2%; </w:t>
      </w:r>
      <w:r>
        <w:rPr>
          <w:sz w:val="28"/>
          <w:szCs w:val="28"/>
        </w:rPr>
        <w:t>p</w:t>
      </w:r>
      <w:r w:rsidRPr="00FC383C">
        <w:rPr>
          <w:sz w:val="28"/>
          <w:szCs w:val="28"/>
        </w:rPr>
        <w:t xml:space="preserve">rices of housing maintenance materials increased by 0.08%. </w:t>
      </w:r>
      <w:r w:rsidRPr="00FC383C">
        <w:rPr>
          <w:sz w:val="28"/>
          <w:szCs w:val="28"/>
          <w:lang w:val="vi-VN"/>
        </w:rPr>
        <w:t xml:space="preserve">Gas prices </w:t>
      </w:r>
      <w:r w:rsidRPr="00FC383C">
        <w:rPr>
          <w:sz w:val="28"/>
          <w:szCs w:val="28"/>
        </w:rPr>
        <w:t xml:space="preserve">alone decreased </w:t>
      </w:r>
      <w:r w:rsidRPr="00FC383C">
        <w:rPr>
          <w:sz w:val="28"/>
          <w:szCs w:val="28"/>
          <w:lang w:val="nl-NL"/>
        </w:rPr>
        <w:t>by 0.01</w:t>
      </w:r>
      <w:r w:rsidRPr="00FC383C">
        <w:rPr>
          <w:sz w:val="28"/>
          <w:szCs w:val="28"/>
          <w:lang w:val="vi-VN"/>
        </w:rPr>
        <w:t xml:space="preserve">% compared to last month </w:t>
      </w:r>
      <w:r w:rsidRPr="00FC383C">
        <w:rPr>
          <w:sz w:val="28"/>
          <w:szCs w:val="28"/>
        </w:rPr>
        <w:t xml:space="preserve">because </w:t>
      </w:r>
      <w:r w:rsidRPr="00FC383C">
        <w:rPr>
          <w:sz w:val="28"/>
          <w:szCs w:val="28"/>
          <w:lang w:val="nl-NL"/>
        </w:rPr>
        <w:t xml:space="preserve">some stores reduced prices to stimulate consumer demand </w:t>
      </w:r>
      <w:r w:rsidRPr="00FC383C">
        <w:rPr>
          <w:sz w:val="28"/>
          <w:szCs w:val="28"/>
          <w:lang w:val="vi-VN"/>
        </w:rPr>
        <w:t>.</w:t>
      </w:r>
    </w:p>
    <w:p w14:paraId="3B02312A" w14:textId="77777777" w:rsidR="00EC5D51" w:rsidRPr="00FC383C" w:rsidRDefault="00EC5D51" w:rsidP="00EC5D51">
      <w:pPr>
        <w:tabs>
          <w:tab w:val="left" w:pos="993"/>
        </w:tabs>
        <w:spacing w:after="120" w:line="288" w:lineRule="auto"/>
        <w:ind w:firstLine="720"/>
        <w:jc w:val="both"/>
        <w:rPr>
          <w:iCs/>
          <w:lang w:val="es-NI"/>
        </w:rPr>
      </w:pPr>
      <w:r w:rsidRPr="00FC383C">
        <w:rPr>
          <w:i/>
          <w:lang w:val="nl-NL"/>
        </w:rPr>
        <w:lastRenderedPageBreak/>
        <w:t xml:space="preserve">- </w:t>
      </w:r>
      <w:r w:rsidRPr="00FC383C">
        <w:rPr>
          <w:i/>
          <w:iCs/>
          <w:lang w:val="es-NI"/>
        </w:rPr>
        <w:t>The food and food</w:t>
      </w:r>
      <w:r>
        <w:rPr>
          <w:i/>
          <w:iCs/>
          <w:lang w:val="es-NI"/>
        </w:rPr>
        <w:t>stuff</w:t>
      </w:r>
      <w:r w:rsidRPr="00FC383C">
        <w:rPr>
          <w:i/>
          <w:iCs/>
          <w:lang w:val="es-NI"/>
        </w:rPr>
        <w:t xml:space="preserve"> service group </w:t>
      </w:r>
      <w:r w:rsidRPr="00FC383C">
        <w:rPr>
          <w:iCs/>
          <w:lang w:val="es-NI"/>
        </w:rPr>
        <w:t>increased by 0.26% (</w:t>
      </w:r>
      <w:r w:rsidRPr="006B5A12">
        <w:t>making the general</w:t>
      </w:r>
      <w:r w:rsidRPr="00FC383C">
        <w:rPr>
          <w:rFonts w:eastAsia="Calibri"/>
          <w:lang w:val="es-NI"/>
        </w:rPr>
        <w:t xml:space="preserve"> CPI </w:t>
      </w:r>
      <w:r w:rsidRPr="00BA21B7">
        <w:rPr>
          <w:iCs/>
          <w:lang w:val="es-NI"/>
        </w:rPr>
        <w:t>increa</w:t>
      </w:r>
      <w:r>
        <w:rPr>
          <w:iCs/>
          <w:lang w:val="es-NI"/>
        </w:rPr>
        <w:t>se</w:t>
      </w:r>
      <w:r w:rsidRPr="00FC383C">
        <w:rPr>
          <w:iCs/>
          <w:lang w:val="es-NI"/>
        </w:rPr>
        <w:t xml:space="preserve"> by 0.09 percentage points), of which: Food decreased</w:t>
      </w:r>
      <w:r w:rsidRPr="00FC383C">
        <w:rPr>
          <w:iCs/>
          <w:lang w:val="vi-VN"/>
        </w:rPr>
        <w:t xml:space="preserve"> </w:t>
      </w:r>
      <w:r w:rsidRPr="00FC383C">
        <w:rPr>
          <w:iCs/>
          <w:lang w:val="es-NI"/>
        </w:rPr>
        <w:t>0.03%</w:t>
      </w:r>
      <w:r w:rsidRPr="00FC383C">
        <w:rPr>
          <w:vertAlign w:val="superscript"/>
          <w:lang w:val="nl-NL"/>
        </w:rPr>
        <w:footnoteReference w:id="24"/>
      </w:r>
      <w:r w:rsidRPr="00FC383C">
        <w:rPr>
          <w:iCs/>
          <w:lang w:val="es-NI"/>
        </w:rPr>
        <w:t>; food</w:t>
      </w:r>
      <w:r>
        <w:rPr>
          <w:iCs/>
          <w:lang w:val="es-NI"/>
        </w:rPr>
        <w:t>stuff</w:t>
      </w:r>
      <w:r w:rsidRPr="00FC383C">
        <w:rPr>
          <w:iCs/>
          <w:lang w:val="es-NI"/>
        </w:rPr>
        <w:t xml:space="preserve"> increased by 0.31%</w:t>
      </w:r>
      <w:r w:rsidRPr="00FC383C">
        <w:rPr>
          <w:vertAlign w:val="superscript"/>
          <w:lang w:val="nl-NL"/>
        </w:rPr>
        <w:footnoteReference w:id="25"/>
      </w:r>
      <w:r w:rsidRPr="00FC383C">
        <w:rPr>
          <w:iCs/>
          <w:lang w:val="es-NI"/>
        </w:rPr>
        <w:t>(</w:t>
      </w:r>
      <w:r w:rsidRPr="00813B41">
        <w:t xml:space="preserve"> </w:t>
      </w:r>
      <w:r w:rsidRPr="006B5A12">
        <w:t>making the general</w:t>
      </w:r>
      <w:r w:rsidRPr="00FC383C">
        <w:rPr>
          <w:rFonts w:eastAsia="Calibri"/>
          <w:lang w:val="es-NI"/>
        </w:rPr>
        <w:t xml:space="preserve"> CPI </w:t>
      </w:r>
      <w:r w:rsidRPr="00FC383C">
        <w:rPr>
          <w:iCs/>
          <w:lang w:val="es-NI"/>
        </w:rPr>
        <w:t>to increase by 0.07 percentage points); Eating out at home increased by 0.25%</w:t>
      </w:r>
      <w:r w:rsidRPr="00FC383C">
        <w:rPr>
          <w:vertAlign w:val="superscript"/>
          <w:lang w:val="nl-NL"/>
        </w:rPr>
        <w:footnoteReference w:id="26"/>
      </w:r>
      <w:r w:rsidRPr="00FC383C">
        <w:rPr>
          <w:iCs/>
          <w:lang w:val="es-NI"/>
        </w:rPr>
        <w:t>.</w:t>
      </w:r>
    </w:p>
    <w:p w14:paraId="5E24F82A"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Culture, entertainment and tourism group </w:t>
      </w:r>
      <w:r w:rsidRPr="00FC383C">
        <w:rPr>
          <w:rFonts w:eastAsia="Calibri"/>
          <w:lang w:val="es-NI"/>
        </w:rPr>
        <w:t xml:space="preserve">increased by 0.14%, of which the price of package travel services increased by 0.23%; </w:t>
      </w:r>
      <w:r>
        <w:rPr>
          <w:rFonts w:eastAsia="Calibri"/>
          <w:lang w:val="es-NI"/>
        </w:rPr>
        <w:t>g</w:t>
      </w:r>
      <w:r w:rsidRPr="00FC383C">
        <w:rPr>
          <w:rFonts w:eastAsia="Calibri"/>
          <w:lang w:val="es-NI"/>
        </w:rPr>
        <w:t>uest houses and hotels increased by 0.43% because students had summer vacation in July, so travel demand from agencies, businesses and families increased.</w:t>
      </w:r>
    </w:p>
    <w:p w14:paraId="4B515047"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Medicines and </w:t>
      </w:r>
      <w:r>
        <w:rPr>
          <w:rFonts w:eastAsia="Calibri"/>
          <w:i/>
          <w:iCs/>
          <w:lang w:val="es-NI"/>
        </w:rPr>
        <w:t>health care</w:t>
      </w:r>
      <w:r w:rsidRPr="00FC383C">
        <w:rPr>
          <w:rFonts w:eastAsia="Calibri"/>
          <w:i/>
          <w:iCs/>
          <w:lang w:val="es-NI"/>
        </w:rPr>
        <w:t xml:space="preserve"> services group </w:t>
      </w:r>
      <w:r w:rsidRPr="00FC383C">
        <w:rPr>
          <w:rFonts w:eastAsia="Calibri"/>
          <w:lang w:val="es-NI"/>
        </w:rPr>
        <w:t xml:space="preserve">increased by 0.13%, of which inpatient medical examination and treatment prices increased by 0.19%; </w:t>
      </w:r>
      <w:r>
        <w:rPr>
          <w:rFonts w:eastAsia="Calibri"/>
          <w:lang w:val="es-NI"/>
        </w:rPr>
        <w:t>o</w:t>
      </w:r>
      <w:r w:rsidRPr="00FC383C">
        <w:rPr>
          <w:rFonts w:eastAsia="Calibri"/>
          <w:lang w:val="es-NI"/>
        </w:rPr>
        <w:t xml:space="preserve">utpatient medical examination and treatment services increased by 0.08%. The reason is that in July 2024, there will continue to be localities implementing new medical service prices according to Circular No. 22/2023/TT-BYT dated </w:t>
      </w:r>
      <w:r>
        <w:rPr>
          <w:rFonts w:eastAsia="Calibri"/>
          <w:lang w:val="es-NI"/>
        </w:rPr>
        <w:t>17/11/2023</w:t>
      </w:r>
      <w:r w:rsidRPr="00FC383C">
        <w:rPr>
          <w:rFonts w:eastAsia="Calibri"/>
          <w:lang w:val="es-NI"/>
        </w:rPr>
        <w:t xml:space="preserve"> of the Ministry of Health regulating uniform service prices. Medical examination and treatment services covered by health insurance among hospitals of the same class nationwide and instructions on applying prices and payment of medical examination and treatment costs in some cases.</w:t>
      </w:r>
    </w:p>
    <w:p w14:paraId="098198A6"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Beverage and </w:t>
      </w:r>
      <w:r>
        <w:rPr>
          <w:rFonts w:eastAsia="Calibri"/>
          <w:i/>
          <w:iCs/>
          <w:lang w:val="es-NI"/>
        </w:rPr>
        <w:t xml:space="preserve">cigarette </w:t>
      </w:r>
      <w:r w:rsidRPr="00FC383C">
        <w:rPr>
          <w:rFonts w:eastAsia="Calibri"/>
          <w:i/>
          <w:iCs/>
          <w:lang w:val="es-NI"/>
        </w:rPr>
        <w:t xml:space="preserve">group </w:t>
      </w:r>
      <w:r w:rsidRPr="00FC383C">
        <w:rPr>
          <w:rFonts w:eastAsia="Calibri"/>
          <w:lang w:val="es-NI"/>
        </w:rPr>
        <w:t xml:space="preserve">increased by 0.11% due to increased consumer demand during hot weather, specifically: Price of carbonated beverages increased by 0.22%; fruit juice increased by 0.16%; </w:t>
      </w:r>
      <w:r>
        <w:rPr>
          <w:rFonts w:eastAsia="Calibri"/>
          <w:lang w:val="es-NI"/>
        </w:rPr>
        <w:t>a</w:t>
      </w:r>
      <w:r w:rsidRPr="00FC383C">
        <w:rPr>
          <w:rFonts w:eastAsia="Calibri"/>
          <w:lang w:val="es-NI"/>
        </w:rPr>
        <w:t xml:space="preserve">ll kinds of beer and bottled, canned, and canned energy drinks all increased by 0.08%; </w:t>
      </w:r>
      <w:r>
        <w:rPr>
          <w:rFonts w:eastAsia="Calibri"/>
          <w:lang w:val="es-NI"/>
        </w:rPr>
        <w:t>w</w:t>
      </w:r>
      <w:r w:rsidRPr="00FC383C">
        <w:rPr>
          <w:rFonts w:eastAsia="Calibri"/>
          <w:lang w:val="es-NI"/>
        </w:rPr>
        <w:t>ine of all kinds increased slightly by 0.02%. Cigarette prices increased by 0.2% compared to the previous month.</w:t>
      </w:r>
    </w:p>
    <w:p w14:paraId="4BC9DE83"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Household equipment </w:t>
      </w:r>
      <w:r>
        <w:rPr>
          <w:rFonts w:eastAsia="Calibri"/>
          <w:i/>
          <w:iCs/>
          <w:lang w:val="es-NI"/>
        </w:rPr>
        <w:t xml:space="preserve">and goods </w:t>
      </w:r>
      <w:r w:rsidRPr="00FC383C">
        <w:rPr>
          <w:rFonts w:eastAsia="Calibri"/>
          <w:i/>
          <w:iCs/>
          <w:lang w:val="es-NI"/>
        </w:rPr>
        <w:t xml:space="preserve">group </w:t>
      </w:r>
      <w:r w:rsidRPr="00FC383C">
        <w:rPr>
          <w:rFonts w:eastAsia="Calibri"/>
          <w:lang w:val="es-NI"/>
        </w:rPr>
        <w:t xml:space="preserve">increased by 0.07% due to increased labor costs. In particular, air conditioning repair services increased by </w:t>
      </w:r>
      <w:r w:rsidRPr="00FC383C">
        <w:rPr>
          <w:rFonts w:eastAsia="Calibri"/>
          <w:lang w:val="es-NI"/>
        </w:rPr>
        <w:lastRenderedPageBreak/>
        <w:t xml:space="preserve">0.42% compared to the previous month; washing machine repair services increased by 0.31%; </w:t>
      </w:r>
      <w:r>
        <w:rPr>
          <w:rFonts w:eastAsia="Calibri"/>
          <w:lang w:val="es-NI"/>
        </w:rPr>
        <w:t>m</w:t>
      </w:r>
      <w:r w:rsidRPr="00FC383C">
        <w:rPr>
          <w:rFonts w:eastAsia="Calibri"/>
          <w:lang w:val="es-NI"/>
        </w:rPr>
        <w:t xml:space="preserve">otor equipment repair increased by 0.12%; washing machines increased by 0.22%; beds, wardrobes, tables and chairs increased by 0.17%; </w:t>
      </w:r>
      <w:r>
        <w:rPr>
          <w:rFonts w:eastAsia="Calibri"/>
          <w:lang w:val="es-NI"/>
        </w:rPr>
        <w:t>w</w:t>
      </w:r>
      <w:r w:rsidRPr="00FC383C">
        <w:rPr>
          <w:rFonts w:eastAsia="Calibri"/>
          <w:lang w:val="es-NI"/>
        </w:rPr>
        <w:t>aiter hiring increased by 0.16%. On the contrary, some items' prices decreased compared to last month because many stores continued to apply shopping stimulus programs such as: Prices of egg beaters and multi-function mixers decreased by 1.28%; gas stove decreased by 0.32%; rice cookers decreased by 0.24%; printers, projectors, and scanners decreased by 0.23%; buffer decreased by 0.22%; bathroom water heater decreased by 0.17%; vacuum cleaners decreased by 0.15%.</w:t>
      </w:r>
    </w:p>
    <w:p w14:paraId="1A6A2900"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Garment, </w:t>
      </w:r>
      <w:r>
        <w:rPr>
          <w:rFonts w:eastAsia="Calibri"/>
          <w:i/>
          <w:iCs/>
          <w:lang w:val="es-NI"/>
        </w:rPr>
        <w:t>hat</w:t>
      </w:r>
      <w:r w:rsidRPr="00FC383C">
        <w:rPr>
          <w:rFonts w:eastAsia="Calibri"/>
          <w:i/>
          <w:iCs/>
          <w:lang w:val="es-NI"/>
        </w:rPr>
        <w:t xml:space="preserve"> and footwear group </w:t>
      </w:r>
      <w:r w:rsidRPr="00FC383C">
        <w:rPr>
          <w:rFonts w:eastAsia="Calibri"/>
          <w:lang w:val="es-NI"/>
        </w:rPr>
        <w:t xml:space="preserve">increased by 0.03% due to increased transportation and labor costs. In particular, the price of shoe and sandals services increased by 0.37%; </w:t>
      </w:r>
      <w:r>
        <w:rPr>
          <w:rFonts w:eastAsia="Calibri"/>
          <w:lang w:val="es-NI"/>
        </w:rPr>
        <w:t>g</w:t>
      </w:r>
      <w:r w:rsidRPr="00FC383C">
        <w:rPr>
          <w:rFonts w:eastAsia="Calibri"/>
          <w:lang w:val="es-NI"/>
        </w:rPr>
        <w:t xml:space="preserve">arment services increased by 0.21%; fabrics of all kinds increased by 0.19%; </w:t>
      </w:r>
      <w:r>
        <w:rPr>
          <w:rFonts w:eastAsia="Calibri"/>
          <w:lang w:val="es-NI"/>
        </w:rPr>
        <w:t>hat</w:t>
      </w:r>
      <w:r w:rsidRPr="00FC383C">
        <w:rPr>
          <w:rFonts w:eastAsia="Calibri"/>
          <w:lang w:val="es-NI"/>
        </w:rPr>
        <w:t xml:space="preserve"> increased by 0.16%; footwear increased by 0.07%.</w:t>
      </w:r>
    </w:p>
    <w:p w14:paraId="75B39D91"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 Education group </w:t>
      </w:r>
      <w:r w:rsidRPr="00FC383C">
        <w:rPr>
          <w:rFonts w:eastAsia="Calibri"/>
          <w:lang w:val="es-NI"/>
        </w:rPr>
        <w:t xml:space="preserve">increased by 0.02%, of which paper product prices increased by 0.4%; </w:t>
      </w:r>
      <w:r>
        <w:rPr>
          <w:rFonts w:eastAsia="Calibri"/>
          <w:lang w:val="es-NI"/>
        </w:rPr>
        <w:t>w</w:t>
      </w:r>
      <w:r w:rsidRPr="00FC383C">
        <w:rPr>
          <w:rFonts w:eastAsia="Calibri"/>
          <w:lang w:val="es-NI"/>
        </w:rPr>
        <w:t xml:space="preserve">riting pens of all kinds increased by 0.15%; </w:t>
      </w:r>
      <w:r>
        <w:rPr>
          <w:rFonts w:eastAsia="Calibri"/>
          <w:lang w:val="es-NI"/>
        </w:rPr>
        <w:t>t</w:t>
      </w:r>
      <w:r w:rsidRPr="00FC383C">
        <w:rPr>
          <w:rFonts w:eastAsia="Calibri"/>
          <w:lang w:val="es-NI"/>
        </w:rPr>
        <w:t>extbooks increased by 0.05%.</w:t>
      </w:r>
    </w:p>
    <w:p w14:paraId="06B0C934" w14:textId="77777777" w:rsidR="00EC5D51" w:rsidRPr="00FC383C" w:rsidRDefault="00EC5D51" w:rsidP="00EC5D51">
      <w:pPr>
        <w:tabs>
          <w:tab w:val="left" w:pos="993"/>
        </w:tabs>
        <w:spacing w:after="120" w:line="288" w:lineRule="auto"/>
        <w:ind w:firstLine="720"/>
        <w:jc w:val="both"/>
        <w:rPr>
          <w:rFonts w:eastAsia="Calibri"/>
          <w:lang w:val="es-NI"/>
        </w:rPr>
      </w:pPr>
      <w:r w:rsidRPr="00FC383C">
        <w:rPr>
          <w:rFonts w:eastAsia="Calibri"/>
          <w:i/>
          <w:iCs/>
          <w:lang w:val="es-NI"/>
        </w:rPr>
        <w:t xml:space="preserve">Particularly, the postal and communication groups </w:t>
      </w:r>
      <w:r w:rsidRPr="00FC383C">
        <w:rPr>
          <w:rFonts w:eastAsia="Calibri"/>
          <w:lang w:val="es-NI"/>
        </w:rPr>
        <w:t xml:space="preserve">kept their prices stable because businesses and business </w:t>
      </w:r>
      <w:proofErr w:type="gramStart"/>
      <w:r w:rsidRPr="00FC383C">
        <w:rPr>
          <w:rFonts w:eastAsia="Calibri"/>
          <w:lang w:val="es-NI"/>
        </w:rPr>
        <w:t>establishments</w:t>
      </w:r>
      <w:proofErr w:type="gramEnd"/>
      <w:r w:rsidRPr="00FC383C">
        <w:rPr>
          <w:rFonts w:eastAsia="Calibri"/>
          <w:lang w:val="es-NI"/>
        </w:rPr>
        <w:t xml:space="preserve"> continued to carry out promotional programs and stimulate shopping demand. In particular, smart mobile phones and tablets decreased by 0.39% compared to the previous month; </w:t>
      </w:r>
      <w:r>
        <w:rPr>
          <w:rFonts w:eastAsia="Calibri"/>
          <w:lang w:val="es-NI"/>
        </w:rPr>
        <w:t>p</w:t>
      </w:r>
      <w:r w:rsidRPr="00FC383C">
        <w:rPr>
          <w:rFonts w:eastAsia="Calibri"/>
          <w:lang w:val="es-NI"/>
        </w:rPr>
        <w:t>hone repair prices increased by 0.19%.</w:t>
      </w:r>
    </w:p>
    <w:p w14:paraId="47237761" w14:textId="77777777" w:rsidR="00EC5D51" w:rsidRPr="00FC383C" w:rsidRDefault="00EC5D51" w:rsidP="00EC5D51">
      <w:pPr>
        <w:tabs>
          <w:tab w:val="left" w:pos="993"/>
        </w:tabs>
        <w:spacing w:after="120" w:line="276" w:lineRule="auto"/>
        <w:ind w:firstLine="720"/>
        <w:jc w:val="both"/>
        <w:rPr>
          <w:lang w:val="pl-PL"/>
        </w:rPr>
      </w:pPr>
      <w:r w:rsidRPr="00FC383C">
        <w:rPr>
          <w:lang w:val="pl-PL"/>
        </w:rPr>
        <w:t>Core inflation</w:t>
      </w:r>
      <w:r w:rsidRPr="00FC383C">
        <w:rPr>
          <w:rStyle w:val="FootnoteReference"/>
        </w:rPr>
        <w:footnoteReference w:id="27"/>
      </w:r>
      <w:r>
        <w:rPr>
          <w:lang w:val="pl-PL"/>
        </w:rPr>
        <w:t xml:space="preserve"> </w:t>
      </w:r>
      <w:r w:rsidRPr="00FC383C">
        <w:rPr>
          <w:lang w:val="pl-PL"/>
        </w:rPr>
        <w:t>in July 2024 increased by 0.36% over the previous month, up 2.61% over the same period last year.</w:t>
      </w:r>
    </w:p>
    <w:p w14:paraId="36A79383" w14:textId="77777777" w:rsidR="00EC5D51" w:rsidRPr="00FC383C" w:rsidRDefault="00EC5D51" w:rsidP="00EC5D51">
      <w:pPr>
        <w:pStyle w:val="NormalWeb"/>
        <w:spacing w:before="0" w:beforeAutospacing="0" w:after="120" w:afterAutospacing="0" w:line="276" w:lineRule="auto"/>
        <w:ind w:firstLine="720"/>
        <w:jc w:val="both"/>
        <w:rPr>
          <w:sz w:val="28"/>
          <w:szCs w:val="28"/>
          <w:lang w:val="pl-PL"/>
        </w:rPr>
      </w:pPr>
      <w:r w:rsidRPr="00FC383C">
        <w:rPr>
          <w:sz w:val="28"/>
          <w:szCs w:val="28"/>
          <w:lang w:val="pl-PL"/>
        </w:rPr>
        <w:t>On average in the seven months of 2024, core inflation will increase by 2.73% over the same period in 2023, lower than the general average CPI (increased by 4.12%), mainly due to food and electricity prices. Activities, educational services, medical services and petroleum are factors that increase CPI but are in the group of goods excluded from the list of core inflation calculations.</w:t>
      </w:r>
    </w:p>
    <w:p w14:paraId="55D2E92C" w14:textId="77777777" w:rsidR="00EC5D51" w:rsidRPr="00FC383C" w:rsidRDefault="00EC5D51" w:rsidP="00EC5D51">
      <w:pPr>
        <w:pStyle w:val="NormalWeb"/>
        <w:spacing w:before="0" w:beforeAutospacing="0" w:after="120" w:afterAutospacing="0" w:line="276" w:lineRule="auto"/>
        <w:ind w:firstLine="720"/>
        <w:jc w:val="both"/>
        <w:rPr>
          <w:sz w:val="28"/>
          <w:szCs w:val="28"/>
        </w:rPr>
      </w:pPr>
      <w:r w:rsidRPr="00FC383C">
        <w:rPr>
          <w:sz w:val="28"/>
          <w:szCs w:val="28"/>
          <w:lang w:val="de-DE"/>
        </w:rPr>
        <w:t xml:space="preserve"> </w:t>
      </w:r>
      <w:r w:rsidRPr="00FC383C">
        <w:rPr>
          <w:sz w:val="28"/>
          <w:szCs w:val="28"/>
        </w:rPr>
        <w:t xml:space="preserve">As of </w:t>
      </w:r>
      <w:r>
        <w:rPr>
          <w:sz w:val="28"/>
          <w:szCs w:val="28"/>
        </w:rPr>
        <w:t>24/7/</w:t>
      </w:r>
      <w:r w:rsidRPr="00FC383C">
        <w:rPr>
          <w:sz w:val="28"/>
          <w:szCs w:val="28"/>
        </w:rPr>
        <w:t xml:space="preserve">2024, the average world gold price is at 2,383.17 USD/ounce, an increase of 1.49% compared to </w:t>
      </w:r>
      <w:r>
        <w:rPr>
          <w:sz w:val="28"/>
          <w:szCs w:val="28"/>
        </w:rPr>
        <w:t>7/</w:t>
      </w:r>
      <w:r w:rsidRPr="00FC383C">
        <w:rPr>
          <w:sz w:val="28"/>
          <w:szCs w:val="28"/>
        </w:rPr>
        <w:t xml:space="preserve">2024. World gold prices increased as investors predicted that the US Federal Reserve (FED) would cut interest rates in </w:t>
      </w:r>
      <w:r>
        <w:rPr>
          <w:sz w:val="28"/>
          <w:szCs w:val="28"/>
        </w:rPr>
        <w:t>9/</w:t>
      </w:r>
      <w:r w:rsidRPr="00FC383C">
        <w:rPr>
          <w:sz w:val="28"/>
          <w:szCs w:val="28"/>
        </w:rPr>
        <w:t xml:space="preserve">2024, along with the risk of geopolitical conflicts in the world also increasing </w:t>
      </w:r>
      <w:r w:rsidRPr="00FC383C">
        <w:rPr>
          <w:sz w:val="28"/>
          <w:szCs w:val="28"/>
        </w:rPr>
        <w:lastRenderedPageBreak/>
        <w:t xml:space="preserve">demand </w:t>
      </w:r>
      <w:r w:rsidRPr="00FC383C">
        <w:rPr>
          <w:sz w:val="28"/>
          <w:szCs w:val="28"/>
          <w:lang w:val="en-US"/>
        </w:rPr>
        <w:t xml:space="preserve">hoard </w:t>
      </w:r>
      <w:r w:rsidRPr="00FC383C">
        <w:rPr>
          <w:sz w:val="28"/>
          <w:szCs w:val="28"/>
        </w:rPr>
        <w:t xml:space="preserve">gold. Domestically, the gold price index in </w:t>
      </w:r>
      <w:r>
        <w:rPr>
          <w:sz w:val="28"/>
          <w:szCs w:val="28"/>
        </w:rPr>
        <w:t>7/</w:t>
      </w:r>
      <w:r w:rsidRPr="00FC383C">
        <w:rPr>
          <w:sz w:val="28"/>
          <w:szCs w:val="28"/>
        </w:rPr>
        <w:t xml:space="preserve">2024 decreased by 0.12% compared to the previous month; an increase of 18.11% compared to </w:t>
      </w:r>
      <w:r>
        <w:rPr>
          <w:sz w:val="28"/>
          <w:szCs w:val="28"/>
        </w:rPr>
        <w:t>12/</w:t>
      </w:r>
      <w:r w:rsidRPr="00FC383C">
        <w:rPr>
          <w:sz w:val="28"/>
          <w:szCs w:val="28"/>
        </w:rPr>
        <w:t xml:space="preserve">2023; increased 29.39% over the same period last year; </w:t>
      </w:r>
      <w:r>
        <w:rPr>
          <w:sz w:val="28"/>
          <w:szCs w:val="28"/>
        </w:rPr>
        <w:t>o</w:t>
      </w:r>
      <w:r w:rsidRPr="00FC383C">
        <w:rPr>
          <w:sz w:val="28"/>
          <w:szCs w:val="28"/>
        </w:rPr>
        <w:t>n average in the seven months of 2024, the gold price index increased by 24.77%.</w:t>
      </w:r>
    </w:p>
    <w:p w14:paraId="17481BFF" w14:textId="77777777" w:rsidR="00EC5D51" w:rsidRPr="00FC383C" w:rsidRDefault="00EC5D51" w:rsidP="00EC5D51">
      <w:pPr>
        <w:pStyle w:val="NormalWeb"/>
        <w:spacing w:before="0" w:beforeAutospacing="0" w:after="120" w:afterAutospacing="0" w:line="276" w:lineRule="auto"/>
        <w:ind w:firstLine="720"/>
        <w:jc w:val="both"/>
        <w:rPr>
          <w:sz w:val="28"/>
          <w:szCs w:val="28"/>
        </w:rPr>
      </w:pPr>
      <w:r w:rsidRPr="00FC383C">
        <w:rPr>
          <w:sz w:val="28"/>
          <w:szCs w:val="28"/>
          <w:lang w:val="de-DE"/>
        </w:rPr>
        <w:t xml:space="preserve">As of </w:t>
      </w:r>
      <w:r>
        <w:rPr>
          <w:sz w:val="28"/>
          <w:szCs w:val="28"/>
          <w:lang w:val="de-DE"/>
        </w:rPr>
        <w:t>24/7/</w:t>
      </w:r>
      <w:r w:rsidRPr="00FC383C">
        <w:rPr>
          <w:sz w:val="28"/>
          <w:szCs w:val="28"/>
          <w:lang w:val="de-DE"/>
        </w:rPr>
        <w:t xml:space="preserve">2024, the US dollar index on the international market reached 104.61 points, down 0.24% compared to the previous month. Domestically, the average US dollar price on the free market fluctuates around 25,463 VND/USD. US dollar price index in July 2024 increased by 0.05% compared to the previous month; an increase of 4.22% compared to December 2023; increased 7.14% over the same period last year; </w:t>
      </w:r>
      <w:r>
        <w:rPr>
          <w:sz w:val="28"/>
          <w:szCs w:val="28"/>
          <w:lang w:val="de-DE"/>
        </w:rPr>
        <w:t>t</w:t>
      </w:r>
      <w:r w:rsidRPr="00FC383C">
        <w:rPr>
          <w:sz w:val="28"/>
          <w:szCs w:val="28"/>
          <w:lang w:val="de-DE"/>
        </w:rPr>
        <w:t>he average increase in the seven months of 2024 is 5.85%.</w:t>
      </w:r>
    </w:p>
    <w:p w14:paraId="4466C567" w14:textId="77777777" w:rsidR="00EC5D51" w:rsidRDefault="00EC5D51" w:rsidP="00EC5D51"/>
    <w:p w14:paraId="07E197C4" w14:textId="77777777" w:rsidR="00881BAC" w:rsidRDefault="00881BAC" w:rsidP="00881BAC">
      <w:pPr>
        <w:spacing w:after="40" w:line="264" w:lineRule="auto"/>
        <w:ind w:firstLine="567"/>
        <w:jc w:val="both"/>
        <w:rPr>
          <w:bCs/>
          <w:i/>
          <w:spacing w:val="2"/>
          <w:lang w:val="it-IT"/>
        </w:rPr>
      </w:pPr>
      <w:r>
        <w:rPr>
          <w:b/>
          <w:bCs/>
          <w:i/>
          <w:iCs/>
          <w:lang w:val="nl-NL"/>
        </w:rPr>
        <w:t>d</w:t>
      </w:r>
      <w:r w:rsidRPr="000E11C2">
        <w:rPr>
          <w:b/>
          <w:bCs/>
          <w:i/>
          <w:iCs/>
          <w:lang w:val="nl-NL"/>
        </w:rPr>
        <w:t xml:space="preserve">) </w:t>
      </w:r>
      <w:r w:rsidRPr="00B337EB">
        <w:rPr>
          <w:b/>
          <w:bCs/>
          <w:i/>
          <w:iCs/>
          <w:lang w:val="fr-FR"/>
        </w:rPr>
        <w:t>Transport</w:t>
      </w:r>
      <w:r w:rsidRPr="000E11C2">
        <w:rPr>
          <w:bCs/>
          <w:i/>
          <w:spacing w:val="2"/>
          <w:lang w:val="it-IT"/>
        </w:rPr>
        <w:t xml:space="preserve"> </w:t>
      </w:r>
    </w:p>
    <w:p w14:paraId="7487FB63" w14:textId="77777777" w:rsidR="00881BAC" w:rsidRDefault="00881BAC" w:rsidP="00881BAC">
      <w:pPr>
        <w:pStyle w:val="ListParagraph"/>
        <w:tabs>
          <w:tab w:val="left" w:pos="567"/>
        </w:tabs>
        <w:spacing w:before="40" w:after="40" w:line="278" w:lineRule="auto"/>
        <w:ind w:left="0" w:firstLine="567"/>
        <w:jc w:val="both"/>
        <w:rPr>
          <w:bCs/>
          <w:i/>
          <w:spacing w:val="-4"/>
          <w:lang w:val="it-IT"/>
        </w:rPr>
      </w:pPr>
      <w:r w:rsidRPr="00D42163">
        <w:rPr>
          <w:bCs/>
          <w:i/>
          <w:spacing w:val="-4"/>
          <w:lang w:val="it-IT"/>
        </w:rPr>
        <w:t xml:space="preserve">Transport activity in </w:t>
      </w:r>
      <w:r>
        <w:rPr>
          <w:bCs/>
          <w:i/>
          <w:spacing w:val="-4"/>
          <w:lang w:val="it-IT"/>
        </w:rPr>
        <w:t>July</w:t>
      </w:r>
      <w:r w:rsidRPr="00D42163">
        <w:rPr>
          <w:bCs/>
          <w:i/>
          <w:spacing w:val="-4"/>
          <w:lang w:val="it-IT"/>
        </w:rPr>
        <w:t xml:space="preserve"> maintained a positive growth rate compared to the same period last year</w:t>
      </w:r>
      <w:r>
        <w:rPr>
          <w:bCs/>
          <w:i/>
          <w:spacing w:val="-4"/>
          <w:lang w:val="it-IT"/>
        </w:rPr>
        <w:t>, of</w:t>
      </w:r>
      <w:r w:rsidRPr="00F20851">
        <w:rPr>
          <w:bCs/>
          <w:i/>
          <w:spacing w:val="-4"/>
          <w:lang w:val="it-IT"/>
        </w:rPr>
        <w:t xml:space="preserve"> which</w:t>
      </w:r>
      <w:r>
        <w:rPr>
          <w:bCs/>
          <w:i/>
          <w:spacing w:val="-4"/>
          <w:lang w:val="it-IT"/>
        </w:rPr>
        <w:t xml:space="preserve"> </w:t>
      </w:r>
      <w:r w:rsidRPr="00F20851">
        <w:rPr>
          <w:bCs/>
          <w:i/>
          <w:spacing w:val="-4"/>
          <w:lang w:val="it-IT"/>
        </w:rPr>
        <w:t xml:space="preserve">passenger carried </w:t>
      </w:r>
      <w:r w:rsidRPr="00A14F81">
        <w:rPr>
          <w:bCs/>
          <w:i/>
          <w:lang w:val="it-IT"/>
        </w:rPr>
        <w:t xml:space="preserve">increased by </w:t>
      </w:r>
      <w:r>
        <w:rPr>
          <w:bCs/>
          <w:i/>
          <w:lang w:val="it-IT"/>
        </w:rPr>
        <w:t xml:space="preserve">5.3% </w:t>
      </w:r>
      <w:r w:rsidRPr="00F20851">
        <w:rPr>
          <w:bCs/>
          <w:i/>
          <w:spacing w:val="-4"/>
          <w:lang w:val="it-IT"/>
        </w:rPr>
        <w:t xml:space="preserve">and passenger traffic </w:t>
      </w:r>
      <w:r w:rsidRPr="00A14F81">
        <w:rPr>
          <w:bCs/>
          <w:i/>
          <w:lang w:val="it-IT"/>
        </w:rPr>
        <w:t xml:space="preserve">increased by </w:t>
      </w:r>
      <w:r>
        <w:rPr>
          <w:bCs/>
          <w:i/>
          <w:lang w:val="it-IT"/>
        </w:rPr>
        <w:t>3.1</w:t>
      </w:r>
      <w:r w:rsidRPr="00A14F81">
        <w:rPr>
          <w:bCs/>
          <w:i/>
          <w:lang w:val="it-IT"/>
        </w:rPr>
        <w:t>%</w:t>
      </w:r>
      <w:r>
        <w:rPr>
          <w:bCs/>
          <w:i/>
          <w:lang w:val="it-IT"/>
        </w:rPr>
        <w:t xml:space="preserve">; </w:t>
      </w:r>
      <w:r w:rsidRPr="00F20851">
        <w:rPr>
          <w:bCs/>
          <w:i/>
          <w:spacing w:val="-4"/>
          <w:lang w:val="it-IT"/>
        </w:rPr>
        <w:t xml:space="preserve">freight transport increased by </w:t>
      </w:r>
      <w:r>
        <w:rPr>
          <w:bCs/>
          <w:i/>
          <w:spacing w:val="-4"/>
          <w:lang w:val="it-IT"/>
        </w:rPr>
        <w:t>9.8</w:t>
      </w:r>
      <w:r w:rsidRPr="00F20851">
        <w:rPr>
          <w:bCs/>
          <w:i/>
          <w:spacing w:val="-4"/>
          <w:lang w:val="it-IT"/>
        </w:rPr>
        <w:t xml:space="preserve">% in terms of carried and </w:t>
      </w:r>
      <w:r>
        <w:rPr>
          <w:bCs/>
          <w:i/>
          <w:spacing w:val="-4"/>
          <w:lang w:val="it-IT"/>
        </w:rPr>
        <w:t>5.3</w:t>
      </w:r>
      <w:r w:rsidRPr="00F20851">
        <w:rPr>
          <w:bCs/>
          <w:i/>
          <w:spacing w:val="-4"/>
          <w:lang w:val="it-IT"/>
        </w:rPr>
        <w:t xml:space="preserve">% in traffic. </w:t>
      </w:r>
    </w:p>
    <w:p w14:paraId="1FC40638" w14:textId="77777777" w:rsidR="00881BAC" w:rsidRDefault="00881BAC" w:rsidP="00881BAC">
      <w:pPr>
        <w:spacing w:before="40" w:after="40" w:line="295" w:lineRule="auto"/>
        <w:ind w:firstLine="567"/>
        <w:jc w:val="both"/>
        <w:rPr>
          <w:bCs/>
          <w:i/>
          <w:lang w:val="it-IT"/>
        </w:rPr>
      </w:pPr>
      <w:r>
        <w:rPr>
          <w:bCs/>
          <w:i/>
          <w:lang w:val="it-IT"/>
        </w:rPr>
        <w:t xml:space="preserve">In 7 months </w:t>
      </w:r>
      <w:r w:rsidRPr="00A14F81">
        <w:rPr>
          <w:bCs/>
          <w:i/>
          <w:lang w:val="it-IT"/>
        </w:rPr>
        <w:t xml:space="preserve">of </w:t>
      </w:r>
      <w:r>
        <w:rPr>
          <w:bCs/>
          <w:i/>
          <w:lang w:val="it-IT"/>
        </w:rPr>
        <w:t>2023</w:t>
      </w:r>
      <w:r w:rsidRPr="00A14F81">
        <w:rPr>
          <w:bCs/>
          <w:i/>
          <w:lang w:val="it-IT"/>
        </w:rPr>
        <w:t xml:space="preserve">, passenger carried  increased by </w:t>
      </w:r>
      <w:r>
        <w:rPr>
          <w:bCs/>
          <w:i/>
          <w:lang w:val="it-IT"/>
        </w:rPr>
        <w:t>15.8</w:t>
      </w:r>
      <w:r w:rsidRPr="00A14F81">
        <w:rPr>
          <w:bCs/>
          <w:i/>
          <w:lang w:val="it-IT"/>
        </w:rPr>
        <w:t xml:space="preserve">% and passenger traffic increased by </w:t>
      </w:r>
      <w:r>
        <w:rPr>
          <w:bCs/>
          <w:i/>
          <w:lang w:val="it-IT"/>
        </w:rPr>
        <w:t>27.6</w:t>
      </w:r>
      <w:r w:rsidRPr="00A14F81">
        <w:rPr>
          <w:bCs/>
          <w:i/>
          <w:lang w:val="it-IT"/>
        </w:rPr>
        <w:t xml:space="preserve">% over the same period last year; freight carried increased by </w:t>
      </w:r>
      <w:r>
        <w:rPr>
          <w:bCs/>
          <w:i/>
          <w:lang w:val="it-IT"/>
        </w:rPr>
        <w:t>15.3</w:t>
      </w:r>
      <w:r w:rsidRPr="00A14F81">
        <w:rPr>
          <w:bCs/>
          <w:i/>
          <w:lang w:val="it-IT"/>
        </w:rPr>
        <w:t xml:space="preserve">% and passenger traffic increased by </w:t>
      </w:r>
      <w:r>
        <w:rPr>
          <w:bCs/>
          <w:i/>
          <w:lang w:val="it-IT"/>
        </w:rPr>
        <w:t>12.7</w:t>
      </w:r>
      <w:r w:rsidRPr="00A14F81">
        <w:rPr>
          <w:bCs/>
          <w:i/>
          <w:lang w:val="it-IT"/>
        </w:rPr>
        <w:t>% over the same period last year.</w:t>
      </w:r>
    </w:p>
    <w:p w14:paraId="3E2F528F" w14:textId="77777777" w:rsidR="00881BAC" w:rsidRDefault="00881BAC" w:rsidP="00881BAC">
      <w:pPr>
        <w:tabs>
          <w:tab w:val="left" w:pos="567"/>
        </w:tabs>
        <w:spacing w:before="120" w:after="120"/>
        <w:ind w:firstLine="567"/>
        <w:jc w:val="both"/>
        <w:rPr>
          <w:spacing w:val="-2"/>
          <w:lang w:val="pl-PL"/>
        </w:rPr>
      </w:pPr>
      <w:r w:rsidRPr="00297220">
        <w:rPr>
          <w:spacing w:val="-2"/>
          <w:lang w:val="pl-PL"/>
        </w:rPr>
        <w:t xml:space="preserve">Passenger carried in </w:t>
      </w:r>
      <w:r>
        <w:rPr>
          <w:spacing w:val="-2"/>
          <w:lang w:val="pl-PL"/>
        </w:rPr>
        <w:t>July</w:t>
      </w:r>
      <w:r w:rsidRPr="00297220">
        <w:rPr>
          <w:spacing w:val="-2"/>
          <w:lang w:val="pl-PL"/>
        </w:rPr>
        <w:t xml:space="preserve"> was estimated at </w:t>
      </w:r>
      <w:r>
        <w:rPr>
          <w:spacing w:val="-2"/>
          <w:lang w:val="pl-PL"/>
        </w:rPr>
        <w:t>398.5</w:t>
      </w:r>
      <w:r w:rsidRPr="00297220">
        <w:rPr>
          <w:spacing w:val="-2"/>
          <w:lang w:val="pl-PL"/>
        </w:rPr>
        <w:t xml:space="preserve"> million passengers, up </w:t>
      </w:r>
      <w:r>
        <w:rPr>
          <w:spacing w:val="-2"/>
          <w:lang w:val="pl-PL"/>
        </w:rPr>
        <w:t>1.3</w:t>
      </w:r>
      <w:r w:rsidRPr="00297220">
        <w:rPr>
          <w:spacing w:val="-2"/>
          <w:lang w:val="pl-PL"/>
        </w:rPr>
        <w:t>% over the previous month and passenger traffic</w:t>
      </w:r>
      <w:r>
        <w:rPr>
          <w:spacing w:val="-2"/>
          <w:lang w:val="pl-PL"/>
        </w:rPr>
        <w:t xml:space="preserve"> was</w:t>
      </w:r>
      <w:r w:rsidRPr="00297220">
        <w:rPr>
          <w:spacing w:val="-2"/>
          <w:lang w:val="pl-PL"/>
        </w:rPr>
        <w:t xml:space="preserve"> </w:t>
      </w:r>
      <w:r>
        <w:rPr>
          <w:spacing w:val="-2"/>
          <w:lang w:val="pl-PL"/>
        </w:rPr>
        <w:t xml:space="preserve">21.1 </w:t>
      </w:r>
      <w:r w:rsidRPr="00297220">
        <w:rPr>
          <w:spacing w:val="-2"/>
          <w:lang w:val="pl-PL"/>
        </w:rPr>
        <w:t xml:space="preserve">billion passengers-kilometers, up </w:t>
      </w:r>
      <w:r>
        <w:rPr>
          <w:spacing w:val="-2"/>
          <w:lang w:val="pl-PL"/>
        </w:rPr>
        <w:t>2.9</w:t>
      </w:r>
      <w:r w:rsidRPr="00297220">
        <w:rPr>
          <w:spacing w:val="-2"/>
          <w:lang w:val="pl-PL"/>
        </w:rPr>
        <w:t>%</w:t>
      </w:r>
      <w:r>
        <w:rPr>
          <w:spacing w:val="-2"/>
          <w:lang w:val="pl-PL"/>
        </w:rPr>
        <w:t xml:space="preserve">. In 7 months </w:t>
      </w:r>
      <w:r w:rsidRPr="00297220">
        <w:rPr>
          <w:spacing w:val="-2"/>
          <w:lang w:val="pl-PL"/>
        </w:rPr>
        <w:t xml:space="preserve">of </w:t>
      </w:r>
      <w:r>
        <w:rPr>
          <w:spacing w:val="-2"/>
          <w:lang w:val="pl-PL"/>
        </w:rPr>
        <w:t>2023</w:t>
      </w:r>
      <w:r w:rsidRPr="00297220">
        <w:rPr>
          <w:spacing w:val="-2"/>
          <w:lang w:val="pl-PL"/>
        </w:rPr>
        <w:t xml:space="preserve">, passenger carried was estimated at </w:t>
      </w:r>
      <w:r>
        <w:rPr>
          <w:spacing w:val="-2"/>
          <w:lang w:val="pl-PL"/>
        </w:rPr>
        <w:t>2,615.1</w:t>
      </w:r>
      <w:r w:rsidRPr="00297220">
        <w:rPr>
          <w:spacing w:val="-2"/>
          <w:lang w:val="pl-PL"/>
        </w:rPr>
        <w:t xml:space="preserve"> million passengers, up </w:t>
      </w:r>
      <w:r>
        <w:rPr>
          <w:spacing w:val="-2"/>
          <w:lang w:val="pl-PL"/>
        </w:rPr>
        <w:t>15.8</w:t>
      </w:r>
      <w:r w:rsidRPr="00297220">
        <w:rPr>
          <w:spacing w:val="-2"/>
          <w:lang w:val="pl-PL"/>
        </w:rPr>
        <w:t xml:space="preserve">% over the same period last year and passenger traffic was </w:t>
      </w:r>
      <w:r>
        <w:rPr>
          <w:spacing w:val="-2"/>
          <w:lang w:val="pl-PL"/>
        </w:rPr>
        <w:t>140.3</w:t>
      </w:r>
      <w:r w:rsidRPr="00297220">
        <w:rPr>
          <w:spacing w:val="-2"/>
          <w:lang w:val="pl-PL"/>
        </w:rPr>
        <w:t xml:space="preserve"> billion passengers.km, increased by </w:t>
      </w:r>
      <w:r>
        <w:rPr>
          <w:spacing w:val="-2"/>
          <w:lang w:val="pl-PL"/>
        </w:rPr>
        <w:t>27.6</w:t>
      </w:r>
      <w:r w:rsidRPr="00297220">
        <w:rPr>
          <w:spacing w:val="-2"/>
          <w:lang w:val="pl-PL"/>
        </w:rPr>
        <w:t xml:space="preserve">%. In which, domestic transport reached </w:t>
      </w:r>
      <w:r>
        <w:rPr>
          <w:spacing w:val="-2"/>
          <w:lang w:val="pl-PL"/>
        </w:rPr>
        <w:t>2,607</w:t>
      </w:r>
      <w:r w:rsidRPr="00297220">
        <w:rPr>
          <w:spacing w:val="-2"/>
          <w:lang w:val="pl-PL"/>
        </w:rPr>
        <w:t xml:space="preserve"> million passengers, up </w:t>
      </w:r>
      <w:r>
        <w:rPr>
          <w:spacing w:val="-2"/>
          <w:lang w:val="pl-PL"/>
        </w:rPr>
        <w:t>15</w:t>
      </w:r>
      <w:r w:rsidRPr="00297220">
        <w:rPr>
          <w:spacing w:val="-2"/>
          <w:lang w:val="pl-PL"/>
        </w:rPr>
        <w:t>.</w:t>
      </w:r>
      <w:r>
        <w:rPr>
          <w:spacing w:val="-2"/>
          <w:lang w:val="pl-PL"/>
        </w:rPr>
        <w:t>5</w:t>
      </w:r>
      <w:r w:rsidRPr="00297220">
        <w:rPr>
          <w:spacing w:val="-2"/>
          <w:lang w:val="pl-PL"/>
        </w:rPr>
        <w:t xml:space="preserve">% over the same period last year and </w:t>
      </w:r>
      <w:r>
        <w:rPr>
          <w:spacing w:val="-2"/>
          <w:lang w:val="pl-PL"/>
        </w:rPr>
        <w:t>116.4</w:t>
      </w:r>
      <w:r w:rsidRPr="00297220">
        <w:rPr>
          <w:spacing w:val="-2"/>
          <w:lang w:val="pl-PL"/>
        </w:rPr>
        <w:t xml:space="preserve"> billion passengers-kilometers, up </w:t>
      </w:r>
      <w:r>
        <w:rPr>
          <w:spacing w:val="-2"/>
          <w:lang w:val="pl-PL"/>
        </w:rPr>
        <w:t>10.8</w:t>
      </w:r>
      <w:r w:rsidRPr="00297220">
        <w:rPr>
          <w:spacing w:val="-2"/>
          <w:lang w:val="pl-PL"/>
        </w:rPr>
        <w:t xml:space="preserve">%; </w:t>
      </w:r>
      <w:r>
        <w:rPr>
          <w:spacing w:val="-2"/>
          <w:lang w:val="pl-PL"/>
        </w:rPr>
        <w:t>o</w:t>
      </w:r>
      <w:r w:rsidRPr="00297220">
        <w:rPr>
          <w:spacing w:val="-2"/>
          <w:lang w:val="pl-PL"/>
        </w:rPr>
        <w:t xml:space="preserve">verseas transport reached </w:t>
      </w:r>
      <w:r>
        <w:rPr>
          <w:spacing w:val="-2"/>
          <w:lang w:val="pl-PL"/>
        </w:rPr>
        <w:t>8.1</w:t>
      </w:r>
      <w:r w:rsidRPr="00297220">
        <w:rPr>
          <w:spacing w:val="-2"/>
          <w:lang w:val="pl-PL"/>
        </w:rPr>
        <w:t xml:space="preserve"> million passengers, </w:t>
      </w:r>
      <w:r>
        <w:rPr>
          <w:spacing w:val="-2"/>
          <w:lang w:val="pl-PL"/>
        </w:rPr>
        <w:t>5.7</w:t>
      </w:r>
      <w:r w:rsidRPr="00297220">
        <w:rPr>
          <w:spacing w:val="-2"/>
          <w:lang w:val="pl-PL"/>
        </w:rPr>
        <w:t xml:space="preserve"> times higher and </w:t>
      </w:r>
      <w:r>
        <w:rPr>
          <w:spacing w:val="-2"/>
          <w:lang w:val="pl-PL"/>
        </w:rPr>
        <w:t>23.9</w:t>
      </w:r>
      <w:r w:rsidRPr="00297220">
        <w:rPr>
          <w:spacing w:val="-2"/>
          <w:lang w:val="pl-PL"/>
        </w:rPr>
        <w:t xml:space="preserve"> billion passengers-kilometers, </w:t>
      </w:r>
      <w:r>
        <w:rPr>
          <w:spacing w:val="-2"/>
          <w:lang w:val="pl-PL"/>
        </w:rPr>
        <w:t>4.9</w:t>
      </w:r>
      <w:r w:rsidRPr="00297220">
        <w:rPr>
          <w:spacing w:val="-2"/>
          <w:lang w:val="pl-PL"/>
        </w:rPr>
        <w:t xml:space="preserve"> times higher than the same period last year. </w:t>
      </w:r>
    </w:p>
    <w:p w14:paraId="387F04FA" w14:textId="77777777" w:rsidR="00881BAC" w:rsidRPr="006707B7" w:rsidRDefault="00881BAC" w:rsidP="00881BAC">
      <w:pPr>
        <w:tabs>
          <w:tab w:val="left" w:pos="567"/>
        </w:tabs>
        <w:spacing w:before="120" w:after="120"/>
        <w:ind w:firstLine="567"/>
        <w:jc w:val="both"/>
        <w:rPr>
          <w:rFonts w:ascii="Arial" w:hAnsi="Arial" w:cs="Arial"/>
          <w:b/>
          <w:spacing w:val="-2"/>
          <w:sz w:val="16"/>
          <w:szCs w:val="20"/>
          <w:lang w:val="pl-PL"/>
        </w:rPr>
      </w:pPr>
      <w:r w:rsidRPr="00AB02F9">
        <w:rPr>
          <w:spacing w:val="-2"/>
          <w:lang w:val="pl-PL"/>
        </w:rPr>
        <w:t xml:space="preserve">In terms of transportation, all sugar industries </w:t>
      </w:r>
      <w:r>
        <w:rPr>
          <w:spacing w:val="-2"/>
          <w:lang w:val="pl-PL"/>
        </w:rPr>
        <w:t>in 7 months</w:t>
      </w:r>
      <w:r w:rsidRPr="00AB02F9">
        <w:rPr>
          <w:spacing w:val="-2"/>
          <w:lang w:val="pl-PL"/>
        </w:rPr>
        <w:t>of 2023 increased sharply compared to the same period last year.</w:t>
      </w:r>
    </w:p>
    <w:p w14:paraId="7BEEBA2B" w14:textId="77777777" w:rsidR="00881BAC" w:rsidRPr="00AB02F9" w:rsidRDefault="00881BAC" w:rsidP="00881BAC">
      <w:pPr>
        <w:spacing w:before="120" w:after="120"/>
        <w:ind w:firstLine="567"/>
        <w:jc w:val="center"/>
        <w:rPr>
          <w:rFonts w:ascii="Times New Roman Bold" w:hAnsi="Times New Roman Bold"/>
          <w:b/>
          <w:bCs/>
          <w:lang w:val="fr-FR"/>
        </w:rPr>
      </w:pPr>
      <w:r w:rsidRPr="00AB02F9">
        <w:rPr>
          <w:rFonts w:ascii="Times New Roman Bold" w:hAnsi="Times New Roman Bold"/>
          <w:b/>
          <w:bCs/>
          <w:iCs/>
          <w:lang w:val="fr-FR"/>
        </w:rPr>
        <w:t xml:space="preserve">Table </w:t>
      </w:r>
      <w:r>
        <w:rPr>
          <w:rFonts w:ascii="Times New Roman Bold" w:hAnsi="Times New Roman Bold"/>
          <w:b/>
          <w:bCs/>
          <w:iCs/>
          <w:lang w:val="fr-FR"/>
        </w:rPr>
        <w:t>6</w:t>
      </w:r>
      <w:r w:rsidRPr="00AB02F9">
        <w:rPr>
          <w:rFonts w:ascii="Times New Roman Bold" w:hAnsi="Times New Roman Bold"/>
          <w:b/>
          <w:bCs/>
          <w:iCs/>
          <w:lang w:val="fr-FR"/>
        </w:rPr>
        <w:t xml:space="preserve"> : Passengers transport </w:t>
      </w:r>
      <w:r>
        <w:rPr>
          <w:rFonts w:ascii="Times New Roman Bold" w:hAnsi="Times New Roman Bold"/>
          <w:b/>
          <w:bCs/>
          <w:iCs/>
          <w:lang w:val="fr-FR"/>
        </w:rPr>
        <w:t xml:space="preserve">in 7 months </w:t>
      </w:r>
      <w:r w:rsidRPr="00AB02F9">
        <w:rPr>
          <w:rFonts w:ascii="Times New Roman Bold" w:hAnsi="Times New Roman Bold"/>
          <w:b/>
          <w:bCs/>
          <w:iCs/>
          <w:lang w:val="fr-FR"/>
        </w:rPr>
        <w:t xml:space="preserve">of 2023 </w:t>
      </w:r>
      <w:r>
        <w:rPr>
          <w:rFonts w:ascii="Times New Roman Bold" w:hAnsi="Times New Roman Bold"/>
          <w:b/>
          <w:bCs/>
          <w:iCs/>
          <w:lang w:val="fr-FR"/>
        </w:rPr>
        <w:br/>
      </w:r>
      <w:r w:rsidRPr="00AB02F9">
        <w:rPr>
          <w:rFonts w:ascii="Times New Roman Bold" w:hAnsi="Times New Roman Bold"/>
          <w:b/>
          <w:bCs/>
          <w:lang w:val="fr-FR"/>
        </w:rPr>
        <w:t>by types of transport</w:t>
      </w:r>
    </w:p>
    <w:tbl>
      <w:tblPr>
        <w:tblW w:w="9323" w:type="dxa"/>
        <w:jc w:val="center"/>
        <w:tblLook w:val="04A0" w:firstRow="1" w:lastRow="0" w:firstColumn="1" w:lastColumn="0" w:noHBand="0" w:noVBand="1"/>
      </w:tblPr>
      <w:tblGrid>
        <w:gridCol w:w="1985"/>
        <w:gridCol w:w="1984"/>
        <w:gridCol w:w="2127"/>
        <w:gridCol w:w="1753"/>
        <w:gridCol w:w="1474"/>
      </w:tblGrid>
      <w:tr w:rsidR="00881BAC" w:rsidRPr="00864B3B" w14:paraId="5D99E7CA" w14:textId="77777777" w:rsidTr="00C15289">
        <w:trPr>
          <w:trHeight w:val="451"/>
          <w:jc w:val="center"/>
        </w:trPr>
        <w:tc>
          <w:tcPr>
            <w:tcW w:w="1985" w:type="dxa"/>
            <w:tcBorders>
              <w:top w:val="single" w:sz="4" w:space="0" w:color="auto"/>
            </w:tcBorders>
            <w:shd w:val="clear" w:color="auto" w:fill="auto"/>
            <w:vAlign w:val="center"/>
            <w:hideMark/>
          </w:tcPr>
          <w:p w14:paraId="1068EB2D" w14:textId="77777777" w:rsidR="00881BAC" w:rsidRPr="00864B3B" w:rsidRDefault="00881BAC" w:rsidP="00C15289">
            <w:pPr>
              <w:ind w:firstLine="34"/>
              <w:jc w:val="center"/>
              <w:rPr>
                <w:rFonts w:ascii="Arial" w:hAnsi="Arial" w:cs="Arial"/>
                <w:sz w:val="20"/>
                <w:szCs w:val="20"/>
                <w:lang w:eastAsia="vi-VN"/>
              </w:rPr>
            </w:pPr>
          </w:p>
        </w:tc>
        <w:tc>
          <w:tcPr>
            <w:tcW w:w="4111" w:type="dxa"/>
            <w:gridSpan w:val="2"/>
            <w:tcBorders>
              <w:top w:val="single" w:sz="4" w:space="0" w:color="auto"/>
              <w:bottom w:val="single" w:sz="4" w:space="0" w:color="auto"/>
            </w:tcBorders>
            <w:shd w:val="clear" w:color="auto" w:fill="auto"/>
            <w:vAlign w:val="center"/>
            <w:hideMark/>
          </w:tcPr>
          <w:p w14:paraId="2412D206" w14:textId="77777777" w:rsidR="00881BAC" w:rsidRPr="00864B3B" w:rsidRDefault="00881BAC" w:rsidP="00C15289">
            <w:pPr>
              <w:ind w:hanging="21"/>
              <w:jc w:val="center"/>
              <w:rPr>
                <w:rFonts w:ascii="Arial" w:hAnsi="Arial" w:cs="Arial"/>
                <w:sz w:val="20"/>
                <w:szCs w:val="20"/>
                <w:lang w:val="en-US" w:eastAsia="vi-VN"/>
              </w:rPr>
            </w:pPr>
            <w:r w:rsidRPr="00864B3B">
              <w:rPr>
                <w:rFonts w:ascii="Arial" w:hAnsi="Arial" w:cs="Arial"/>
                <w:iCs/>
                <w:sz w:val="20"/>
                <w:szCs w:val="20"/>
                <w:lang w:val="en-US" w:eastAsia="vi-VN"/>
              </w:rPr>
              <w:t xml:space="preserve">Number of </w:t>
            </w:r>
            <w:proofErr w:type="gramStart"/>
            <w:r w:rsidRPr="00864B3B">
              <w:rPr>
                <w:rFonts w:ascii="Arial" w:hAnsi="Arial" w:cs="Arial"/>
                <w:iCs/>
                <w:sz w:val="20"/>
                <w:szCs w:val="20"/>
                <w:lang w:val="en-US" w:eastAsia="vi-VN"/>
              </w:rPr>
              <w:t>passenger</w:t>
            </w:r>
            <w:proofErr w:type="gramEnd"/>
          </w:p>
        </w:tc>
        <w:tc>
          <w:tcPr>
            <w:tcW w:w="3227" w:type="dxa"/>
            <w:gridSpan w:val="2"/>
            <w:tcBorders>
              <w:top w:val="single" w:sz="4" w:space="0" w:color="auto"/>
              <w:bottom w:val="single" w:sz="4" w:space="0" w:color="auto"/>
            </w:tcBorders>
            <w:shd w:val="clear" w:color="auto" w:fill="auto"/>
            <w:vAlign w:val="center"/>
            <w:hideMark/>
          </w:tcPr>
          <w:p w14:paraId="010FFE42" w14:textId="77777777" w:rsidR="00881BAC" w:rsidRPr="00864B3B" w:rsidRDefault="00881BAC" w:rsidP="00C15289">
            <w:pPr>
              <w:ind w:firstLine="34"/>
              <w:jc w:val="center"/>
              <w:rPr>
                <w:rFonts w:ascii="Arial" w:hAnsi="Arial" w:cs="Arial"/>
                <w:color w:val="000000"/>
                <w:sz w:val="20"/>
                <w:szCs w:val="20"/>
                <w:lang w:eastAsia="vi-VN"/>
              </w:rPr>
            </w:pPr>
            <w:r>
              <w:rPr>
                <w:rFonts w:ascii="Arial" w:hAnsi="Arial" w:cs="Arial"/>
                <w:color w:val="000000"/>
                <w:sz w:val="20"/>
                <w:szCs w:val="20"/>
                <w:lang w:eastAsia="vi-VN"/>
              </w:rPr>
              <w:t>G</w:t>
            </w:r>
            <w:r w:rsidRPr="00864B3B">
              <w:rPr>
                <w:rFonts w:ascii="Arial" w:hAnsi="Arial" w:cs="Arial"/>
                <w:color w:val="000000"/>
                <w:sz w:val="20"/>
                <w:szCs w:val="20"/>
                <w:lang w:eastAsia="vi-VN"/>
              </w:rPr>
              <w:t>rowth rate compared to the same period last year (%)</w:t>
            </w:r>
          </w:p>
        </w:tc>
      </w:tr>
      <w:tr w:rsidR="00881BAC" w:rsidRPr="00864B3B" w14:paraId="205C3559" w14:textId="77777777" w:rsidTr="00C15289">
        <w:trPr>
          <w:trHeight w:val="444"/>
          <w:jc w:val="center"/>
        </w:trPr>
        <w:tc>
          <w:tcPr>
            <w:tcW w:w="1985" w:type="dxa"/>
            <w:shd w:val="clear" w:color="auto" w:fill="auto"/>
            <w:vAlign w:val="center"/>
            <w:hideMark/>
          </w:tcPr>
          <w:p w14:paraId="745E2AF7" w14:textId="77777777" w:rsidR="00881BAC" w:rsidRPr="00864B3B" w:rsidRDefault="00881BAC" w:rsidP="00C15289">
            <w:pPr>
              <w:ind w:firstLine="34"/>
              <w:jc w:val="center"/>
              <w:rPr>
                <w:rFonts w:ascii="Arial" w:hAnsi="Arial" w:cs="Arial"/>
                <w:color w:val="000000"/>
                <w:sz w:val="20"/>
                <w:szCs w:val="20"/>
                <w:lang w:eastAsia="vi-VN"/>
              </w:rPr>
            </w:pPr>
          </w:p>
        </w:tc>
        <w:tc>
          <w:tcPr>
            <w:tcW w:w="1984" w:type="dxa"/>
            <w:tcBorders>
              <w:top w:val="single" w:sz="4" w:space="0" w:color="auto"/>
              <w:bottom w:val="single" w:sz="4" w:space="0" w:color="auto"/>
            </w:tcBorders>
            <w:shd w:val="clear" w:color="auto" w:fill="auto"/>
            <w:vAlign w:val="center"/>
            <w:hideMark/>
          </w:tcPr>
          <w:p w14:paraId="5BA33153" w14:textId="77777777" w:rsidR="00881BAC" w:rsidRPr="00864B3B" w:rsidRDefault="00881BAC" w:rsidP="00C15289">
            <w:pPr>
              <w:ind w:hanging="21"/>
              <w:jc w:val="center"/>
              <w:rPr>
                <w:rFonts w:ascii="Arial" w:hAnsi="Arial" w:cs="Arial"/>
                <w:sz w:val="20"/>
                <w:szCs w:val="20"/>
                <w:lang w:val="en-US" w:eastAsia="vi-VN"/>
              </w:rPr>
            </w:pPr>
            <w:r w:rsidRPr="00864B3B">
              <w:rPr>
                <w:rFonts w:ascii="Arial" w:hAnsi="Arial" w:cs="Arial"/>
                <w:sz w:val="20"/>
                <w:szCs w:val="20"/>
                <w:lang w:val="en-US" w:eastAsia="vi-VN"/>
              </w:rPr>
              <w:t>Carried</w:t>
            </w:r>
            <w:r w:rsidRPr="00864B3B">
              <w:rPr>
                <w:rFonts w:ascii="Arial" w:hAnsi="Arial" w:cs="Arial"/>
                <w:sz w:val="20"/>
                <w:szCs w:val="20"/>
                <w:lang w:eastAsia="vi-VN"/>
              </w:rPr>
              <w:br/>
            </w:r>
            <w:r w:rsidRPr="00864B3B">
              <w:rPr>
                <w:rFonts w:ascii="Arial" w:hAnsi="Arial" w:cs="Arial"/>
                <w:sz w:val="20"/>
                <w:szCs w:val="20"/>
                <w:lang w:val="en-US" w:eastAsia="vi-VN"/>
              </w:rPr>
              <w:t>(Mill. passengers)</w:t>
            </w:r>
          </w:p>
        </w:tc>
        <w:tc>
          <w:tcPr>
            <w:tcW w:w="2127" w:type="dxa"/>
            <w:tcBorders>
              <w:top w:val="single" w:sz="4" w:space="0" w:color="auto"/>
              <w:bottom w:val="single" w:sz="4" w:space="0" w:color="auto"/>
            </w:tcBorders>
            <w:shd w:val="clear" w:color="auto" w:fill="auto"/>
            <w:vAlign w:val="center"/>
            <w:hideMark/>
          </w:tcPr>
          <w:p w14:paraId="1EA83710" w14:textId="77777777" w:rsidR="00881BAC" w:rsidRPr="00864B3B" w:rsidRDefault="00881BAC" w:rsidP="00C15289">
            <w:pPr>
              <w:ind w:hanging="21"/>
              <w:jc w:val="center"/>
              <w:rPr>
                <w:rFonts w:ascii="Arial" w:hAnsi="Arial" w:cs="Arial"/>
                <w:sz w:val="20"/>
                <w:szCs w:val="20"/>
                <w:lang w:val="en-US" w:eastAsia="vi-VN"/>
              </w:rPr>
            </w:pPr>
            <w:r w:rsidRPr="00864B3B">
              <w:rPr>
                <w:rFonts w:ascii="Arial" w:hAnsi="Arial" w:cs="Arial"/>
                <w:sz w:val="20"/>
                <w:szCs w:val="20"/>
                <w:lang w:val="en-US" w:eastAsia="vi-VN"/>
              </w:rPr>
              <w:t>Traffic</w:t>
            </w:r>
            <w:r w:rsidRPr="00864B3B">
              <w:rPr>
                <w:rFonts w:ascii="Arial" w:hAnsi="Arial" w:cs="Arial"/>
                <w:sz w:val="20"/>
                <w:szCs w:val="20"/>
                <w:lang w:eastAsia="vi-VN"/>
              </w:rPr>
              <w:br/>
            </w:r>
            <w:r w:rsidRPr="00864B3B">
              <w:rPr>
                <w:rFonts w:ascii="Arial" w:hAnsi="Arial" w:cs="Arial"/>
                <w:sz w:val="20"/>
                <w:szCs w:val="20"/>
                <w:lang w:val="en-US" w:eastAsia="vi-VN"/>
              </w:rPr>
              <w:t>(Bill. passengers-</w:t>
            </w:r>
            <w:r w:rsidRPr="00864B3B">
              <w:rPr>
                <w:rFonts w:ascii="Arial" w:hAnsi="Arial" w:cs="Arial"/>
                <w:sz w:val="20"/>
                <w:szCs w:val="20"/>
                <w:lang w:eastAsia="vi-VN"/>
              </w:rPr>
              <w:t>km</w:t>
            </w:r>
            <w:r w:rsidRPr="00864B3B">
              <w:rPr>
                <w:rFonts w:ascii="Arial" w:hAnsi="Arial" w:cs="Arial"/>
                <w:sz w:val="20"/>
                <w:szCs w:val="20"/>
                <w:lang w:val="en-US" w:eastAsia="vi-VN"/>
              </w:rPr>
              <w:t>)</w:t>
            </w:r>
          </w:p>
        </w:tc>
        <w:tc>
          <w:tcPr>
            <w:tcW w:w="1753" w:type="dxa"/>
            <w:tcBorders>
              <w:top w:val="single" w:sz="4" w:space="0" w:color="auto"/>
              <w:bottom w:val="single" w:sz="4" w:space="0" w:color="auto"/>
            </w:tcBorders>
            <w:shd w:val="clear" w:color="auto" w:fill="auto"/>
            <w:vAlign w:val="center"/>
            <w:hideMark/>
          </w:tcPr>
          <w:p w14:paraId="36552898" w14:textId="77777777" w:rsidR="00881BAC" w:rsidRPr="00864B3B" w:rsidRDefault="00881BAC" w:rsidP="00C15289">
            <w:pPr>
              <w:ind w:firstLine="34"/>
              <w:jc w:val="center"/>
              <w:rPr>
                <w:rFonts w:ascii="Arial" w:hAnsi="Arial" w:cs="Arial"/>
                <w:sz w:val="20"/>
                <w:szCs w:val="20"/>
                <w:lang w:eastAsia="vi-VN"/>
              </w:rPr>
            </w:pPr>
            <w:bookmarkStart w:id="8" w:name="_Hlk116907733"/>
            <w:r w:rsidRPr="00864B3B">
              <w:rPr>
                <w:rFonts w:ascii="Arial" w:hAnsi="Arial" w:cs="Arial"/>
                <w:sz w:val="20"/>
                <w:szCs w:val="20"/>
                <w:lang w:val="en-US" w:eastAsia="vi-VN"/>
              </w:rPr>
              <w:t>Carried</w:t>
            </w:r>
            <w:bookmarkEnd w:id="8"/>
          </w:p>
        </w:tc>
        <w:tc>
          <w:tcPr>
            <w:tcW w:w="1474" w:type="dxa"/>
            <w:tcBorders>
              <w:top w:val="single" w:sz="4" w:space="0" w:color="auto"/>
              <w:bottom w:val="single" w:sz="4" w:space="0" w:color="auto"/>
            </w:tcBorders>
            <w:shd w:val="clear" w:color="auto" w:fill="auto"/>
            <w:vAlign w:val="center"/>
            <w:hideMark/>
          </w:tcPr>
          <w:p w14:paraId="7C032981" w14:textId="77777777" w:rsidR="00881BAC" w:rsidRPr="00864B3B" w:rsidRDefault="00881BAC" w:rsidP="00C15289">
            <w:pPr>
              <w:ind w:firstLine="34"/>
              <w:jc w:val="center"/>
              <w:rPr>
                <w:rFonts w:ascii="Arial" w:hAnsi="Arial" w:cs="Arial"/>
                <w:sz w:val="20"/>
                <w:szCs w:val="20"/>
                <w:lang w:eastAsia="vi-VN"/>
              </w:rPr>
            </w:pPr>
            <w:r w:rsidRPr="00864B3B">
              <w:rPr>
                <w:rFonts w:ascii="Arial" w:hAnsi="Arial" w:cs="Arial"/>
                <w:sz w:val="20"/>
                <w:szCs w:val="20"/>
                <w:lang w:val="en-US" w:eastAsia="vi-VN"/>
              </w:rPr>
              <w:t>Traffic</w:t>
            </w:r>
          </w:p>
        </w:tc>
      </w:tr>
      <w:tr w:rsidR="00881BAC" w:rsidRPr="00864B3B" w14:paraId="30BC3A2D" w14:textId="77777777" w:rsidTr="00C15289">
        <w:trPr>
          <w:trHeight w:val="402"/>
          <w:jc w:val="center"/>
        </w:trPr>
        <w:tc>
          <w:tcPr>
            <w:tcW w:w="1985" w:type="dxa"/>
            <w:shd w:val="clear" w:color="auto" w:fill="auto"/>
            <w:noWrap/>
            <w:vAlign w:val="center"/>
            <w:hideMark/>
          </w:tcPr>
          <w:p w14:paraId="0C775800" w14:textId="77777777" w:rsidR="00881BAC" w:rsidRPr="00864B3B" w:rsidRDefault="00881BAC" w:rsidP="00C15289">
            <w:pPr>
              <w:ind w:firstLine="34"/>
              <w:jc w:val="both"/>
              <w:rPr>
                <w:rFonts w:ascii="Arial" w:hAnsi="Arial" w:cs="Arial"/>
                <w:b/>
                <w:bCs/>
                <w:sz w:val="20"/>
                <w:szCs w:val="20"/>
                <w:lang w:eastAsia="vi-VN"/>
              </w:rPr>
            </w:pPr>
            <w:r w:rsidRPr="00864B3B">
              <w:rPr>
                <w:rFonts w:ascii="Arial" w:hAnsi="Arial" w:cs="Arial"/>
                <w:b/>
                <w:bCs/>
                <w:sz w:val="20"/>
                <w:szCs w:val="20"/>
                <w:lang w:eastAsia="vi-VN"/>
              </w:rPr>
              <w:t>T</w:t>
            </w:r>
            <w:r>
              <w:rPr>
                <w:rFonts w:ascii="Arial" w:hAnsi="Arial" w:cs="Arial"/>
                <w:b/>
                <w:bCs/>
                <w:sz w:val="20"/>
                <w:szCs w:val="20"/>
                <w:lang w:eastAsia="vi-VN"/>
              </w:rPr>
              <w:t>otal</w:t>
            </w:r>
          </w:p>
        </w:tc>
        <w:tc>
          <w:tcPr>
            <w:tcW w:w="1984" w:type="dxa"/>
            <w:tcBorders>
              <w:top w:val="single" w:sz="4" w:space="0" w:color="auto"/>
            </w:tcBorders>
            <w:shd w:val="clear" w:color="auto" w:fill="auto"/>
            <w:noWrap/>
            <w:vAlign w:val="bottom"/>
            <w:hideMark/>
          </w:tcPr>
          <w:p w14:paraId="5977A21C" w14:textId="77777777" w:rsidR="00881BAC" w:rsidRPr="007273F0" w:rsidRDefault="00881BAC" w:rsidP="00C15289">
            <w:pPr>
              <w:ind w:right="600"/>
              <w:jc w:val="right"/>
              <w:rPr>
                <w:rFonts w:ascii="Arial" w:hAnsi="Arial" w:cs="Arial"/>
                <w:b/>
                <w:bCs/>
                <w:sz w:val="20"/>
                <w:szCs w:val="20"/>
              </w:rPr>
            </w:pPr>
            <w:r>
              <w:rPr>
                <w:rFonts w:ascii="Arial" w:hAnsi="Arial" w:cs="Arial"/>
                <w:b/>
                <w:bCs/>
                <w:sz w:val="20"/>
                <w:szCs w:val="20"/>
              </w:rPr>
              <w:t>2,615.1</w:t>
            </w:r>
          </w:p>
        </w:tc>
        <w:tc>
          <w:tcPr>
            <w:tcW w:w="2127" w:type="dxa"/>
            <w:tcBorders>
              <w:top w:val="single" w:sz="4" w:space="0" w:color="auto"/>
            </w:tcBorders>
            <w:shd w:val="clear" w:color="auto" w:fill="auto"/>
            <w:noWrap/>
            <w:vAlign w:val="bottom"/>
            <w:hideMark/>
          </w:tcPr>
          <w:p w14:paraId="5D92E928" w14:textId="77777777" w:rsidR="00881BAC" w:rsidRPr="007273F0" w:rsidRDefault="00881BAC" w:rsidP="00C15289">
            <w:pPr>
              <w:ind w:right="743"/>
              <w:jc w:val="right"/>
              <w:rPr>
                <w:rFonts w:ascii="Arial" w:hAnsi="Arial" w:cs="Arial"/>
                <w:b/>
                <w:bCs/>
                <w:sz w:val="20"/>
                <w:szCs w:val="20"/>
              </w:rPr>
            </w:pPr>
            <w:r>
              <w:rPr>
                <w:rFonts w:ascii="Arial" w:hAnsi="Arial" w:cs="Arial"/>
                <w:b/>
                <w:bCs/>
                <w:sz w:val="20"/>
                <w:szCs w:val="20"/>
              </w:rPr>
              <w:t>140.3</w:t>
            </w:r>
          </w:p>
        </w:tc>
        <w:tc>
          <w:tcPr>
            <w:tcW w:w="1753" w:type="dxa"/>
            <w:tcBorders>
              <w:top w:val="single" w:sz="4" w:space="0" w:color="auto"/>
            </w:tcBorders>
            <w:shd w:val="clear" w:color="auto" w:fill="auto"/>
            <w:noWrap/>
            <w:vAlign w:val="bottom"/>
            <w:hideMark/>
          </w:tcPr>
          <w:p w14:paraId="68078D54" w14:textId="77777777" w:rsidR="00881BAC" w:rsidRPr="007273F0" w:rsidRDefault="00881BAC" w:rsidP="00C15289">
            <w:pPr>
              <w:ind w:right="435"/>
              <w:jc w:val="right"/>
              <w:rPr>
                <w:rFonts w:ascii="Arial" w:hAnsi="Arial" w:cs="Arial"/>
                <w:b/>
                <w:bCs/>
                <w:sz w:val="20"/>
                <w:szCs w:val="20"/>
              </w:rPr>
            </w:pPr>
            <w:r>
              <w:rPr>
                <w:rFonts w:ascii="Arial" w:hAnsi="Arial" w:cs="Arial"/>
                <w:b/>
                <w:bCs/>
                <w:sz w:val="20"/>
                <w:szCs w:val="20"/>
              </w:rPr>
              <w:t>15.8</w:t>
            </w:r>
          </w:p>
        </w:tc>
        <w:tc>
          <w:tcPr>
            <w:tcW w:w="1474" w:type="dxa"/>
            <w:tcBorders>
              <w:top w:val="single" w:sz="4" w:space="0" w:color="auto"/>
            </w:tcBorders>
            <w:shd w:val="clear" w:color="auto" w:fill="auto"/>
            <w:noWrap/>
            <w:vAlign w:val="bottom"/>
            <w:hideMark/>
          </w:tcPr>
          <w:p w14:paraId="04C5BBA4" w14:textId="77777777" w:rsidR="00881BAC" w:rsidRPr="007273F0" w:rsidRDefault="00881BAC" w:rsidP="00C15289">
            <w:pPr>
              <w:ind w:right="435"/>
              <w:jc w:val="right"/>
              <w:rPr>
                <w:rFonts w:ascii="Arial" w:hAnsi="Arial" w:cs="Arial"/>
                <w:b/>
                <w:bCs/>
                <w:sz w:val="20"/>
                <w:szCs w:val="20"/>
              </w:rPr>
            </w:pPr>
            <w:r>
              <w:rPr>
                <w:rFonts w:ascii="Arial" w:hAnsi="Arial" w:cs="Arial"/>
                <w:b/>
                <w:bCs/>
                <w:sz w:val="20"/>
                <w:szCs w:val="20"/>
              </w:rPr>
              <w:t>27.6</w:t>
            </w:r>
          </w:p>
        </w:tc>
      </w:tr>
      <w:tr w:rsidR="00881BAC" w:rsidRPr="00864B3B" w14:paraId="08DAF81D" w14:textId="77777777" w:rsidTr="00C15289">
        <w:trPr>
          <w:trHeight w:val="340"/>
          <w:jc w:val="center"/>
        </w:trPr>
        <w:tc>
          <w:tcPr>
            <w:tcW w:w="1985" w:type="dxa"/>
            <w:shd w:val="clear" w:color="auto" w:fill="auto"/>
            <w:noWrap/>
            <w:vAlign w:val="center"/>
            <w:hideMark/>
          </w:tcPr>
          <w:p w14:paraId="4010A1A5" w14:textId="77777777" w:rsidR="00881BAC" w:rsidRPr="00864B3B" w:rsidRDefault="00881BAC" w:rsidP="00C15289">
            <w:pPr>
              <w:tabs>
                <w:tab w:val="left" w:pos="407"/>
              </w:tabs>
              <w:ind w:firstLine="34"/>
              <w:jc w:val="both"/>
              <w:rPr>
                <w:rFonts w:ascii="Arial" w:hAnsi="Arial" w:cs="Arial"/>
                <w:sz w:val="20"/>
                <w:szCs w:val="20"/>
                <w:lang w:eastAsia="vi-VN"/>
              </w:rPr>
            </w:pPr>
            <w:proofErr w:type="gramStart"/>
            <w:r>
              <w:rPr>
                <w:rFonts w:ascii="Arial" w:hAnsi="Arial" w:cs="Arial"/>
                <w:sz w:val="20"/>
                <w:szCs w:val="20"/>
                <w:lang w:eastAsia="vi-VN"/>
              </w:rPr>
              <w:t>Rail way</w:t>
            </w:r>
            <w:proofErr w:type="gramEnd"/>
          </w:p>
        </w:tc>
        <w:tc>
          <w:tcPr>
            <w:tcW w:w="1984" w:type="dxa"/>
            <w:shd w:val="clear" w:color="auto" w:fill="auto"/>
            <w:noWrap/>
            <w:vAlign w:val="bottom"/>
            <w:hideMark/>
          </w:tcPr>
          <w:p w14:paraId="591613DA" w14:textId="77777777" w:rsidR="00881BAC" w:rsidRPr="003D1613" w:rsidRDefault="00881BAC" w:rsidP="00C15289">
            <w:pPr>
              <w:ind w:right="600"/>
              <w:jc w:val="right"/>
              <w:rPr>
                <w:rFonts w:ascii="Arial" w:hAnsi="Arial" w:cs="Arial"/>
                <w:sz w:val="20"/>
                <w:szCs w:val="20"/>
              </w:rPr>
            </w:pPr>
            <w:r>
              <w:rPr>
                <w:rFonts w:ascii="Arial" w:hAnsi="Arial" w:cs="Arial"/>
                <w:sz w:val="20"/>
                <w:szCs w:val="20"/>
              </w:rPr>
              <w:t>3.9</w:t>
            </w:r>
          </w:p>
        </w:tc>
        <w:tc>
          <w:tcPr>
            <w:tcW w:w="2127" w:type="dxa"/>
            <w:shd w:val="clear" w:color="auto" w:fill="auto"/>
            <w:noWrap/>
            <w:vAlign w:val="bottom"/>
            <w:hideMark/>
          </w:tcPr>
          <w:p w14:paraId="3F047507" w14:textId="77777777" w:rsidR="00881BAC" w:rsidRPr="003D1613" w:rsidRDefault="00881BAC" w:rsidP="00C15289">
            <w:pPr>
              <w:ind w:right="743"/>
              <w:jc w:val="right"/>
              <w:rPr>
                <w:rFonts w:ascii="Arial" w:hAnsi="Arial" w:cs="Arial"/>
                <w:sz w:val="20"/>
                <w:szCs w:val="20"/>
              </w:rPr>
            </w:pPr>
            <w:r>
              <w:rPr>
                <w:rFonts w:ascii="Arial" w:hAnsi="Arial" w:cs="Arial"/>
                <w:sz w:val="20"/>
                <w:szCs w:val="20"/>
              </w:rPr>
              <w:t>1.5</w:t>
            </w:r>
          </w:p>
        </w:tc>
        <w:tc>
          <w:tcPr>
            <w:tcW w:w="1753" w:type="dxa"/>
            <w:shd w:val="clear" w:color="auto" w:fill="auto"/>
            <w:noWrap/>
            <w:vAlign w:val="bottom"/>
            <w:hideMark/>
          </w:tcPr>
          <w:p w14:paraId="290A576D"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55.</w:t>
            </w:r>
            <w:r w:rsidRPr="003D1613">
              <w:rPr>
                <w:rFonts w:ascii="Arial" w:hAnsi="Arial" w:cs="Arial"/>
                <w:sz w:val="20"/>
                <w:szCs w:val="20"/>
              </w:rPr>
              <w:t>1</w:t>
            </w:r>
          </w:p>
        </w:tc>
        <w:tc>
          <w:tcPr>
            <w:tcW w:w="1474" w:type="dxa"/>
            <w:shd w:val="clear" w:color="auto" w:fill="auto"/>
            <w:noWrap/>
            <w:vAlign w:val="bottom"/>
            <w:hideMark/>
          </w:tcPr>
          <w:p w14:paraId="0CC8A7D3"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56.6</w:t>
            </w:r>
          </w:p>
        </w:tc>
      </w:tr>
      <w:tr w:rsidR="00881BAC" w:rsidRPr="00864B3B" w14:paraId="0E97461F" w14:textId="77777777" w:rsidTr="00C15289">
        <w:trPr>
          <w:trHeight w:val="340"/>
          <w:jc w:val="center"/>
        </w:trPr>
        <w:tc>
          <w:tcPr>
            <w:tcW w:w="1985" w:type="dxa"/>
            <w:shd w:val="clear" w:color="auto" w:fill="auto"/>
            <w:noWrap/>
            <w:vAlign w:val="center"/>
            <w:hideMark/>
          </w:tcPr>
          <w:p w14:paraId="536D1553" w14:textId="77777777" w:rsidR="00881BAC" w:rsidRPr="00864B3B" w:rsidRDefault="00881BAC" w:rsidP="00C15289">
            <w:pPr>
              <w:tabs>
                <w:tab w:val="left" w:pos="407"/>
              </w:tabs>
              <w:ind w:firstLine="34"/>
              <w:jc w:val="both"/>
              <w:rPr>
                <w:rFonts w:ascii="Arial" w:hAnsi="Arial" w:cs="Arial"/>
                <w:sz w:val="20"/>
                <w:szCs w:val="20"/>
                <w:lang w:eastAsia="vi-VN"/>
              </w:rPr>
            </w:pPr>
            <w:r>
              <w:rPr>
                <w:rFonts w:ascii="Arial" w:hAnsi="Arial" w:cs="Arial"/>
                <w:sz w:val="20"/>
                <w:szCs w:val="20"/>
                <w:lang w:eastAsia="vi-VN"/>
              </w:rPr>
              <w:lastRenderedPageBreak/>
              <w:t>Sea way</w:t>
            </w:r>
          </w:p>
        </w:tc>
        <w:tc>
          <w:tcPr>
            <w:tcW w:w="1984" w:type="dxa"/>
            <w:shd w:val="clear" w:color="auto" w:fill="auto"/>
            <w:noWrap/>
            <w:vAlign w:val="bottom"/>
            <w:hideMark/>
          </w:tcPr>
          <w:p w14:paraId="1AD7F21D" w14:textId="77777777" w:rsidR="00881BAC" w:rsidRPr="003D1613" w:rsidRDefault="00881BAC" w:rsidP="00C15289">
            <w:pPr>
              <w:ind w:right="600"/>
              <w:jc w:val="right"/>
              <w:rPr>
                <w:rFonts w:ascii="Arial" w:hAnsi="Arial" w:cs="Arial"/>
                <w:sz w:val="20"/>
                <w:szCs w:val="20"/>
              </w:rPr>
            </w:pPr>
            <w:r>
              <w:rPr>
                <w:rFonts w:ascii="Arial" w:hAnsi="Arial" w:cs="Arial"/>
                <w:sz w:val="20"/>
                <w:szCs w:val="20"/>
              </w:rPr>
              <w:t>7.6</w:t>
            </w:r>
          </w:p>
        </w:tc>
        <w:tc>
          <w:tcPr>
            <w:tcW w:w="2127" w:type="dxa"/>
            <w:shd w:val="clear" w:color="auto" w:fill="auto"/>
            <w:noWrap/>
            <w:vAlign w:val="bottom"/>
            <w:hideMark/>
          </w:tcPr>
          <w:p w14:paraId="696FF7A8" w14:textId="77777777" w:rsidR="00881BAC" w:rsidRPr="003D1613" w:rsidRDefault="00881BAC" w:rsidP="00C15289">
            <w:pPr>
              <w:ind w:right="743"/>
              <w:jc w:val="right"/>
              <w:rPr>
                <w:rFonts w:ascii="Arial" w:hAnsi="Arial" w:cs="Arial"/>
                <w:sz w:val="20"/>
                <w:szCs w:val="20"/>
              </w:rPr>
            </w:pPr>
            <w:r w:rsidRPr="003D1613">
              <w:rPr>
                <w:rFonts w:ascii="Arial" w:hAnsi="Arial" w:cs="Arial"/>
                <w:sz w:val="20"/>
                <w:szCs w:val="20"/>
              </w:rPr>
              <w:t>0</w:t>
            </w:r>
            <w:r>
              <w:rPr>
                <w:rFonts w:ascii="Arial" w:hAnsi="Arial" w:cs="Arial"/>
                <w:sz w:val="20"/>
                <w:szCs w:val="20"/>
              </w:rPr>
              <w:t>.</w:t>
            </w:r>
            <w:r w:rsidRPr="003D1613">
              <w:rPr>
                <w:rFonts w:ascii="Arial" w:hAnsi="Arial" w:cs="Arial"/>
                <w:sz w:val="20"/>
                <w:szCs w:val="20"/>
              </w:rPr>
              <w:t>4</w:t>
            </w:r>
          </w:p>
        </w:tc>
        <w:tc>
          <w:tcPr>
            <w:tcW w:w="1753" w:type="dxa"/>
            <w:shd w:val="clear" w:color="auto" w:fill="auto"/>
            <w:noWrap/>
            <w:vAlign w:val="bottom"/>
            <w:hideMark/>
          </w:tcPr>
          <w:p w14:paraId="077CDFEC"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44.7</w:t>
            </w:r>
          </w:p>
        </w:tc>
        <w:tc>
          <w:tcPr>
            <w:tcW w:w="1474" w:type="dxa"/>
            <w:shd w:val="clear" w:color="auto" w:fill="auto"/>
            <w:noWrap/>
            <w:vAlign w:val="bottom"/>
            <w:hideMark/>
          </w:tcPr>
          <w:p w14:paraId="5CA705D3"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42.7</w:t>
            </w:r>
          </w:p>
        </w:tc>
      </w:tr>
      <w:tr w:rsidR="00881BAC" w:rsidRPr="00864B3B" w14:paraId="781FCEAC" w14:textId="77777777" w:rsidTr="00C15289">
        <w:trPr>
          <w:trHeight w:val="340"/>
          <w:jc w:val="center"/>
        </w:trPr>
        <w:tc>
          <w:tcPr>
            <w:tcW w:w="1985" w:type="dxa"/>
            <w:shd w:val="clear" w:color="auto" w:fill="auto"/>
            <w:noWrap/>
            <w:vAlign w:val="center"/>
            <w:hideMark/>
          </w:tcPr>
          <w:p w14:paraId="5C69DE43" w14:textId="77777777" w:rsidR="00881BAC" w:rsidRPr="00864B3B" w:rsidRDefault="00881BAC" w:rsidP="00C15289">
            <w:pPr>
              <w:tabs>
                <w:tab w:val="left" w:pos="407"/>
              </w:tabs>
              <w:ind w:firstLine="34"/>
              <w:jc w:val="both"/>
              <w:rPr>
                <w:rFonts w:ascii="Arial" w:hAnsi="Arial" w:cs="Arial"/>
                <w:sz w:val="20"/>
                <w:szCs w:val="20"/>
                <w:lang w:eastAsia="vi-VN"/>
              </w:rPr>
            </w:pPr>
            <w:r>
              <w:rPr>
                <w:rFonts w:ascii="Arial" w:hAnsi="Arial" w:cs="Arial"/>
                <w:sz w:val="20"/>
                <w:szCs w:val="20"/>
                <w:lang w:eastAsia="vi-VN"/>
              </w:rPr>
              <w:t>Inland water way</w:t>
            </w:r>
          </w:p>
        </w:tc>
        <w:tc>
          <w:tcPr>
            <w:tcW w:w="1984" w:type="dxa"/>
            <w:shd w:val="clear" w:color="auto" w:fill="auto"/>
            <w:noWrap/>
            <w:vAlign w:val="bottom"/>
            <w:hideMark/>
          </w:tcPr>
          <w:p w14:paraId="6480A9B9" w14:textId="77777777" w:rsidR="00881BAC" w:rsidRPr="003D1613" w:rsidRDefault="00881BAC" w:rsidP="00C15289">
            <w:pPr>
              <w:ind w:right="600"/>
              <w:jc w:val="right"/>
              <w:rPr>
                <w:rFonts w:ascii="Arial" w:hAnsi="Arial" w:cs="Arial"/>
                <w:sz w:val="20"/>
                <w:szCs w:val="20"/>
              </w:rPr>
            </w:pPr>
            <w:r>
              <w:rPr>
                <w:rFonts w:ascii="Arial" w:hAnsi="Arial" w:cs="Arial"/>
                <w:sz w:val="20"/>
                <w:szCs w:val="20"/>
              </w:rPr>
              <w:t>196.6</w:t>
            </w:r>
          </w:p>
        </w:tc>
        <w:tc>
          <w:tcPr>
            <w:tcW w:w="2127" w:type="dxa"/>
            <w:shd w:val="clear" w:color="auto" w:fill="auto"/>
            <w:noWrap/>
            <w:vAlign w:val="bottom"/>
            <w:hideMark/>
          </w:tcPr>
          <w:p w14:paraId="36FC01F0" w14:textId="77777777" w:rsidR="00881BAC" w:rsidRPr="003D1613" w:rsidRDefault="00881BAC" w:rsidP="00C15289">
            <w:pPr>
              <w:ind w:right="743"/>
              <w:jc w:val="right"/>
              <w:rPr>
                <w:rFonts w:ascii="Arial" w:hAnsi="Arial" w:cs="Arial"/>
                <w:sz w:val="20"/>
                <w:szCs w:val="20"/>
              </w:rPr>
            </w:pPr>
            <w:r>
              <w:rPr>
                <w:rFonts w:ascii="Arial" w:hAnsi="Arial" w:cs="Arial"/>
                <w:sz w:val="20"/>
                <w:szCs w:val="20"/>
              </w:rPr>
              <w:t>3.8</w:t>
            </w:r>
          </w:p>
        </w:tc>
        <w:tc>
          <w:tcPr>
            <w:tcW w:w="1753" w:type="dxa"/>
            <w:shd w:val="clear" w:color="auto" w:fill="auto"/>
            <w:noWrap/>
            <w:vAlign w:val="bottom"/>
            <w:hideMark/>
          </w:tcPr>
          <w:p w14:paraId="7CE324F5"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28.6</w:t>
            </w:r>
          </w:p>
        </w:tc>
        <w:tc>
          <w:tcPr>
            <w:tcW w:w="1474" w:type="dxa"/>
            <w:shd w:val="clear" w:color="auto" w:fill="auto"/>
            <w:noWrap/>
            <w:vAlign w:val="bottom"/>
            <w:hideMark/>
          </w:tcPr>
          <w:p w14:paraId="310DC3DD"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31.0</w:t>
            </w:r>
          </w:p>
        </w:tc>
      </w:tr>
      <w:tr w:rsidR="00881BAC" w:rsidRPr="00864B3B" w14:paraId="7BA811A5" w14:textId="77777777" w:rsidTr="00C15289">
        <w:trPr>
          <w:trHeight w:val="340"/>
          <w:jc w:val="center"/>
        </w:trPr>
        <w:tc>
          <w:tcPr>
            <w:tcW w:w="1985" w:type="dxa"/>
            <w:shd w:val="clear" w:color="auto" w:fill="auto"/>
            <w:noWrap/>
            <w:vAlign w:val="center"/>
            <w:hideMark/>
          </w:tcPr>
          <w:p w14:paraId="77489112" w14:textId="77777777" w:rsidR="00881BAC" w:rsidRPr="00864B3B" w:rsidRDefault="00881BAC" w:rsidP="00C15289">
            <w:pPr>
              <w:tabs>
                <w:tab w:val="left" w:pos="407"/>
              </w:tabs>
              <w:ind w:firstLine="34"/>
              <w:jc w:val="both"/>
              <w:rPr>
                <w:rFonts w:ascii="Arial" w:hAnsi="Arial" w:cs="Arial"/>
                <w:sz w:val="20"/>
                <w:szCs w:val="20"/>
                <w:lang w:eastAsia="vi-VN"/>
              </w:rPr>
            </w:pPr>
            <w:r>
              <w:rPr>
                <w:rFonts w:ascii="Arial" w:hAnsi="Arial" w:cs="Arial"/>
                <w:sz w:val="20"/>
                <w:szCs w:val="20"/>
                <w:lang w:eastAsia="vi-VN"/>
              </w:rPr>
              <w:t>Road</w:t>
            </w:r>
          </w:p>
        </w:tc>
        <w:tc>
          <w:tcPr>
            <w:tcW w:w="1984" w:type="dxa"/>
            <w:shd w:val="clear" w:color="auto" w:fill="auto"/>
            <w:noWrap/>
            <w:vAlign w:val="bottom"/>
            <w:hideMark/>
          </w:tcPr>
          <w:p w14:paraId="35F251A8" w14:textId="77777777" w:rsidR="00881BAC" w:rsidRPr="003D1613" w:rsidRDefault="00881BAC" w:rsidP="00C15289">
            <w:pPr>
              <w:ind w:right="600"/>
              <w:jc w:val="right"/>
              <w:rPr>
                <w:rFonts w:ascii="Arial" w:hAnsi="Arial" w:cs="Arial"/>
                <w:sz w:val="20"/>
                <w:szCs w:val="20"/>
              </w:rPr>
            </w:pPr>
            <w:r>
              <w:rPr>
                <w:rFonts w:ascii="Arial" w:hAnsi="Arial" w:cs="Arial"/>
                <w:sz w:val="20"/>
                <w:szCs w:val="20"/>
              </w:rPr>
              <w:t>2,373.2</w:t>
            </w:r>
          </w:p>
        </w:tc>
        <w:tc>
          <w:tcPr>
            <w:tcW w:w="2127" w:type="dxa"/>
            <w:shd w:val="clear" w:color="auto" w:fill="auto"/>
            <w:noWrap/>
            <w:vAlign w:val="bottom"/>
            <w:hideMark/>
          </w:tcPr>
          <w:p w14:paraId="2C336616" w14:textId="77777777" w:rsidR="00881BAC" w:rsidRPr="003D1613" w:rsidRDefault="00881BAC" w:rsidP="00C15289">
            <w:pPr>
              <w:ind w:right="743"/>
              <w:jc w:val="right"/>
              <w:rPr>
                <w:rFonts w:ascii="Arial" w:hAnsi="Arial" w:cs="Arial"/>
                <w:sz w:val="20"/>
                <w:szCs w:val="20"/>
              </w:rPr>
            </w:pPr>
            <w:r>
              <w:rPr>
                <w:rFonts w:ascii="Arial" w:hAnsi="Arial" w:cs="Arial"/>
                <w:sz w:val="20"/>
                <w:szCs w:val="20"/>
              </w:rPr>
              <w:t>89.0</w:t>
            </w:r>
          </w:p>
        </w:tc>
        <w:tc>
          <w:tcPr>
            <w:tcW w:w="1753" w:type="dxa"/>
            <w:shd w:val="clear" w:color="auto" w:fill="auto"/>
            <w:noWrap/>
            <w:vAlign w:val="bottom"/>
            <w:hideMark/>
          </w:tcPr>
          <w:p w14:paraId="4AE01B7B"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14.6</w:t>
            </w:r>
          </w:p>
        </w:tc>
        <w:tc>
          <w:tcPr>
            <w:tcW w:w="1474" w:type="dxa"/>
            <w:shd w:val="clear" w:color="auto" w:fill="auto"/>
            <w:noWrap/>
            <w:vAlign w:val="bottom"/>
            <w:hideMark/>
          </w:tcPr>
          <w:p w14:paraId="128B0E16"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21.3</w:t>
            </w:r>
          </w:p>
        </w:tc>
      </w:tr>
      <w:tr w:rsidR="00881BAC" w:rsidRPr="00864B3B" w14:paraId="1CD180BC" w14:textId="77777777" w:rsidTr="00C15289">
        <w:trPr>
          <w:trHeight w:val="340"/>
          <w:jc w:val="center"/>
        </w:trPr>
        <w:tc>
          <w:tcPr>
            <w:tcW w:w="1985" w:type="dxa"/>
            <w:tcBorders>
              <w:bottom w:val="single" w:sz="4" w:space="0" w:color="auto"/>
            </w:tcBorders>
            <w:shd w:val="clear" w:color="auto" w:fill="auto"/>
            <w:noWrap/>
            <w:vAlign w:val="center"/>
            <w:hideMark/>
          </w:tcPr>
          <w:p w14:paraId="79B9D4DC" w14:textId="77777777" w:rsidR="00881BAC" w:rsidRPr="00864B3B" w:rsidRDefault="00881BAC" w:rsidP="00C15289">
            <w:pPr>
              <w:tabs>
                <w:tab w:val="left" w:pos="407"/>
              </w:tabs>
              <w:ind w:firstLine="34"/>
              <w:jc w:val="both"/>
              <w:rPr>
                <w:rFonts w:ascii="Arial" w:hAnsi="Arial" w:cs="Arial"/>
                <w:sz w:val="20"/>
                <w:szCs w:val="20"/>
                <w:lang w:eastAsia="vi-VN"/>
              </w:rPr>
            </w:pPr>
            <w:r>
              <w:rPr>
                <w:rFonts w:ascii="Arial" w:hAnsi="Arial" w:cs="Arial"/>
                <w:sz w:val="20"/>
                <w:szCs w:val="20"/>
                <w:lang w:eastAsia="vi-VN"/>
              </w:rPr>
              <w:t xml:space="preserve">Airway </w:t>
            </w:r>
          </w:p>
        </w:tc>
        <w:tc>
          <w:tcPr>
            <w:tcW w:w="1984" w:type="dxa"/>
            <w:tcBorders>
              <w:bottom w:val="single" w:sz="4" w:space="0" w:color="auto"/>
            </w:tcBorders>
            <w:shd w:val="clear" w:color="auto" w:fill="auto"/>
            <w:noWrap/>
            <w:vAlign w:val="bottom"/>
            <w:hideMark/>
          </w:tcPr>
          <w:p w14:paraId="6927E7BE" w14:textId="77777777" w:rsidR="00881BAC" w:rsidRPr="003D1613" w:rsidRDefault="00881BAC" w:rsidP="00C15289">
            <w:pPr>
              <w:ind w:right="600"/>
              <w:jc w:val="right"/>
              <w:rPr>
                <w:rFonts w:ascii="Arial" w:hAnsi="Arial" w:cs="Arial"/>
                <w:sz w:val="20"/>
                <w:szCs w:val="20"/>
              </w:rPr>
            </w:pPr>
            <w:r>
              <w:rPr>
                <w:rFonts w:ascii="Arial" w:hAnsi="Arial" w:cs="Arial"/>
                <w:sz w:val="20"/>
                <w:szCs w:val="20"/>
              </w:rPr>
              <w:t>33.8</w:t>
            </w:r>
          </w:p>
        </w:tc>
        <w:tc>
          <w:tcPr>
            <w:tcW w:w="2127" w:type="dxa"/>
            <w:tcBorders>
              <w:bottom w:val="single" w:sz="4" w:space="0" w:color="auto"/>
            </w:tcBorders>
            <w:shd w:val="clear" w:color="auto" w:fill="auto"/>
            <w:noWrap/>
            <w:vAlign w:val="bottom"/>
            <w:hideMark/>
          </w:tcPr>
          <w:p w14:paraId="3AF24C8D" w14:textId="77777777" w:rsidR="00881BAC" w:rsidRPr="003D1613" w:rsidRDefault="00881BAC" w:rsidP="00C15289">
            <w:pPr>
              <w:ind w:right="743"/>
              <w:jc w:val="right"/>
              <w:rPr>
                <w:rFonts w:ascii="Arial" w:hAnsi="Arial" w:cs="Arial"/>
                <w:sz w:val="20"/>
                <w:szCs w:val="20"/>
              </w:rPr>
            </w:pPr>
            <w:r>
              <w:rPr>
                <w:rFonts w:ascii="Arial" w:hAnsi="Arial" w:cs="Arial"/>
                <w:sz w:val="20"/>
                <w:szCs w:val="20"/>
              </w:rPr>
              <w:t>45.6</w:t>
            </w:r>
          </w:p>
        </w:tc>
        <w:tc>
          <w:tcPr>
            <w:tcW w:w="1753" w:type="dxa"/>
            <w:tcBorders>
              <w:bottom w:val="single" w:sz="4" w:space="0" w:color="auto"/>
            </w:tcBorders>
            <w:shd w:val="clear" w:color="auto" w:fill="auto"/>
            <w:noWrap/>
            <w:vAlign w:val="bottom"/>
            <w:hideMark/>
          </w:tcPr>
          <w:p w14:paraId="7C6F7F9B"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22.2</w:t>
            </w:r>
          </w:p>
        </w:tc>
        <w:tc>
          <w:tcPr>
            <w:tcW w:w="1474" w:type="dxa"/>
            <w:tcBorders>
              <w:bottom w:val="single" w:sz="4" w:space="0" w:color="auto"/>
            </w:tcBorders>
            <w:shd w:val="clear" w:color="auto" w:fill="auto"/>
            <w:noWrap/>
            <w:vAlign w:val="bottom"/>
            <w:hideMark/>
          </w:tcPr>
          <w:p w14:paraId="5C7F5AF6" w14:textId="77777777" w:rsidR="00881BAC" w:rsidRPr="003D1613" w:rsidRDefault="00881BAC" w:rsidP="00C15289">
            <w:pPr>
              <w:ind w:right="435"/>
              <w:jc w:val="right"/>
              <w:rPr>
                <w:rFonts w:ascii="Arial" w:hAnsi="Arial" w:cs="Arial"/>
                <w:sz w:val="20"/>
                <w:szCs w:val="20"/>
              </w:rPr>
            </w:pPr>
            <w:r>
              <w:rPr>
                <w:rFonts w:ascii="Arial" w:hAnsi="Arial" w:cs="Arial"/>
                <w:sz w:val="20"/>
                <w:szCs w:val="20"/>
              </w:rPr>
              <w:t>40.7</w:t>
            </w:r>
          </w:p>
        </w:tc>
      </w:tr>
    </w:tbl>
    <w:p w14:paraId="2C447F52" w14:textId="77777777" w:rsidR="00881BAC" w:rsidRPr="00646EC8" w:rsidRDefault="00881BAC" w:rsidP="00881BAC">
      <w:pPr>
        <w:spacing w:before="40" w:after="40" w:line="283" w:lineRule="auto"/>
        <w:ind w:firstLine="567"/>
        <w:jc w:val="both"/>
        <w:rPr>
          <w:bCs/>
          <w:i/>
          <w:iCs/>
          <w:sz w:val="8"/>
          <w:lang w:val="fr-FR"/>
        </w:rPr>
      </w:pPr>
    </w:p>
    <w:p w14:paraId="5AD52A27" w14:textId="77777777" w:rsidR="00881BAC" w:rsidRDefault="00881BAC" w:rsidP="00881BAC">
      <w:pPr>
        <w:spacing w:before="120" w:after="120"/>
        <w:ind w:firstLine="567"/>
        <w:jc w:val="both"/>
        <w:rPr>
          <w:lang w:val="pl-PL"/>
        </w:rPr>
      </w:pPr>
      <w:r w:rsidRPr="00297220">
        <w:rPr>
          <w:lang w:val="pl-PL"/>
        </w:rPr>
        <w:t xml:space="preserve">Freight transport in </w:t>
      </w:r>
      <w:r>
        <w:rPr>
          <w:lang w:val="pl-PL"/>
        </w:rPr>
        <w:t>July</w:t>
      </w:r>
      <w:r w:rsidRPr="00297220">
        <w:rPr>
          <w:lang w:val="pl-PL"/>
        </w:rPr>
        <w:t xml:space="preserve"> was estimated at </w:t>
      </w:r>
      <w:r>
        <w:rPr>
          <w:lang w:val="pl-PL"/>
        </w:rPr>
        <w:t>191.2</w:t>
      </w:r>
      <w:r w:rsidRPr="00297220">
        <w:rPr>
          <w:lang w:val="pl-PL"/>
        </w:rPr>
        <w:t xml:space="preserve"> million tons of </w:t>
      </w:r>
      <w:r w:rsidRPr="00297220">
        <w:rPr>
          <w:color w:val="000000" w:themeColor="text1"/>
        </w:rPr>
        <w:t>freight carried</w:t>
      </w:r>
      <w:r w:rsidRPr="00297220">
        <w:rPr>
          <w:lang w:val="pl-PL"/>
        </w:rPr>
        <w:t xml:space="preserve">, up </w:t>
      </w:r>
      <w:r>
        <w:rPr>
          <w:lang w:val="pl-PL"/>
        </w:rPr>
        <w:t>0.7</w:t>
      </w:r>
      <w:r w:rsidRPr="00297220">
        <w:rPr>
          <w:lang w:val="pl-PL"/>
        </w:rPr>
        <w:t>% from the previous month and 39.</w:t>
      </w:r>
      <w:r>
        <w:rPr>
          <w:lang w:val="pl-PL"/>
        </w:rPr>
        <w:t>7</w:t>
      </w:r>
      <w:r w:rsidRPr="00297220">
        <w:rPr>
          <w:lang w:val="pl-PL"/>
        </w:rPr>
        <w:t xml:space="preserve"> billion tons.km </w:t>
      </w:r>
      <w:r w:rsidRPr="00297220">
        <w:rPr>
          <w:color w:val="000000" w:themeColor="text1"/>
        </w:rPr>
        <w:t>of freight traffic</w:t>
      </w:r>
      <w:r w:rsidRPr="00297220">
        <w:rPr>
          <w:lang w:val="pl-PL"/>
        </w:rPr>
        <w:t xml:space="preserve">, up </w:t>
      </w:r>
      <w:r>
        <w:rPr>
          <w:lang w:val="pl-PL"/>
        </w:rPr>
        <w:t xml:space="preserve">4.8%. </w:t>
      </w:r>
      <w:r w:rsidRPr="00297220">
        <w:rPr>
          <w:lang w:val="pl-PL"/>
        </w:rPr>
        <w:t xml:space="preserve">Generally for </w:t>
      </w:r>
      <w:r>
        <w:rPr>
          <w:lang w:val="pl-PL"/>
        </w:rPr>
        <w:t>7 months</w:t>
      </w:r>
      <w:r w:rsidRPr="00297220">
        <w:rPr>
          <w:lang w:val="pl-PL"/>
        </w:rPr>
        <w:t xml:space="preserve"> of </w:t>
      </w:r>
      <w:r>
        <w:rPr>
          <w:lang w:val="pl-PL"/>
        </w:rPr>
        <w:t>2023</w:t>
      </w:r>
      <w:r w:rsidRPr="00297220">
        <w:rPr>
          <w:lang w:val="pl-PL"/>
        </w:rPr>
        <w:t xml:space="preserve">, freight transport </w:t>
      </w:r>
      <w:r>
        <w:rPr>
          <w:lang w:val="pl-PL"/>
        </w:rPr>
        <w:t>wa</w:t>
      </w:r>
      <w:r w:rsidRPr="00297220">
        <w:rPr>
          <w:lang w:val="pl-PL"/>
        </w:rPr>
        <w:t xml:space="preserve">s estimated at </w:t>
      </w:r>
      <w:r>
        <w:rPr>
          <w:lang w:val="pl-PL"/>
        </w:rPr>
        <w:t>1,303.6</w:t>
      </w:r>
      <w:r w:rsidRPr="00297220">
        <w:rPr>
          <w:lang w:val="pl-PL"/>
        </w:rPr>
        <w:t xml:space="preserve"> million tons of </w:t>
      </w:r>
      <w:r w:rsidRPr="00297220">
        <w:rPr>
          <w:color w:val="000000" w:themeColor="text1"/>
        </w:rPr>
        <w:t>freight carried</w:t>
      </w:r>
      <w:r w:rsidRPr="00297220">
        <w:rPr>
          <w:lang w:val="pl-PL"/>
        </w:rPr>
        <w:t xml:space="preserve">, up </w:t>
      </w:r>
      <w:r>
        <w:rPr>
          <w:lang w:val="pl-PL"/>
        </w:rPr>
        <w:t>15.3</w:t>
      </w:r>
      <w:r w:rsidRPr="00297220">
        <w:rPr>
          <w:lang w:val="pl-PL"/>
        </w:rPr>
        <w:t xml:space="preserve">% over the same period last year and </w:t>
      </w:r>
      <w:r>
        <w:rPr>
          <w:lang w:val="pl-PL"/>
        </w:rPr>
        <w:t>270.7</w:t>
      </w:r>
      <w:r w:rsidRPr="00297220">
        <w:rPr>
          <w:lang w:val="pl-PL"/>
        </w:rPr>
        <w:t xml:space="preserve"> billion tons.km </w:t>
      </w:r>
      <w:r w:rsidRPr="00297220">
        <w:rPr>
          <w:color w:val="000000" w:themeColor="text1"/>
        </w:rPr>
        <w:t>of freight traffic</w:t>
      </w:r>
      <w:r w:rsidRPr="00297220">
        <w:rPr>
          <w:lang w:val="pl-PL"/>
        </w:rPr>
        <w:t xml:space="preserve">, an increase of </w:t>
      </w:r>
      <w:r>
        <w:rPr>
          <w:lang w:val="pl-PL"/>
        </w:rPr>
        <w:t>12.7</w:t>
      </w:r>
      <w:r w:rsidRPr="00297220">
        <w:rPr>
          <w:lang w:val="pl-PL"/>
        </w:rPr>
        <w:t xml:space="preserve">%. In which, domestic transport reached </w:t>
      </w:r>
      <w:r>
        <w:rPr>
          <w:lang w:val="pl-PL"/>
        </w:rPr>
        <w:t>1,278.2</w:t>
      </w:r>
      <w:r w:rsidRPr="00297220">
        <w:rPr>
          <w:lang w:val="pl-PL"/>
        </w:rPr>
        <w:t xml:space="preserve"> million tons of </w:t>
      </w:r>
      <w:r w:rsidRPr="00297220">
        <w:rPr>
          <w:color w:val="000000" w:themeColor="text1"/>
        </w:rPr>
        <w:t>freight carried</w:t>
      </w:r>
      <w:r w:rsidRPr="00297220">
        <w:rPr>
          <w:lang w:val="pl-PL"/>
        </w:rPr>
        <w:t xml:space="preserve">, up </w:t>
      </w:r>
      <w:r>
        <w:rPr>
          <w:lang w:val="pl-PL"/>
        </w:rPr>
        <w:t>15.6</w:t>
      </w:r>
      <w:r w:rsidRPr="00297220">
        <w:rPr>
          <w:lang w:val="pl-PL"/>
        </w:rPr>
        <w:t xml:space="preserve">% and </w:t>
      </w:r>
      <w:r>
        <w:rPr>
          <w:lang w:val="pl-PL"/>
        </w:rPr>
        <w:t>170.7</w:t>
      </w:r>
      <w:r w:rsidRPr="00297220">
        <w:rPr>
          <w:lang w:val="pl-PL"/>
        </w:rPr>
        <w:t xml:space="preserve"> billion tons.km of </w:t>
      </w:r>
      <w:r w:rsidRPr="00297220">
        <w:rPr>
          <w:color w:val="000000" w:themeColor="text1"/>
        </w:rPr>
        <w:t>freight traffic</w:t>
      </w:r>
      <w:r w:rsidRPr="00297220">
        <w:rPr>
          <w:lang w:val="pl-PL"/>
        </w:rPr>
        <w:t xml:space="preserve">, up </w:t>
      </w:r>
      <w:r>
        <w:rPr>
          <w:lang w:val="pl-PL"/>
        </w:rPr>
        <w:t>19.9%; o</w:t>
      </w:r>
      <w:r w:rsidRPr="00297220">
        <w:rPr>
          <w:lang w:val="pl-PL"/>
        </w:rPr>
        <w:t xml:space="preserve">verseas transport reached </w:t>
      </w:r>
      <w:r>
        <w:rPr>
          <w:lang w:val="pl-PL"/>
        </w:rPr>
        <w:t>25.5</w:t>
      </w:r>
      <w:r w:rsidRPr="00297220">
        <w:rPr>
          <w:lang w:val="pl-PL"/>
        </w:rPr>
        <w:t xml:space="preserve"> million tons of </w:t>
      </w:r>
      <w:r w:rsidRPr="00297220">
        <w:rPr>
          <w:color w:val="000000" w:themeColor="text1"/>
        </w:rPr>
        <w:t>freight carried</w:t>
      </w:r>
      <w:r w:rsidRPr="00297220">
        <w:rPr>
          <w:lang w:val="pl-PL"/>
        </w:rPr>
        <w:t xml:space="preserve">, up </w:t>
      </w:r>
      <w:r>
        <w:rPr>
          <w:lang w:val="pl-PL"/>
        </w:rPr>
        <w:t>2.8</w:t>
      </w:r>
      <w:r w:rsidRPr="00297220">
        <w:rPr>
          <w:lang w:val="pl-PL"/>
        </w:rPr>
        <w:t xml:space="preserve">% and </w:t>
      </w:r>
      <w:r>
        <w:rPr>
          <w:lang w:val="pl-PL"/>
        </w:rPr>
        <w:t>100</w:t>
      </w:r>
      <w:r w:rsidRPr="00297220">
        <w:rPr>
          <w:lang w:val="pl-PL"/>
        </w:rPr>
        <w:t xml:space="preserve"> billion tons.km </w:t>
      </w:r>
      <w:r w:rsidRPr="00297220">
        <w:rPr>
          <w:color w:val="000000" w:themeColor="text1"/>
        </w:rPr>
        <w:t>of freight traffic</w:t>
      </w:r>
      <w:r w:rsidRPr="00297220">
        <w:rPr>
          <w:lang w:val="pl-PL"/>
        </w:rPr>
        <w:t xml:space="preserve">, up </w:t>
      </w:r>
      <w:r>
        <w:rPr>
          <w:lang w:val="pl-PL"/>
        </w:rPr>
        <w:t>2.2</w:t>
      </w:r>
      <w:r w:rsidRPr="00297220">
        <w:rPr>
          <w:lang w:val="pl-PL"/>
        </w:rPr>
        <w:t xml:space="preserve">%. </w:t>
      </w:r>
      <w:r w:rsidRPr="00322B1D">
        <w:rPr>
          <w:lang w:val="pl-PL"/>
        </w:rPr>
        <w:t xml:space="preserve">In terms of transportation, road and waterway transport </w:t>
      </w:r>
      <w:r>
        <w:rPr>
          <w:lang w:val="pl-PL"/>
        </w:rPr>
        <w:t xml:space="preserve">in 7 months </w:t>
      </w:r>
      <w:r w:rsidRPr="00322B1D">
        <w:rPr>
          <w:lang w:val="pl-PL"/>
        </w:rPr>
        <w:t xml:space="preserve">of 2023 had a positive growth rate compared to the same period last year; </w:t>
      </w:r>
      <w:r>
        <w:rPr>
          <w:lang w:val="pl-PL"/>
        </w:rPr>
        <w:t>a</w:t>
      </w:r>
      <w:r w:rsidRPr="00322B1D">
        <w:rPr>
          <w:lang w:val="pl-PL"/>
        </w:rPr>
        <w:t>ir</w:t>
      </w:r>
      <w:r>
        <w:rPr>
          <w:lang w:val="pl-PL"/>
        </w:rPr>
        <w:t>way in</w:t>
      </w:r>
      <w:r w:rsidRPr="00322B1D">
        <w:rPr>
          <w:lang w:val="pl-PL"/>
        </w:rPr>
        <w:t xml:space="preserve">creased slightly in terms of </w:t>
      </w:r>
      <w:r>
        <w:rPr>
          <w:lang w:val="pl-PL"/>
        </w:rPr>
        <w:t>carried</w:t>
      </w:r>
      <w:r w:rsidRPr="00322B1D">
        <w:rPr>
          <w:lang w:val="pl-PL"/>
        </w:rPr>
        <w:t xml:space="preserve"> but increased sharply in </w:t>
      </w:r>
      <w:r>
        <w:rPr>
          <w:lang w:val="pl-PL"/>
        </w:rPr>
        <w:t xml:space="preserve">traffic </w:t>
      </w:r>
      <w:r w:rsidRPr="001E3337">
        <w:rPr>
          <w:lang w:val="pl-PL"/>
        </w:rPr>
        <w:t>compared to the same period last year because from the beginning of this year Vietnamese airlines reopened and opened many new international routes.</w:t>
      </w:r>
      <w:r w:rsidRPr="00322B1D">
        <w:rPr>
          <w:lang w:val="pl-PL"/>
        </w:rPr>
        <w:t xml:space="preserve"> Particularly, rail</w:t>
      </w:r>
      <w:r>
        <w:rPr>
          <w:lang w:val="pl-PL"/>
        </w:rPr>
        <w:t xml:space="preserve"> way </w:t>
      </w:r>
      <w:r w:rsidRPr="00322B1D">
        <w:rPr>
          <w:lang w:val="pl-PL"/>
        </w:rPr>
        <w:t>dropped sharply due to reduced import and export orders and had to compete with water transport when costs were higher.</w:t>
      </w:r>
    </w:p>
    <w:p w14:paraId="3EBF114E" w14:textId="77777777" w:rsidR="00881BAC" w:rsidRPr="00092C84" w:rsidRDefault="00881BAC" w:rsidP="00881BAC">
      <w:pPr>
        <w:spacing w:before="120" w:after="120"/>
        <w:ind w:firstLine="567"/>
        <w:jc w:val="center"/>
        <w:rPr>
          <w:b/>
          <w:bCs/>
          <w:lang w:val="fr-FR"/>
        </w:rPr>
      </w:pPr>
      <w:r w:rsidRPr="00092C84">
        <w:rPr>
          <w:b/>
          <w:lang w:val="pl-PL"/>
        </w:rPr>
        <w:t xml:space="preserve">Table </w:t>
      </w:r>
      <w:r>
        <w:rPr>
          <w:b/>
          <w:lang w:val="pl-PL"/>
        </w:rPr>
        <w:t>7</w:t>
      </w:r>
      <w:r w:rsidRPr="00092C84">
        <w:rPr>
          <w:b/>
          <w:lang w:val="pl-PL"/>
        </w:rPr>
        <w:t xml:space="preserve">. </w:t>
      </w:r>
      <w:r w:rsidRPr="00092C84">
        <w:rPr>
          <w:b/>
          <w:bCs/>
          <w:lang w:val="fr-FR"/>
        </w:rPr>
        <w:t xml:space="preserve">Carriage of freight </w:t>
      </w:r>
      <w:r>
        <w:rPr>
          <w:b/>
          <w:bCs/>
          <w:lang w:val="fr-FR"/>
        </w:rPr>
        <w:t>in 7 months</w:t>
      </w:r>
      <w:r w:rsidRPr="00092C84">
        <w:rPr>
          <w:b/>
          <w:bCs/>
          <w:lang w:val="fr-FR"/>
        </w:rPr>
        <w:t>of 202</w:t>
      </w:r>
      <w:r>
        <w:rPr>
          <w:b/>
          <w:bCs/>
          <w:lang w:val="fr-FR"/>
        </w:rPr>
        <w:t>3</w:t>
      </w:r>
      <w:r w:rsidRPr="00092C84">
        <w:rPr>
          <w:b/>
          <w:bCs/>
          <w:lang w:val="fr-FR"/>
        </w:rPr>
        <w:t xml:space="preserve"> by types of transport</w:t>
      </w:r>
    </w:p>
    <w:tbl>
      <w:tblPr>
        <w:tblW w:w="8784" w:type="dxa"/>
        <w:jc w:val="center"/>
        <w:tblLook w:val="04A0" w:firstRow="1" w:lastRow="0" w:firstColumn="1" w:lastColumn="0" w:noHBand="0" w:noVBand="1"/>
      </w:tblPr>
      <w:tblGrid>
        <w:gridCol w:w="2355"/>
        <w:gridCol w:w="1767"/>
        <w:gridCol w:w="1638"/>
        <w:gridCol w:w="1499"/>
        <w:gridCol w:w="1525"/>
      </w:tblGrid>
      <w:tr w:rsidR="00881BAC" w:rsidRPr="00985565" w14:paraId="7F4F439B" w14:textId="77777777" w:rsidTr="00C15289">
        <w:trPr>
          <w:trHeight w:val="497"/>
          <w:jc w:val="center"/>
        </w:trPr>
        <w:tc>
          <w:tcPr>
            <w:tcW w:w="2355" w:type="dxa"/>
            <w:tcBorders>
              <w:top w:val="single" w:sz="4" w:space="0" w:color="auto"/>
              <w:left w:val="nil"/>
              <w:bottom w:val="nil"/>
              <w:right w:val="nil"/>
            </w:tcBorders>
            <w:shd w:val="clear" w:color="auto" w:fill="auto"/>
            <w:vAlign w:val="center"/>
            <w:hideMark/>
          </w:tcPr>
          <w:p w14:paraId="4307AFD5" w14:textId="77777777" w:rsidR="00881BAC" w:rsidRPr="00985565" w:rsidRDefault="00881BAC" w:rsidP="00C15289">
            <w:pPr>
              <w:spacing w:before="60" w:after="60"/>
              <w:rPr>
                <w:rFonts w:ascii="Arial" w:hAnsi="Arial" w:cs="Arial"/>
                <w:sz w:val="20"/>
                <w:szCs w:val="20"/>
                <w:lang w:val="fr-FR" w:eastAsia="vi-VN"/>
              </w:rPr>
            </w:pPr>
            <w:r w:rsidRPr="00985565">
              <w:rPr>
                <w:rFonts w:ascii="Arial" w:hAnsi="Arial" w:cs="Arial"/>
                <w:sz w:val="20"/>
                <w:szCs w:val="20"/>
                <w:lang w:val="fr-FR" w:eastAsia="vi-VN"/>
              </w:rPr>
              <w:t> </w:t>
            </w:r>
          </w:p>
        </w:tc>
        <w:tc>
          <w:tcPr>
            <w:tcW w:w="3405" w:type="dxa"/>
            <w:gridSpan w:val="2"/>
            <w:tcBorders>
              <w:top w:val="single" w:sz="4" w:space="0" w:color="auto"/>
              <w:left w:val="nil"/>
              <w:bottom w:val="single" w:sz="4" w:space="0" w:color="auto"/>
              <w:right w:val="nil"/>
            </w:tcBorders>
            <w:shd w:val="clear" w:color="auto" w:fill="auto"/>
            <w:vAlign w:val="center"/>
            <w:hideMark/>
          </w:tcPr>
          <w:p w14:paraId="18F157B2" w14:textId="77777777" w:rsidR="00881BAC" w:rsidRPr="00985565" w:rsidRDefault="00881BAC" w:rsidP="00C15289">
            <w:pPr>
              <w:spacing w:before="60" w:after="60"/>
              <w:jc w:val="center"/>
              <w:rPr>
                <w:rFonts w:ascii="Arial" w:hAnsi="Arial" w:cs="Arial"/>
                <w:color w:val="000000"/>
                <w:sz w:val="20"/>
                <w:szCs w:val="20"/>
                <w:lang w:eastAsia="vi-VN"/>
              </w:rPr>
            </w:pPr>
            <w:r w:rsidRPr="00092C84">
              <w:rPr>
                <w:rFonts w:ascii="Arial" w:hAnsi="Arial" w:cs="Arial"/>
                <w:color w:val="000000"/>
                <w:sz w:val="20"/>
                <w:szCs w:val="20"/>
                <w:lang w:val="en-US" w:eastAsia="vi-VN"/>
              </w:rPr>
              <w:t>Quantity of goods</w:t>
            </w:r>
          </w:p>
        </w:tc>
        <w:tc>
          <w:tcPr>
            <w:tcW w:w="3024" w:type="dxa"/>
            <w:gridSpan w:val="2"/>
            <w:tcBorders>
              <w:top w:val="single" w:sz="4" w:space="0" w:color="auto"/>
              <w:left w:val="nil"/>
              <w:bottom w:val="single" w:sz="4" w:space="0" w:color="auto"/>
              <w:right w:val="nil"/>
            </w:tcBorders>
            <w:shd w:val="clear" w:color="auto" w:fill="auto"/>
            <w:vAlign w:val="center"/>
            <w:hideMark/>
          </w:tcPr>
          <w:p w14:paraId="7DBE0EEB" w14:textId="77777777" w:rsidR="00881BAC" w:rsidRPr="00985565" w:rsidRDefault="00881BAC" w:rsidP="00C15289">
            <w:pPr>
              <w:spacing w:before="60" w:after="60"/>
              <w:jc w:val="center"/>
              <w:rPr>
                <w:rFonts w:ascii="Arial" w:hAnsi="Arial" w:cs="Arial"/>
                <w:color w:val="000000"/>
                <w:sz w:val="20"/>
                <w:szCs w:val="20"/>
                <w:lang w:eastAsia="vi-VN"/>
              </w:rPr>
            </w:pPr>
            <w:r>
              <w:rPr>
                <w:rFonts w:ascii="Arial" w:hAnsi="Arial" w:cs="Arial"/>
                <w:color w:val="000000"/>
                <w:sz w:val="20"/>
                <w:szCs w:val="20"/>
                <w:lang w:eastAsia="vi-VN"/>
              </w:rPr>
              <w:t>G</w:t>
            </w:r>
            <w:r w:rsidRPr="00092C84">
              <w:rPr>
                <w:rFonts w:ascii="Arial" w:hAnsi="Arial" w:cs="Arial"/>
                <w:color w:val="000000"/>
                <w:sz w:val="20"/>
                <w:szCs w:val="20"/>
                <w:lang w:eastAsia="vi-VN"/>
              </w:rPr>
              <w:t>rowth rate compared to the same period last year (%)</w:t>
            </w:r>
          </w:p>
        </w:tc>
      </w:tr>
      <w:tr w:rsidR="00881BAC" w:rsidRPr="00985565" w14:paraId="209D943E" w14:textId="77777777" w:rsidTr="00C15289">
        <w:trPr>
          <w:trHeight w:val="416"/>
          <w:jc w:val="center"/>
        </w:trPr>
        <w:tc>
          <w:tcPr>
            <w:tcW w:w="2355" w:type="dxa"/>
            <w:tcBorders>
              <w:top w:val="nil"/>
              <w:left w:val="nil"/>
              <w:bottom w:val="nil"/>
              <w:right w:val="nil"/>
            </w:tcBorders>
            <w:shd w:val="clear" w:color="auto" w:fill="auto"/>
            <w:vAlign w:val="center"/>
            <w:hideMark/>
          </w:tcPr>
          <w:p w14:paraId="1EE1836D" w14:textId="77777777" w:rsidR="00881BAC" w:rsidRPr="00985565" w:rsidRDefault="00881BAC" w:rsidP="00C15289">
            <w:pPr>
              <w:spacing w:before="60" w:after="60"/>
              <w:jc w:val="center"/>
              <w:rPr>
                <w:rFonts w:ascii="Arial" w:hAnsi="Arial" w:cs="Arial"/>
                <w:color w:val="000000"/>
                <w:sz w:val="20"/>
                <w:szCs w:val="20"/>
                <w:lang w:eastAsia="vi-VN"/>
              </w:rPr>
            </w:pPr>
          </w:p>
        </w:tc>
        <w:tc>
          <w:tcPr>
            <w:tcW w:w="1767" w:type="dxa"/>
            <w:tcBorders>
              <w:top w:val="single" w:sz="4" w:space="0" w:color="auto"/>
              <w:left w:val="nil"/>
              <w:bottom w:val="single" w:sz="4" w:space="0" w:color="auto"/>
              <w:right w:val="nil"/>
            </w:tcBorders>
            <w:shd w:val="clear" w:color="auto" w:fill="auto"/>
            <w:vAlign w:val="center"/>
            <w:hideMark/>
          </w:tcPr>
          <w:p w14:paraId="4C7BB8A6" w14:textId="77777777" w:rsidR="00881BAC" w:rsidRPr="00985565" w:rsidRDefault="00881BAC" w:rsidP="00C15289">
            <w:pPr>
              <w:spacing w:before="60" w:after="60"/>
              <w:jc w:val="center"/>
              <w:rPr>
                <w:rFonts w:ascii="Arial" w:hAnsi="Arial" w:cs="Arial"/>
                <w:sz w:val="20"/>
                <w:szCs w:val="20"/>
                <w:lang w:eastAsia="vi-VN"/>
              </w:rPr>
            </w:pPr>
            <w:r w:rsidRPr="00092C84">
              <w:rPr>
                <w:rFonts w:ascii="Arial" w:hAnsi="Arial" w:cs="Arial"/>
                <w:sz w:val="20"/>
                <w:szCs w:val="20"/>
                <w:lang w:val="en-US" w:eastAsia="vi-VN"/>
              </w:rPr>
              <w:t>Carried</w:t>
            </w:r>
            <w:r w:rsidRPr="00092C84">
              <w:rPr>
                <w:rFonts w:ascii="Arial" w:hAnsi="Arial" w:cs="Arial"/>
                <w:sz w:val="20"/>
                <w:szCs w:val="20"/>
                <w:lang w:eastAsia="vi-VN"/>
              </w:rPr>
              <w:br/>
            </w:r>
            <w:r w:rsidRPr="00092C84">
              <w:rPr>
                <w:rFonts w:ascii="Arial" w:hAnsi="Arial" w:cs="Arial"/>
                <w:sz w:val="20"/>
                <w:szCs w:val="20"/>
                <w:lang w:val="en-US" w:eastAsia="vi-VN"/>
              </w:rPr>
              <w:t>(Mill. tons)</w:t>
            </w:r>
          </w:p>
        </w:tc>
        <w:tc>
          <w:tcPr>
            <w:tcW w:w="1638" w:type="dxa"/>
            <w:tcBorders>
              <w:top w:val="single" w:sz="4" w:space="0" w:color="auto"/>
              <w:left w:val="nil"/>
              <w:bottom w:val="single" w:sz="4" w:space="0" w:color="auto"/>
              <w:right w:val="nil"/>
            </w:tcBorders>
            <w:shd w:val="clear" w:color="auto" w:fill="auto"/>
            <w:vAlign w:val="center"/>
            <w:hideMark/>
          </w:tcPr>
          <w:p w14:paraId="4167A028" w14:textId="77777777" w:rsidR="00881BAC" w:rsidRPr="00985565" w:rsidRDefault="00881BAC" w:rsidP="00C15289">
            <w:pPr>
              <w:spacing w:before="60" w:after="60"/>
              <w:jc w:val="center"/>
              <w:rPr>
                <w:rFonts w:ascii="Arial" w:hAnsi="Arial" w:cs="Arial"/>
                <w:sz w:val="20"/>
                <w:szCs w:val="20"/>
                <w:lang w:eastAsia="vi-VN"/>
              </w:rPr>
            </w:pPr>
            <w:r w:rsidRPr="00092C84">
              <w:rPr>
                <w:rFonts w:ascii="Arial" w:hAnsi="Arial" w:cs="Arial"/>
                <w:sz w:val="20"/>
                <w:szCs w:val="20"/>
                <w:lang w:val="en-US" w:eastAsia="vi-VN"/>
              </w:rPr>
              <w:t>Traffic</w:t>
            </w:r>
            <w:r w:rsidRPr="00092C84">
              <w:rPr>
                <w:rFonts w:ascii="Arial" w:hAnsi="Arial" w:cs="Arial"/>
                <w:sz w:val="20"/>
                <w:szCs w:val="20"/>
                <w:lang w:eastAsia="vi-VN"/>
              </w:rPr>
              <w:br/>
            </w:r>
            <w:r w:rsidRPr="00092C84">
              <w:rPr>
                <w:rFonts w:ascii="Arial" w:hAnsi="Arial" w:cs="Arial"/>
                <w:sz w:val="20"/>
                <w:szCs w:val="20"/>
                <w:lang w:val="en-US" w:eastAsia="vi-VN"/>
              </w:rPr>
              <w:t>(Bill. tons-</w:t>
            </w:r>
            <w:r w:rsidRPr="00092C84">
              <w:rPr>
                <w:rFonts w:ascii="Arial" w:hAnsi="Arial" w:cs="Arial"/>
                <w:sz w:val="20"/>
                <w:szCs w:val="20"/>
                <w:lang w:eastAsia="vi-VN"/>
              </w:rPr>
              <w:t>km</w:t>
            </w:r>
            <w:r w:rsidRPr="00092C84">
              <w:rPr>
                <w:rFonts w:ascii="Arial" w:hAnsi="Arial" w:cs="Arial"/>
                <w:sz w:val="20"/>
                <w:szCs w:val="20"/>
                <w:lang w:val="en-US" w:eastAsia="vi-VN"/>
              </w:rPr>
              <w:t>)</w:t>
            </w:r>
          </w:p>
        </w:tc>
        <w:tc>
          <w:tcPr>
            <w:tcW w:w="1499" w:type="dxa"/>
            <w:tcBorders>
              <w:top w:val="single" w:sz="4" w:space="0" w:color="auto"/>
              <w:left w:val="nil"/>
              <w:bottom w:val="single" w:sz="4" w:space="0" w:color="auto"/>
              <w:right w:val="nil"/>
            </w:tcBorders>
            <w:shd w:val="clear" w:color="auto" w:fill="auto"/>
            <w:vAlign w:val="center"/>
            <w:hideMark/>
          </w:tcPr>
          <w:p w14:paraId="3F77EEEE" w14:textId="77777777" w:rsidR="00881BAC" w:rsidRPr="00985565" w:rsidRDefault="00881BAC" w:rsidP="00C15289">
            <w:pPr>
              <w:spacing w:before="60" w:after="60"/>
              <w:jc w:val="center"/>
              <w:rPr>
                <w:rFonts w:ascii="Arial" w:hAnsi="Arial" w:cs="Arial"/>
                <w:sz w:val="20"/>
                <w:szCs w:val="20"/>
                <w:lang w:eastAsia="vi-VN"/>
              </w:rPr>
            </w:pPr>
            <w:r w:rsidRPr="00092C84">
              <w:rPr>
                <w:rFonts w:ascii="Arial" w:hAnsi="Arial" w:cs="Arial"/>
                <w:sz w:val="20"/>
                <w:szCs w:val="20"/>
                <w:lang w:val="en-US" w:eastAsia="vi-VN"/>
              </w:rPr>
              <w:t>Carried</w:t>
            </w:r>
          </w:p>
        </w:tc>
        <w:tc>
          <w:tcPr>
            <w:tcW w:w="1525" w:type="dxa"/>
            <w:tcBorders>
              <w:top w:val="single" w:sz="4" w:space="0" w:color="auto"/>
              <w:left w:val="nil"/>
              <w:bottom w:val="single" w:sz="4" w:space="0" w:color="auto"/>
              <w:right w:val="nil"/>
            </w:tcBorders>
            <w:shd w:val="clear" w:color="auto" w:fill="auto"/>
            <w:vAlign w:val="center"/>
            <w:hideMark/>
          </w:tcPr>
          <w:p w14:paraId="7715F67A" w14:textId="77777777" w:rsidR="00881BAC" w:rsidRPr="00985565" w:rsidRDefault="00881BAC" w:rsidP="00C15289">
            <w:pPr>
              <w:spacing w:before="60" w:after="60"/>
              <w:jc w:val="center"/>
              <w:rPr>
                <w:rFonts w:ascii="Arial" w:hAnsi="Arial" w:cs="Arial"/>
                <w:sz w:val="20"/>
                <w:szCs w:val="20"/>
                <w:lang w:eastAsia="vi-VN"/>
              </w:rPr>
            </w:pPr>
            <w:r w:rsidRPr="00092C84">
              <w:rPr>
                <w:rFonts w:ascii="Arial" w:hAnsi="Arial" w:cs="Arial"/>
                <w:sz w:val="20"/>
                <w:szCs w:val="20"/>
                <w:lang w:val="en-US" w:eastAsia="vi-VN"/>
              </w:rPr>
              <w:t>Traffic</w:t>
            </w:r>
          </w:p>
        </w:tc>
      </w:tr>
      <w:tr w:rsidR="00881BAC" w:rsidRPr="00A41CDE" w14:paraId="36C2488D" w14:textId="77777777" w:rsidTr="00C15289">
        <w:trPr>
          <w:cantSplit/>
          <w:trHeight w:val="326"/>
          <w:jc w:val="center"/>
        </w:trPr>
        <w:tc>
          <w:tcPr>
            <w:tcW w:w="2355" w:type="dxa"/>
            <w:tcBorders>
              <w:top w:val="nil"/>
              <w:left w:val="nil"/>
              <w:bottom w:val="nil"/>
              <w:right w:val="nil"/>
            </w:tcBorders>
            <w:shd w:val="clear" w:color="auto" w:fill="auto"/>
            <w:noWrap/>
            <w:vAlign w:val="center"/>
            <w:hideMark/>
          </w:tcPr>
          <w:p w14:paraId="584CD3FB" w14:textId="77777777" w:rsidR="00881BAC" w:rsidRPr="00A41CDE" w:rsidRDefault="00881BAC" w:rsidP="00C15289">
            <w:pPr>
              <w:spacing w:before="120" w:after="60"/>
              <w:rPr>
                <w:rFonts w:ascii="Arial" w:hAnsi="Arial" w:cs="Arial"/>
                <w:b/>
                <w:color w:val="000000"/>
                <w:sz w:val="20"/>
                <w:szCs w:val="20"/>
              </w:rPr>
            </w:pPr>
            <w:r>
              <w:rPr>
                <w:rFonts w:ascii="Arial" w:hAnsi="Arial" w:cs="Arial"/>
                <w:b/>
                <w:color w:val="000000"/>
                <w:sz w:val="20"/>
                <w:szCs w:val="20"/>
              </w:rPr>
              <w:t>Total</w:t>
            </w:r>
          </w:p>
        </w:tc>
        <w:tc>
          <w:tcPr>
            <w:tcW w:w="1767" w:type="dxa"/>
            <w:tcBorders>
              <w:top w:val="single" w:sz="4" w:space="0" w:color="auto"/>
              <w:left w:val="nil"/>
              <w:bottom w:val="nil"/>
              <w:right w:val="nil"/>
            </w:tcBorders>
            <w:shd w:val="clear" w:color="auto" w:fill="auto"/>
            <w:noWrap/>
            <w:vAlign w:val="bottom"/>
            <w:hideMark/>
          </w:tcPr>
          <w:p w14:paraId="166D2CA3" w14:textId="77777777" w:rsidR="00881BAC" w:rsidRPr="0083169C" w:rsidRDefault="00881BAC" w:rsidP="00C15289">
            <w:pPr>
              <w:ind w:right="507"/>
              <w:jc w:val="right"/>
              <w:rPr>
                <w:rFonts w:ascii="Arial" w:hAnsi="Arial" w:cs="Arial"/>
                <w:b/>
                <w:bCs/>
                <w:sz w:val="19"/>
                <w:szCs w:val="19"/>
              </w:rPr>
            </w:pPr>
            <w:r>
              <w:rPr>
                <w:rFonts w:ascii="Arial" w:hAnsi="Arial" w:cs="Arial"/>
                <w:b/>
                <w:bCs/>
                <w:sz w:val="20"/>
                <w:szCs w:val="20"/>
              </w:rPr>
              <w:t>1,303.6</w:t>
            </w:r>
          </w:p>
        </w:tc>
        <w:tc>
          <w:tcPr>
            <w:tcW w:w="1638" w:type="dxa"/>
            <w:tcBorders>
              <w:top w:val="single" w:sz="4" w:space="0" w:color="auto"/>
              <w:left w:val="nil"/>
              <w:bottom w:val="nil"/>
              <w:right w:val="nil"/>
            </w:tcBorders>
            <w:shd w:val="clear" w:color="auto" w:fill="auto"/>
            <w:noWrap/>
            <w:vAlign w:val="bottom"/>
            <w:hideMark/>
          </w:tcPr>
          <w:p w14:paraId="755624A1" w14:textId="77777777" w:rsidR="00881BAC" w:rsidRPr="0083169C" w:rsidRDefault="00881BAC" w:rsidP="00C15289">
            <w:pPr>
              <w:ind w:right="507"/>
              <w:jc w:val="right"/>
              <w:rPr>
                <w:rFonts w:ascii="Arial" w:hAnsi="Arial" w:cs="Arial"/>
                <w:b/>
                <w:bCs/>
                <w:sz w:val="19"/>
                <w:szCs w:val="19"/>
              </w:rPr>
            </w:pPr>
            <w:r>
              <w:rPr>
                <w:rFonts w:ascii="Arial" w:hAnsi="Arial" w:cs="Arial"/>
                <w:b/>
                <w:bCs/>
                <w:sz w:val="20"/>
                <w:szCs w:val="20"/>
              </w:rPr>
              <w:t>270.7</w:t>
            </w:r>
          </w:p>
        </w:tc>
        <w:tc>
          <w:tcPr>
            <w:tcW w:w="1499" w:type="dxa"/>
            <w:tcBorders>
              <w:top w:val="single" w:sz="4" w:space="0" w:color="auto"/>
              <w:left w:val="nil"/>
              <w:bottom w:val="nil"/>
              <w:right w:val="nil"/>
            </w:tcBorders>
            <w:shd w:val="clear" w:color="auto" w:fill="auto"/>
            <w:noWrap/>
            <w:vAlign w:val="bottom"/>
            <w:hideMark/>
          </w:tcPr>
          <w:p w14:paraId="04C83645" w14:textId="77777777" w:rsidR="00881BAC" w:rsidRPr="0083169C" w:rsidRDefault="00881BAC" w:rsidP="00C15289">
            <w:pPr>
              <w:ind w:right="326"/>
              <w:jc w:val="right"/>
              <w:rPr>
                <w:rFonts w:ascii="Arial" w:hAnsi="Arial" w:cs="Arial"/>
                <w:b/>
                <w:bCs/>
                <w:sz w:val="19"/>
                <w:szCs w:val="19"/>
              </w:rPr>
            </w:pPr>
            <w:r>
              <w:rPr>
                <w:rFonts w:ascii="Arial" w:hAnsi="Arial" w:cs="Arial"/>
                <w:b/>
                <w:bCs/>
                <w:sz w:val="20"/>
                <w:szCs w:val="20"/>
              </w:rPr>
              <w:t>15.3</w:t>
            </w:r>
          </w:p>
        </w:tc>
        <w:tc>
          <w:tcPr>
            <w:tcW w:w="1525" w:type="dxa"/>
            <w:tcBorders>
              <w:top w:val="single" w:sz="4" w:space="0" w:color="auto"/>
              <w:left w:val="nil"/>
              <w:bottom w:val="nil"/>
              <w:right w:val="nil"/>
            </w:tcBorders>
            <w:shd w:val="clear" w:color="auto" w:fill="auto"/>
            <w:noWrap/>
            <w:vAlign w:val="bottom"/>
            <w:hideMark/>
          </w:tcPr>
          <w:p w14:paraId="0FD69943" w14:textId="77777777" w:rsidR="00881BAC" w:rsidRPr="0083169C" w:rsidRDefault="00881BAC" w:rsidP="00C15289">
            <w:pPr>
              <w:ind w:right="326"/>
              <w:jc w:val="right"/>
              <w:rPr>
                <w:rFonts w:ascii="Arial" w:hAnsi="Arial" w:cs="Arial"/>
                <w:b/>
                <w:bCs/>
                <w:sz w:val="19"/>
                <w:szCs w:val="19"/>
              </w:rPr>
            </w:pPr>
            <w:r>
              <w:rPr>
                <w:rFonts w:ascii="Arial" w:hAnsi="Arial" w:cs="Arial"/>
                <w:b/>
                <w:bCs/>
                <w:sz w:val="20"/>
                <w:szCs w:val="20"/>
              </w:rPr>
              <w:t>12.7</w:t>
            </w:r>
          </w:p>
        </w:tc>
      </w:tr>
      <w:tr w:rsidR="00881BAC" w:rsidRPr="00985565" w14:paraId="1C913080" w14:textId="77777777" w:rsidTr="00C15289">
        <w:trPr>
          <w:cantSplit/>
          <w:trHeight w:val="340"/>
          <w:jc w:val="center"/>
        </w:trPr>
        <w:tc>
          <w:tcPr>
            <w:tcW w:w="2355" w:type="dxa"/>
            <w:tcBorders>
              <w:top w:val="nil"/>
              <w:left w:val="nil"/>
              <w:bottom w:val="nil"/>
              <w:right w:val="nil"/>
            </w:tcBorders>
            <w:shd w:val="clear" w:color="auto" w:fill="auto"/>
            <w:noWrap/>
            <w:vAlign w:val="center"/>
            <w:hideMark/>
          </w:tcPr>
          <w:p w14:paraId="56661F50" w14:textId="77777777" w:rsidR="00881BAC" w:rsidRPr="00985565" w:rsidRDefault="00881BAC" w:rsidP="00C15289">
            <w:pPr>
              <w:spacing w:before="120" w:after="60"/>
              <w:ind w:firstLine="318"/>
              <w:rPr>
                <w:rFonts w:ascii="Arial" w:hAnsi="Arial" w:cs="Arial"/>
                <w:sz w:val="20"/>
                <w:szCs w:val="20"/>
                <w:lang w:eastAsia="vi-VN"/>
              </w:rPr>
            </w:pPr>
            <w:proofErr w:type="gramStart"/>
            <w:r>
              <w:rPr>
                <w:rFonts w:ascii="Arial" w:hAnsi="Arial" w:cs="Arial"/>
                <w:sz w:val="20"/>
                <w:szCs w:val="20"/>
                <w:lang w:eastAsia="vi-VN"/>
              </w:rPr>
              <w:t>Rail way</w:t>
            </w:r>
            <w:proofErr w:type="gramEnd"/>
          </w:p>
        </w:tc>
        <w:tc>
          <w:tcPr>
            <w:tcW w:w="1767" w:type="dxa"/>
            <w:tcBorders>
              <w:top w:val="nil"/>
              <w:left w:val="nil"/>
              <w:bottom w:val="nil"/>
              <w:right w:val="nil"/>
            </w:tcBorders>
            <w:shd w:val="clear" w:color="auto" w:fill="auto"/>
            <w:noWrap/>
            <w:vAlign w:val="bottom"/>
            <w:hideMark/>
          </w:tcPr>
          <w:p w14:paraId="26CC34F4"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2.6</w:t>
            </w:r>
          </w:p>
        </w:tc>
        <w:tc>
          <w:tcPr>
            <w:tcW w:w="1638" w:type="dxa"/>
            <w:tcBorders>
              <w:top w:val="nil"/>
              <w:left w:val="nil"/>
              <w:bottom w:val="nil"/>
              <w:right w:val="nil"/>
            </w:tcBorders>
            <w:shd w:val="clear" w:color="auto" w:fill="auto"/>
            <w:noWrap/>
            <w:vAlign w:val="bottom"/>
            <w:hideMark/>
          </w:tcPr>
          <w:p w14:paraId="031835E8"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2.0</w:t>
            </w:r>
          </w:p>
        </w:tc>
        <w:tc>
          <w:tcPr>
            <w:tcW w:w="1499" w:type="dxa"/>
            <w:tcBorders>
              <w:top w:val="nil"/>
              <w:left w:val="nil"/>
              <w:bottom w:val="nil"/>
              <w:right w:val="nil"/>
            </w:tcBorders>
            <w:shd w:val="clear" w:color="auto" w:fill="auto"/>
            <w:noWrap/>
            <w:vAlign w:val="bottom"/>
            <w:hideMark/>
          </w:tcPr>
          <w:p w14:paraId="52D8C0C6"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-25.</w:t>
            </w:r>
            <w:r w:rsidRPr="003D1613">
              <w:rPr>
                <w:rFonts w:ascii="Arial" w:hAnsi="Arial" w:cs="Arial"/>
                <w:sz w:val="20"/>
                <w:szCs w:val="20"/>
              </w:rPr>
              <w:t>5</w:t>
            </w:r>
          </w:p>
        </w:tc>
        <w:tc>
          <w:tcPr>
            <w:tcW w:w="1525" w:type="dxa"/>
            <w:tcBorders>
              <w:top w:val="nil"/>
              <w:left w:val="nil"/>
              <w:bottom w:val="nil"/>
              <w:right w:val="nil"/>
            </w:tcBorders>
            <w:shd w:val="clear" w:color="auto" w:fill="auto"/>
            <w:noWrap/>
            <w:vAlign w:val="bottom"/>
            <w:hideMark/>
          </w:tcPr>
          <w:p w14:paraId="60684E50"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-24.0</w:t>
            </w:r>
          </w:p>
        </w:tc>
      </w:tr>
      <w:tr w:rsidR="00881BAC" w:rsidRPr="00985565" w14:paraId="66632237" w14:textId="77777777" w:rsidTr="00C15289">
        <w:trPr>
          <w:cantSplit/>
          <w:trHeight w:val="340"/>
          <w:jc w:val="center"/>
        </w:trPr>
        <w:tc>
          <w:tcPr>
            <w:tcW w:w="2355" w:type="dxa"/>
            <w:tcBorders>
              <w:top w:val="nil"/>
              <w:left w:val="nil"/>
              <w:bottom w:val="nil"/>
              <w:right w:val="nil"/>
            </w:tcBorders>
            <w:shd w:val="clear" w:color="auto" w:fill="auto"/>
            <w:noWrap/>
            <w:vAlign w:val="center"/>
            <w:hideMark/>
          </w:tcPr>
          <w:p w14:paraId="08FE6563" w14:textId="77777777" w:rsidR="00881BAC" w:rsidRPr="00985565" w:rsidRDefault="00881BAC" w:rsidP="00C15289">
            <w:pPr>
              <w:spacing w:before="120" w:after="60"/>
              <w:ind w:firstLine="318"/>
              <w:rPr>
                <w:rFonts w:ascii="Arial" w:hAnsi="Arial" w:cs="Arial"/>
                <w:sz w:val="20"/>
                <w:szCs w:val="20"/>
                <w:lang w:eastAsia="vi-VN"/>
              </w:rPr>
            </w:pPr>
            <w:r>
              <w:rPr>
                <w:rFonts w:ascii="Arial" w:hAnsi="Arial" w:cs="Arial"/>
                <w:sz w:val="20"/>
                <w:szCs w:val="20"/>
                <w:lang w:eastAsia="vi-VN"/>
              </w:rPr>
              <w:t>Sea way</w:t>
            </w:r>
          </w:p>
        </w:tc>
        <w:tc>
          <w:tcPr>
            <w:tcW w:w="1767" w:type="dxa"/>
            <w:tcBorders>
              <w:top w:val="nil"/>
              <w:left w:val="nil"/>
              <w:bottom w:val="nil"/>
              <w:right w:val="nil"/>
            </w:tcBorders>
            <w:shd w:val="clear" w:color="auto" w:fill="auto"/>
            <w:noWrap/>
            <w:vAlign w:val="bottom"/>
            <w:hideMark/>
          </w:tcPr>
          <w:p w14:paraId="22843400"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66.1</w:t>
            </w:r>
          </w:p>
        </w:tc>
        <w:tc>
          <w:tcPr>
            <w:tcW w:w="1638" w:type="dxa"/>
            <w:tcBorders>
              <w:top w:val="nil"/>
              <w:left w:val="nil"/>
              <w:bottom w:val="nil"/>
              <w:right w:val="nil"/>
            </w:tcBorders>
            <w:shd w:val="clear" w:color="auto" w:fill="auto"/>
            <w:noWrap/>
            <w:vAlign w:val="bottom"/>
            <w:hideMark/>
          </w:tcPr>
          <w:p w14:paraId="44CB9DD8"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142.6</w:t>
            </w:r>
          </w:p>
        </w:tc>
        <w:tc>
          <w:tcPr>
            <w:tcW w:w="1499" w:type="dxa"/>
            <w:tcBorders>
              <w:top w:val="nil"/>
              <w:left w:val="nil"/>
              <w:bottom w:val="nil"/>
              <w:right w:val="nil"/>
            </w:tcBorders>
            <w:shd w:val="clear" w:color="auto" w:fill="auto"/>
            <w:noWrap/>
            <w:vAlign w:val="bottom"/>
            <w:hideMark/>
          </w:tcPr>
          <w:p w14:paraId="52734A00"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11.5</w:t>
            </w:r>
          </w:p>
        </w:tc>
        <w:tc>
          <w:tcPr>
            <w:tcW w:w="1525" w:type="dxa"/>
            <w:tcBorders>
              <w:top w:val="nil"/>
              <w:left w:val="nil"/>
              <w:bottom w:val="nil"/>
              <w:right w:val="nil"/>
            </w:tcBorders>
            <w:shd w:val="clear" w:color="auto" w:fill="auto"/>
            <w:noWrap/>
            <w:vAlign w:val="bottom"/>
            <w:hideMark/>
          </w:tcPr>
          <w:p w14:paraId="2BEAB65F"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10.5</w:t>
            </w:r>
          </w:p>
        </w:tc>
      </w:tr>
      <w:tr w:rsidR="00881BAC" w:rsidRPr="00985565" w14:paraId="57309FA8" w14:textId="77777777" w:rsidTr="00C15289">
        <w:trPr>
          <w:cantSplit/>
          <w:trHeight w:val="340"/>
          <w:jc w:val="center"/>
        </w:trPr>
        <w:tc>
          <w:tcPr>
            <w:tcW w:w="2355" w:type="dxa"/>
            <w:tcBorders>
              <w:top w:val="nil"/>
              <w:left w:val="nil"/>
              <w:bottom w:val="nil"/>
              <w:right w:val="nil"/>
            </w:tcBorders>
            <w:shd w:val="clear" w:color="auto" w:fill="auto"/>
            <w:noWrap/>
            <w:vAlign w:val="center"/>
            <w:hideMark/>
          </w:tcPr>
          <w:p w14:paraId="042491AB" w14:textId="77777777" w:rsidR="00881BAC" w:rsidRPr="00985565" w:rsidRDefault="00881BAC" w:rsidP="00C15289">
            <w:pPr>
              <w:spacing w:before="120" w:after="60"/>
              <w:ind w:firstLine="318"/>
              <w:rPr>
                <w:rFonts w:ascii="Arial" w:hAnsi="Arial" w:cs="Arial"/>
                <w:sz w:val="20"/>
                <w:szCs w:val="20"/>
                <w:lang w:eastAsia="vi-VN"/>
              </w:rPr>
            </w:pPr>
            <w:r>
              <w:rPr>
                <w:rFonts w:ascii="Arial" w:hAnsi="Arial" w:cs="Arial"/>
                <w:sz w:val="20"/>
                <w:szCs w:val="20"/>
                <w:lang w:eastAsia="vi-VN"/>
              </w:rPr>
              <w:t>Inland water way</w:t>
            </w:r>
          </w:p>
        </w:tc>
        <w:tc>
          <w:tcPr>
            <w:tcW w:w="1767" w:type="dxa"/>
            <w:tcBorders>
              <w:top w:val="nil"/>
              <w:left w:val="nil"/>
              <w:bottom w:val="nil"/>
              <w:right w:val="nil"/>
            </w:tcBorders>
            <w:shd w:val="clear" w:color="auto" w:fill="auto"/>
            <w:noWrap/>
            <w:vAlign w:val="bottom"/>
            <w:hideMark/>
          </w:tcPr>
          <w:p w14:paraId="09F50000"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285.0</w:t>
            </w:r>
          </w:p>
        </w:tc>
        <w:tc>
          <w:tcPr>
            <w:tcW w:w="1638" w:type="dxa"/>
            <w:tcBorders>
              <w:top w:val="nil"/>
              <w:left w:val="nil"/>
              <w:bottom w:val="nil"/>
              <w:right w:val="nil"/>
            </w:tcBorders>
            <w:shd w:val="clear" w:color="auto" w:fill="auto"/>
            <w:noWrap/>
            <w:vAlign w:val="bottom"/>
            <w:hideMark/>
          </w:tcPr>
          <w:p w14:paraId="170DC04B"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59.6</w:t>
            </w:r>
          </w:p>
        </w:tc>
        <w:tc>
          <w:tcPr>
            <w:tcW w:w="1499" w:type="dxa"/>
            <w:tcBorders>
              <w:top w:val="nil"/>
              <w:left w:val="nil"/>
              <w:bottom w:val="nil"/>
              <w:right w:val="nil"/>
            </w:tcBorders>
            <w:shd w:val="clear" w:color="auto" w:fill="auto"/>
            <w:noWrap/>
            <w:vAlign w:val="bottom"/>
            <w:hideMark/>
          </w:tcPr>
          <w:p w14:paraId="0596AAE2"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30.0</w:t>
            </w:r>
          </w:p>
        </w:tc>
        <w:tc>
          <w:tcPr>
            <w:tcW w:w="1525" w:type="dxa"/>
            <w:tcBorders>
              <w:top w:val="nil"/>
              <w:left w:val="nil"/>
              <w:bottom w:val="nil"/>
              <w:right w:val="nil"/>
            </w:tcBorders>
            <w:shd w:val="clear" w:color="auto" w:fill="auto"/>
            <w:noWrap/>
            <w:vAlign w:val="bottom"/>
            <w:hideMark/>
          </w:tcPr>
          <w:p w14:paraId="002644F8"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23.9</w:t>
            </w:r>
          </w:p>
        </w:tc>
      </w:tr>
      <w:tr w:rsidR="00881BAC" w:rsidRPr="00985565" w14:paraId="7DDCD396" w14:textId="77777777" w:rsidTr="00C15289">
        <w:trPr>
          <w:cantSplit/>
          <w:trHeight w:val="340"/>
          <w:jc w:val="center"/>
        </w:trPr>
        <w:tc>
          <w:tcPr>
            <w:tcW w:w="2355" w:type="dxa"/>
            <w:tcBorders>
              <w:top w:val="nil"/>
              <w:left w:val="nil"/>
              <w:right w:val="nil"/>
            </w:tcBorders>
            <w:shd w:val="clear" w:color="auto" w:fill="auto"/>
            <w:noWrap/>
            <w:vAlign w:val="center"/>
            <w:hideMark/>
          </w:tcPr>
          <w:p w14:paraId="7F69C765" w14:textId="77777777" w:rsidR="00881BAC" w:rsidRPr="00985565" w:rsidRDefault="00881BAC" w:rsidP="00C15289">
            <w:pPr>
              <w:spacing w:before="120" w:after="60"/>
              <w:ind w:firstLine="318"/>
              <w:rPr>
                <w:rFonts w:ascii="Arial" w:hAnsi="Arial" w:cs="Arial"/>
                <w:sz w:val="20"/>
                <w:szCs w:val="20"/>
                <w:lang w:eastAsia="vi-VN"/>
              </w:rPr>
            </w:pPr>
            <w:r>
              <w:rPr>
                <w:rFonts w:ascii="Arial" w:hAnsi="Arial" w:cs="Arial"/>
                <w:sz w:val="20"/>
                <w:szCs w:val="20"/>
                <w:lang w:eastAsia="vi-VN"/>
              </w:rPr>
              <w:t>Road</w:t>
            </w:r>
          </w:p>
        </w:tc>
        <w:tc>
          <w:tcPr>
            <w:tcW w:w="1767" w:type="dxa"/>
            <w:tcBorders>
              <w:top w:val="nil"/>
              <w:left w:val="nil"/>
              <w:right w:val="nil"/>
            </w:tcBorders>
            <w:shd w:val="clear" w:color="auto" w:fill="auto"/>
            <w:noWrap/>
            <w:vAlign w:val="bottom"/>
            <w:hideMark/>
          </w:tcPr>
          <w:p w14:paraId="18137457"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949.7</w:t>
            </w:r>
          </w:p>
        </w:tc>
        <w:tc>
          <w:tcPr>
            <w:tcW w:w="1638" w:type="dxa"/>
            <w:tcBorders>
              <w:top w:val="nil"/>
              <w:left w:val="nil"/>
              <w:right w:val="nil"/>
            </w:tcBorders>
            <w:shd w:val="clear" w:color="auto" w:fill="auto"/>
            <w:noWrap/>
            <w:vAlign w:val="bottom"/>
            <w:hideMark/>
          </w:tcPr>
          <w:p w14:paraId="3D62F0D1"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61.</w:t>
            </w:r>
            <w:r w:rsidRPr="003D1613">
              <w:rPr>
                <w:rFonts w:ascii="Arial" w:hAnsi="Arial" w:cs="Arial"/>
                <w:sz w:val="20"/>
                <w:szCs w:val="20"/>
              </w:rPr>
              <w:t>9</w:t>
            </w:r>
          </w:p>
        </w:tc>
        <w:tc>
          <w:tcPr>
            <w:tcW w:w="1499" w:type="dxa"/>
            <w:tcBorders>
              <w:top w:val="nil"/>
              <w:left w:val="nil"/>
              <w:right w:val="nil"/>
            </w:tcBorders>
            <w:shd w:val="clear" w:color="auto" w:fill="auto"/>
            <w:noWrap/>
            <w:vAlign w:val="bottom"/>
            <w:hideMark/>
          </w:tcPr>
          <w:p w14:paraId="17BD5925"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11.9</w:t>
            </w:r>
          </w:p>
        </w:tc>
        <w:tc>
          <w:tcPr>
            <w:tcW w:w="1525" w:type="dxa"/>
            <w:tcBorders>
              <w:top w:val="nil"/>
              <w:left w:val="nil"/>
              <w:right w:val="nil"/>
            </w:tcBorders>
            <w:shd w:val="clear" w:color="auto" w:fill="auto"/>
            <w:noWrap/>
            <w:vAlign w:val="bottom"/>
            <w:hideMark/>
          </w:tcPr>
          <w:p w14:paraId="5611A466"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8.5</w:t>
            </w:r>
          </w:p>
        </w:tc>
      </w:tr>
      <w:tr w:rsidR="00881BAC" w:rsidRPr="00873581" w14:paraId="76A04722" w14:textId="77777777" w:rsidTr="00C15289">
        <w:trPr>
          <w:cantSplit/>
          <w:trHeight w:val="340"/>
          <w:jc w:val="center"/>
        </w:trPr>
        <w:tc>
          <w:tcPr>
            <w:tcW w:w="2355" w:type="dxa"/>
            <w:tcBorders>
              <w:top w:val="nil"/>
              <w:left w:val="nil"/>
              <w:bottom w:val="single" w:sz="4" w:space="0" w:color="auto"/>
              <w:right w:val="nil"/>
            </w:tcBorders>
            <w:shd w:val="clear" w:color="auto" w:fill="auto"/>
            <w:noWrap/>
            <w:vAlign w:val="center"/>
            <w:hideMark/>
          </w:tcPr>
          <w:p w14:paraId="1BAE2F56" w14:textId="77777777" w:rsidR="00881BAC" w:rsidRPr="00985565" w:rsidRDefault="00881BAC" w:rsidP="00C15289">
            <w:pPr>
              <w:spacing w:before="120" w:after="60"/>
              <w:ind w:firstLine="318"/>
              <w:rPr>
                <w:rFonts w:ascii="Arial" w:hAnsi="Arial" w:cs="Arial"/>
                <w:sz w:val="20"/>
                <w:szCs w:val="20"/>
                <w:lang w:eastAsia="vi-VN"/>
              </w:rPr>
            </w:pPr>
            <w:r>
              <w:rPr>
                <w:rFonts w:ascii="Arial" w:hAnsi="Arial" w:cs="Arial"/>
                <w:sz w:val="20"/>
                <w:szCs w:val="20"/>
                <w:lang w:eastAsia="vi-VN"/>
              </w:rPr>
              <w:t xml:space="preserve">Airway </w:t>
            </w:r>
          </w:p>
        </w:tc>
        <w:tc>
          <w:tcPr>
            <w:tcW w:w="1767" w:type="dxa"/>
            <w:tcBorders>
              <w:top w:val="nil"/>
              <w:left w:val="nil"/>
              <w:bottom w:val="single" w:sz="4" w:space="0" w:color="auto"/>
              <w:right w:val="nil"/>
            </w:tcBorders>
            <w:shd w:val="clear" w:color="auto" w:fill="auto"/>
            <w:noWrap/>
            <w:vAlign w:val="bottom"/>
            <w:hideMark/>
          </w:tcPr>
          <w:p w14:paraId="045AA3E1"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0.2</w:t>
            </w:r>
          </w:p>
        </w:tc>
        <w:tc>
          <w:tcPr>
            <w:tcW w:w="1638" w:type="dxa"/>
            <w:tcBorders>
              <w:top w:val="nil"/>
              <w:left w:val="nil"/>
              <w:bottom w:val="single" w:sz="4" w:space="0" w:color="auto"/>
              <w:right w:val="nil"/>
            </w:tcBorders>
            <w:shd w:val="clear" w:color="auto" w:fill="auto"/>
            <w:noWrap/>
            <w:vAlign w:val="bottom"/>
            <w:hideMark/>
          </w:tcPr>
          <w:p w14:paraId="244D939B" w14:textId="77777777" w:rsidR="00881BAC" w:rsidRPr="0083169C" w:rsidRDefault="00881BAC" w:rsidP="00C15289">
            <w:pPr>
              <w:ind w:right="507"/>
              <w:jc w:val="right"/>
              <w:rPr>
                <w:rFonts w:ascii="Arial" w:hAnsi="Arial" w:cs="Arial"/>
                <w:sz w:val="19"/>
                <w:szCs w:val="19"/>
              </w:rPr>
            </w:pPr>
            <w:r>
              <w:rPr>
                <w:rFonts w:ascii="Arial" w:hAnsi="Arial" w:cs="Arial"/>
                <w:sz w:val="20"/>
                <w:szCs w:val="20"/>
              </w:rPr>
              <w:t>4.6</w:t>
            </w:r>
          </w:p>
        </w:tc>
        <w:tc>
          <w:tcPr>
            <w:tcW w:w="1499" w:type="dxa"/>
            <w:tcBorders>
              <w:top w:val="nil"/>
              <w:left w:val="nil"/>
              <w:bottom w:val="single" w:sz="4" w:space="0" w:color="auto"/>
              <w:right w:val="nil"/>
            </w:tcBorders>
            <w:shd w:val="clear" w:color="auto" w:fill="auto"/>
            <w:noWrap/>
            <w:vAlign w:val="bottom"/>
            <w:hideMark/>
          </w:tcPr>
          <w:p w14:paraId="4F2462DF"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0.7</w:t>
            </w:r>
          </w:p>
        </w:tc>
        <w:tc>
          <w:tcPr>
            <w:tcW w:w="1525" w:type="dxa"/>
            <w:tcBorders>
              <w:top w:val="nil"/>
              <w:left w:val="nil"/>
              <w:bottom w:val="single" w:sz="4" w:space="0" w:color="auto"/>
              <w:right w:val="nil"/>
            </w:tcBorders>
            <w:shd w:val="clear" w:color="auto" w:fill="auto"/>
            <w:noWrap/>
            <w:vAlign w:val="bottom"/>
            <w:hideMark/>
          </w:tcPr>
          <w:p w14:paraId="41F1DC61" w14:textId="77777777" w:rsidR="00881BAC" w:rsidRPr="0083169C" w:rsidRDefault="00881BAC" w:rsidP="00C15289">
            <w:pPr>
              <w:ind w:right="326"/>
              <w:jc w:val="right"/>
              <w:rPr>
                <w:rFonts w:ascii="Arial" w:hAnsi="Arial" w:cs="Arial"/>
                <w:sz w:val="19"/>
                <w:szCs w:val="19"/>
              </w:rPr>
            </w:pPr>
            <w:r>
              <w:rPr>
                <w:rFonts w:ascii="Arial" w:hAnsi="Arial" w:cs="Arial"/>
                <w:sz w:val="20"/>
                <w:szCs w:val="20"/>
              </w:rPr>
              <w:t>37.</w:t>
            </w:r>
            <w:r w:rsidRPr="003D1613">
              <w:rPr>
                <w:rFonts w:ascii="Arial" w:hAnsi="Arial" w:cs="Arial"/>
                <w:sz w:val="20"/>
                <w:szCs w:val="20"/>
              </w:rPr>
              <w:t>3</w:t>
            </w:r>
          </w:p>
        </w:tc>
      </w:tr>
    </w:tbl>
    <w:p w14:paraId="7DD5D1A4" w14:textId="77777777" w:rsidR="00881BAC" w:rsidRPr="003D1613" w:rsidRDefault="00881BAC" w:rsidP="00881BAC">
      <w:pPr>
        <w:spacing w:after="120"/>
        <w:jc w:val="center"/>
        <w:rPr>
          <w:rFonts w:ascii="Arial" w:hAnsi="Arial" w:cs="Arial"/>
          <w:b/>
          <w:bCs/>
          <w:sz w:val="2"/>
          <w:szCs w:val="24"/>
          <w:lang w:val="fr-FR"/>
        </w:rPr>
      </w:pPr>
    </w:p>
    <w:p w14:paraId="0ED88F2C" w14:textId="77777777" w:rsidR="00881BAC" w:rsidRPr="003D1613" w:rsidRDefault="00881BAC" w:rsidP="00881BAC">
      <w:pPr>
        <w:pStyle w:val="NormalWeb"/>
        <w:shd w:val="clear" w:color="auto" w:fill="FFFFFF"/>
        <w:tabs>
          <w:tab w:val="left" w:pos="6540"/>
        </w:tabs>
        <w:spacing w:before="0" w:beforeAutospacing="0" w:after="0" w:afterAutospacing="0"/>
        <w:rPr>
          <w:b/>
          <w:bCs/>
          <w:sz w:val="2"/>
          <w:szCs w:val="28"/>
          <w:lang w:val="pt-BR"/>
        </w:rPr>
      </w:pPr>
    </w:p>
    <w:p w14:paraId="24F93193" w14:textId="77777777" w:rsidR="00881BAC" w:rsidRPr="00747CEB" w:rsidRDefault="00881BAC" w:rsidP="00881BAC">
      <w:pPr>
        <w:spacing w:after="40" w:line="288" w:lineRule="auto"/>
        <w:ind w:firstLine="567"/>
        <w:jc w:val="both"/>
        <w:rPr>
          <w:b/>
          <w:bCs/>
          <w:i/>
        </w:rPr>
      </w:pPr>
      <w:r>
        <w:rPr>
          <w:b/>
          <w:bCs/>
          <w:i/>
          <w:iCs/>
          <w:lang w:val="pt-BR"/>
        </w:rPr>
        <w:t>đ</w:t>
      </w:r>
      <w:r w:rsidRPr="0083169C">
        <w:rPr>
          <w:b/>
          <w:bCs/>
          <w:i/>
          <w:iCs/>
          <w:lang w:val="pt-BR"/>
        </w:rPr>
        <w:t xml:space="preserve">) </w:t>
      </w:r>
      <w:r w:rsidRPr="00322B1D">
        <w:rPr>
          <w:rFonts w:ascii="Times New Roman Bold Italic" w:hAnsi="Times New Roman Bold Italic"/>
          <w:b/>
          <w:i/>
          <w:iCs/>
          <w:spacing w:val="-4"/>
          <w:lang w:val="fr-FR"/>
        </w:rPr>
        <w:t>Int</w:t>
      </w:r>
      <w:r>
        <w:rPr>
          <w:rFonts w:ascii="Times New Roman Bold Italic" w:hAnsi="Times New Roman Bold Italic"/>
          <w:b/>
          <w:i/>
          <w:iCs/>
          <w:spacing w:val="-4"/>
          <w:lang w:val="fr-FR"/>
        </w:rPr>
        <w:t>ernational visitors to Viet Nam</w:t>
      </w:r>
      <w:r w:rsidRPr="00322B1D">
        <w:rPr>
          <w:rStyle w:val="FootnoteReference"/>
          <w:rFonts w:ascii="Times New Roman Bold Italic" w:hAnsi="Times New Roman Bold Italic"/>
          <w:b/>
          <w:i/>
          <w:iCs/>
          <w:spacing w:val="-4"/>
        </w:rPr>
        <w:footnoteReference w:id="28"/>
      </w:r>
    </w:p>
    <w:p w14:paraId="06EF9CC9" w14:textId="77777777" w:rsidR="00881BAC" w:rsidRPr="00617C24" w:rsidRDefault="00881BAC" w:rsidP="00881BAC">
      <w:pPr>
        <w:shd w:val="clear" w:color="auto" w:fill="FFFFFF"/>
        <w:spacing w:before="120" w:after="120"/>
        <w:ind w:firstLine="567"/>
        <w:jc w:val="both"/>
        <w:rPr>
          <w:i/>
          <w:iCs/>
          <w:spacing w:val="-2"/>
          <w:lang w:val="fr-FR"/>
        </w:rPr>
      </w:pPr>
      <w:r w:rsidRPr="00617C24">
        <w:rPr>
          <w:i/>
          <w:iCs/>
          <w:spacing w:val="-2"/>
          <w:lang w:val="fr-FR"/>
        </w:rPr>
        <w:t>International visitors to Viet Nam</w:t>
      </w:r>
      <w:r w:rsidRPr="00617C24">
        <w:rPr>
          <w:rStyle w:val="FootnoteReference"/>
          <w:i/>
          <w:iCs/>
          <w:spacing w:val="-4"/>
        </w:rPr>
        <w:footnoteReference w:id="29"/>
      </w:r>
      <w:r w:rsidRPr="00617C24">
        <w:rPr>
          <w:i/>
          <w:iCs/>
          <w:spacing w:val="-2"/>
          <w:lang w:val="fr-FR"/>
        </w:rPr>
        <w:t xml:space="preserve"> in </w:t>
      </w:r>
      <w:r>
        <w:rPr>
          <w:i/>
          <w:iCs/>
          <w:spacing w:val="-2"/>
          <w:lang w:val="fr-FR"/>
        </w:rPr>
        <w:t>July</w:t>
      </w:r>
      <w:r w:rsidRPr="00617C24">
        <w:rPr>
          <w:i/>
          <w:iCs/>
          <w:spacing w:val="-2"/>
          <w:lang w:val="fr-FR"/>
        </w:rPr>
        <w:t xml:space="preserve"> reached </w:t>
      </w:r>
      <w:r>
        <w:rPr>
          <w:i/>
          <w:iCs/>
          <w:spacing w:val="-2"/>
          <w:lang w:val="fr-FR"/>
        </w:rPr>
        <w:t>over 1 million</w:t>
      </w:r>
      <w:r w:rsidRPr="00617C24">
        <w:rPr>
          <w:i/>
          <w:iCs/>
          <w:spacing w:val="-2"/>
          <w:lang w:val="fr-FR"/>
        </w:rPr>
        <w:t xml:space="preserve"> arrivals, </w:t>
      </w:r>
      <w:r>
        <w:rPr>
          <w:i/>
          <w:iCs/>
          <w:spacing w:val="-2"/>
          <w:lang w:val="fr-FR"/>
        </w:rPr>
        <w:t>up</w:t>
      </w:r>
      <w:r w:rsidRPr="00617C24">
        <w:rPr>
          <w:i/>
          <w:iCs/>
          <w:spacing w:val="-2"/>
          <w:lang w:val="fr-FR"/>
        </w:rPr>
        <w:t xml:space="preserve"> </w:t>
      </w:r>
      <w:r>
        <w:rPr>
          <w:i/>
          <w:iCs/>
          <w:spacing w:val="-2"/>
          <w:lang w:val="fr-FR"/>
        </w:rPr>
        <w:t>6.5</w:t>
      </w:r>
      <w:r w:rsidRPr="00617C24">
        <w:rPr>
          <w:i/>
          <w:iCs/>
          <w:spacing w:val="-2"/>
          <w:lang w:val="fr-FR"/>
        </w:rPr>
        <w:t xml:space="preserve">% compared to the previous month and </w:t>
      </w:r>
      <w:r>
        <w:rPr>
          <w:i/>
          <w:iCs/>
          <w:spacing w:val="-2"/>
          <w:lang w:val="fr-FR"/>
        </w:rPr>
        <w:t>2.9</w:t>
      </w:r>
      <w:r w:rsidRPr="00617C24">
        <w:rPr>
          <w:i/>
          <w:iCs/>
          <w:spacing w:val="-2"/>
          <w:lang w:val="fr-FR"/>
        </w:rPr>
        <w:t xml:space="preserve"> times higher than the same period last year</w:t>
      </w:r>
      <w:r>
        <w:rPr>
          <w:i/>
          <w:iCs/>
          <w:spacing w:val="-2"/>
          <w:lang w:val="fr-FR"/>
        </w:rPr>
        <w:t xml:space="preserve">. In 7 months </w:t>
      </w:r>
      <w:r w:rsidRPr="00617C24">
        <w:rPr>
          <w:i/>
          <w:iCs/>
          <w:spacing w:val="-2"/>
          <w:lang w:val="fr-FR"/>
        </w:rPr>
        <w:t xml:space="preserve">of </w:t>
      </w:r>
      <w:r>
        <w:rPr>
          <w:i/>
          <w:iCs/>
          <w:spacing w:val="-2"/>
          <w:lang w:val="fr-FR"/>
        </w:rPr>
        <w:t>2023</w:t>
      </w:r>
      <w:r w:rsidRPr="00617C24">
        <w:rPr>
          <w:i/>
          <w:iCs/>
          <w:spacing w:val="-2"/>
          <w:lang w:val="fr-FR"/>
        </w:rPr>
        <w:t xml:space="preserve">, international visitors to our country reached </w:t>
      </w:r>
      <w:r>
        <w:rPr>
          <w:i/>
          <w:iCs/>
          <w:spacing w:val="-2"/>
          <w:lang w:val="fr-FR"/>
        </w:rPr>
        <w:t xml:space="preserve">6.6 million </w:t>
      </w:r>
      <w:r w:rsidRPr="00617C24">
        <w:rPr>
          <w:i/>
          <w:iCs/>
          <w:spacing w:val="-2"/>
          <w:lang w:val="fr-FR"/>
        </w:rPr>
        <w:t xml:space="preserve">arrivals, </w:t>
      </w:r>
      <w:r>
        <w:rPr>
          <w:i/>
          <w:iCs/>
          <w:spacing w:val="-2"/>
          <w:lang w:val="fr-FR"/>
        </w:rPr>
        <w:t>6.9</w:t>
      </w:r>
      <w:r w:rsidRPr="00617C24">
        <w:rPr>
          <w:i/>
          <w:iCs/>
          <w:spacing w:val="-2"/>
          <w:lang w:val="fr-FR"/>
        </w:rPr>
        <w:t xml:space="preserve"> times higher than the same period last year but still </w:t>
      </w:r>
      <w:r>
        <w:rPr>
          <w:i/>
          <w:iCs/>
          <w:spacing w:val="-2"/>
          <w:lang w:val="fr-FR"/>
        </w:rPr>
        <w:t>equal to</w:t>
      </w:r>
      <w:r w:rsidRPr="00617C24">
        <w:rPr>
          <w:i/>
          <w:iCs/>
          <w:spacing w:val="-2"/>
          <w:lang w:val="fr-FR"/>
        </w:rPr>
        <w:t xml:space="preserve"> </w:t>
      </w:r>
      <w:r>
        <w:rPr>
          <w:i/>
          <w:iCs/>
          <w:spacing w:val="-2"/>
          <w:lang w:val="fr-FR"/>
        </w:rPr>
        <w:t>67.5</w:t>
      </w:r>
      <w:r w:rsidRPr="00617C24">
        <w:rPr>
          <w:i/>
          <w:iCs/>
          <w:spacing w:val="-2"/>
          <w:lang w:val="fr-FR"/>
        </w:rPr>
        <w:t>% compared to the same period in 2019</w:t>
      </w:r>
      <w:r>
        <w:rPr>
          <w:i/>
          <w:iCs/>
          <w:spacing w:val="-2"/>
          <w:lang w:val="fr-FR"/>
        </w:rPr>
        <w:t xml:space="preserve"> - the year without the Covid-19.</w:t>
      </w:r>
    </w:p>
    <w:p w14:paraId="315E9054" w14:textId="77777777" w:rsidR="00881BAC" w:rsidRPr="00297220" w:rsidRDefault="00881BAC" w:rsidP="00881BAC">
      <w:pPr>
        <w:shd w:val="clear" w:color="auto" w:fill="FFFFFF"/>
        <w:spacing w:before="120" w:after="120"/>
        <w:ind w:firstLine="567"/>
        <w:jc w:val="both"/>
        <w:rPr>
          <w:lang w:val="fr-FR"/>
        </w:rPr>
      </w:pPr>
      <w:r w:rsidRPr="00297220">
        <w:rPr>
          <w:lang w:val="fr-FR"/>
        </w:rPr>
        <w:lastRenderedPageBreak/>
        <w:t xml:space="preserve">Out of a total of </w:t>
      </w:r>
      <w:r>
        <w:rPr>
          <w:lang w:val="fr-FR"/>
        </w:rPr>
        <w:t>more than</w:t>
      </w:r>
      <w:r w:rsidRPr="00297220">
        <w:rPr>
          <w:lang w:val="fr-FR"/>
        </w:rPr>
        <w:t xml:space="preserve"> </w:t>
      </w:r>
      <w:r>
        <w:rPr>
          <w:lang w:val="fr-FR"/>
        </w:rPr>
        <w:t>6.6 million</w:t>
      </w:r>
      <w:r w:rsidRPr="00297220">
        <w:rPr>
          <w:lang w:val="fr-FR"/>
        </w:rPr>
        <w:t xml:space="preserve"> international arrivals to Viet</w:t>
      </w:r>
      <w:r>
        <w:rPr>
          <w:lang w:val="fr-FR"/>
        </w:rPr>
        <w:t xml:space="preserve"> N</w:t>
      </w:r>
      <w:r w:rsidRPr="00297220">
        <w:rPr>
          <w:lang w:val="fr-FR"/>
        </w:rPr>
        <w:t xml:space="preserve">am </w:t>
      </w:r>
      <w:r>
        <w:rPr>
          <w:lang w:val="fr-FR"/>
        </w:rPr>
        <w:t xml:space="preserve">in 7 months </w:t>
      </w:r>
      <w:r w:rsidRPr="00297220">
        <w:rPr>
          <w:lang w:val="fr-FR"/>
        </w:rPr>
        <w:t xml:space="preserve">of this year, arrivals by air reached </w:t>
      </w:r>
      <w:r>
        <w:rPr>
          <w:lang w:val="fr-FR"/>
        </w:rPr>
        <w:t>5.8 million</w:t>
      </w:r>
      <w:r w:rsidRPr="00297220">
        <w:rPr>
          <w:lang w:val="fr-FR"/>
        </w:rPr>
        <w:t xml:space="preserve"> arrivals, accounting for </w:t>
      </w:r>
      <w:r>
        <w:rPr>
          <w:lang w:val="fr-FR"/>
        </w:rPr>
        <w:t>87.6</w:t>
      </w:r>
      <w:r w:rsidRPr="00297220">
        <w:rPr>
          <w:lang w:val="fr-FR"/>
        </w:rPr>
        <w:t>% of international arrivals to Viet</w:t>
      </w:r>
      <w:r>
        <w:rPr>
          <w:lang w:val="fr-FR"/>
        </w:rPr>
        <w:t xml:space="preserve"> N</w:t>
      </w:r>
      <w:r w:rsidRPr="00297220">
        <w:rPr>
          <w:lang w:val="fr-FR"/>
        </w:rPr>
        <w:t xml:space="preserve">am and </w:t>
      </w:r>
      <w:r>
        <w:rPr>
          <w:lang w:val="fr-FR"/>
        </w:rPr>
        <w:t>7</w:t>
      </w:r>
      <w:r w:rsidRPr="00297220">
        <w:rPr>
          <w:lang w:val="fr-FR"/>
        </w:rPr>
        <w:t xml:space="preserve"> times </w:t>
      </w:r>
      <w:r>
        <w:rPr>
          <w:lang w:val="fr-FR"/>
        </w:rPr>
        <w:t xml:space="preserve">higher than </w:t>
      </w:r>
      <w:r w:rsidRPr="00297220">
        <w:rPr>
          <w:lang w:val="fr-FR"/>
        </w:rPr>
        <w:t xml:space="preserve">the same period last </w:t>
      </w:r>
      <w:proofErr w:type="gramStart"/>
      <w:r w:rsidRPr="00297220">
        <w:rPr>
          <w:lang w:val="fr-FR"/>
        </w:rPr>
        <w:t>year;</w:t>
      </w:r>
      <w:proofErr w:type="gramEnd"/>
      <w:r w:rsidRPr="00297220">
        <w:rPr>
          <w:lang w:val="fr-FR"/>
        </w:rPr>
        <w:t xml:space="preserve"> by road reached </w:t>
      </w:r>
      <w:r>
        <w:rPr>
          <w:lang w:val="fr-FR"/>
        </w:rPr>
        <w:t>765.3</w:t>
      </w:r>
      <w:r w:rsidRPr="00297220">
        <w:rPr>
          <w:lang w:val="fr-FR"/>
        </w:rPr>
        <w:t xml:space="preserve"> thousand arrivals, accounting for 11.</w:t>
      </w:r>
      <w:r>
        <w:rPr>
          <w:lang w:val="fr-FR"/>
        </w:rPr>
        <w:t>6</w:t>
      </w:r>
      <w:r w:rsidRPr="00297220">
        <w:rPr>
          <w:lang w:val="fr-FR"/>
        </w:rPr>
        <w:t xml:space="preserve">% and </w:t>
      </w:r>
      <w:r>
        <w:rPr>
          <w:lang w:val="fr-FR"/>
        </w:rPr>
        <w:t>6.2</w:t>
      </w:r>
      <w:r w:rsidRPr="00297220">
        <w:rPr>
          <w:lang w:val="fr-FR"/>
        </w:rPr>
        <w:t xml:space="preserve"> times higher; by sea reached </w:t>
      </w:r>
      <w:r>
        <w:rPr>
          <w:lang w:val="fr-FR"/>
        </w:rPr>
        <w:t>55.1</w:t>
      </w:r>
      <w:r w:rsidRPr="00F23101">
        <w:rPr>
          <w:lang w:val="fr-FR"/>
        </w:rPr>
        <w:t xml:space="preserve"> </w:t>
      </w:r>
      <w:r w:rsidRPr="00297220">
        <w:rPr>
          <w:lang w:val="fr-FR"/>
        </w:rPr>
        <w:t xml:space="preserve">thousand arrivals, accounting for </w:t>
      </w:r>
      <w:r>
        <w:rPr>
          <w:lang w:val="fr-FR"/>
        </w:rPr>
        <w:t>0.8</w:t>
      </w:r>
      <w:r w:rsidRPr="00297220">
        <w:rPr>
          <w:lang w:val="fr-FR"/>
        </w:rPr>
        <w:t xml:space="preserve">% and </w:t>
      </w:r>
      <w:r>
        <w:rPr>
          <w:lang w:val="fr-FR"/>
        </w:rPr>
        <w:t>214.2</w:t>
      </w:r>
      <w:r w:rsidRPr="00297220">
        <w:rPr>
          <w:lang w:val="fr-FR"/>
        </w:rPr>
        <w:t xml:space="preserve"> times highe</w:t>
      </w:r>
      <w:r>
        <w:rPr>
          <w:lang w:val="fr-FR"/>
        </w:rPr>
        <w:t>r.</w:t>
      </w:r>
    </w:p>
    <w:p w14:paraId="13D3C108" w14:textId="77777777" w:rsidR="00881BAC" w:rsidRDefault="00881BAC" w:rsidP="00881BAC">
      <w:pPr>
        <w:shd w:val="clear" w:color="auto" w:fill="FFFFFF"/>
        <w:spacing w:before="120" w:after="120"/>
        <w:jc w:val="center"/>
        <w:rPr>
          <w:b/>
          <w:color w:val="000000" w:themeColor="text1"/>
          <w:lang w:val="fr-FR"/>
        </w:rPr>
      </w:pPr>
      <w:r w:rsidRPr="00C32D38">
        <w:rPr>
          <w:b/>
          <w:color w:val="000000" w:themeColor="text1"/>
          <w:lang w:val="fr-FR"/>
        </w:rPr>
        <w:t xml:space="preserve">Figure </w:t>
      </w:r>
      <w:r>
        <w:rPr>
          <w:b/>
          <w:color w:val="000000" w:themeColor="text1"/>
          <w:lang w:val="fr-FR"/>
        </w:rPr>
        <w:t>17</w:t>
      </w:r>
      <w:r w:rsidRPr="00C32D38">
        <w:rPr>
          <w:b/>
          <w:color w:val="000000" w:themeColor="text1"/>
          <w:lang w:val="fr-FR"/>
        </w:rPr>
        <w:t>. International visitors to Viet Nam</w:t>
      </w:r>
      <w:r>
        <w:rPr>
          <w:b/>
          <w:color w:val="000000" w:themeColor="text1"/>
          <w:lang w:val="fr-FR"/>
        </w:rPr>
        <w:t xml:space="preserve"> in 7 months </w:t>
      </w:r>
      <w:r w:rsidRPr="00C32D38">
        <w:rPr>
          <w:b/>
          <w:color w:val="000000" w:themeColor="text1"/>
          <w:lang w:val="fr-FR"/>
        </w:rPr>
        <w:t xml:space="preserve">of </w:t>
      </w:r>
      <w:r>
        <w:rPr>
          <w:b/>
          <w:color w:val="000000" w:themeColor="text1"/>
          <w:lang w:val="fr-FR"/>
        </w:rPr>
        <w:t>2023</w:t>
      </w:r>
      <w:r>
        <w:rPr>
          <w:b/>
          <w:color w:val="000000" w:themeColor="text1"/>
          <w:lang w:val="fr-FR"/>
        </w:rPr>
        <w:br/>
      </w:r>
      <w:r w:rsidRPr="00C32D38">
        <w:rPr>
          <w:b/>
          <w:color w:val="000000" w:themeColor="text1"/>
          <w:lang w:val="fr-FR"/>
        </w:rPr>
        <w:t>by territories</w:t>
      </w:r>
    </w:p>
    <w:p w14:paraId="27F5775A" w14:textId="77777777" w:rsidR="00EC5D51" w:rsidRPr="00BB4D40" w:rsidRDefault="00EC5D51" w:rsidP="00EC5D51">
      <w:pPr>
        <w:spacing w:beforeLines="40" w:before="96" w:afterLines="40" w:after="96" w:line="264" w:lineRule="auto"/>
        <w:ind w:firstLine="567"/>
        <w:jc w:val="both"/>
        <w:rPr>
          <w:bCs/>
          <w:i/>
          <w:lang w:val="it-IT"/>
        </w:rPr>
      </w:pPr>
      <w:r w:rsidRPr="00BB4D40">
        <w:rPr>
          <w:b/>
          <w:bCs/>
          <w:i/>
          <w:iCs/>
          <w:lang w:val="nl-NL"/>
        </w:rPr>
        <w:t xml:space="preserve">d) </w:t>
      </w:r>
      <w:r w:rsidRPr="00BB4D40">
        <w:rPr>
          <w:b/>
          <w:bCs/>
          <w:i/>
          <w:iCs/>
          <w:lang w:val="fr-FR"/>
        </w:rPr>
        <w:t>Transport</w:t>
      </w:r>
      <w:r w:rsidRPr="00BB4D40">
        <w:rPr>
          <w:bCs/>
          <w:i/>
          <w:lang w:val="it-IT"/>
        </w:rPr>
        <w:t xml:space="preserve"> </w:t>
      </w:r>
    </w:p>
    <w:p w14:paraId="0EF07C1C" w14:textId="77777777" w:rsidR="00EC5D51" w:rsidRDefault="00EC5D51" w:rsidP="00EC5D51">
      <w:pPr>
        <w:spacing w:beforeLines="40" w:before="96" w:afterLines="40" w:after="96" w:line="264" w:lineRule="auto"/>
        <w:ind w:firstLine="567"/>
        <w:jc w:val="both"/>
        <w:rPr>
          <w:rFonts w:ascii="Times New Roman Italic" w:eastAsiaTheme="minorHAnsi" w:hAnsi="Times New Roman Italic"/>
          <w:bCs/>
          <w:i/>
          <w:spacing w:val="-6"/>
          <w:kern w:val="2"/>
          <w:lang w:val="it-IT"/>
          <w14:ligatures w14:val="standardContextual"/>
        </w:rPr>
      </w:pPr>
      <w:r w:rsidRPr="006F4FDA">
        <w:rPr>
          <w:rFonts w:ascii="Times New Roman Italic" w:eastAsiaTheme="minorHAnsi" w:hAnsi="Times New Roman Italic"/>
          <w:bCs/>
          <w:i/>
          <w:spacing w:val="-6"/>
          <w:kern w:val="2"/>
          <w:lang w:val="it-IT"/>
          <w14:ligatures w14:val="standardContextual"/>
        </w:rPr>
        <w:t>Transport activities in July were vibrant, continuing to maintain a positive growth rate compared to the same period last year</w:t>
      </w:r>
      <w:r>
        <w:rPr>
          <w:rFonts w:ascii="Times New Roman Italic" w:eastAsiaTheme="minorHAnsi" w:hAnsi="Times New Roman Italic"/>
          <w:bCs/>
          <w:i/>
          <w:spacing w:val="-6"/>
          <w:kern w:val="2"/>
          <w:lang w:val="it-IT"/>
          <w14:ligatures w14:val="standardContextual"/>
        </w:rPr>
        <w:t>, of which p</w:t>
      </w:r>
      <w:r w:rsidRPr="00BB4D40">
        <w:rPr>
          <w:rFonts w:ascii="Times New Roman Italic" w:eastAsiaTheme="minorHAnsi" w:hAnsi="Times New Roman Italic"/>
          <w:bCs/>
          <w:i/>
          <w:spacing w:val="-6"/>
          <w:kern w:val="2"/>
          <w:lang w:val="it-IT"/>
          <w14:ligatures w14:val="standardContextual"/>
        </w:rPr>
        <w:t xml:space="preserve">assenger transport in </w:t>
      </w:r>
      <w:r>
        <w:rPr>
          <w:rFonts w:ascii="Times New Roman Italic" w:eastAsiaTheme="minorHAnsi" w:hAnsi="Times New Roman Italic"/>
          <w:bCs/>
          <w:i/>
          <w:spacing w:val="-6"/>
          <w:kern w:val="2"/>
          <w:lang w:val="it-IT"/>
          <w14:ligatures w14:val="standardContextual"/>
        </w:rPr>
        <w:t>7/2024</w:t>
      </w:r>
      <w:r w:rsidRPr="00BB4D40">
        <w:rPr>
          <w:rFonts w:ascii="Times New Roman Italic" w:eastAsiaTheme="minorHAnsi" w:hAnsi="Times New Roman Italic"/>
          <w:bCs/>
          <w:i/>
          <w:spacing w:val="-6"/>
          <w:kern w:val="2"/>
          <w:lang w:val="it-IT"/>
          <w14:ligatures w14:val="standardContextual"/>
        </w:rPr>
        <w:t xml:space="preserve"> increased by </w:t>
      </w:r>
      <w:r>
        <w:rPr>
          <w:rFonts w:ascii="Times New Roman Italic" w:eastAsiaTheme="minorHAnsi" w:hAnsi="Times New Roman Italic"/>
          <w:bCs/>
          <w:i/>
          <w:spacing w:val="-6"/>
          <w:kern w:val="2"/>
          <w:lang w:val="it-IT"/>
          <w14:ligatures w14:val="standardContextual"/>
        </w:rPr>
        <w:t>11.9</w:t>
      </w:r>
      <w:r w:rsidRPr="00BB4D40">
        <w:rPr>
          <w:rFonts w:ascii="Times New Roman Italic" w:eastAsiaTheme="minorHAnsi" w:hAnsi="Times New Roman Italic"/>
          <w:bCs/>
          <w:i/>
          <w:spacing w:val="-6"/>
          <w:kern w:val="2"/>
          <w:lang w:val="it-IT"/>
          <w14:ligatures w14:val="standardContextual"/>
        </w:rPr>
        <w:t xml:space="preserve">% of passenger carried and increased by </w:t>
      </w:r>
      <w:r>
        <w:rPr>
          <w:rFonts w:ascii="Times New Roman Italic" w:eastAsiaTheme="minorHAnsi" w:hAnsi="Times New Roman Italic"/>
          <w:bCs/>
          <w:i/>
          <w:spacing w:val="-6"/>
          <w:kern w:val="2"/>
          <w:lang w:val="it-IT"/>
          <w14:ligatures w14:val="standardContextual"/>
        </w:rPr>
        <w:t>5.5</w:t>
      </w:r>
      <w:r w:rsidRPr="00BB4D40">
        <w:rPr>
          <w:rFonts w:ascii="Times New Roman Italic" w:eastAsiaTheme="minorHAnsi" w:hAnsi="Times New Roman Italic"/>
          <w:bCs/>
          <w:i/>
          <w:spacing w:val="-6"/>
          <w:kern w:val="2"/>
          <w:lang w:val="it-IT"/>
          <w14:ligatures w14:val="standardContextual"/>
        </w:rPr>
        <w:t xml:space="preserve">% of  passenger traffic; freight transport increased by </w:t>
      </w:r>
      <w:r>
        <w:rPr>
          <w:rFonts w:ascii="Times New Roman Italic" w:eastAsiaTheme="minorHAnsi" w:hAnsi="Times New Roman Italic"/>
          <w:bCs/>
          <w:i/>
          <w:spacing w:val="-6"/>
          <w:kern w:val="2"/>
          <w:lang w:val="it-IT"/>
          <w14:ligatures w14:val="standardContextual"/>
        </w:rPr>
        <w:t>14.5</w:t>
      </w:r>
      <w:r w:rsidRPr="00BB4D40">
        <w:rPr>
          <w:rFonts w:ascii="Times New Roman Italic" w:eastAsiaTheme="minorHAnsi" w:hAnsi="Times New Roman Italic"/>
          <w:bCs/>
          <w:i/>
          <w:spacing w:val="-6"/>
          <w:kern w:val="2"/>
          <w:lang w:val="it-IT"/>
          <w14:ligatures w14:val="standardContextual"/>
        </w:rPr>
        <w:t xml:space="preserve">% of  freight carried and up </w:t>
      </w:r>
      <w:r>
        <w:rPr>
          <w:rFonts w:ascii="Times New Roman Italic" w:eastAsiaTheme="minorHAnsi" w:hAnsi="Times New Roman Italic"/>
          <w:bCs/>
          <w:i/>
          <w:spacing w:val="-6"/>
          <w:kern w:val="2"/>
          <w:lang w:val="it-IT"/>
          <w14:ligatures w14:val="standardContextual"/>
        </w:rPr>
        <w:t>12.4</w:t>
      </w:r>
      <w:r w:rsidRPr="00BB4D40">
        <w:rPr>
          <w:rFonts w:ascii="Times New Roman Italic" w:eastAsiaTheme="minorHAnsi" w:hAnsi="Times New Roman Italic"/>
          <w:bCs/>
          <w:i/>
          <w:spacing w:val="-6"/>
          <w:kern w:val="2"/>
          <w:lang w:val="it-IT"/>
          <w14:ligatures w14:val="standardContextual"/>
        </w:rPr>
        <w:t>% of freight traffic.</w:t>
      </w:r>
    </w:p>
    <w:p w14:paraId="3AD5EB6E" w14:textId="77777777" w:rsidR="00EC5D51" w:rsidRPr="00BB4D40" w:rsidRDefault="00EC5D51" w:rsidP="00EC5D51">
      <w:pPr>
        <w:spacing w:beforeLines="40" w:before="96" w:afterLines="40" w:after="96" w:line="264" w:lineRule="auto"/>
        <w:ind w:firstLine="567"/>
        <w:jc w:val="both"/>
        <w:rPr>
          <w:rFonts w:ascii="Times New Roman Italic" w:eastAsiaTheme="minorHAnsi" w:hAnsi="Times New Roman Italic"/>
          <w:bCs/>
          <w:i/>
          <w:spacing w:val="-6"/>
          <w:kern w:val="2"/>
          <w:lang w:val="it-IT"/>
          <w14:ligatures w14:val="standardContextual"/>
        </w:rPr>
      </w:pPr>
      <w:r w:rsidRPr="00BB4D40">
        <w:rPr>
          <w:rFonts w:ascii="Times New Roman Italic" w:eastAsiaTheme="minorHAnsi" w:hAnsi="Times New Roman Italic"/>
          <w:bCs/>
          <w:i/>
          <w:spacing w:val="-6"/>
          <w:kern w:val="2"/>
          <w:lang w:val="it-IT"/>
          <w14:ligatures w14:val="standardContextual"/>
        </w:rPr>
        <w:t xml:space="preserve">Overall, </w:t>
      </w:r>
      <w:r>
        <w:rPr>
          <w:rFonts w:ascii="Times New Roman Italic" w:eastAsiaTheme="minorHAnsi" w:hAnsi="Times New Roman Italic"/>
          <w:bCs/>
          <w:i/>
          <w:spacing w:val="-6"/>
          <w:kern w:val="2"/>
          <w:lang w:val="it-IT"/>
          <w14:ligatures w14:val="standardContextual"/>
        </w:rPr>
        <w:t>in seven months of 2024</w:t>
      </w:r>
      <w:r w:rsidRPr="00BB4D40">
        <w:rPr>
          <w:rFonts w:ascii="Times New Roman Italic" w:eastAsiaTheme="minorHAnsi" w:hAnsi="Times New Roman Italic"/>
          <w:bCs/>
          <w:i/>
          <w:spacing w:val="-6"/>
          <w:kern w:val="2"/>
          <w:lang w:val="it-IT"/>
          <w14:ligatures w14:val="standardContextual"/>
        </w:rPr>
        <w:t xml:space="preserve">, passenger carried increased by </w:t>
      </w:r>
      <w:r>
        <w:rPr>
          <w:rFonts w:ascii="Times New Roman Italic" w:eastAsiaTheme="minorHAnsi" w:hAnsi="Times New Roman Italic"/>
          <w:bCs/>
          <w:i/>
          <w:spacing w:val="-6"/>
          <w:kern w:val="2"/>
          <w:lang w:val="it-IT"/>
          <w14:ligatures w14:val="standardContextual"/>
        </w:rPr>
        <w:t>7.2</w:t>
      </w:r>
      <w:r w:rsidRPr="00BB4D40">
        <w:rPr>
          <w:rFonts w:ascii="Times New Roman Italic" w:eastAsiaTheme="minorHAnsi" w:hAnsi="Times New Roman Italic"/>
          <w:bCs/>
          <w:i/>
          <w:spacing w:val="-6"/>
          <w:kern w:val="2"/>
          <w:lang w:val="it-IT"/>
          <w14:ligatures w14:val="standardContextual"/>
        </w:rPr>
        <w:t xml:space="preserve">% and passenger traffic up </w:t>
      </w:r>
      <w:r>
        <w:rPr>
          <w:rFonts w:ascii="Times New Roman Italic" w:eastAsiaTheme="minorHAnsi" w:hAnsi="Times New Roman Italic"/>
          <w:bCs/>
          <w:i/>
          <w:spacing w:val="-6"/>
          <w:kern w:val="2"/>
          <w:lang w:val="it-IT"/>
          <w14:ligatures w14:val="standardContextual"/>
        </w:rPr>
        <w:t>10.5</w:t>
      </w:r>
      <w:r w:rsidRPr="00BB4D40">
        <w:rPr>
          <w:rFonts w:ascii="Times New Roman Italic" w:eastAsiaTheme="minorHAnsi" w:hAnsi="Times New Roman Italic"/>
          <w:bCs/>
          <w:i/>
          <w:spacing w:val="-6"/>
          <w:kern w:val="2"/>
          <w:lang w:val="it-IT"/>
          <w14:ligatures w14:val="standardContextual"/>
        </w:rPr>
        <w:t xml:space="preserve">% over the same period last year; freight carried increased by </w:t>
      </w:r>
      <w:r>
        <w:rPr>
          <w:rFonts w:ascii="Times New Roman Italic" w:eastAsiaTheme="minorHAnsi" w:hAnsi="Times New Roman Italic"/>
          <w:bCs/>
          <w:i/>
          <w:spacing w:val="-6"/>
          <w:kern w:val="2"/>
          <w:lang w:val="it-IT"/>
          <w14:ligatures w14:val="standardContextual"/>
        </w:rPr>
        <w:t>13.3</w:t>
      </w:r>
      <w:r w:rsidRPr="00BB4D40">
        <w:rPr>
          <w:rFonts w:ascii="Times New Roman Italic" w:eastAsiaTheme="minorHAnsi" w:hAnsi="Times New Roman Italic"/>
          <w:bCs/>
          <w:i/>
          <w:spacing w:val="-6"/>
          <w:kern w:val="2"/>
          <w:lang w:val="it-IT"/>
          <w14:ligatures w14:val="standardContextual"/>
        </w:rPr>
        <w:t xml:space="preserve">% and freight traffic up </w:t>
      </w:r>
      <w:r>
        <w:rPr>
          <w:rFonts w:ascii="Times New Roman Italic" w:eastAsiaTheme="minorHAnsi" w:hAnsi="Times New Roman Italic"/>
          <w:bCs/>
          <w:i/>
          <w:spacing w:val="-6"/>
          <w:kern w:val="2"/>
          <w:lang w:val="it-IT"/>
          <w14:ligatures w14:val="standardContextual"/>
        </w:rPr>
        <w:t>11.3</w:t>
      </w:r>
      <w:r w:rsidRPr="00BB4D40">
        <w:rPr>
          <w:rFonts w:ascii="Times New Roman Italic" w:eastAsiaTheme="minorHAnsi" w:hAnsi="Times New Roman Italic"/>
          <w:bCs/>
          <w:i/>
          <w:spacing w:val="-6"/>
          <w:kern w:val="2"/>
          <w:lang w:val="it-IT"/>
          <w14:ligatures w14:val="standardContextual"/>
        </w:rPr>
        <w:t xml:space="preserve">%. </w:t>
      </w:r>
    </w:p>
    <w:p w14:paraId="3BB5A9B6" w14:textId="77777777" w:rsidR="00EC5D51" w:rsidRPr="00BB4D40" w:rsidRDefault="00EC5D51" w:rsidP="00EC5D51">
      <w:pPr>
        <w:tabs>
          <w:tab w:val="left" w:pos="567"/>
        </w:tabs>
        <w:spacing w:beforeLines="40" w:before="96" w:afterLines="40" w:after="96" w:line="276" w:lineRule="auto"/>
        <w:ind w:firstLine="567"/>
        <w:jc w:val="both"/>
        <w:rPr>
          <w:lang w:val="pl-PL"/>
        </w:rPr>
      </w:pPr>
      <w:r w:rsidRPr="00BB4D40">
        <w:rPr>
          <w:i/>
          <w:lang w:val="pl-PL"/>
        </w:rPr>
        <w:t>Passenger transport</w:t>
      </w:r>
      <w:r w:rsidRPr="00BB4D40">
        <w:rPr>
          <w:lang w:val="pl-PL"/>
        </w:rPr>
        <w:t xml:space="preserve"> in </w:t>
      </w:r>
      <w:r>
        <w:rPr>
          <w:lang w:val="pl-PL"/>
        </w:rPr>
        <w:t>7/2024</w:t>
      </w:r>
      <w:r w:rsidRPr="00BB4D40">
        <w:rPr>
          <w:lang w:val="pl-PL"/>
        </w:rPr>
        <w:t xml:space="preserve"> was estimated at </w:t>
      </w:r>
      <w:r>
        <w:rPr>
          <w:lang w:val="nl-NL"/>
        </w:rPr>
        <w:t>447.7</w:t>
      </w:r>
      <w:r w:rsidRPr="00BB4D40">
        <w:rPr>
          <w:lang w:val="nl-NL"/>
        </w:rPr>
        <w:t xml:space="preserve"> </w:t>
      </w:r>
      <w:r w:rsidRPr="00BB4D40">
        <w:rPr>
          <w:lang w:val="pl-PL"/>
        </w:rPr>
        <w:t xml:space="preserve">million passengers, </w:t>
      </w:r>
      <w:r>
        <w:rPr>
          <w:lang w:val="pl-PL"/>
        </w:rPr>
        <w:t>in</w:t>
      </w:r>
      <w:r w:rsidRPr="00BB4D40">
        <w:rPr>
          <w:lang w:val="pl-PL"/>
        </w:rPr>
        <w:t xml:space="preserve">creased by </w:t>
      </w:r>
      <w:r>
        <w:rPr>
          <w:lang w:val="pl-PL"/>
        </w:rPr>
        <w:t>6.4</w:t>
      </w:r>
      <w:r w:rsidRPr="00BB4D40">
        <w:rPr>
          <w:lang w:val="pl-PL"/>
        </w:rPr>
        <w:t xml:space="preserve">% and passenger traffic was </w:t>
      </w:r>
      <w:r>
        <w:rPr>
          <w:lang w:val="nl-NL"/>
        </w:rPr>
        <w:t>22.7</w:t>
      </w:r>
      <w:r w:rsidRPr="00BB4D40">
        <w:rPr>
          <w:lang w:val="nl-NL"/>
        </w:rPr>
        <w:t xml:space="preserve"> </w:t>
      </w:r>
      <w:r w:rsidRPr="00BB4D40">
        <w:rPr>
          <w:lang w:val="pl-PL"/>
        </w:rPr>
        <w:t xml:space="preserve">billion passengers-kilometers, </w:t>
      </w:r>
      <w:r>
        <w:rPr>
          <w:lang w:val="pl-PL"/>
        </w:rPr>
        <w:t>in</w:t>
      </w:r>
      <w:r w:rsidRPr="00BB4D40">
        <w:rPr>
          <w:lang w:val="pl-PL"/>
        </w:rPr>
        <w:t xml:space="preserve">creased by </w:t>
      </w:r>
      <w:r>
        <w:rPr>
          <w:lang w:val="pl-PL"/>
        </w:rPr>
        <w:t>2.9</w:t>
      </w:r>
      <w:r w:rsidRPr="00BB4D40">
        <w:rPr>
          <w:lang w:val="pl-PL"/>
        </w:rPr>
        <w:t xml:space="preserve">% compared to the previous month </w:t>
      </w:r>
      <w:r w:rsidRPr="0072117F">
        <w:rPr>
          <w:lang w:val="pl-PL"/>
        </w:rPr>
        <w:t>due to the increased demand for travel and tourism of people during the peak tourist season</w:t>
      </w:r>
      <w:r w:rsidRPr="00BB4D40">
        <w:rPr>
          <w:lang w:val="pl-PL"/>
        </w:rPr>
        <w:t xml:space="preserve">. </w:t>
      </w:r>
      <w:r>
        <w:rPr>
          <w:lang w:val="pl-PL"/>
        </w:rPr>
        <w:t>In seven months of 2024</w:t>
      </w:r>
      <w:r w:rsidRPr="00BB4D40">
        <w:rPr>
          <w:lang w:val="pl-PL"/>
        </w:rPr>
        <w:t xml:space="preserve">, passenger carried was estimated at </w:t>
      </w:r>
      <w:r>
        <w:rPr>
          <w:lang w:val="nl-NL"/>
        </w:rPr>
        <w:t>2,805.7</w:t>
      </w:r>
      <w:r w:rsidRPr="00BB4D40">
        <w:rPr>
          <w:lang w:val="nl-NL"/>
        </w:rPr>
        <w:t xml:space="preserve"> </w:t>
      </w:r>
      <w:r w:rsidRPr="00BB4D40">
        <w:rPr>
          <w:lang w:val="pl-PL"/>
        </w:rPr>
        <w:t xml:space="preserve">million passengers, up </w:t>
      </w:r>
      <w:r>
        <w:rPr>
          <w:lang w:val="nl-NL"/>
        </w:rPr>
        <w:t>7.2</w:t>
      </w:r>
      <w:r w:rsidRPr="00BB4D40">
        <w:rPr>
          <w:lang w:val="pl-PL"/>
        </w:rPr>
        <w:t xml:space="preserve">% over the same period last year and passenger traffic was </w:t>
      </w:r>
      <w:r>
        <w:rPr>
          <w:lang w:val="nl-NL"/>
        </w:rPr>
        <w:t>155.6</w:t>
      </w:r>
      <w:r w:rsidRPr="00BB4D40">
        <w:rPr>
          <w:lang w:val="nl-NL"/>
        </w:rPr>
        <w:t xml:space="preserve"> </w:t>
      </w:r>
      <w:r w:rsidRPr="00BB4D40">
        <w:rPr>
          <w:lang w:val="pl-PL"/>
        </w:rPr>
        <w:t xml:space="preserve">billion passengers.km, increased by </w:t>
      </w:r>
      <w:r>
        <w:rPr>
          <w:lang w:val="nl-NL"/>
        </w:rPr>
        <w:t>10.5</w:t>
      </w:r>
      <w:r w:rsidRPr="00BB4D40">
        <w:rPr>
          <w:lang w:val="pl-PL"/>
        </w:rPr>
        <w:t xml:space="preserve">%. Of which, domestic transport reached </w:t>
      </w:r>
      <w:r>
        <w:rPr>
          <w:lang w:val="nl-NL"/>
        </w:rPr>
        <w:t>2,795,4</w:t>
      </w:r>
      <w:r w:rsidRPr="00BB4D40">
        <w:rPr>
          <w:lang w:val="nl-NL"/>
        </w:rPr>
        <w:t xml:space="preserve"> </w:t>
      </w:r>
      <w:r w:rsidRPr="00BB4D40">
        <w:rPr>
          <w:lang w:val="pl-PL"/>
        </w:rPr>
        <w:t xml:space="preserve">million passengers, up </w:t>
      </w:r>
      <w:r>
        <w:rPr>
          <w:lang w:val="nl-NL"/>
        </w:rPr>
        <w:t>7.2</w:t>
      </w:r>
      <w:r w:rsidRPr="00BB4D40">
        <w:rPr>
          <w:lang w:val="pl-PL"/>
        </w:rPr>
        <w:t xml:space="preserve">% over the same period last year and </w:t>
      </w:r>
      <w:r>
        <w:rPr>
          <w:lang w:val="nl-NL"/>
        </w:rPr>
        <w:t>123,1</w:t>
      </w:r>
      <w:r w:rsidRPr="00BB4D40">
        <w:rPr>
          <w:lang w:val="nl-NL"/>
        </w:rPr>
        <w:t xml:space="preserve"> </w:t>
      </w:r>
      <w:r w:rsidRPr="00BB4D40">
        <w:rPr>
          <w:lang w:val="pl-PL"/>
        </w:rPr>
        <w:t xml:space="preserve">billion passengers-kilometers, up </w:t>
      </w:r>
      <w:r>
        <w:rPr>
          <w:lang w:val="nl-NL"/>
        </w:rPr>
        <w:t>6.0</w:t>
      </w:r>
      <w:r w:rsidRPr="00BB4D40">
        <w:rPr>
          <w:lang w:val="pl-PL"/>
        </w:rPr>
        <w:t xml:space="preserve">%; overseas transport reached </w:t>
      </w:r>
      <w:r>
        <w:rPr>
          <w:lang w:val="nl-NL"/>
        </w:rPr>
        <w:t>10.3</w:t>
      </w:r>
      <w:r w:rsidRPr="00BB4D40">
        <w:rPr>
          <w:lang w:val="nl-NL"/>
        </w:rPr>
        <w:t xml:space="preserve"> </w:t>
      </w:r>
      <w:r w:rsidRPr="00BB4D40">
        <w:rPr>
          <w:lang w:val="pl-PL"/>
        </w:rPr>
        <w:t xml:space="preserve">million passengers, increased by </w:t>
      </w:r>
      <w:r>
        <w:rPr>
          <w:lang w:val="pl-PL"/>
        </w:rPr>
        <w:t>21.6</w:t>
      </w:r>
      <w:r w:rsidRPr="00BB4D40">
        <w:rPr>
          <w:lang w:val="pl-PL"/>
        </w:rPr>
        <w:t xml:space="preserve">% and </w:t>
      </w:r>
      <w:r>
        <w:rPr>
          <w:lang w:val="nl-NL"/>
        </w:rPr>
        <w:t>32.5</w:t>
      </w:r>
      <w:r w:rsidRPr="00BB4D40">
        <w:rPr>
          <w:lang w:val="nl-NL"/>
        </w:rPr>
        <w:t xml:space="preserve"> </w:t>
      </w:r>
      <w:r w:rsidRPr="00BB4D40">
        <w:rPr>
          <w:lang w:val="pl-PL"/>
        </w:rPr>
        <w:t xml:space="preserve">billion passengers-kilometers, </w:t>
      </w:r>
      <w:r w:rsidRPr="00BB4D40">
        <w:rPr>
          <w:lang w:val="nl-NL"/>
        </w:rPr>
        <w:t xml:space="preserve">up </w:t>
      </w:r>
      <w:r>
        <w:rPr>
          <w:lang w:val="nl-NL"/>
        </w:rPr>
        <w:t>31.7</w:t>
      </w:r>
      <w:r w:rsidRPr="00BB4D40">
        <w:rPr>
          <w:lang w:val="nl-NL"/>
        </w:rPr>
        <w:t>% compared to</w:t>
      </w:r>
      <w:r w:rsidRPr="00BB4D40">
        <w:rPr>
          <w:lang w:val="pl-PL"/>
        </w:rPr>
        <w:t xml:space="preserve"> the same period last year. </w:t>
      </w:r>
    </w:p>
    <w:p w14:paraId="433C8149" w14:textId="77777777" w:rsidR="00EC5D51" w:rsidRPr="00BB4D40" w:rsidRDefault="00EC5D51" w:rsidP="00EC5D51">
      <w:pPr>
        <w:spacing w:beforeLines="40" w:before="96" w:afterLines="40" w:after="96" w:line="264" w:lineRule="auto"/>
        <w:jc w:val="center"/>
        <w:rPr>
          <w:rFonts w:ascii="Arial" w:hAnsi="Arial" w:cs="Arial"/>
          <w:b/>
          <w:bCs/>
          <w:sz w:val="24"/>
          <w:szCs w:val="24"/>
          <w:lang w:val="fr-FR"/>
        </w:rPr>
      </w:pPr>
      <w:r w:rsidRPr="00BB4D40">
        <w:rPr>
          <w:rFonts w:ascii="Arial" w:hAnsi="Arial" w:cs="Arial"/>
          <w:b/>
          <w:bCs/>
          <w:iCs/>
          <w:sz w:val="24"/>
          <w:szCs w:val="24"/>
          <w:lang w:val="fr-FR"/>
        </w:rPr>
        <w:t>Table 6</w:t>
      </w:r>
      <w:r w:rsidRPr="00BB4D40">
        <w:rPr>
          <w:rFonts w:ascii="Arial" w:hAnsi="Arial" w:cs="Arial" w:hint="eastAsia"/>
          <w:b/>
          <w:bCs/>
          <w:iCs/>
          <w:sz w:val="24"/>
          <w:szCs w:val="24"/>
          <w:lang w:val="fr-FR"/>
        </w:rPr>
        <w:t> </w:t>
      </w:r>
      <w:r w:rsidRPr="00BB4D40">
        <w:rPr>
          <w:rFonts w:ascii="Arial" w:hAnsi="Arial" w:cs="Arial"/>
          <w:b/>
          <w:bCs/>
          <w:iCs/>
          <w:sz w:val="24"/>
          <w:szCs w:val="24"/>
          <w:lang w:val="fr-FR"/>
        </w:rPr>
        <w:t xml:space="preserve">: Passengers transport </w:t>
      </w:r>
      <w:r>
        <w:rPr>
          <w:rFonts w:ascii="Arial" w:hAnsi="Arial" w:cs="Arial"/>
          <w:b/>
          <w:bCs/>
          <w:iCs/>
          <w:sz w:val="24"/>
          <w:szCs w:val="24"/>
          <w:lang w:val="fr-FR"/>
        </w:rPr>
        <w:t>in 7 months of 2024</w:t>
      </w:r>
      <w:r w:rsidRPr="00BB4D40">
        <w:rPr>
          <w:rFonts w:ascii="Arial" w:hAnsi="Arial" w:cs="Arial"/>
          <w:b/>
          <w:bCs/>
          <w:iCs/>
          <w:sz w:val="24"/>
          <w:szCs w:val="24"/>
          <w:lang w:val="fr-FR"/>
        </w:rPr>
        <w:t xml:space="preserve"> </w:t>
      </w:r>
      <w:r w:rsidRPr="00BB4D40">
        <w:rPr>
          <w:rFonts w:ascii="Arial" w:hAnsi="Arial" w:cs="Arial"/>
          <w:b/>
          <w:bCs/>
          <w:iCs/>
          <w:sz w:val="24"/>
          <w:szCs w:val="24"/>
          <w:lang w:val="fr-FR"/>
        </w:rPr>
        <w:br/>
      </w:r>
      <w:r w:rsidRPr="00BB4D40">
        <w:rPr>
          <w:rFonts w:ascii="Arial" w:hAnsi="Arial" w:cs="Arial"/>
          <w:b/>
          <w:bCs/>
          <w:sz w:val="24"/>
          <w:szCs w:val="24"/>
          <w:lang w:val="fr-FR"/>
        </w:rPr>
        <w:t>by types of transport</w:t>
      </w:r>
    </w:p>
    <w:tbl>
      <w:tblPr>
        <w:tblW w:w="9236" w:type="dxa"/>
        <w:jc w:val="center"/>
        <w:tblBorders>
          <w:top w:val="single" w:sz="4" w:space="0" w:color="auto"/>
        </w:tblBorders>
        <w:tblLook w:val="04A0" w:firstRow="1" w:lastRow="0" w:firstColumn="1" w:lastColumn="0" w:noHBand="0" w:noVBand="1"/>
      </w:tblPr>
      <w:tblGrid>
        <w:gridCol w:w="1887"/>
        <w:gridCol w:w="1886"/>
        <w:gridCol w:w="2394"/>
        <w:gridCol w:w="1666"/>
        <w:gridCol w:w="1403"/>
      </w:tblGrid>
      <w:tr w:rsidR="00EC5D51" w:rsidRPr="00BB4D40" w14:paraId="2A924BA4" w14:textId="77777777" w:rsidTr="00CA23A3">
        <w:trPr>
          <w:trHeight w:val="378"/>
          <w:jc w:val="center"/>
        </w:trPr>
        <w:tc>
          <w:tcPr>
            <w:tcW w:w="1887" w:type="dxa"/>
            <w:vAlign w:val="center"/>
            <w:hideMark/>
          </w:tcPr>
          <w:p w14:paraId="0338A304" w14:textId="77777777" w:rsidR="00EC5D51" w:rsidRPr="00BB4D40" w:rsidRDefault="00EC5D51" w:rsidP="00CA23A3">
            <w:pPr>
              <w:spacing w:before="40" w:after="40"/>
              <w:ind w:firstLine="567"/>
              <w:rPr>
                <w:rFonts w:ascii="Times New Roman Bold" w:hAnsi="Times New Roman Bold"/>
                <w:b/>
                <w:bCs/>
                <w:lang w:val="fr-FR"/>
              </w:rPr>
            </w:pPr>
          </w:p>
        </w:tc>
        <w:tc>
          <w:tcPr>
            <w:tcW w:w="4280" w:type="dxa"/>
            <w:gridSpan w:val="2"/>
            <w:tcBorders>
              <w:top w:val="single" w:sz="4" w:space="0" w:color="auto"/>
              <w:bottom w:val="single" w:sz="4" w:space="0" w:color="auto"/>
            </w:tcBorders>
            <w:vAlign w:val="center"/>
            <w:hideMark/>
          </w:tcPr>
          <w:p w14:paraId="2ED28D99" w14:textId="77777777" w:rsidR="00EC5D51" w:rsidRPr="00BB4D40" w:rsidRDefault="00EC5D51" w:rsidP="00CA23A3">
            <w:pPr>
              <w:spacing w:before="40" w:after="40"/>
              <w:ind w:firstLine="205"/>
              <w:jc w:val="center"/>
              <w:rPr>
                <w:rFonts w:ascii="Arial" w:hAnsi="Arial" w:cs="Arial"/>
                <w:sz w:val="20"/>
                <w:szCs w:val="20"/>
                <w:lang w:eastAsia="vi-VN"/>
              </w:rPr>
            </w:pPr>
            <w:r w:rsidRPr="00BB4D40">
              <w:rPr>
                <w:rFonts w:ascii="Arial" w:hAnsi="Arial" w:cs="Arial"/>
                <w:iCs/>
                <w:sz w:val="20"/>
                <w:szCs w:val="20"/>
                <w:lang w:eastAsia="vi-VN"/>
              </w:rPr>
              <w:t>Number of passengers</w:t>
            </w:r>
          </w:p>
        </w:tc>
        <w:tc>
          <w:tcPr>
            <w:tcW w:w="3069" w:type="dxa"/>
            <w:gridSpan w:val="2"/>
            <w:tcBorders>
              <w:top w:val="single" w:sz="4" w:space="0" w:color="auto"/>
              <w:bottom w:val="single" w:sz="4" w:space="0" w:color="auto"/>
            </w:tcBorders>
            <w:vAlign w:val="center"/>
            <w:hideMark/>
          </w:tcPr>
          <w:p w14:paraId="5E8EE273" w14:textId="77777777" w:rsidR="00EC5D51" w:rsidRPr="00BB4D40" w:rsidRDefault="00EC5D51" w:rsidP="00CA23A3">
            <w:pPr>
              <w:spacing w:before="40" w:after="40"/>
              <w:ind w:firstLine="77"/>
              <w:jc w:val="center"/>
              <w:rPr>
                <w:rFonts w:ascii="Arial" w:hAnsi="Arial" w:cs="Arial"/>
                <w:color w:val="000000"/>
                <w:sz w:val="20"/>
                <w:szCs w:val="20"/>
                <w:lang w:eastAsia="vi-VN"/>
              </w:rPr>
            </w:pPr>
            <w:r w:rsidRPr="00BB4D40">
              <w:rPr>
                <w:rFonts w:ascii="Arial" w:hAnsi="Arial" w:cs="Arial"/>
                <w:color w:val="000000"/>
                <w:sz w:val="20"/>
                <w:szCs w:val="20"/>
                <w:lang w:eastAsia="vi-VN"/>
              </w:rPr>
              <w:t>Growth rate compared to the same period last year (%)</w:t>
            </w:r>
          </w:p>
        </w:tc>
      </w:tr>
      <w:tr w:rsidR="00EC5D51" w:rsidRPr="00BB4D40" w14:paraId="1030C872" w14:textId="77777777" w:rsidTr="00CA23A3">
        <w:trPr>
          <w:trHeight w:val="376"/>
          <w:jc w:val="center"/>
        </w:trPr>
        <w:tc>
          <w:tcPr>
            <w:tcW w:w="1887" w:type="dxa"/>
            <w:vAlign w:val="center"/>
            <w:hideMark/>
          </w:tcPr>
          <w:p w14:paraId="496CA1B4" w14:textId="77777777" w:rsidR="00EC5D51" w:rsidRPr="00BB4D40" w:rsidRDefault="00EC5D51" w:rsidP="00CA23A3">
            <w:pPr>
              <w:spacing w:before="40" w:after="40"/>
              <w:ind w:firstLine="567"/>
              <w:rPr>
                <w:rFonts w:ascii="Arial" w:hAnsi="Arial" w:cs="Arial"/>
                <w:color w:val="000000"/>
                <w:sz w:val="20"/>
                <w:szCs w:val="20"/>
                <w:lang w:eastAsia="vi-VN"/>
              </w:rPr>
            </w:pPr>
          </w:p>
        </w:tc>
        <w:tc>
          <w:tcPr>
            <w:tcW w:w="1886" w:type="dxa"/>
            <w:tcBorders>
              <w:top w:val="single" w:sz="4" w:space="0" w:color="auto"/>
              <w:bottom w:val="single" w:sz="4" w:space="0" w:color="auto"/>
            </w:tcBorders>
            <w:vAlign w:val="center"/>
            <w:hideMark/>
          </w:tcPr>
          <w:p w14:paraId="67844909" w14:textId="77777777" w:rsidR="00EC5D51" w:rsidRPr="00BB4D40" w:rsidRDefault="00EC5D51" w:rsidP="00CA23A3">
            <w:pPr>
              <w:spacing w:before="40" w:after="40"/>
              <w:jc w:val="center"/>
              <w:rPr>
                <w:rFonts w:ascii="Arial" w:hAnsi="Arial" w:cs="Arial"/>
                <w:sz w:val="20"/>
                <w:szCs w:val="20"/>
                <w:lang w:eastAsia="vi-VN"/>
              </w:rPr>
            </w:pPr>
            <w:r w:rsidRPr="00BB4D40">
              <w:rPr>
                <w:rFonts w:ascii="Arial" w:hAnsi="Arial" w:cs="Arial"/>
                <w:sz w:val="20"/>
                <w:szCs w:val="20"/>
                <w:lang w:eastAsia="vi-VN"/>
              </w:rPr>
              <w:t>Carried</w:t>
            </w:r>
            <w:r w:rsidRPr="00BB4D40">
              <w:rPr>
                <w:rFonts w:ascii="Arial" w:hAnsi="Arial" w:cs="Arial"/>
                <w:sz w:val="20"/>
                <w:szCs w:val="20"/>
                <w:lang w:eastAsia="vi-VN"/>
              </w:rPr>
              <w:br/>
              <w:t>(Mill. passengers)</w:t>
            </w:r>
          </w:p>
        </w:tc>
        <w:tc>
          <w:tcPr>
            <w:tcW w:w="2394" w:type="dxa"/>
            <w:tcBorders>
              <w:top w:val="single" w:sz="4" w:space="0" w:color="auto"/>
              <w:bottom w:val="single" w:sz="4" w:space="0" w:color="auto"/>
            </w:tcBorders>
            <w:vAlign w:val="center"/>
            <w:hideMark/>
          </w:tcPr>
          <w:p w14:paraId="58F2C585" w14:textId="77777777" w:rsidR="00EC5D51" w:rsidRPr="00BB4D40" w:rsidRDefault="00EC5D51" w:rsidP="00CA23A3">
            <w:pPr>
              <w:spacing w:before="40" w:after="40"/>
              <w:ind w:hanging="214"/>
              <w:jc w:val="center"/>
              <w:rPr>
                <w:rFonts w:ascii="Arial" w:hAnsi="Arial" w:cs="Arial"/>
                <w:sz w:val="20"/>
                <w:szCs w:val="20"/>
                <w:lang w:eastAsia="vi-VN"/>
              </w:rPr>
            </w:pPr>
            <w:r w:rsidRPr="00BB4D40">
              <w:rPr>
                <w:rFonts w:ascii="Arial" w:hAnsi="Arial" w:cs="Arial"/>
                <w:sz w:val="20"/>
                <w:szCs w:val="20"/>
                <w:lang w:eastAsia="vi-VN"/>
              </w:rPr>
              <w:t>Traffic</w:t>
            </w:r>
            <w:r w:rsidRPr="00BB4D40">
              <w:rPr>
                <w:rFonts w:ascii="Arial" w:hAnsi="Arial" w:cs="Arial"/>
                <w:sz w:val="20"/>
                <w:szCs w:val="20"/>
                <w:lang w:eastAsia="vi-VN"/>
              </w:rPr>
              <w:br/>
              <w:t>(Bill. passengers-km)</w:t>
            </w:r>
          </w:p>
        </w:tc>
        <w:tc>
          <w:tcPr>
            <w:tcW w:w="1666" w:type="dxa"/>
            <w:tcBorders>
              <w:top w:val="single" w:sz="4" w:space="0" w:color="auto"/>
              <w:bottom w:val="single" w:sz="4" w:space="0" w:color="auto"/>
            </w:tcBorders>
            <w:vAlign w:val="center"/>
            <w:hideMark/>
          </w:tcPr>
          <w:p w14:paraId="749064B1" w14:textId="77777777" w:rsidR="00EC5D51" w:rsidRPr="00BB4D40" w:rsidRDefault="00EC5D51" w:rsidP="00CA23A3">
            <w:pPr>
              <w:spacing w:before="40" w:after="40"/>
              <w:ind w:firstLine="567"/>
              <w:jc w:val="center"/>
              <w:rPr>
                <w:rFonts w:ascii="Arial" w:hAnsi="Arial" w:cs="Arial"/>
                <w:sz w:val="20"/>
                <w:szCs w:val="20"/>
                <w:lang w:eastAsia="vi-VN"/>
              </w:rPr>
            </w:pPr>
            <w:r w:rsidRPr="00BB4D40">
              <w:rPr>
                <w:rFonts w:ascii="Arial" w:hAnsi="Arial" w:cs="Arial"/>
                <w:sz w:val="20"/>
                <w:szCs w:val="20"/>
                <w:lang w:eastAsia="vi-VN"/>
              </w:rPr>
              <w:t>Carried</w:t>
            </w:r>
          </w:p>
        </w:tc>
        <w:tc>
          <w:tcPr>
            <w:tcW w:w="1403" w:type="dxa"/>
            <w:tcBorders>
              <w:top w:val="single" w:sz="4" w:space="0" w:color="auto"/>
              <w:bottom w:val="single" w:sz="4" w:space="0" w:color="auto"/>
            </w:tcBorders>
            <w:vAlign w:val="center"/>
            <w:hideMark/>
          </w:tcPr>
          <w:p w14:paraId="6273D149" w14:textId="77777777" w:rsidR="00EC5D51" w:rsidRPr="00BB4D40" w:rsidRDefault="00EC5D51" w:rsidP="00CA23A3">
            <w:pPr>
              <w:spacing w:before="40" w:after="40"/>
              <w:ind w:firstLine="567"/>
              <w:jc w:val="center"/>
              <w:rPr>
                <w:rFonts w:ascii="Arial" w:hAnsi="Arial" w:cs="Arial"/>
                <w:sz w:val="20"/>
                <w:szCs w:val="20"/>
                <w:lang w:eastAsia="vi-VN"/>
              </w:rPr>
            </w:pPr>
            <w:r w:rsidRPr="00BB4D40">
              <w:rPr>
                <w:rFonts w:ascii="Arial" w:hAnsi="Arial" w:cs="Arial"/>
                <w:sz w:val="20"/>
                <w:szCs w:val="20"/>
                <w:lang w:eastAsia="vi-VN"/>
              </w:rPr>
              <w:t>Traffic</w:t>
            </w:r>
          </w:p>
        </w:tc>
      </w:tr>
      <w:tr w:rsidR="00EC5D51" w:rsidRPr="00BB4D40" w14:paraId="06D6D373" w14:textId="77777777" w:rsidTr="00CA23A3">
        <w:trPr>
          <w:trHeight w:val="250"/>
          <w:jc w:val="center"/>
        </w:trPr>
        <w:tc>
          <w:tcPr>
            <w:tcW w:w="1887" w:type="dxa"/>
            <w:noWrap/>
            <w:vAlign w:val="center"/>
            <w:hideMark/>
          </w:tcPr>
          <w:p w14:paraId="3A86789C" w14:textId="77777777" w:rsidR="00EC5D51" w:rsidRPr="00BB4D40" w:rsidRDefault="00EC5D51" w:rsidP="00CA23A3">
            <w:pPr>
              <w:spacing w:before="100" w:after="40"/>
              <w:ind w:firstLine="142"/>
              <w:jc w:val="both"/>
              <w:rPr>
                <w:rFonts w:ascii="Arial" w:hAnsi="Arial" w:cs="Arial"/>
                <w:b/>
                <w:bCs/>
                <w:sz w:val="20"/>
                <w:szCs w:val="20"/>
                <w:lang w:eastAsia="vi-VN"/>
              </w:rPr>
            </w:pPr>
            <w:r w:rsidRPr="00BB4D40">
              <w:rPr>
                <w:rFonts w:ascii="Arial" w:hAnsi="Arial" w:cs="Arial"/>
                <w:b/>
                <w:bCs/>
                <w:sz w:val="20"/>
                <w:szCs w:val="20"/>
                <w:lang w:eastAsia="vi-VN"/>
              </w:rPr>
              <w:t>Total</w:t>
            </w:r>
          </w:p>
        </w:tc>
        <w:tc>
          <w:tcPr>
            <w:tcW w:w="1886" w:type="dxa"/>
            <w:tcBorders>
              <w:top w:val="single" w:sz="4" w:space="0" w:color="auto"/>
            </w:tcBorders>
            <w:shd w:val="clear" w:color="auto" w:fill="auto"/>
            <w:noWrap/>
            <w:vAlign w:val="center"/>
            <w:hideMark/>
          </w:tcPr>
          <w:p w14:paraId="53CDBF2E" w14:textId="77777777" w:rsidR="00EC5D51" w:rsidRPr="00FC383C" w:rsidRDefault="00EC5D51" w:rsidP="00CA23A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2</w:t>
            </w:r>
            <w:r>
              <w:rPr>
                <w:rFonts w:ascii="Arial" w:hAnsi="Arial" w:cs="Arial"/>
                <w:b/>
                <w:bCs/>
                <w:sz w:val="20"/>
                <w:szCs w:val="20"/>
              </w:rPr>
              <w:t>,</w:t>
            </w:r>
            <w:r w:rsidRPr="00FC383C">
              <w:rPr>
                <w:rFonts w:ascii="Arial" w:hAnsi="Arial" w:cs="Arial"/>
                <w:b/>
                <w:bCs/>
                <w:sz w:val="20"/>
                <w:szCs w:val="20"/>
              </w:rPr>
              <w:t>805</w:t>
            </w:r>
            <w:r>
              <w:rPr>
                <w:rFonts w:ascii="Arial" w:hAnsi="Arial" w:cs="Arial"/>
                <w:b/>
                <w:bCs/>
                <w:sz w:val="20"/>
                <w:szCs w:val="20"/>
              </w:rPr>
              <w:t>.</w:t>
            </w:r>
            <w:r w:rsidRPr="00FC383C">
              <w:rPr>
                <w:rFonts w:ascii="Arial" w:hAnsi="Arial" w:cs="Arial"/>
                <w:b/>
                <w:bCs/>
                <w:sz w:val="20"/>
                <w:szCs w:val="20"/>
              </w:rPr>
              <w:t>7</w:t>
            </w:r>
          </w:p>
        </w:tc>
        <w:tc>
          <w:tcPr>
            <w:tcW w:w="2394" w:type="dxa"/>
            <w:tcBorders>
              <w:top w:val="single" w:sz="4" w:space="0" w:color="auto"/>
            </w:tcBorders>
            <w:shd w:val="clear" w:color="auto" w:fill="auto"/>
            <w:noWrap/>
            <w:vAlign w:val="center"/>
            <w:hideMark/>
          </w:tcPr>
          <w:p w14:paraId="172C1EA1" w14:textId="77777777" w:rsidR="00EC5D51" w:rsidRPr="00FC383C" w:rsidRDefault="00EC5D51" w:rsidP="00CA23A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155</w:t>
            </w:r>
            <w:r>
              <w:rPr>
                <w:rFonts w:ascii="Arial" w:hAnsi="Arial" w:cs="Arial"/>
                <w:b/>
                <w:bCs/>
                <w:sz w:val="20"/>
                <w:szCs w:val="20"/>
              </w:rPr>
              <w:t>.</w:t>
            </w:r>
            <w:r w:rsidRPr="00FC383C">
              <w:rPr>
                <w:rFonts w:ascii="Arial" w:hAnsi="Arial" w:cs="Arial"/>
                <w:b/>
                <w:bCs/>
                <w:sz w:val="20"/>
                <w:szCs w:val="20"/>
              </w:rPr>
              <w:t>6</w:t>
            </w:r>
          </w:p>
        </w:tc>
        <w:tc>
          <w:tcPr>
            <w:tcW w:w="1666" w:type="dxa"/>
            <w:tcBorders>
              <w:top w:val="single" w:sz="4" w:space="0" w:color="auto"/>
            </w:tcBorders>
            <w:shd w:val="clear" w:color="auto" w:fill="auto"/>
            <w:noWrap/>
            <w:vAlign w:val="center"/>
            <w:hideMark/>
          </w:tcPr>
          <w:p w14:paraId="129FD4F1" w14:textId="77777777" w:rsidR="00EC5D51" w:rsidRPr="00FC383C" w:rsidRDefault="00EC5D51" w:rsidP="00CA23A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7</w:t>
            </w:r>
            <w:r>
              <w:rPr>
                <w:rFonts w:ascii="Arial" w:hAnsi="Arial" w:cs="Arial"/>
                <w:b/>
                <w:bCs/>
                <w:sz w:val="20"/>
                <w:szCs w:val="20"/>
              </w:rPr>
              <w:t>.</w:t>
            </w:r>
            <w:r w:rsidRPr="00FC383C">
              <w:rPr>
                <w:rFonts w:ascii="Arial" w:hAnsi="Arial" w:cs="Arial"/>
                <w:b/>
                <w:bCs/>
                <w:sz w:val="20"/>
                <w:szCs w:val="20"/>
              </w:rPr>
              <w:t>2</w:t>
            </w:r>
          </w:p>
        </w:tc>
        <w:tc>
          <w:tcPr>
            <w:tcW w:w="1403" w:type="dxa"/>
            <w:tcBorders>
              <w:top w:val="single" w:sz="4" w:space="0" w:color="auto"/>
            </w:tcBorders>
            <w:shd w:val="clear" w:color="auto" w:fill="auto"/>
            <w:noWrap/>
            <w:vAlign w:val="center"/>
            <w:hideMark/>
          </w:tcPr>
          <w:p w14:paraId="18B8DBD9" w14:textId="77777777" w:rsidR="00EC5D51" w:rsidRPr="00FC383C" w:rsidRDefault="00EC5D51" w:rsidP="00CA23A3">
            <w:pPr>
              <w:spacing w:before="40" w:after="40" w:line="257" w:lineRule="auto"/>
              <w:ind w:right="502"/>
              <w:jc w:val="right"/>
              <w:rPr>
                <w:rFonts w:ascii="Arial" w:hAnsi="Arial" w:cs="Arial"/>
                <w:b/>
                <w:bCs/>
                <w:sz w:val="20"/>
                <w:szCs w:val="20"/>
                <w14:ligatures w14:val="standardContextual"/>
              </w:rPr>
            </w:pPr>
            <w:r w:rsidRPr="00FC383C">
              <w:rPr>
                <w:rFonts w:ascii="Arial" w:hAnsi="Arial" w:cs="Arial"/>
                <w:b/>
                <w:bCs/>
                <w:sz w:val="20"/>
                <w:szCs w:val="20"/>
              </w:rPr>
              <w:t>10</w:t>
            </w:r>
            <w:r>
              <w:rPr>
                <w:rFonts w:ascii="Arial" w:hAnsi="Arial" w:cs="Arial"/>
                <w:b/>
                <w:bCs/>
                <w:sz w:val="20"/>
                <w:szCs w:val="20"/>
              </w:rPr>
              <w:t>.</w:t>
            </w:r>
            <w:r w:rsidRPr="00FC383C">
              <w:rPr>
                <w:rFonts w:ascii="Arial" w:hAnsi="Arial" w:cs="Arial"/>
                <w:b/>
                <w:bCs/>
                <w:sz w:val="20"/>
                <w:szCs w:val="20"/>
              </w:rPr>
              <w:t>5</w:t>
            </w:r>
          </w:p>
        </w:tc>
      </w:tr>
      <w:tr w:rsidR="00EC5D51" w:rsidRPr="00BB4D40" w14:paraId="3F359830" w14:textId="77777777" w:rsidTr="00CA23A3">
        <w:trPr>
          <w:trHeight w:val="212"/>
          <w:jc w:val="center"/>
        </w:trPr>
        <w:tc>
          <w:tcPr>
            <w:tcW w:w="1887" w:type="dxa"/>
            <w:noWrap/>
            <w:vAlign w:val="center"/>
            <w:hideMark/>
          </w:tcPr>
          <w:p w14:paraId="7A7A9E6B" w14:textId="77777777" w:rsidR="00EC5D51" w:rsidRPr="00BB4D40" w:rsidRDefault="00EC5D51" w:rsidP="00CA23A3">
            <w:pPr>
              <w:tabs>
                <w:tab w:val="left" w:pos="407"/>
              </w:tabs>
              <w:spacing w:before="40" w:after="40"/>
              <w:ind w:firstLine="142"/>
              <w:jc w:val="both"/>
              <w:rPr>
                <w:rFonts w:ascii="Arial" w:hAnsi="Arial" w:cs="Arial"/>
                <w:sz w:val="20"/>
                <w:szCs w:val="20"/>
                <w:lang w:eastAsia="vi-VN"/>
              </w:rPr>
            </w:pPr>
            <w:proofErr w:type="gramStart"/>
            <w:r w:rsidRPr="00BB4D40">
              <w:rPr>
                <w:rFonts w:ascii="Arial" w:hAnsi="Arial" w:cs="Arial"/>
                <w:sz w:val="20"/>
                <w:szCs w:val="20"/>
                <w:lang w:eastAsia="vi-VN"/>
              </w:rPr>
              <w:t>Rail way</w:t>
            </w:r>
            <w:proofErr w:type="gramEnd"/>
          </w:p>
        </w:tc>
        <w:tc>
          <w:tcPr>
            <w:tcW w:w="1886" w:type="dxa"/>
            <w:shd w:val="clear" w:color="auto" w:fill="auto"/>
            <w:noWrap/>
            <w:vAlign w:val="center"/>
            <w:hideMark/>
          </w:tcPr>
          <w:p w14:paraId="4D1C5F30"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4</w:t>
            </w:r>
            <w:r>
              <w:rPr>
                <w:rFonts w:ascii="Arial" w:hAnsi="Arial" w:cs="Arial"/>
                <w:sz w:val="20"/>
                <w:szCs w:val="20"/>
              </w:rPr>
              <w:t>.</w:t>
            </w:r>
            <w:r w:rsidRPr="00FC383C">
              <w:rPr>
                <w:rFonts w:ascii="Arial" w:hAnsi="Arial" w:cs="Arial"/>
                <w:sz w:val="20"/>
                <w:szCs w:val="20"/>
              </w:rPr>
              <w:t>6</w:t>
            </w:r>
          </w:p>
        </w:tc>
        <w:tc>
          <w:tcPr>
            <w:tcW w:w="2394" w:type="dxa"/>
            <w:shd w:val="clear" w:color="auto" w:fill="auto"/>
            <w:noWrap/>
            <w:vAlign w:val="center"/>
            <w:hideMark/>
          </w:tcPr>
          <w:p w14:paraId="547C9911"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w:t>
            </w:r>
            <w:r>
              <w:rPr>
                <w:rFonts w:ascii="Arial" w:hAnsi="Arial" w:cs="Arial"/>
                <w:sz w:val="20"/>
                <w:szCs w:val="20"/>
              </w:rPr>
              <w:t>.</w:t>
            </w:r>
            <w:r w:rsidRPr="00FC383C">
              <w:rPr>
                <w:rFonts w:ascii="Arial" w:hAnsi="Arial" w:cs="Arial"/>
                <w:sz w:val="20"/>
                <w:szCs w:val="20"/>
              </w:rPr>
              <w:t>8</w:t>
            </w:r>
          </w:p>
        </w:tc>
        <w:tc>
          <w:tcPr>
            <w:tcW w:w="1666" w:type="dxa"/>
            <w:shd w:val="clear" w:color="auto" w:fill="auto"/>
            <w:noWrap/>
            <w:vAlign w:val="center"/>
            <w:hideMark/>
          </w:tcPr>
          <w:p w14:paraId="4B08F8D7"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19</w:t>
            </w:r>
            <w:r>
              <w:rPr>
                <w:rFonts w:ascii="Arial" w:hAnsi="Arial" w:cs="Arial"/>
                <w:sz w:val="20"/>
                <w:szCs w:val="20"/>
              </w:rPr>
              <w:t>.</w:t>
            </w:r>
            <w:r w:rsidRPr="00FC383C">
              <w:rPr>
                <w:rFonts w:ascii="Arial" w:hAnsi="Arial" w:cs="Arial"/>
                <w:sz w:val="20"/>
                <w:szCs w:val="20"/>
              </w:rPr>
              <w:t>5</w:t>
            </w:r>
          </w:p>
        </w:tc>
        <w:tc>
          <w:tcPr>
            <w:tcW w:w="1403" w:type="dxa"/>
            <w:shd w:val="clear" w:color="auto" w:fill="auto"/>
            <w:noWrap/>
            <w:vAlign w:val="center"/>
            <w:hideMark/>
          </w:tcPr>
          <w:p w14:paraId="323F3DE0"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22</w:t>
            </w:r>
            <w:r>
              <w:rPr>
                <w:rFonts w:ascii="Arial" w:hAnsi="Arial" w:cs="Arial"/>
                <w:sz w:val="20"/>
                <w:szCs w:val="20"/>
              </w:rPr>
              <w:t>.</w:t>
            </w:r>
            <w:r w:rsidRPr="00FC383C">
              <w:rPr>
                <w:rFonts w:ascii="Arial" w:hAnsi="Arial" w:cs="Arial"/>
                <w:sz w:val="20"/>
                <w:szCs w:val="20"/>
              </w:rPr>
              <w:t>9</w:t>
            </w:r>
          </w:p>
        </w:tc>
      </w:tr>
      <w:tr w:rsidR="00EC5D51" w:rsidRPr="00BB4D40" w14:paraId="33CC7240" w14:textId="77777777" w:rsidTr="00CA23A3">
        <w:trPr>
          <w:trHeight w:val="212"/>
          <w:jc w:val="center"/>
        </w:trPr>
        <w:tc>
          <w:tcPr>
            <w:tcW w:w="1887" w:type="dxa"/>
            <w:noWrap/>
            <w:vAlign w:val="center"/>
            <w:hideMark/>
          </w:tcPr>
          <w:p w14:paraId="061C2CCD" w14:textId="77777777" w:rsidR="00EC5D51" w:rsidRPr="00BB4D40" w:rsidRDefault="00EC5D51" w:rsidP="00CA23A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Sea way</w:t>
            </w:r>
          </w:p>
        </w:tc>
        <w:tc>
          <w:tcPr>
            <w:tcW w:w="1886" w:type="dxa"/>
            <w:shd w:val="clear" w:color="auto" w:fill="auto"/>
            <w:noWrap/>
            <w:vAlign w:val="center"/>
            <w:hideMark/>
          </w:tcPr>
          <w:p w14:paraId="01EF7344"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7</w:t>
            </w:r>
            <w:r>
              <w:rPr>
                <w:rFonts w:ascii="Arial" w:hAnsi="Arial" w:cs="Arial"/>
                <w:sz w:val="20"/>
                <w:szCs w:val="20"/>
              </w:rPr>
              <w:t>.</w:t>
            </w:r>
            <w:r w:rsidRPr="00FC383C">
              <w:rPr>
                <w:rFonts w:ascii="Arial" w:hAnsi="Arial" w:cs="Arial"/>
                <w:sz w:val="20"/>
                <w:szCs w:val="20"/>
              </w:rPr>
              <w:t>9</w:t>
            </w:r>
          </w:p>
        </w:tc>
        <w:tc>
          <w:tcPr>
            <w:tcW w:w="2394" w:type="dxa"/>
            <w:shd w:val="clear" w:color="auto" w:fill="auto"/>
            <w:noWrap/>
            <w:vAlign w:val="center"/>
            <w:hideMark/>
          </w:tcPr>
          <w:p w14:paraId="5A25B36B"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0</w:t>
            </w:r>
            <w:r>
              <w:rPr>
                <w:rFonts w:ascii="Arial" w:hAnsi="Arial" w:cs="Arial"/>
                <w:sz w:val="20"/>
                <w:szCs w:val="20"/>
              </w:rPr>
              <w:t>.</w:t>
            </w:r>
            <w:r w:rsidRPr="00FC383C">
              <w:rPr>
                <w:rFonts w:ascii="Arial" w:hAnsi="Arial" w:cs="Arial"/>
                <w:sz w:val="20"/>
                <w:szCs w:val="20"/>
              </w:rPr>
              <w:t>5</w:t>
            </w:r>
          </w:p>
        </w:tc>
        <w:tc>
          <w:tcPr>
            <w:tcW w:w="1666" w:type="dxa"/>
            <w:shd w:val="clear" w:color="auto" w:fill="auto"/>
            <w:noWrap/>
            <w:vAlign w:val="center"/>
            <w:hideMark/>
          </w:tcPr>
          <w:p w14:paraId="73610728"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w:t>
            </w:r>
            <w:r>
              <w:rPr>
                <w:rFonts w:ascii="Arial" w:hAnsi="Arial" w:cs="Arial"/>
                <w:sz w:val="20"/>
                <w:szCs w:val="20"/>
              </w:rPr>
              <w:t>.</w:t>
            </w:r>
            <w:r w:rsidRPr="00FC383C">
              <w:rPr>
                <w:rFonts w:ascii="Arial" w:hAnsi="Arial" w:cs="Arial"/>
                <w:sz w:val="20"/>
                <w:szCs w:val="20"/>
              </w:rPr>
              <w:t>7</w:t>
            </w:r>
          </w:p>
        </w:tc>
        <w:tc>
          <w:tcPr>
            <w:tcW w:w="1403" w:type="dxa"/>
            <w:shd w:val="clear" w:color="auto" w:fill="auto"/>
            <w:noWrap/>
            <w:vAlign w:val="center"/>
            <w:hideMark/>
          </w:tcPr>
          <w:p w14:paraId="6C5C80F7"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8</w:t>
            </w:r>
            <w:r>
              <w:rPr>
                <w:rFonts w:ascii="Arial" w:hAnsi="Arial" w:cs="Arial"/>
                <w:sz w:val="20"/>
                <w:szCs w:val="20"/>
              </w:rPr>
              <w:t>.</w:t>
            </w:r>
            <w:r w:rsidRPr="00FC383C">
              <w:rPr>
                <w:rFonts w:ascii="Arial" w:hAnsi="Arial" w:cs="Arial"/>
                <w:sz w:val="20"/>
                <w:szCs w:val="20"/>
              </w:rPr>
              <w:t>2</w:t>
            </w:r>
          </w:p>
        </w:tc>
      </w:tr>
      <w:tr w:rsidR="00EC5D51" w:rsidRPr="00BB4D40" w14:paraId="24B782E1" w14:textId="77777777" w:rsidTr="00CA23A3">
        <w:trPr>
          <w:trHeight w:val="212"/>
          <w:jc w:val="center"/>
        </w:trPr>
        <w:tc>
          <w:tcPr>
            <w:tcW w:w="1887" w:type="dxa"/>
            <w:noWrap/>
            <w:vAlign w:val="center"/>
            <w:hideMark/>
          </w:tcPr>
          <w:p w14:paraId="4547D818" w14:textId="77777777" w:rsidR="00EC5D51" w:rsidRPr="00BB4D40" w:rsidRDefault="00EC5D51" w:rsidP="00CA23A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Inland water way</w:t>
            </w:r>
          </w:p>
        </w:tc>
        <w:tc>
          <w:tcPr>
            <w:tcW w:w="1886" w:type="dxa"/>
            <w:shd w:val="clear" w:color="auto" w:fill="auto"/>
            <w:noWrap/>
            <w:vAlign w:val="center"/>
            <w:hideMark/>
          </w:tcPr>
          <w:p w14:paraId="7039D833"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214</w:t>
            </w:r>
            <w:r>
              <w:rPr>
                <w:rFonts w:ascii="Arial" w:hAnsi="Arial" w:cs="Arial"/>
                <w:sz w:val="20"/>
                <w:szCs w:val="20"/>
              </w:rPr>
              <w:t>.</w:t>
            </w:r>
            <w:r w:rsidRPr="00FC383C">
              <w:rPr>
                <w:rFonts w:ascii="Arial" w:hAnsi="Arial" w:cs="Arial"/>
                <w:sz w:val="20"/>
                <w:szCs w:val="20"/>
              </w:rPr>
              <w:t>0</w:t>
            </w:r>
          </w:p>
        </w:tc>
        <w:tc>
          <w:tcPr>
            <w:tcW w:w="2394" w:type="dxa"/>
            <w:shd w:val="clear" w:color="auto" w:fill="auto"/>
            <w:noWrap/>
            <w:vAlign w:val="center"/>
            <w:hideMark/>
          </w:tcPr>
          <w:p w14:paraId="7628014E"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4</w:t>
            </w:r>
            <w:r>
              <w:rPr>
                <w:rFonts w:ascii="Arial" w:hAnsi="Arial" w:cs="Arial"/>
                <w:sz w:val="20"/>
                <w:szCs w:val="20"/>
              </w:rPr>
              <w:t>.</w:t>
            </w:r>
            <w:r w:rsidRPr="00FC383C">
              <w:rPr>
                <w:rFonts w:ascii="Arial" w:hAnsi="Arial" w:cs="Arial"/>
                <w:sz w:val="20"/>
                <w:szCs w:val="20"/>
              </w:rPr>
              <w:t>3</w:t>
            </w:r>
          </w:p>
        </w:tc>
        <w:tc>
          <w:tcPr>
            <w:tcW w:w="1666" w:type="dxa"/>
            <w:shd w:val="clear" w:color="auto" w:fill="auto"/>
            <w:noWrap/>
            <w:vAlign w:val="center"/>
            <w:hideMark/>
          </w:tcPr>
          <w:p w14:paraId="77C6F303"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9</w:t>
            </w:r>
            <w:r>
              <w:rPr>
                <w:rFonts w:ascii="Arial" w:hAnsi="Arial" w:cs="Arial"/>
                <w:sz w:val="20"/>
                <w:szCs w:val="20"/>
              </w:rPr>
              <w:t>.</w:t>
            </w:r>
            <w:r w:rsidRPr="00FC383C">
              <w:rPr>
                <w:rFonts w:ascii="Arial" w:hAnsi="Arial" w:cs="Arial"/>
                <w:sz w:val="20"/>
                <w:szCs w:val="20"/>
              </w:rPr>
              <w:t>1</w:t>
            </w:r>
          </w:p>
        </w:tc>
        <w:tc>
          <w:tcPr>
            <w:tcW w:w="1403" w:type="dxa"/>
            <w:shd w:val="clear" w:color="auto" w:fill="auto"/>
            <w:noWrap/>
            <w:vAlign w:val="center"/>
            <w:hideMark/>
          </w:tcPr>
          <w:p w14:paraId="2665A6AA"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13</w:t>
            </w:r>
            <w:r>
              <w:rPr>
                <w:rFonts w:ascii="Arial" w:hAnsi="Arial" w:cs="Arial"/>
                <w:sz w:val="20"/>
                <w:szCs w:val="20"/>
              </w:rPr>
              <w:t>.</w:t>
            </w:r>
            <w:r w:rsidRPr="00FC383C">
              <w:rPr>
                <w:rFonts w:ascii="Arial" w:hAnsi="Arial" w:cs="Arial"/>
                <w:sz w:val="20"/>
                <w:szCs w:val="20"/>
              </w:rPr>
              <w:t>8</w:t>
            </w:r>
          </w:p>
        </w:tc>
      </w:tr>
      <w:tr w:rsidR="00EC5D51" w:rsidRPr="00BB4D40" w14:paraId="364F60DC" w14:textId="77777777" w:rsidTr="00CA23A3">
        <w:trPr>
          <w:trHeight w:val="212"/>
          <w:jc w:val="center"/>
        </w:trPr>
        <w:tc>
          <w:tcPr>
            <w:tcW w:w="1887" w:type="dxa"/>
            <w:tcBorders>
              <w:bottom w:val="nil"/>
            </w:tcBorders>
            <w:noWrap/>
            <w:vAlign w:val="center"/>
            <w:hideMark/>
          </w:tcPr>
          <w:p w14:paraId="2F24B147" w14:textId="77777777" w:rsidR="00EC5D51" w:rsidRPr="00BB4D40" w:rsidRDefault="00EC5D51" w:rsidP="00CA23A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Road</w:t>
            </w:r>
          </w:p>
        </w:tc>
        <w:tc>
          <w:tcPr>
            <w:tcW w:w="1886" w:type="dxa"/>
            <w:tcBorders>
              <w:bottom w:val="nil"/>
            </w:tcBorders>
            <w:shd w:val="clear" w:color="auto" w:fill="auto"/>
            <w:noWrap/>
            <w:vAlign w:val="center"/>
            <w:hideMark/>
          </w:tcPr>
          <w:p w14:paraId="2DB1CBD5"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w:t>
            </w:r>
            <w:r>
              <w:rPr>
                <w:rFonts w:ascii="Arial" w:hAnsi="Arial" w:cs="Arial"/>
                <w:sz w:val="20"/>
                <w:szCs w:val="20"/>
              </w:rPr>
              <w:t>,</w:t>
            </w:r>
            <w:r w:rsidRPr="00FC383C">
              <w:rPr>
                <w:rFonts w:ascii="Arial" w:hAnsi="Arial" w:cs="Arial"/>
                <w:sz w:val="20"/>
                <w:szCs w:val="20"/>
              </w:rPr>
              <w:t>549</w:t>
            </w:r>
            <w:r>
              <w:rPr>
                <w:rFonts w:ascii="Arial" w:hAnsi="Arial" w:cs="Arial"/>
                <w:sz w:val="20"/>
                <w:szCs w:val="20"/>
              </w:rPr>
              <w:t>.</w:t>
            </w:r>
            <w:r w:rsidRPr="00FC383C">
              <w:rPr>
                <w:rFonts w:ascii="Arial" w:hAnsi="Arial" w:cs="Arial"/>
                <w:sz w:val="20"/>
                <w:szCs w:val="20"/>
              </w:rPr>
              <w:t>6</w:t>
            </w:r>
          </w:p>
        </w:tc>
        <w:tc>
          <w:tcPr>
            <w:tcW w:w="2394" w:type="dxa"/>
            <w:tcBorders>
              <w:bottom w:val="nil"/>
            </w:tcBorders>
            <w:shd w:val="clear" w:color="auto" w:fill="auto"/>
            <w:noWrap/>
            <w:vAlign w:val="center"/>
            <w:hideMark/>
          </w:tcPr>
          <w:p w14:paraId="18E57875"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99</w:t>
            </w:r>
            <w:r>
              <w:rPr>
                <w:rFonts w:ascii="Arial" w:hAnsi="Arial" w:cs="Arial"/>
                <w:sz w:val="20"/>
                <w:szCs w:val="20"/>
              </w:rPr>
              <w:t>.</w:t>
            </w:r>
            <w:r w:rsidRPr="00FC383C">
              <w:rPr>
                <w:rFonts w:ascii="Arial" w:hAnsi="Arial" w:cs="Arial"/>
                <w:sz w:val="20"/>
                <w:szCs w:val="20"/>
              </w:rPr>
              <w:t>1</w:t>
            </w:r>
          </w:p>
        </w:tc>
        <w:tc>
          <w:tcPr>
            <w:tcW w:w="1666" w:type="dxa"/>
            <w:tcBorders>
              <w:bottom w:val="nil"/>
            </w:tcBorders>
            <w:shd w:val="clear" w:color="auto" w:fill="auto"/>
            <w:noWrap/>
            <w:vAlign w:val="center"/>
            <w:hideMark/>
          </w:tcPr>
          <w:p w14:paraId="364ADE52"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7</w:t>
            </w:r>
            <w:r>
              <w:rPr>
                <w:rFonts w:ascii="Arial" w:hAnsi="Arial" w:cs="Arial"/>
                <w:sz w:val="20"/>
                <w:szCs w:val="20"/>
              </w:rPr>
              <w:t>.</w:t>
            </w:r>
            <w:r w:rsidRPr="00FC383C">
              <w:rPr>
                <w:rFonts w:ascii="Arial" w:hAnsi="Arial" w:cs="Arial"/>
                <w:sz w:val="20"/>
                <w:szCs w:val="20"/>
              </w:rPr>
              <w:t>3</w:t>
            </w:r>
          </w:p>
        </w:tc>
        <w:tc>
          <w:tcPr>
            <w:tcW w:w="1403" w:type="dxa"/>
            <w:tcBorders>
              <w:bottom w:val="nil"/>
            </w:tcBorders>
            <w:shd w:val="clear" w:color="auto" w:fill="auto"/>
            <w:noWrap/>
            <w:vAlign w:val="center"/>
            <w:hideMark/>
          </w:tcPr>
          <w:p w14:paraId="713FC401"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11</w:t>
            </w:r>
            <w:r>
              <w:rPr>
                <w:rFonts w:ascii="Arial" w:hAnsi="Arial" w:cs="Arial"/>
                <w:sz w:val="20"/>
                <w:szCs w:val="20"/>
              </w:rPr>
              <w:t>.</w:t>
            </w:r>
            <w:r w:rsidRPr="00FC383C">
              <w:rPr>
                <w:rFonts w:ascii="Arial" w:hAnsi="Arial" w:cs="Arial"/>
                <w:sz w:val="20"/>
                <w:szCs w:val="20"/>
              </w:rPr>
              <w:t>5</w:t>
            </w:r>
          </w:p>
        </w:tc>
      </w:tr>
      <w:tr w:rsidR="00EC5D51" w:rsidRPr="00BB4D40" w14:paraId="37B3004A" w14:textId="77777777" w:rsidTr="00CA23A3">
        <w:trPr>
          <w:trHeight w:val="245"/>
          <w:jc w:val="center"/>
        </w:trPr>
        <w:tc>
          <w:tcPr>
            <w:tcW w:w="1887" w:type="dxa"/>
            <w:tcBorders>
              <w:top w:val="nil"/>
              <w:bottom w:val="single" w:sz="4" w:space="0" w:color="auto"/>
            </w:tcBorders>
            <w:noWrap/>
            <w:vAlign w:val="center"/>
            <w:hideMark/>
          </w:tcPr>
          <w:p w14:paraId="1E43B390" w14:textId="77777777" w:rsidR="00EC5D51" w:rsidRPr="00BB4D40" w:rsidRDefault="00EC5D51" w:rsidP="00CA23A3">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 xml:space="preserve">Airway </w:t>
            </w:r>
          </w:p>
        </w:tc>
        <w:tc>
          <w:tcPr>
            <w:tcW w:w="1886" w:type="dxa"/>
            <w:tcBorders>
              <w:top w:val="nil"/>
              <w:bottom w:val="single" w:sz="4" w:space="0" w:color="auto"/>
            </w:tcBorders>
            <w:shd w:val="clear" w:color="auto" w:fill="auto"/>
            <w:noWrap/>
            <w:vAlign w:val="center"/>
            <w:hideMark/>
          </w:tcPr>
          <w:p w14:paraId="264C5469"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29</w:t>
            </w:r>
            <w:r>
              <w:rPr>
                <w:rFonts w:ascii="Arial" w:hAnsi="Arial" w:cs="Arial"/>
                <w:sz w:val="20"/>
                <w:szCs w:val="20"/>
              </w:rPr>
              <w:t>.</w:t>
            </w:r>
            <w:r w:rsidRPr="00FC383C">
              <w:rPr>
                <w:rFonts w:ascii="Arial" w:hAnsi="Arial" w:cs="Arial"/>
                <w:sz w:val="20"/>
                <w:szCs w:val="20"/>
              </w:rPr>
              <w:t>6</w:t>
            </w:r>
          </w:p>
        </w:tc>
        <w:tc>
          <w:tcPr>
            <w:tcW w:w="2394" w:type="dxa"/>
            <w:tcBorders>
              <w:top w:val="nil"/>
              <w:bottom w:val="single" w:sz="4" w:space="0" w:color="auto"/>
            </w:tcBorders>
            <w:shd w:val="clear" w:color="auto" w:fill="auto"/>
            <w:noWrap/>
            <w:vAlign w:val="center"/>
            <w:hideMark/>
          </w:tcPr>
          <w:p w14:paraId="594F035B"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49</w:t>
            </w:r>
            <w:r>
              <w:rPr>
                <w:rFonts w:ascii="Arial" w:hAnsi="Arial" w:cs="Arial"/>
                <w:sz w:val="20"/>
                <w:szCs w:val="20"/>
              </w:rPr>
              <w:t>.</w:t>
            </w:r>
            <w:r w:rsidRPr="00FC383C">
              <w:rPr>
                <w:rFonts w:ascii="Arial" w:hAnsi="Arial" w:cs="Arial"/>
                <w:sz w:val="20"/>
                <w:szCs w:val="20"/>
              </w:rPr>
              <w:t>9</w:t>
            </w:r>
          </w:p>
        </w:tc>
        <w:tc>
          <w:tcPr>
            <w:tcW w:w="1666" w:type="dxa"/>
            <w:tcBorders>
              <w:top w:val="nil"/>
              <w:bottom w:val="single" w:sz="4" w:space="0" w:color="auto"/>
            </w:tcBorders>
            <w:shd w:val="clear" w:color="auto" w:fill="auto"/>
            <w:noWrap/>
            <w:vAlign w:val="center"/>
            <w:hideMark/>
          </w:tcPr>
          <w:p w14:paraId="47409146"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-12</w:t>
            </w:r>
            <w:r>
              <w:rPr>
                <w:rFonts w:ascii="Arial" w:hAnsi="Arial" w:cs="Arial"/>
                <w:sz w:val="20"/>
                <w:szCs w:val="20"/>
              </w:rPr>
              <w:t>.</w:t>
            </w:r>
            <w:r w:rsidRPr="00FC383C">
              <w:rPr>
                <w:rFonts w:ascii="Arial" w:hAnsi="Arial" w:cs="Arial"/>
                <w:sz w:val="20"/>
                <w:szCs w:val="20"/>
              </w:rPr>
              <w:t>4</w:t>
            </w:r>
          </w:p>
        </w:tc>
        <w:tc>
          <w:tcPr>
            <w:tcW w:w="1403" w:type="dxa"/>
            <w:tcBorders>
              <w:top w:val="nil"/>
              <w:bottom w:val="single" w:sz="4" w:space="0" w:color="auto"/>
            </w:tcBorders>
            <w:shd w:val="clear" w:color="auto" w:fill="auto"/>
            <w:noWrap/>
            <w:vAlign w:val="center"/>
            <w:hideMark/>
          </w:tcPr>
          <w:p w14:paraId="131214C2" w14:textId="77777777" w:rsidR="00EC5D51" w:rsidRPr="00FC383C" w:rsidRDefault="00EC5D51" w:rsidP="00CA23A3">
            <w:pPr>
              <w:spacing w:before="40" w:after="40" w:line="257" w:lineRule="auto"/>
              <w:ind w:right="502"/>
              <w:jc w:val="right"/>
              <w:rPr>
                <w:rFonts w:ascii="Arial" w:hAnsi="Arial" w:cs="Arial"/>
                <w:sz w:val="20"/>
                <w:szCs w:val="20"/>
                <w14:ligatures w14:val="standardContextual"/>
              </w:rPr>
            </w:pPr>
            <w:r w:rsidRPr="00FC383C">
              <w:rPr>
                <w:rFonts w:ascii="Arial" w:hAnsi="Arial" w:cs="Arial"/>
                <w:sz w:val="20"/>
                <w:szCs w:val="20"/>
              </w:rPr>
              <w:t>7</w:t>
            </w:r>
            <w:r>
              <w:rPr>
                <w:rFonts w:ascii="Arial" w:hAnsi="Arial" w:cs="Arial"/>
                <w:sz w:val="20"/>
                <w:szCs w:val="20"/>
              </w:rPr>
              <w:t>.</w:t>
            </w:r>
            <w:r w:rsidRPr="00FC383C">
              <w:rPr>
                <w:rFonts w:ascii="Arial" w:hAnsi="Arial" w:cs="Arial"/>
                <w:sz w:val="20"/>
                <w:szCs w:val="20"/>
              </w:rPr>
              <w:t>9</w:t>
            </w:r>
          </w:p>
        </w:tc>
      </w:tr>
    </w:tbl>
    <w:p w14:paraId="691ED7FE" w14:textId="77777777" w:rsidR="00EC5D51" w:rsidRPr="00BB4D40" w:rsidRDefault="00EC5D51" w:rsidP="00EC5D51">
      <w:pPr>
        <w:spacing w:beforeLines="40" w:before="96" w:afterLines="40" w:after="96" w:line="264" w:lineRule="auto"/>
        <w:ind w:firstLine="142"/>
        <w:jc w:val="both"/>
        <w:rPr>
          <w:bCs/>
          <w:i/>
          <w:iCs/>
          <w:sz w:val="8"/>
          <w:lang w:val="fr-FR"/>
        </w:rPr>
      </w:pPr>
    </w:p>
    <w:p w14:paraId="5F51258E" w14:textId="77777777" w:rsidR="00EC5D51" w:rsidRPr="00BB4D40" w:rsidRDefault="00EC5D51" w:rsidP="00EC5D51">
      <w:pPr>
        <w:spacing w:beforeLines="40" w:before="96" w:afterLines="40" w:after="96" w:line="293" w:lineRule="auto"/>
        <w:ind w:firstLine="567"/>
        <w:jc w:val="both"/>
        <w:rPr>
          <w:color w:val="000000" w:themeColor="text1"/>
        </w:rPr>
      </w:pPr>
      <w:r w:rsidRPr="00BB4D40">
        <w:rPr>
          <w:i/>
          <w:lang w:val="pl-PL"/>
        </w:rPr>
        <w:lastRenderedPageBreak/>
        <w:t>Freight transport</w:t>
      </w:r>
      <w:r w:rsidRPr="00BB4D40">
        <w:rPr>
          <w:lang w:val="pl-PL"/>
        </w:rPr>
        <w:t xml:space="preserve"> in </w:t>
      </w:r>
      <w:r>
        <w:rPr>
          <w:lang w:val="pl-PL"/>
        </w:rPr>
        <w:t>7/2024</w:t>
      </w:r>
      <w:r w:rsidRPr="00BB4D40">
        <w:rPr>
          <w:lang w:val="pl-PL"/>
        </w:rPr>
        <w:t xml:space="preserve"> was estimated at </w:t>
      </w:r>
      <w:bookmarkStart w:id="9" w:name="_Hlk149633736"/>
      <w:r>
        <w:rPr>
          <w:lang w:val="fr-FR"/>
        </w:rPr>
        <w:t>217.9</w:t>
      </w:r>
      <w:r w:rsidRPr="00BB4D40">
        <w:rPr>
          <w:lang w:val="fr-FR"/>
        </w:rPr>
        <w:t xml:space="preserve"> </w:t>
      </w:r>
      <w:bookmarkEnd w:id="9"/>
      <w:r w:rsidRPr="00BB4D40">
        <w:rPr>
          <w:lang w:val="pl-PL"/>
        </w:rPr>
        <w:t xml:space="preserve">million tons of </w:t>
      </w:r>
      <w:r w:rsidRPr="00BB4D40">
        <w:rPr>
          <w:color w:val="000000" w:themeColor="text1"/>
        </w:rPr>
        <w:t>freight carried</w:t>
      </w:r>
      <w:r w:rsidRPr="00BB4D40">
        <w:rPr>
          <w:lang w:val="pl-PL"/>
        </w:rPr>
        <w:t xml:space="preserve">, increased by </w:t>
      </w:r>
      <w:r>
        <w:rPr>
          <w:lang w:val="fr-FR"/>
        </w:rPr>
        <w:t>1</w:t>
      </w:r>
      <w:r w:rsidRPr="00BB4D40">
        <w:rPr>
          <w:lang w:val="fr-FR"/>
        </w:rPr>
        <w:t>.2</w:t>
      </w:r>
      <w:r w:rsidRPr="00BB4D40">
        <w:rPr>
          <w:lang w:val="pl-PL"/>
        </w:rPr>
        <w:t xml:space="preserve">% and </w:t>
      </w:r>
      <w:bookmarkStart w:id="10" w:name="_Hlk149633763"/>
      <w:r>
        <w:rPr>
          <w:lang w:val="fr-FR"/>
        </w:rPr>
        <w:t>45.4</w:t>
      </w:r>
      <w:r w:rsidRPr="00BB4D40">
        <w:rPr>
          <w:lang w:val="fr-FR"/>
        </w:rPr>
        <w:t xml:space="preserve"> </w:t>
      </w:r>
      <w:bookmarkEnd w:id="10"/>
      <w:r w:rsidRPr="00BB4D40">
        <w:rPr>
          <w:lang w:val="pl-PL"/>
        </w:rPr>
        <w:t xml:space="preserve">billion tons.km </w:t>
      </w:r>
      <w:r w:rsidRPr="00BB4D40">
        <w:rPr>
          <w:color w:val="000000" w:themeColor="text1"/>
        </w:rPr>
        <w:t>of freight traffic</w:t>
      </w:r>
      <w:r w:rsidRPr="00BB4D40">
        <w:rPr>
          <w:lang w:val="pl-PL"/>
        </w:rPr>
        <w:t xml:space="preserve">, </w:t>
      </w:r>
      <w:r>
        <w:rPr>
          <w:lang w:val="pl-PL"/>
        </w:rPr>
        <w:t>in</w:t>
      </w:r>
      <w:r w:rsidRPr="00BB4D40">
        <w:rPr>
          <w:lang w:val="pl-PL"/>
        </w:rPr>
        <w:t xml:space="preserve">creased by </w:t>
      </w:r>
      <w:r>
        <w:rPr>
          <w:lang w:val="pl-PL"/>
        </w:rPr>
        <w:t>1.2</w:t>
      </w:r>
      <w:r w:rsidRPr="00BB4D40">
        <w:rPr>
          <w:lang w:val="pl-PL"/>
        </w:rPr>
        <w:t>% over the previous month</w:t>
      </w:r>
      <w:r w:rsidRPr="00BB4D40">
        <w:t xml:space="preserve">. </w:t>
      </w:r>
      <w:r w:rsidRPr="00BB4D40">
        <w:rPr>
          <w:lang w:val="pl-PL"/>
        </w:rPr>
        <w:t xml:space="preserve">Generally for </w:t>
      </w:r>
      <w:r>
        <w:rPr>
          <w:lang w:val="pl-PL"/>
        </w:rPr>
        <w:t>seven</w:t>
      </w:r>
      <w:r w:rsidRPr="00BB4D40">
        <w:rPr>
          <w:lang w:val="pl-PL"/>
        </w:rPr>
        <w:t xml:space="preserve"> months of 2024, fre</w:t>
      </w:r>
      <w:bookmarkStart w:id="11" w:name="_Hlk149633786"/>
      <w:r w:rsidRPr="00BB4D40">
        <w:rPr>
          <w:lang w:val="pl-PL"/>
        </w:rPr>
        <w:t xml:space="preserve">ight transport was estimated at </w:t>
      </w:r>
      <w:r w:rsidRPr="00BB4D40">
        <w:rPr>
          <w:lang w:val="fr-FR"/>
        </w:rPr>
        <w:t>1.</w:t>
      </w:r>
      <w:r>
        <w:rPr>
          <w:lang w:val="fr-FR"/>
        </w:rPr>
        <w:t>476.8</w:t>
      </w:r>
      <w:r w:rsidRPr="00BB4D40">
        <w:rPr>
          <w:lang w:val="fr-FR"/>
        </w:rPr>
        <w:t xml:space="preserve"> </w:t>
      </w:r>
      <w:bookmarkEnd w:id="11"/>
      <w:r w:rsidRPr="00BB4D40">
        <w:rPr>
          <w:lang w:val="pl-PL"/>
        </w:rPr>
        <w:t xml:space="preserve">million tons of </w:t>
      </w:r>
      <w:r w:rsidRPr="00BB4D40">
        <w:rPr>
          <w:color w:val="000000" w:themeColor="text1"/>
        </w:rPr>
        <w:t>freight carried</w:t>
      </w:r>
      <w:r w:rsidRPr="00BB4D40">
        <w:rPr>
          <w:lang w:val="pl-PL"/>
        </w:rPr>
        <w:t xml:space="preserve">, up </w:t>
      </w:r>
      <w:r>
        <w:rPr>
          <w:lang w:val="fr-FR"/>
        </w:rPr>
        <w:t>13.3</w:t>
      </w:r>
      <w:r w:rsidRPr="00BB4D40">
        <w:rPr>
          <w:lang w:val="pl-PL"/>
        </w:rPr>
        <w:t xml:space="preserve">% over the same period last year and </w:t>
      </w:r>
      <w:r>
        <w:rPr>
          <w:lang w:val="fr-FR"/>
        </w:rPr>
        <w:t>302.2</w:t>
      </w:r>
      <w:r w:rsidRPr="00BB4D40">
        <w:rPr>
          <w:lang w:val="fr-FR"/>
        </w:rPr>
        <w:t xml:space="preserve"> </w:t>
      </w:r>
      <w:r w:rsidRPr="00BB4D40">
        <w:rPr>
          <w:lang w:val="pl-PL"/>
        </w:rPr>
        <w:t xml:space="preserve">billion tons.km </w:t>
      </w:r>
      <w:r w:rsidRPr="00BB4D40">
        <w:rPr>
          <w:color w:val="000000" w:themeColor="text1"/>
        </w:rPr>
        <w:t>of freight traffic</w:t>
      </w:r>
      <w:r w:rsidRPr="00BB4D40">
        <w:rPr>
          <w:lang w:val="pl-PL"/>
        </w:rPr>
        <w:t xml:space="preserve">, an increase of </w:t>
      </w:r>
      <w:r>
        <w:rPr>
          <w:lang w:val="pl-PL"/>
        </w:rPr>
        <w:t>11.3</w:t>
      </w:r>
      <w:r w:rsidRPr="00BB4D40">
        <w:rPr>
          <w:lang w:val="pl-PL"/>
        </w:rPr>
        <w:t xml:space="preserve">%. Of which, domestic transport reached </w:t>
      </w:r>
      <w:r>
        <w:rPr>
          <w:lang w:val="fr-FR"/>
        </w:rPr>
        <w:t>1,449.8</w:t>
      </w:r>
      <w:r w:rsidRPr="00BB4D40">
        <w:rPr>
          <w:lang w:val="fr-FR"/>
        </w:rPr>
        <w:t xml:space="preserve"> </w:t>
      </w:r>
      <w:r w:rsidRPr="00BB4D40">
        <w:rPr>
          <w:lang w:val="pl-PL"/>
        </w:rPr>
        <w:t xml:space="preserve">million tons of </w:t>
      </w:r>
      <w:r w:rsidRPr="00BB4D40">
        <w:rPr>
          <w:color w:val="000000" w:themeColor="text1"/>
        </w:rPr>
        <w:t>freight carried</w:t>
      </w:r>
      <w:r w:rsidRPr="00BB4D40">
        <w:rPr>
          <w:lang w:val="pl-PL"/>
        </w:rPr>
        <w:t xml:space="preserve">, up </w:t>
      </w:r>
      <w:r>
        <w:rPr>
          <w:lang w:val="fr-FR"/>
        </w:rPr>
        <w:t>13.5</w:t>
      </w:r>
      <w:r w:rsidRPr="00BB4D40">
        <w:rPr>
          <w:lang w:val="pl-PL"/>
        </w:rPr>
        <w:t xml:space="preserve">% and </w:t>
      </w:r>
      <w:r>
        <w:rPr>
          <w:lang w:val="fr-FR"/>
        </w:rPr>
        <w:t>183.5</w:t>
      </w:r>
      <w:r w:rsidRPr="00BB4D40">
        <w:rPr>
          <w:lang w:val="fr-FR"/>
        </w:rPr>
        <w:t xml:space="preserve"> </w:t>
      </w:r>
      <w:r w:rsidRPr="00BB4D40">
        <w:rPr>
          <w:lang w:val="pl-PL"/>
        </w:rPr>
        <w:t xml:space="preserve">billion tons.km of </w:t>
      </w:r>
      <w:r w:rsidRPr="00BB4D40">
        <w:rPr>
          <w:color w:val="000000" w:themeColor="text1"/>
        </w:rPr>
        <w:t>freight traffic</w:t>
      </w:r>
      <w:r w:rsidRPr="00BB4D40">
        <w:rPr>
          <w:lang w:val="pl-PL"/>
        </w:rPr>
        <w:t xml:space="preserve">, up </w:t>
      </w:r>
      <w:r>
        <w:rPr>
          <w:lang w:val="fr-FR"/>
        </w:rPr>
        <w:t>7.2</w:t>
      </w:r>
      <w:r w:rsidRPr="00BB4D40">
        <w:rPr>
          <w:lang w:val="pl-PL"/>
        </w:rPr>
        <w:t xml:space="preserve">%; overseas transport reached </w:t>
      </w:r>
      <w:r>
        <w:rPr>
          <w:lang w:val="fr-FR"/>
        </w:rPr>
        <w:t>27.0</w:t>
      </w:r>
      <w:r w:rsidRPr="00BB4D40">
        <w:rPr>
          <w:lang w:val="fr-FR"/>
        </w:rPr>
        <w:t xml:space="preserve"> </w:t>
      </w:r>
      <w:r w:rsidRPr="00BB4D40">
        <w:rPr>
          <w:lang w:val="pl-PL"/>
        </w:rPr>
        <w:t xml:space="preserve">million </w:t>
      </w:r>
      <w:r w:rsidRPr="00BB4D40">
        <w:rPr>
          <w:color w:val="000000" w:themeColor="text1"/>
        </w:rPr>
        <w:t xml:space="preserve">tons of freight carried, up </w:t>
      </w:r>
      <w:r>
        <w:rPr>
          <w:color w:val="000000" w:themeColor="text1"/>
        </w:rPr>
        <w:t>5.9</w:t>
      </w:r>
      <w:r w:rsidRPr="00BB4D40">
        <w:rPr>
          <w:color w:val="000000" w:themeColor="text1"/>
        </w:rPr>
        <w:t xml:space="preserve">% and </w:t>
      </w:r>
      <w:r>
        <w:rPr>
          <w:color w:val="000000" w:themeColor="text1"/>
        </w:rPr>
        <w:t>118.7</w:t>
      </w:r>
      <w:r w:rsidRPr="00BB4D40">
        <w:rPr>
          <w:color w:val="000000" w:themeColor="text1"/>
        </w:rPr>
        <w:t xml:space="preserve"> billion tons.km of freight traffic, up </w:t>
      </w:r>
      <w:r>
        <w:rPr>
          <w:color w:val="000000" w:themeColor="text1"/>
        </w:rPr>
        <w:t>18.5</w:t>
      </w:r>
      <w:r w:rsidRPr="00BB4D40">
        <w:rPr>
          <w:color w:val="000000" w:themeColor="text1"/>
        </w:rPr>
        <w:t xml:space="preserve">%. </w:t>
      </w:r>
    </w:p>
    <w:p w14:paraId="471AA335" w14:textId="77777777" w:rsidR="00EC5D51" w:rsidRPr="00BB4D40" w:rsidRDefault="00EC5D51" w:rsidP="00EC5D51">
      <w:pPr>
        <w:spacing w:beforeLines="40" w:before="96" w:afterLines="40" w:after="96" w:line="264" w:lineRule="auto"/>
        <w:jc w:val="center"/>
        <w:rPr>
          <w:rFonts w:ascii="Arial" w:hAnsi="Arial" w:cs="Arial"/>
          <w:b/>
          <w:bCs/>
          <w:iCs/>
          <w:sz w:val="24"/>
          <w:szCs w:val="24"/>
          <w:lang w:val="fr-FR"/>
        </w:rPr>
      </w:pPr>
      <w:r w:rsidRPr="00BB4D40">
        <w:rPr>
          <w:rFonts w:ascii="Arial" w:hAnsi="Arial" w:cs="Arial"/>
          <w:b/>
          <w:bCs/>
          <w:iCs/>
          <w:sz w:val="24"/>
          <w:szCs w:val="24"/>
          <w:lang w:val="fr-FR"/>
        </w:rPr>
        <w:t xml:space="preserve">Table 7. Carriage of freight </w:t>
      </w:r>
      <w:r>
        <w:rPr>
          <w:rFonts w:ascii="Arial" w:hAnsi="Arial" w:cs="Arial"/>
          <w:b/>
          <w:bCs/>
          <w:iCs/>
          <w:sz w:val="24"/>
          <w:szCs w:val="24"/>
          <w:lang w:val="fr-FR"/>
        </w:rPr>
        <w:t>in 7 months of 2024</w:t>
      </w:r>
      <w:r w:rsidRPr="00BB4D40">
        <w:rPr>
          <w:rFonts w:ascii="Arial" w:hAnsi="Arial" w:cs="Arial"/>
          <w:b/>
          <w:bCs/>
          <w:iCs/>
          <w:sz w:val="24"/>
          <w:szCs w:val="24"/>
          <w:lang w:val="fr-FR"/>
        </w:rPr>
        <w:br/>
        <w:t>by types of transport</w:t>
      </w:r>
    </w:p>
    <w:p w14:paraId="63F4144C" w14:textId="77777777" w:rsidR="00EC5D51" w:rsidRPr="00BB4D40" w:rsidRDefault="00EC5D51" w:rsidP="00EC5D51">
      <w:pPr>
        <w:spacing w:beforeLines="40" w:before="96" w:afterLines="40" w:after="96" w:line="264" w:lineRule="auto"/>
        <w:ind w:firstLine="567"/>
        <w:jc w:val="center"/>
        <w:rPr>
          <w:rFonts w:ascii="Arial" w:hAnsi="Arial" w:cs="Arial"/>
          <w:b/>
          <w:bCs/>
          <w:sz w:val="2"/>
          <w:szCs w:val="24"/>
          <w:lang w:val="fr-FR"/>
        </w:rPr>
      </w:pPr>
    </w:p>
    <w:p w14:paraId="25BBA4F7" w14:textId="77777777" w:rsidR="00EC5D51" w:rsidRPr="00BB4D40" w:rsidRDefault="00EC5D51" w:rsidP="00EC5D51">
      <w:pPr>
        <w:pStyle w:val="NormalWeb"/>
        <w:shd w:val="clear" w:color="auto" w:fill="FFFFFF"/>
        <w:tabs>
          <w:tab w:val="left" w:pos="6540"/>
        </w:tabs>
        <w:spacing w:beforeLines="40" w:before="96" w:afterLines="40" w:after="96" w:line="264" w:lineRule="auto"/>
        <w:ind w:firstLine="567"/>
        <w:rPr>
          <w:b/>
          <w:bCs/>
          <w:sz w:val="2"/>
          <w:szCs w:val="28"/>
          <w:lang w:val="pt-BR"/>
        </w:rPr>
      </w:pPr>
    </w:p>
    <w:tbl>
      <w:tblPr>
        <w:tblW w:w="8080" w:type="dxa"/>
        <w:tblInd w:w="959" w:type="dxa"/>
        <w:tblLook w:val="04A0" w:firstRow="1" w:lastRow="0" w:firstColumn="1" w:lastColumn="0" w:noHBand="0" w:noVBand="1"/>
      </w:tblPr>
      <w:tblGrid>
        <w:gridCol w:w="1807"/>
        <w:gridCol w:w="1437"/>
        <w:gridCol w:w="1625"/>
        <w:gridCol w:w="294"/>
        <w:gridCol w:w="1499"/>
        <w:gridCol w:w="1418"/>
      </w:tblGrid>
      <w:tr w:rsidR="00EC5D51" w:rsidRPr="00BB4D40" w14:paraId="3B85221F" w14:textId="77777777" w:rsidTr="00CA23A3">
        <w:trPr>
          <w:trHeight w:val="580"/>
        </w:trPr>
        <w:tc>
          <w:tcPr>
            <w:tcW w:w="1807" w:type="dxa"/>
            <w:tcBorders>
              <w:top w:val="single" w:sz="8" w:space="0" w:color="auto"/>
              <w:left w:val="nil"/>
              <w:bottom w:val="nil"/>
              <w:right w:val="nil"/>
            </w:tcBorders>
            <w:shd w:val="clear" w:color="auto" w:fill="auto"/>
            <w:vAlign w:val="center"/>
            <w:hideMark/>
          </w:tcPr>
          <w:p w14:paraId="2AB46D26" w14:textId="77777777" w:rsidR="00EC5D51" w:rsidRPr="00BB4D40" w:rsidRDefault="00EC5D51" w:rsidP="00CA23A3">
            <w:pPr>
              <w:rPr>
                <w:rFonts w:ascii="Arial" w:hAnsi="Arial" w:cs="Arial"/>
                <w:color w:val="000000"/>
                <w:sz w:val="20"/>
                <w:szCs w:val="20"/>
              </w:rPr>
            </w:pPr>
            <w:r w:rsidRPr="00BB4D40">
              <w:rPr>
                <w:rFonts w:ascii="Arial" w:hAnsi="Arial" w:cs="Arial"/>
                <w:color w:val="000000"/>
                <w:sz w:val="20"/>
                <w:szCs w:val="20"/>
                <w:lang w:val="fr-FR"/>
              </w:rPr>
              <w:t> </w:t>
            </w:r>
          </w:p>
        </w:tc>
        <w:tc>
          <w:tcPr>
            <w:tcW w:w="3062" w:type="dxa"/>
            <w:gridSpan w:val="2"/>
            <w:tcBorders>
              <w:top w:val="single" w:sz="8" w:space="0" w:color="auto"/>
              <w:left w:val="nil"/>
              <w:bottom w:val="single" w:sz="8" w:space="0" w:color="auto"/>
              <w:right w:val="nil"/>
            </w:tcBorders>
            <w:shd w:val="clear" w:color="auto" w:fill="auto"/>
            <w:vAlign w:val="center"/>
            <w:hideMark/>
          </w:tcPr>
          <w:p w14:paraId="66CC2757"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rPr>
              <w:t>Quantity of goods</w:t>
            </w:r>
          </w:p>
        </w:tc>
        <w:tc>
          <w:tcPr>
            <w:tcW w:w="294" w:type="dxa"/>
            <w:tcBorders>
              <w:top w:val="single" w:sz="8" w:space="0" w:color="auto"/>
              <w:left w:val="nil"/>
              <w:bottom w:val="nil"/>
              <w:right w:val="nil"/>
            </w:tcBorders>
            <w:shd w:val="clear" w:color="auto" w:fill="auto"/>
            <w:vAlign w:val="center"/>
            <w:hideMark/>
          </w:tcPr>
          <w:p w14:paraId="410E1AF5"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rPr>
              <w:t> </w:t>
            </w:r>
          </w:p>
        </w:tc>
        <w:tc>
          <w:tcPr>
            <w:tcW w:w="2917" w:type="dxa"/>
            <w:gridSpan w:val="2"/>
            <w:tcBorders>
              <w:top w:val="single" w:sz="8" w:space="0" w:color="auto"/>
              <w:left w:val="nil"/>
              <w:bottom w:val="single" w:sz="8" w:space="0" w:color="auto"/>
              <w:right w:val="nil"/>
            </w:tcBorders>
            <w:shd w:val="clear" w:color="auto" w:fill="auto"/>
            <w:vAlign w:val="center"/>
            <w:hideMark/>
          </w:tcPr>
          <w:p w14:paraId="552D077D"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rPr>
              <w:t>Growth rate compared to the same period last year (%)</w:t>
            </w:r>
          </w:p>
        </w:tc>
      </w:tr>
      <w:tr w:rsidR="00EC5D51" w:rsidRPr="00BB4D40" w14:paraId="15E574AD" w14:textId="77777777" w:rsidTr="00CA23A3">
        <w:trPr>
          <w:trHeight w:val="372"/>
        </w:trPr>
        <w:tc>
          <w:tcPr>
            <w:tcW w:w="1807" w:type="dxa"/>
            <w:vMerge w:val="restart"/>
            <w:tcBorders>
              <w:top w:val="nil"/>
              <w:left w:val="nil"/>
              <w:bottom w:val="nil"/>
              <w:right w:val="nil"/>
            </w:tcBorders>
            <w:shd w:val="clear" w:color="auto" w:fill="auto"/>
            <w:vAlign w:val="center"/>
            <w:hideMark/>
          </w:tcPr>
          <w:p w14:paraId="7D7AE5AF" w14:textId="77777777" w:rsidR="00EC5D51" w:rsidRPr="00BB4D40" w:rsidRDefault="00EC5D51" w:rsidP="00CA23A3">
            <w:pPr>
              <w:jc w:val="center"/>
              <w:rPr>
                <w:rFonts w:ascii="Arial" w:hAnsi="Arial" w:cs="Arial"/>
                <w:color w:val="000000"/>
                <w:sz w:val="20"/>
                <w:szCs w:val="20"/>
              </w:rPr>
            </w:pPr>
          </w:p>
        </w:tc>
        <w:tc>
          <w:tcPr>
            <w:tcW w:w="1437" w:type="dxa"/>
            <w:tcBorders>
              <w:top w:val="nil"/>
              <w:left w:val="nil"/>
              <w:bottom w:val="nil"/>
              <w:right w:val="nil"/>
            </w:tcBorders>
            <w:shd w:val="clear" w:color="auto" w:fill="auto"/>
            <w:vAlign w:val="center"/>
            <w:hideMark/>
          </w:tcPr>
          <w:p w14:paraId="6ECA7663"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lang w:eastAsia="vi-VN"/>
              </w:rPr>
              <w:t xml:space="preserve">     Carried</w:t>
            </w:r>
          </w:p>
        </w:tc>
        <w:tc>
          <w:tcPr>
            <w:tcW w:w="1625" w:type="dxa"/>
            <w:tcBorders>
              <w:top w:val="nil"/>
              <w:left w:val="nil"/>
              <w:bottom w:val="nil"/>
              <w:right w:val="nil"/>
            </w:tcBorders>
            <w:shd w:val="clear" w:color="auto" w:fill="auto"/>
            <w:vAlign w:val="center"/>
            <w:hideMark/>
          </w:tcPr>
          <w:p w14:paraId="682CB211"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lang w:eastAsia="vi-VN"/>
              </w:rPr>
              <w:t>Traffic</w:t>
            </w:r>
          </w:p>
        </w:tc>
        <w:tc>
          <w:tcPr>
            <w:tcW w:w="294" w:type="dxa"/>
            <w:tcBorders>
              <w:top w:val="nil"/>
              <w:left w:val="nil"/>
              <w:bottom w:val="nil"/>
              <w:right w:val="nil"/>
            </w:tcBorders>
            <w:shd w:val="clear" w:color="auto" w:fill="auto"/>
            <w:vAlign w:val="center"/>
            <w:hideMark/>
          </w:tcPr>
          <w:p w14:paraId="15B82AFE" w14:textId="77777777" w:rsidR="00EC5D51" w:rsidRPr="00BB4D40" w:rsidRDefault="00EC5D51" w:rsidP="00CA23A3">
            <w:pPr>
              <w:jc w:val="center"/>
              <w:rPr>
                <w:rFonts w:ascii="Arial" w:hAnsi="Arial" w:cs="Arial"/>
                <w:color w:val="000000"/>
                <w:sz w:val="20"/>
                <w:szCs w:val="20"/>
              </w:rPr>
            </w:pPr>
          </w:p>
        </w:tc>
        <w:tc>
          <w:tcPr>
            <w:tcW w:w="1499" w:type="dxa"/>
            <w:vMerge w:val="restart"/>
            <w:tcBorders>
              <w:top w:val="nil"/>
              <w:left w:val="nil"/>
              <w:bottom w:val="single" w:sz="4" w:space="0" w:color="000000"/>
              <w:right w:val="nil"/>
            </w:tcBorders>
            <w:shd w:val="clear" w:color="auto" w:fill="auto"/>
            <w:vAlign w:val="center"/>
            <w:hideMark/>
          </w:tcPr>
          <w:p w14:paraId="55560C91"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lang w:eastAsia="vi-VN"/>
              </w:rPr>
              <w:t>Carried</w:t>
            </w:r>
          </w:p>
        </w:tc>
        <w:tc>
          <w:tcPr>
            <w:tcW w:w="1418" w:type="dxa"/>
            <w:vMerge w:val="restart"/>
            <w:tcBorders>
              <w:top w:val="nil"/>
              <w:left w:val="nil"/>
              <w:bottom w:val="single" w:sz="4" w:space="0" w:color="000000"/>
              <w:right w:val="nil"/>
            </w:tcBorders>
            <w:shd w:val="clear" w:color="auto" w:fill="auto"/>
            <w:vAlign w:val="center"/>
            <w:hideMark/>
          </w:tcPr>
          <w:p w14:paraId="612CFCA7"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lang w:eastAsia="vi-VN"/>
              </w:rPr>
              <w:t>Traffic</w:t>
            </w:r>
          </w:p>
        </w:tc>
      </w:tr>
      <w:tr w:rsidR="00EC5D51" w:rsidRPr="00BB4D40" w14:paraId="7AEAD2AF" w14:textId="77777777" w:rsidTr="00CA23A3">
        <w:trPr>
          <w:trHeight w:val="165"/>
        </w:trPr>
        <w:tc>
          <w:tcPr>
            <w:tcW w:w="1807" w:type="dxa"/>
            <w:vMerge/>
            <w:tcBorders>
              <w:top w:val="nil"/>
              <w:left w:val="nil"/>
              <w:bottom w:val="nil"/>
              <w:right w:val="nil"/>
            </w:tcBorders>
            <w:vAlign w:val="center"/>
            <w:hideMark/>
          </w:tcPr>
          <w:p w14:paraId="1EB9DACE" w14:textId="77777777" w:rsidR="00EC5D51" w:rsidRPr="00BB4D40" w:rsidRDefault="00EC5D51" w:rsidP="00CA23A3">
            <w:pPr>
              <w:rPr>
                <w:rFonts w:ascii="Arial" w:hAnsi="Arial" w:cs="Arial"/>
                <w:color w:val="000000"/>
                <w:sz w:val="20"/>
                <w:szCs w:val="20"/>
              </w:rPr>
            </w:pPr>
          </w:p>
        </w:tc>
        <w:tc>
          <w:tcPr>
            <w:tcW w:w="1437" w:type="dxa"/>
            <w:tcBorders>
              <w:top w:val="nil"/>
              <w:left w:val="nil"/>
              <w:bottom w:val="single" w:sz="4" w:space="0" w:color="auto"/>
              <w:right w:val="nil"/>
            </w:tcBorders>
            <w:shd w:val="clear" w:color="auto" w:fill="auto"/>
            <w:vAlign w:val="center"/>
            <w:hideMark/>
          </w:tcPr>
          <w:p w14:paraId="5B0BCF06" w14:textId="77777777" w:rsidR="00EC5D51" w:rsidRPr="00BB4D40" w:rsidRDefault="00EC5D51" w:rsidP="00CA23A3">
            <w:pPr>
              <w:jc w:val="right"/>
              <w:rPr>
                <w:rFonts w:ascii="Arial" w:hAnsi="Arial" w:cs="Arial"/>
                <w:color w:val="000000"/>
                <w:sz w:val="20"/>
                <w:szCs w:val="20"/>
              </w:rPr>
            </w:pPr>
            <w:r w:rsidRPr="00BB4D40">
              <w:rPr>
                <w:rFonts w:ascii="Arial" w:hAnsi="Arial" w:cs="Arial"/>
                <w:color w:val="000000"/>
                <w:sz w:val="20"/>
                <w:szCs w:val="20"/>
              </w:rPr>
              <w:t>(Mill. tons)</w:t>
            </w:r>
          </w:p>
        </w:tc>
        <w:tc>
          <w:tcPr>
            <w:tcW w:w="1625" w:type="dxa"/>
            <w:tcBorders>
              <w:top w:val="nil"/>
              <w:left w:val="nil"/>
              <w:bottom w:val="single" w:sz="4" w:space="0" w:color="auto"/>
              <w:right w:val="nil"/>
            </w:tcBorders>
            <w:shd w:val="clear" w:color="auto" w:fill="auto"/>
            <w:vAlign w:val="center"/>
            <w:hideMark/>
          </w:tcPr>
          <w:p w14:paraId="6F12103D" w14:textId="77777777" w:rsidR="00EC5D51" w:rsidRPr="00BB4D40" w:rsidRDefault="00EC5D51" w:rsidP="00CA23A3">
            <w:pPr>
              <w:jc w:val="right"/>
              <w:rPr>
                <w:rFonts w:ascii="Arial" w:hAnsi="Arial" w:cs="Arial"/>
                <w:color w:val="000000"/>
                <w:sz w:val="20"/>
                <w:szCs w:val="20"/>
              </w:rPr>
            </w:pPr>
            <w:r w:rsidRPr="00BB4D40">
              <w:rPr>
                <w:rFonts w:ascii="Arial" w:hAnsi="Arial" w:cs="Arial"/>
                <w:color w:val="000000"/>
                <w:sz w:val="20"/>
                <w:szCs w:val="20"/>
              </w:rPr>
              <w:t>(Bill. tons-km)</w:t>
            </w:r>
          </w:p>
        </w:tc>
        <w:tc>
          <w:tcPr>
            <w:tcW w:w="294" w:type="dxa"/>
            <w:tcBorders>
              <w:top w:val="nil"/>
              <w:left w:val="nil"/>
              <w:bottom w:val="single" w:sz="4" w:space="0" w:color="auto"/>
              <w:right w:val="nil"/>
            </w:tcBorders>
            <w:shd w:val="clear" w:color="auto" w:fill="auto"/>
            <w:vAlign w:val="center"/>
            <w:hideMark/>
          </w:tcPr>
          <w:p w14:paraId="2305E60E" w14:textId="77777777" w:rsidR="00EC5D51" w:rsidRPr="00BB4D40" w:rsidRDefault="00EC5D51" w:rsidP="00CA23A3">
            <w:pPr>
              <w:jc w:val="center"/>
              <w:rPr>
                <w:rFonts w:ascii="Arial" w:hAnsi="Arial" w:cs="Arial"/>
                <w:color w:val="000000"/>
                <w:sz w:val="20"/>
                <w:szCs w:val="20"/>
              </w:rPr>
            </w:pPr>
            <w:r w:rsidRPr="00BB4D40">
              <w:rPr>
                <w:rFonts w:ascii="Arial" w:hAnsi="Arial" w:cs="Arial"/>
                <w:color w:val="000000"/>
                <w:sz w:val="20"/>
                <w:szCs w:val="20"/>
              </w:rPr>
              <w:t> </w:t>
            </w:r>
          </w:p>
        </w:tc>
        <w:tc>
          <w:tcPr>
            <w:tcW w:w="1499" w:type="dxa"/>
            <w:vMerge/>
            <w:tcBorders>
              <w:top w:val="nil"/>
              <w:left w:val="nil"/>
              <w:bottom w:val="single" w:sz="4" w:space="0" w:color="000000"/>
              <w:right w:val="nil"/>
            </w:tcBorders>
            <w:vAlign w:val="center"/>
            <w:hideMark/>
          </w:tcPr>
          <w:p w14:paraId="34575E29" w14:textId="77777777" w:rsidR="00EC5D51" w:rsidRPr="00BB4D40" w:rsidRDefault="00EC5D51" w:rsidP="00CA23A3">
            <w:pPr>
              <w:jc w:val="center"/>
              <w:rPr>
                <w:rFonts w:ascii="Arial" w:hAnsi="Arial" w:cs="Arial"/>
                <w:color w:val="000000"/>
                <w:sz w:val="20"/>
                <w:szCs w:val="20"/>
              </w:rPr>
            </w:pPr>
          </w:p>
        </w:tc>
        <w:tc>
          <w:tcPr>
            <w:tcW w:w="1418" w:type="dxa"/>
            <w:vMerge/>
            <w:tcBorders>
              <w:top w:val="nil"/>
              <w:left w:val="nil"/>
              <w:bottom w:val="single" w:sz="4" w:space="0" w:color="000000"/>
              <w:right w:val="nil"/>
            </w:tcBorders>
            <w:vAlign w:val="center"/>
            <w:hideMark/>
          </w:tcPr>
          <w:p w14:paraId="16C411C8" w14:textId="77777777" w:rsidR="00EC5D51" w:rsidRPr="00BB4D40" w:rsidRDefault="00EC5D51" w:rsidP="00CA23A3">
            <w:pPr>
              <w:jc w:val="right"/>
              <w:rPr>
                <w:rFonts w:ascii="Arial" w:hAnsi="Arial" w:cs="Arial"/>
                <w:color w:val="000000"/>
                <w:sz w:val="20"/>
                <w:szCs w:val="20"/>
              </w:rPr>
            </w:pPr>
          </w:p>
        </w:tc>
      </w:tr>
      <w:tr w:rsidR="00EC5D51" w:rsidRPr="00BB4D40" w14:paraId="33F163CF" w14:textId="77777777" w:rsidTr="00CA23A3">
        <w:trPr>
          <w:trHeight w:val="230"/>
        </w:trPr>
        <w:tc>
          <w:tcPr>
            <w:tcW w:w="1807" w:type="dxa"/>
            <w:tcBorders>
              <w:top w:val="nil"/>
              <w:left w:val="nil"/>
              <w:bottom w:val="nil"/>
              <w:right w:val="nil"/>
            </w:tcBorders>
            <w:shd w:val="clear" w:color="auto" w:fill="auto"/>
            <w:vAlign w:val="center"/>
            <w:hideMark/>
          </w:tcPr>
          <w:p w14:paraId="1DA18A26" w14:textId="77777777" w:rsidR="00EC5D51" w:rsidRPr="00BB4D40" w:rsidRDefault="00EC5D51" w:rsidP="00CA23A3">
            <w:pPr>
              <w:jc w:val="center"/>
              <w:rPr>
                <w:rFonts w:ascii="Arial" w:hAnsi="Arial" w:cs="Arial"/>
                <w:color w:val="000000"/>
                <w:sz w:val="20"/>
                <w:szCs w:val="20"/>
              </w:rPr>
            </w:pPr>
          </w:p>
        </w:tc>
        <w:tc>
          <w:tcPr>
            <w:tcW w:w="1437" w:type="dxa"/>
            <w:tcBorders>
              <w:top w:val="nil"/>
              <w:left w:val="nil"/>
              <w:bottom w:val="nil"/>
              <w:right w:val="nil"/>
            </w:tcBorders>
            <w:shd w:val="clear" w:color="auto" w:fill="auto"/>
            <w:vAlign w:val="center"/>
            <w:hideMark/>
          </w:tcPr>
          <w:p w14:paraId="593D8FF9" w14:textId="77777777" w:rsidR="00EC5D51" w:rsidRPr="00BB4D40" w:rsidRDefault="00EC5D51" w:rsidP="00CA23A3">
            <w:pPr>
              <w:rPr>
                <w:sz w:val="20"/>
                <w:szCs w:val="20"/>
              </w:rPr>
            </w:pPr>
          </w:p>
        </w:tc>
        <w:tc>
          <w:tcPr>
            <w:tcW w:w="1625" w:type="dxa"/>
            <w:tcBorders>
              <w:top w:val="nil"/>
              <w:left w:val="nil"/>
              <w:bottom w:val="nil"/>
              <w:right w:val="nil"/>
            </w:tcBorders>
            <w:shd w:val="clear" w:color="auto" w:fill="auto"/>
            <w:vAlign w:val="center"/>
            <w:hideMark/>
          </w:tcPr>
          <w:p w14:paraId="29C917D4" w14:textId="77777777" w:rsidR="00EC5D51" w:rsidRPr="00BB4D40" w:rsidRDefault="00EC5D51" w:rsidP="00CA23A3">
            <w:pPr>
              <w:jc w:val="center"/>
              <w:rPr>
                <w:sz w:val="20"/>
                <w:szCs w:val="20"/>
              </w:rPr>
            </w:pPr>
          </w:p>
        </w:tc>
        <w:tc>
          <w:tcPr>
            <w:tcW w:w="294" w:type="dxa"/>
            <w:tcBorders>
              <w:top w:val="nil"/>
              <w:left w:val="nil"/>
              <w:bottom w:val="nil"/>
              <w:right w:val="nil"/>
            </w:tcBorders>
            <w:shd w:val="clear" w:color="auto" w:fill="auto"/>
            <w:vAlign w:val="center"/>
            <w:hideMark/>
          </w:tcPr>
          <w:p w14:paraId="22A3E7B9" w14:textId="77777777" w:rsidR="00EC5D51" w:rsidRPr="00BB4D40" w:rsidRDefault="00EC5D51" w:rsidP="00CA23A3">
            <w:pPr>
              <w:jc w:val="center"/>
              <w:rPr>
                <w:sz w:val="20"/>
                <w:szCs w:val="20"/>
              </w:rPr>
            </w:pPr>
          </w:p>
        </w:tc>
        <w:tc>
          <w:tcPr>
            <w:tcW w:w="1499" w:type="dxa"/>
            <w:tcBorders>
              <w:top w:val="nil"/>
              <w:left w:val="nil"/>
              <w:bottom w:val="nil"/>
              <w:right w:val="nil"/>
            </w:tcBorders>
            <w:shd w:val="clear" w:color="auto" w:fill="auto"/>
            <w:vAlign w:val="center"/>
            <w:hideMark/>
          </w:tcPr>
          <w:p w14:paraId="04FD7788" w14:textId="77777777" w:rsidR="00EC5D51" w:rsidRPr="00BB4D40" w:rsidRDefault="00EC5D51" w:rsidP="00CA23A3">
            <w:pPr>
              <w:jc w:val="center"/>
              <w:rPr>
                <w:sz w:val="20"/>
                <w:szCs w:val="20"/>
              </w:rPr>
            </w:pPr>
          </w:p>
        </w:tc>
        <w:tc>
          <w:tcPr>
            <w:tcW w:w="1418" w:type="dxa"/>
            <w:tcBorders>
              <w:top w:val="nil"/>
              <w:left w:val="nil"/>
              <w:bottom w:val="nil"/>
              <w:right w:val="nil"/>
            </w:tcBorders>
            <w:shd w:val="clear" w:color="auto" w:fill="auto"/>
            <w:vAlign w:val="center"/>
            <w:hideMark/>
          </w:tcPr>
          <w:p w14:paraId="0ADF4F49" w14:textId="77777777" w:rsidR="00EC5D51" w:rsidRPr="00BB4D40" w:rsidRDefault="00EC5D51" w:rsidP="00CA23A3">
            <w:pPr>
              <w:jc w:val="right"/>
              <w:rPr>
                <w:sz w:val="20"/>
                <w:szCs w:val="20"/>
              </w:rPr>
            </w:pPr>
          </w:p>
        </w:tc>
      </w:tr>
      <w:tr w:rsidR="00EC5D51" w:rsidRPr="00BB4D40" w14:paraId="108D832D" w14:textId="77777777" w:rsidTr="00CA23A3">
        <w:trPr>
          <w:cantSplit/>
          <w:trHeight w:val="372"/>
        </w:trPr>
        <w:tc>
          <w:tcPr>
            <w:tcW w:w="1807" w:type="dxa"/>
            <w:tcBorders>
              <w:top w:val="nil"/>
              <w:left w:val="nil"/>
              <w:bottom w:val="nil"/>
              <w:right w:val="nil"/>
            </w:tcBorders>
            <w:shd w:val="clear" w:color="auto" w:fill="auto"/>
            <w:noWrap/>
            <w:vAlign w:val="center"/>
            <w:hideMark/>
          </w:tcPr>
          <w:p w14:paraId="4E8ED031" w14:textId="77777777" w:rsidR="00EC5D51" w:rsidRPr="00BB4D40" w:rsidRDefault="00EC5D51" w:rsidP="00CA23A3">
            <w:pPr>
              <w:rPr>
                <w:rFonts w:ascii="Arial" w:hAnsi="Arial" w:cs="Arial"/>
                <w:b/>
                <w:bCs/>
                <w:color w:val="000000"/>
                <w:sz w:val="20"/>
                <w:szCs w:val="20"/>
              </w:rPr>
            </w:pPr>
            <w:r w:rsidRPr="00BB4D40">
              <w:rPr>
                <w:rFonts w:ascii="Arial" w:hAnsi="Arial" w:cs="Arial"/>
                <w:b/>
                <w:bCs/>
                <w:color w:val="000000"/>
                <w:sz w:val="20"/>
                <w:szCs w:val="20"/>
              </w:rPr>
              <w:t>Total</w:t>
            </w:r>
          </w:p>
        </w:tc>
        <w:tc>
          <w:tcPr>
            <w:tcW w:w="1437" w:type="dxa"/>
            <w:tcBorders>
              <w:top w:val="nil"/>
              <w:left w:val="nil"/>
              <w:bottom w:val="nil"/>
              <w:right w:val="nil"/>
            </w:tcBorders>
            <w:shd w:val="clear" w:color="auto" w:fill="auto"/>
            <w:noWrap/>
            <w:vAlign w:val="center"/>
            <w:hideMark/>
          </w:tcPr>
          <w:p w14:paraId="57D5D964" w14:textId="77777777" w:rsidR="00EC5D51" w:rsidRPr="00FC383C" w:rsidRDefault="00EC5D51" w:rsidP="00CA23A3">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1</w:t>
            </w:r>
            <w:r>
              <w:rPr>
                <w:rFonts w:ascii="Arial" w:hAnsi="Arial" w:cs="Arial"/>
                <w:b/>
                <w:bCs/>
                <w:sz w:val="20"/>
                <w:szCs w:val="20"/>
              </w:rPr>
              <w:t>,</w:t>
            </w:r>
            <w:r w:rsidRPr="00FC383C">
              <w:rPr>
                <w:rFonts w:ascii="Arial" w:hAnsi="Arial" w:cs="Arial"/>
                <w:b/>
                <w:bCs/>
                <w:sz w:val="20"/>
                <w:szCs w:val="20"/>
              </w:rPr>
              <w:t>476</w:t>
            </w:r>
            <w:r>
              <w:rPr>
                <w:rFonts w:ascii="Arial" w:hAnsi="Arial" w:cs="Arial"/>
                <w:b/>
                <w:bCs/>
                <w:sz w:val="20"/>
                <w:szCs w:val="20"/>
              </w:rPr>
              <w:t>.</w:t>
            </w:r>
            <w:r w:rsidRPr="00FC383C">
              <w:rPr>
                <w:rFonts w:ascii="Arial" w:hAnsi="Arial" w:cs="Arial"/>
                <w:b/>
                <w:bCs/>
                <w:sz w:val="20"/>
                <w:szCs w:val="20"/>
              </w:rPr>
              <w:t>8</w:t>
            </w:r>
          </w:p>
        </w:tc>
        <w:tc>
          <w:tcPr>
            <w:tcW w:w="1625" w:type="dxa"/>
            <w:tcBorders>
              <w:top w:val="nil"/>
              <w:left w:val="nil"/>
              <w:bottom w:val="nil"/>
              <w:right w:val="nil"/>
            </w:tcBorders>
            <w:shd w:val="clear" w:color="auto" w:fill="auto"/>
            <w:noWrap/>
            <w:vAlign w:val="center"/>
            <w:hideMark/>
          </w:tcPr>
          <w:p w14:paraId="4201B941" w14:textId="77777777" w:rsidR="00EC5D51" w:rsidRPr="00FC383C" w:rsidRDefault="00EC5D51" w:rsidP="00CA23A3">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302</w:t>
            </w:r>
            <w:r>
              <w:rPr>
                <w:rFonts w:ascii="Arial" w:hAnsi="Arial" w:cs="Arial"/>
                <w:b/>
                <w:bCs/>
                <w:sz w:val="20"/>
                <w:szCs w:val="20"/>
              </w:rPr>
              <w:t>.</w:t>
            </w:r>
            <w:r w:rsidRPr="00FC383C">
              <w:rPr>
                <w:rFonts w:ascii="Arial" w:hAnsi="Arial" w:cs="Arial"/>
                <w:b/>
                <w:bCs/>
                <w:sz w:val="20"/>
                <w:szCs w:val="20"/>
              </w:rPr>
              <w:t>2</w:t>
            </w:r>
          </w:p>
        </w:tc>
        <w:tc>
          <w:tcPr>
            <w:tcW w:w="294" w:type="dxa"/>
            <w:tcBorders>
              <w:top w:val="nil"/>
              <w:left w:val="nil"/>
              <w:bottom w:val="nil"/>
              <w:right w:val="nil"/>
            </w:tcBorders>
            <w:shd w:val="clear" w:color="auto" w:fill="auto"/>
            <w:noWrap/>
            <w:vAlign w:val="center"/>
          </w:tcPr>
          <w:p w14:paraId="572CC9FB" w14:textId="77777777" w:rsidR="00EC5D51" w:rsidRPr="00BB4D40" w:rsidRDefault="00EC5D51" w:rsidP="00CA23A3">
            <w:pPr>
              <w:jc w:val="center"/>
              <w:rPr>
                <w:rFonts w:ascii="Arial" w:hAnsi="Arial" w:cs="Arial"/>
                <w:b/>
                <w:bCs/>
                <w:color w:val="000000"/>
                <w:sz w:val="20"/>
                <w:szCs w:val="20"/>
              </w:rPr>
            </w:pPr>
          </w:p>
        </w:tc>
        <w:tc>
          <w:tcPr>
            <w:tcW w:w="1499" w:type="dxa"/>
            <w:tcBorders>
              <w:top w:val="nil"/>
              <w:left w:val="nil"/>
              <w:bottom w:val="nil"/>
              <w:right w:val="nil"/>
            </w:tcBorders>
            <w:shd w:val="clear" w:color="auto" w:fill="auto"/>
            <w:noWrap/>
            <w:vAlign w:val="center"/>
          </w:tcPr>
          <w:p w14:paraId="6C4D7414" w14:textId="77777777" w:rsidR="00EC5D51" w:rsidRPr="00FC383C" w:rsidRDefault="00EC5D51" w:rsidP="00CA23A3">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13</w:t>
            </w:r>
            <w:r>
              <w:rPr>
                <w:rFonts w:ascii="Arial" w:hAnsi="Arial" w:cs="Arial"/>
                <w:b/>
                <w:bCs/>
                <w:sz w:val="20"/>
                <w:szCs w:val="20"/>
              </w:rPr>
              <w:t>.</w:t>
            </w:r>
            <w:r w:rsidRPr="00FC383C">
              <w:rPr>
                <w:rFonts w:ascii="Arial" w:hAnsi="Arial" w:cs="Arial"/>
                <w:b/>
                <w:bCs/>
                <w:sz w:val="20"/>
                <w:szCs w:val="20"/>
              </w:rPr>
              <w:t>3</w:t>
            </w:r>
          </w:p>
        </w:tc>
        <w:tc>
          <w:tcPr>
            <w:tcW w:w="1418" w:type="dxa"/>
            <w:tcBorders>
              <w:top w:val="nil"/>
              <w:left w:val="nil"/>
              <w:bottom w:val="nil"/>
              <w:right w:val="nil"/>
            </w:tcBorders>
            <w:shd w:val="clear" w:color="auto" w:fill="auto"/>
            <w:noWrap/>
            <w:vAlign w:val="center"/>
            <w:hideMark/>
          </w:tcPr>
          <w:p w14:paraId="726B118F" w14:textId="77777777" w:rsidR="00EC5D51" w:rsidRPr="00FC383C" w:rsidRDefault="00EC5D51" w:rsidP="00CA23A3">
            <w:pPr>
              <w:spacing w:beforeLines="40" w:before="96"/>
              <w:ind w:right="447"/>
              <w:jc w:val="right"/>
              <w:rPr>
                <w:rFonts w:ascii="Arial" w:hAnsi="Arial" w:cs="Arial"/>
                <w:b/>
                <w:bCs/>
                <w:sz w:val="20"/>
                <w:szCs w:val="20"/>
                <w14:ligatures w14:val="standardContextual"/>
              </w:rPr>
            </w:pPr>
            <w:r w:rsidRPr="00FC383C">
              <w:rPr>
                <w:rFonts w:ascii="Arial" w:hAnsi="Arial" w:cs="Arial"/>
                <w:b/>
                <w:bCs/>
                <w:sz w:val="20"/>
                <w:szCs w:val="20"/>
              </w:rPr>
              <w:t>11</w:t>
            </w:r>
            <w:r>
              <w:rPr>
                <w:rFonts w:ascii="Arial" w:hAnsi="Arial" w:cs="Arial"/>
                <w:b/>
                <w:bCs/>
                <w:sz w:val="20"/>
                <w:szCs w:val="20"/>
              </w:rPr>
              <w:t>.</w:t>
            </w:r>
            <w:r w:rsidRPr="00FC383C">
              <w:rPr>
                <w:rFonts w:ascii="Arial" w:hAnsi="Arial" w:cs="Arial"/>
                <w:b/>
                <w:bCs/>
                <w:sz w:val="20"/>
                <w:szCs w:val="20"/>
              </w:rPr>
              <w:t>3</w:t>
            </w:r>
          </w:p>
        </w:tc>
      </w:tr>
      <w:tr w:rsidR="00EC5D51" w:rsidRPr="00BB4D40" w14:paraId="626E693C" w14:textId="77777777" w:rsidTr="00CA23A3">
        <w:trPr>
          <w:cantSplit/>
          <w:trHeight w:val="372"/>
        </w:trPr>
        <w:tc>
          <w:tcPr>
            <w:tcW w:w="1807" w:type="dxa"/>
            <w:tcBorders>
              <w:top w:val="nil"/>
              <w:left w:val="nil"/>
              <w:bottom w:val="nil"/>
              <w:right w:val="nil"/>
            </w:tcBorders>
            <w:shd w:val="clear" w:color="auto" w:fill="auto"/>
            <w:noWrap/>
            <w:vAlign w:val="center"/>
            <w:hideMark/>
          </w:tcPr>
          <w:p w14:paraId="1FEE224D" w14:textId="77777777" w:rsidR="00EC5D51" w:rsidRPr="00BB4D40" w:rsidRDefault="00EC5D51" w:rsidP="00CA23A3">
            <w:pPr>
              <w:rPr>
                <w:rFonts w:ascii="Arial" w:hAnsi="Arial" w:cs="Arial"/>
                <w:color w:val="000000"/>
                <w:sz w:val="20"/>
                <w:szCs w:val="20"/>
              </w:rPr>
            </w:pPr>
            <w:proofErr w:type="gramStart"/>
            <w:r w:rsidRPr="00BB4D40">
              <w:rPr>
                <w:rFonts w:ascii="Arial" w:hAnsi="Arial" w:cs="Arial"/>
                <w:color w:val="000000"/>
                <w:sz w:val="20"/>
                <w:szCs w:val="20"/>
                <w:lang w:eastAsia="vi-VN"/>
              </w:rPr>
              <w:t>Rail way</w:t>
            </w:r>
            <w:proofErr w:type="gramEnd"/>
          </w:p>
        </w:tc>
        <w:tc>
          <w:tcPr>
            <w:tcW w:w="1437" w:type="dxa"/>
            <w:tcBorders>
              <w:top w:val="nil"/>
              <w:left w:val="nil"/>
              <w:bottom w:val="nil"/>
              <w:right w:val="nil"/>
            </w:tcBorders>
            <w:shd w:val="clear" w:color="auto" w:fill="auto"/>
            <w:noWrap/>
            <w:vAlign w:val="center"/>
            <w:hideMark/>
          </w:tcPr>
          <w:p w14:paraId="0DA6AC5B"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2</w:t>
            </w:r>
            <w:r>
              <w:rPr>
                <w:rFonts w:ascii="Arial" w:hAnsi="Arial" w:cs="Arial"/>
                <w:sz w:val="20"/>
                <w:szCs w:val="20"/>
              </w:rPr>
              <w:t>.</w:t>
            </w:r>
            <w:r w:rsidRPr="00FC383C">
              <w:rPr>
                <w:rFonts w:ascii="Arial" w:hAnsi="Arial" w:cs="Arial"/>
                <w:sz w:val="20"/>
                <w:szCs w:val="20"/>
              </w:rPr>
              <w:t>9</w:t>
            </w:r>
          </w:p>
        </w:tc>
        <w:tc>
          <w:tcPr>
            <w:tcW w:w="1625" w:type="dxa"/>
            <w:tcBorders>
              <w:top w:val="nil"/>
              <w:left w:val="nil"/>
              <w:bottom w:val="nil"/>
              <w:right w:val="nil"/>
            </w:tcBorders>
            <w:shd w:val="clear" w:color="auto" w:fill="auto"/>
            <w:noWrap/>
            <w:vAlign w:val="center"/>
            <w:hideMark/>
          </w:tcPr>
          <w:p w14:paraId="4E2EE45E"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2</w:t>
            </w:r>
            <w:r>
              <w:rPr>
                <w:rFonts w:ascii="Arial" w:hAnsi="Arial" w:cs="Arial"/>
                <w:sz w:val="20"/>
                <w:szCs w:val="20"/>
              </w:rPr>
              <w:t>.</w:t>
            </w:r>
            <w:r w:rsidRPr="00FC383C">
              <w:rPr>
                <w:rFonts w:ascii="Arial" w:hAnsi="Arial" w:cs="Arial"/>
                <w:sz w:val="20"/>
                <w:szCs w:val="20"/>
              </w:rPr>
              <w:t>2</w:t>
            </w:r>
          </w:p>
        </w:tc>
        <w:tc>
          <w:tcPr>
            <w:tcW w:w="294" w:type="dxa"/>
            <w:tcBorders>
              <w:top w:val="nil"/>
              <w:left w:val="nil"/>
              <w:bottom w:val="nil"/>
              <w:right w:val="nil"/>
            </w:tcBorders>
            <w:shd w:val="clear" w:color="auto" w:fill="auto"/>
            <w:noWrap/>
            <w:vAlign w:val="center"/>
          </w:tcPr>
          <w:p w14:paraId="77FBC4A9" w14:textId="77777777" w:rsidR="00EC5D51" w:rsidRPr="00BB4D40" w:rsidRDefault="00EC5D51" w:rsidP="00CA23A3">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10B4716C"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13</w:t>
            </w:r>
            <w:r>
              <w:rPr>
                <w:rFonts w:ascii="Arial" w:hAnsi="Arial" w:cs="Arial"/>
                <w:sz w:val="20"/>
                <w:szCs w:val="20"/>
              </w:rPr>
              <w:t>.</w:t>
            </w:r>
            <w:r w:rsidRPr="00FC383C">
              <w:rPr>
                <w:rFonts w:ascii="Arial" w:hAnsi="Arial" w:cs="Arial"/>
                <w:sz w:val="20"/>
                <w:szCs w:val="20"/>
              </w:rPr>
              <w:t>9</w:t>
            </w:r>
          </w:p>
        </w:tc>
        <w:tc>
          <w:tcPr>
            <w:tcW w:w="1418" w:type="dxa"/>
            <w:tcBorders>
              <w:top w:val="nil"/>
              <w:left w:val="nil"/>
              <w:bottom w:val="nil"/>
              <w:right w:val="nil"/>
            </w:tcBorders>
            <w:shd w:val="clear" w:color="auto" w:fill="auto"/>
            <w:noWrap/>
            <w:vAlign w:val="center"/>
            <w:hideMark/>
          </w:tcPr>
          <w:p w14:paraId="756FF09B"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4</w:t>
            </w:r>
            <w:r>
              <w:rPr>
                <w:rFonts w:ascii="Arial" w:hAnsi="Arial" w:cs="Arial"/>
                <w:sz w:val="20"/>
                <w:szCs w:val="20"/>
              </w:rPr>
              <w:t>.</w:t>
            </w:r>
            <w:r w:rsidRPr="00FC383C">
              <w:rPr>
                <w:rFonts w:ascii="Arial" w:hAnsi="Arial" w:cs="Arial"/>
                <w:sz w:val="20"/>
                <w:szCs w:val="20"/>
              </w:rPr>
              <w:t>6</w:t>
            </w:r>
          </w:p>
        </w:tc>
      </w:tr>
      <w:tr w:rsidR="00EC5D51" w:rsidRPr="00BB4D40" w14:paraId="367C5BEB" w14:textId="77777777" w:rsidTr="00CA23A3">
        <w:trPr>
          <w:cantSplit/>
          <w:trHeight w:val="372"/>
        </w:trPr>
        <w:tc>
          <w:tcPr>
            <w:tcW w:w="1807" w:type="dxa"/>
            <w:tcBorders>
              <w:top w:val="nil"/>
              <w:left w:val="nil"/>
              <w:bottom w:val="nil"/>
              <w:right w:val="nil"/>
            </w:tcBorders>
            <w:shd w:val="clear" w:color="auto" w:fill="auto"/>
            <w:noWrap/>
            <w:vAlign w:val="center"/>
            <w:hideMark/>
          </w:tcPr>
          <w:p w14:paraId="40C8179C" w14:textId="77777777" w:rsidR="00EC5D51" w:rsidRPr="00BB4D40" w:rsidRDefault="00EC5D51" w:rsidP="00CA23A3">
            <w:pPr>
              <w:rPr>
                <w:rFonts w:ascii="Arial" w:hAnsi="Arial" w:cs="Arial"/>
                <w:color w:val="000000"/>
                <w:sz w:val="20"/>
                <w:szCs w:val="20"/>
              </w:rPr>
            </w:pPr>
            <w:r w:rsidRPr="00BB4D40">
              <w:rPr>
                <w:rFonts w:ascii="Arial" w:hAnsi="Arial" w:cs="Arial"/>
                <w:color w:val="000000"/>
                <w:sz w:val="20"/>
                <w:szCs w:val="20"/>
                <w:lang w:eastAsia="vi-VN"/>
              </w:rPr>
              <w:t>Sea way</w:t>
            </w:r>
          </w:p>
        </w:tc>
        <w:tc>
          <w:tcPr>
            <w:tcW w:w="1437" w:type="dxa"/>
            <w:tcBorders>
              <w:top w:val="nil"/>
              <w:left w:val="nil"/>
              <w:bottom w:val="nil"/>
              <w:right w:val="nil"/>
            </w:tcBorders>
            <w:shd w:val="clear" w:color="auto" w:fill="auto"/>
            <w:noWrap/>
            <w:vAlign w:val="center"/>
            <w:hideMark/>
          </w:tcPr>
          <w:p w14:paraId="573E9C54"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77</w:t>
            </w:r>
            <w:r>
              <w:rPr>
                <w:rFonts w:ascii="Arial" w:hAnsi="Arial" w:cs="Arial"/>
                <w:sz w:val="20"/>
                <w:szCs w:val="20"/>
              </w:rPr>
              <w:t>.</w:t>
            </w:r>
            <w:r w:rsidRPr="00FC383C">
              <w:rPr>
                <w:rFonts w:ascii="Arial" w:hAnsi="Arial" w:cs="Arial"/>
                <w:sz w:val="20"/>
                <w:szCs w:val="20"/>
              </w:rPr>
              <w:t>2</w:t>
            </w:r>
          </w:p>
        </w:tc>
        <w:tc>
          <w:tcPr>
            <w:tcW w:w="1625" w:type="dxa"/>
            <w:tcBorders>
              <w:top w:val="nil"/>
              <w:left w:val="nil"/>
              <w:bottom w:val="nil"/>
              <w:right w:val="nil"/>
            </w:tcBorders>
            <w:shd w:val="clear" w:color="auto" w:fill="auto"/>
            <w:noWrap/>
            <w:vAlign w:val="center"/>
            <w:hideMark/>
          </w:tcPr>
          <w:p w14:paraId="1800287F"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156</w:t>
            </w:r>
            <w:r>
              <w:rPr>
                <w:rFonts w:ascii="Arial" w:hAnsi="Arial" w:cs="Arial"/>
                <w:sz w:val="20"/>
                <w:szCs w:val="20"/>
              </w:rPr>
              <w:t>.</w:t>
            </w:r>
            <w:r w:rsidRPr="00FC383C">
              <w:rPr>
                <w:rFonts w:ascii="Arial" w:hAnsi="Arial" w:cs="Arial"/>
                <w:sz w:val="20"/>
                <w:szCs w:val="20"/>
              </w:rPr>
              <w:t>8</w:t>
            </w:r>
          </w:p>
        </w:tc>
        <w:tc>
          <w:tcPr>
            <w:tcW w:w="294" w:type="dxa"/>
            <w:tcBorders>
              <w:top w:val="nil"/>
              <w:left w:val="nil"/>
              <w:bottom w:val="nil"/>
              <w:right w:val="nil"/>
            </w:tcBorders>
            <w:shd w:val="clear" w:color="auto" w:fill="auto"/>
            <w:noWrap/>
            <w:vAlign w:val="center"/>
          </w:tcPr>
          <w:p w14:paraId="591E4BC7" w14:textId="77777777" w:rsidR="00EC5D51" w:rsidRPr="00BB4D40" w:rsidRDefault="00EC5D51" w:rsidP="00CA23A3">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7A4E019B"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15</w:t>
            </w:r>
            <w:r>
              <w:rPr>
                <w:rFonts w:ascii="Arial" w:hAnsi="Arial" w:cs="Arial"/>
                <w:sz w:val="20"/>
                <w:szCs w:val="20"/>
              </w:rPr>
              <w:t>.</w:t>
            </w:r>
            <w:r w:rsidRPr="00FC383C">
              <w:rPr>
                <w:rFonts w:ascii="Arial" w:hAnsi="Arial" w:cs="Arial"/>
                <w:sz w:val="20"/>
                <w:szCs w:val="20"/>
              </w:rPr>
              <w:t>2</w:t>
            </w:r>
          </w:p>
        </w:tc>
        <w:tc>
          <w:tcPr>
            <w:tcW w:w="1418" w:type="dxa"/>
            <w:tcBorders>
              <w:top w:val="nil"/>
              <w:left w:val="nil"/>
              <w:bottom w:val="nil"/>
              <w:right w:val="nil"/>
            </w:tcBorders>
            <w:shd w:val="clear" w:color="auto" w:fill="auto"/>
            <w:noWrap/>
            <w:vAlign w:val="center"/>
            <w:hideMark/>
          </w:tcPr>
          <w:p w14:paraId="1DA0A23A"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10</w:t>
            </w:r>
            <w:r>
              <w:rPr>
                <w:rFonts w:ascii="Arial" w:hAnsi="Arial" w:cs="Arial"/>
                <w:sz w:val="20"/>
                <w:szCs w:val="20"/>
              </w:rPr>
              <w:t>.</w:t>
            </w:r>
            <w:r w:rsidRPr="00FC383C">
              <w:rPr>
                <w:rFonts w:ascii="Arial" w:hAnsi="Arial" w:cs="Arial"/>
                <w:sz w:val="20"/>
                <w:szCs w:val="20"/>
              </w:rPr>
              <w:t>3</w:t>
            </w:r>
          </w:p>
        </w:tc>
      </w:tr>
      <w:tr w:rsidR="00EC5D51" w:rsidRPr="00BB4D40" w14:paraId="4B750C90" w14:textId="77777777" w:rsidTr="00CA23A3">
        <w:trPr>
          <w:cantSplit/>
          <w:trHeight w:val="372"/>
        </w:trPr>
        <w:tc>
          <w:tcPr>
            <w:tcW w:w="1807" w:type="dxa"/>
            <w:tcBorders>
              <w:top w:val="nil"/>
              <w:left w:val="nil"/>
              <w:bottom w:val="nil"/>
              <w:right w:val="nil"/>
            </w:tcBorders>
            <w:shd w:val="clear" w:color="auto" w:fill="auto"/>
            <w:noWrap/>
            <w:vAlign w:val="center"/>
            <w:hideMark/>
          </w:tcPr>
          <w:p w14:paraId="5BDF1FD6" w14:textId="77777777" w:rsidR="00EC5D51" w:rsidRPr="00BB4D40" w:rsidRDefault="00EC5D51" w:rsidP="00CA23A3">
            <w:pPr>
              <w:rPr>
                <w:rFonts w:ascii="Arial" w:hAnsi="Arial" w:cs="Arial"/>
                <w:color w:val="000000"/>
                <w:sz w:val="20"/>
                <w:szCs w:val="20"/>
              </w:rPr>
            </w:pPr>
            <w:r w:rsidRPr="00BB4D40">
              <w:rPr>
                <w:rFonts w:ascii="Arial" w:hAnsi="Arial" w:cs="Arial"/>
                <w:color w:val="000000"/>
                <w:sz w:val="20"/>
                <w:szCs w:val="20"/>
                <w:lang w:eastAsia="vi-VN"/>
              </w:rPr>
              <w:t>Inland water way</w:t>
            </w:r>
          </w:p>
        </w:tc>
        <w:tc>
          <w:tcPr>
            <w:tcW w:w="1437" w:type="dxa"/>
            <w:tcBorders>
              <w:top w:val="nil"/>
              <w:left w:val="nil"/>
              <w:bottom w:val="nil"/>
              <w:right w:val="nil"/>
            </w:tcBorders>
            <w:shd w:val="clear" w:color="auto" w:fill="auto"/>
            <w:noWrap/>
            <w:vAlign w:val="center"/>
            <w:hideMark/>
          </w:tcPr>
          <w:p w14:paraId="19D529F0"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315</w:t>
            </w:r>
            <w:r>
              <w:rPr>
                <w:rFonts w:ascii="Arial" w:hAnsi="Arial" w:cs="Arial"/>
                <w:sz w:val="20"/>
                <w:szCs w:val="20"/>
              </w:rPr>
              <w:t>.</w:t>
            </w:r>
            <w:r w:rsidRPr="00FC383C">
              <w:rPr>
                <w:rFonts w:ascii="Arial" w:hAnsi="Arial" w:cs="Arial"/>
                <w:sz w:val="20"/>
                <w:szCs w:val="20"/>
              </w:rPr>
              <w:t>7</w:t>
            </w:r>
          </w:p>
        </w:tc>
        <w:tc>
          <w:tcPr>
            <w:tcW w:w="1625" w:type="dxa"/>
            <w:tcBorders>
              <w:top w:val="nil"/>
              <w:left w:val="nil"/>
              <w:bottom w:val="nil"/>
              <w:right w:val="nil"/>
            </w:tcBorders>
            <w:shd w:val="clear" w:color="auto" w:fill="auto"/>
            <w:noWrap/>
            <w:vAlign w:val="center"/>
            <w:hideMark/>
          </w:tcPr>
          <w:p w14:paraId="21B6A3D2"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67</w:t>
            </w:r>
            <w:r>
              <w:rPr>
                <w:rFonts w:ascii="Arial" w:hAnsi="Arial" w:cs="Arial"/>
                <w:sz w:val="20"/>
                <w:szCs w:val="20"/>
              </w:rPr>
              <w:t>.</w:t>
            </w:r>
            <w:r w:rsidRPr="00FC383C">
              <w:rPr>
                <w:rFonts w:ascii="Arial" w:hAnsi="Arial" w:cs="Arial"/>
                <w:sz w:val="20"/>
                <w:szCs w:val="20"/>
              </w:rPr>
              <w:t>8</w:t>
            </w:r>
          </w:p>
        </w:tc>
        <w:tc>
          <w:tcPr>
            <w:tcW w:w="294" w:type="dxa"/>
            <w:tcBorders>
              <w:top w:val="nil"/>
              <w:left w:val="nil"/>
              <w:bottom w:val="nil"/>
              <w:right w:val="nil"/>
            </w:tcBorders>
            <w:shd w:val="clear" w:color="auto" w:fill="auto"/>
            <w:noWrap/>
            <w:vAlign w:val="center"/>
          </w:tcPr>
          <w:p w14:paraId="76B77BA3" w14:textId="77777777" w:rsidR="00EC5D51" w:rsidRPr="00BB4D40" w:rsidRDefault="00EC5D51" w:rsidP="00CA23A3">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780F1FF0"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12</w:t>
            </w:r>
            <w:r>
              <w:rPr>
                <w:rFonts w:ascii="Arial" w:hAnsi="Arial" w:cs="Arial"/>
                <w:sz w:val="20"/>
                <w:szCs w:val="20"/>
              </w:rPr>
              <w:t>.</w:t>
            </w:r>
            <w:r w:rsidRPr="00FC383C">
              <w:rPr>
                <w:rFonts w:ascii="Arial" w:hAnsi="Arial" w:cs="Arial"/>
                <w:sz w:val="20"/>
                <w:szCs w:val="20"/>
              </w:rPr>
              <w:t>5</w:t>
            </w:r>
          </w:p>
        </w:tc>
        <w:tc>
          <w:tcPr>
            <w:tcW w:w="1418" w:type="dxa"/>
            <w:tcBorders>
              <w:top w:val="nil"/>
              <w:left w:val="nil"/>
              <w:bottom w:val="nil"/>
              <w:right w:val="nil"/>
            </w:tcBorders>
            <w:shd w:val="clear" w:color="auto" w:fill="auto"/>
            <w:noWrap/>
            <w:vAlign w:val="center"/>
            <w:hideMark/>
          </w:tcPr>
          <w:p w14:paraId="7749209D"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12</w:t>
            </w:r>
            <w:r>
              <w:rPr>
                <w:rFonts w:ascii="Arial" w:hAnsi="Arial" w:cs="Arial"/>
                <w:sz w:val="20"/>
                <w:szCs w:val="20"/>
              </w:rPr>
              <w:t>.</w:t>
            </w:r>
            <w:r w:rsidRPr="00FC383C">
              <w:rPr>
                <w:rFonts w:ascii="Arial" w:hAnsi="Arial" w:cs="Arial"/>
                <w:sz w:val="20"/>
                <w:szCs w:val="20"/>
              </w:rPr>
              <w:t>6</w:t>
            </w:r>
          </w:p>
        </w:tc>
      </w:tr>
      <w:tr w:rsidR="00EC5D51" w:rsidRPr="00BB4D40" w14:paraId="2E707FF1" w14:textId="77777777" w:rsidTr="00CA23A3">
        <w:trPr>
          <w:cantSplit/>
          <w:trHeight w:val="372"/>
        </w:trPr>
        <w:tc>
          <w:tcPr>
            <w:tcW w:w="1807" w:type="dxa"/>
            <w:tcBorders>
              <w:top w:val="nil"/>
              <w:left w:val="nil"/>
              <w:bottom w:val="nil"/>
              <w:right w:val="nil"/>
            </w:tcBorders>
            <w:shd w:val="clear" w:color="auto" w:fill="auto"/>
            <w:noWrap/>
            <w:vAlign w:val="center"/>
            <w:hideMark/>
          </w:tcPr>
          <w:p w14:paraId="646FCEF2" w14:textId="77777777" w:rsidR="00EC5D51" w:rsidRPr="00BB4D40" w:rsidRDefault="00EC5D51" w:rsidP="00CA23A3">
            <w:pPr>
              <w:rPr>
                <w:rFonts w:ascii="Arial" w:hAnsi="Arial" w:cs="Arial"/>
                <w:color w:val="000000"/>
                <w:sz w:val="20"/>
                <w:szCs w:val="20"/>
              </w:rPr>
            </w:pPr>
            <w:r w:rsidRPr="00BB4D40">
              <w:rPr>
                <w:rFonts w:ascii="Arial" w:hAnsi="Arial" w:cs="Arial"/>
                <w:color w:val="000000"/>
                <w:sz w:val="20"/>
                <w:szCs w:val="20"/>
                <w:lang w:eastAsia="vi-VN"/>
              </w:rPr>
              <w:t>Road</w:t>
            </w:r>
          </w:p>
        </w:tc>
        <w:tc>
          <w:tcPr>
            <w:tcW w:w="1437" w:type="dxa"/>
            <w:tcBorders>
              <w:top w:val="nil"/>
              <w:left w:val="nil"/>
              <w:bottom w:val="nil"/>
              <w:right w:val="nil"/>
            </w:tcBorders>
            <w:shd w:val="clear" w:color="auto" w:fill="auto"/>
            <w:noWrap/>
            <w:vAlign w:val="center"/>
            <w:hideMark/>
          </w:tcPr>
          <w:p w14:paraId="30630390"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w:t>
            </w:r>
            <w:r>
              <w:rPr>
                <w:rFonts w:ascii="Arial" w:hAnsi="Arial" w:cs="Arial"/>
                <w:sz w:val="20"/>
                <w:szCs w:val="20"/>
              </w:rPr>
              <w:t>,</w:t>
            </w:r>
            <w:r w:rsidRPr="00FC383C">
              <w:rPr>
                <w:rFonts w:ascii="Arial" w:hAnsi="Arial" w:cs="Arial"/>
                <w:sz w:val="20"/>
                <w:szCs w:val="20"/>
              </w:rPr>
              <w:t>080</w:t>
            </w:r>
            <w:r>
              <w:rPr>
                <w:rFonts w:ascii="Arial" w:hAnsi="Arial" w:cs="Arial"/>
                <w:sz w:val="20"/>
                <w:szCs w:val="20"/>
              </w:rPr>
              <w:t>.</w:t>
            </w:r>
            <w:r w:rsidRPr="00FC383C">
              <w:rPr>
                <w:rFonts w:ascii="Arial" w:hAnsi="Arial" w:cs="Arial"/>
                <w:sz w:val="20"/>
                <w:szCs w:val="20"/>
              </w:rPr>
              <w:t>7</w:t>
            </w:r>
          </w:p>
        </w:tc>
        <w:tc>
          <w:tcPr>
            <w:tcW w:w="1625" w:type="dxa"/>
            <w:tcBorders>
              <w:top w:val="nil"/>
              <w:left w:val="nil"/>
              <w:bottom w:val="nil"/>
              <w:right w:val="nil"/>
            </w:tcBorders>
            <w:shd w:val="clear" w:color="auto" w:fill="auto"/>
            <w:noWrap/>
            <w:vAlign w:val="center"/>
            <w:hideMark/>
          </w:tcPr>
          <w:p w14:paraId="618C897F"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69</w:t>
            </w:r>
            <w:r>
              <w:rPr>
                <w:rFonts w:ascii="Arial" w:hAnsi="Arial" w:cs="Arial"/>
                <w:sz w:val="20"/>
                <w:szCs w:val="20"/>
              </w:rPr>
              <w:t>.</w:t>
            </w:r>
            <w:r w:rsidRPr="00FC383C">
              <w:rPr>
                <w:rFonts w:ascii="Arial" w:hAnsi="Arial" w:cs="Arial"/>
                <w:sz w:val="20"/>
                <w:szCs w:val="20"/>
              </w:rPr>
              <w:t>7</w:t>
            </w:r>
          </w:p>
        </w:tc>
        <w:tc>
          <w:tcPr>
            <w:tcW w:w="294" w:type="dxa"/>
            <w:tcBorders>
              <w:top w:val="nil"/>
              <w:left w:val="nil"/>
              <w:bottom w:val="nil"/>
              <w:right w:val="nil"/>
            </w:tcBorders>
            <w:shd w:val="clear" w:color="auto" w:fill="auto"/>
            <w:noWrap/>
            <w:vAlign w:val="center"/>
          </w:tcPr>
          <w:p w14:paraId="6783B356" w14:textId="77777777" w:rsidR="00EC5D51" w:rsidRPr="00BB4D40" w:rsidRDefault="00EC5D51" w:rsidP="00CA23A3">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4283E127"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13</w:t>
            </w:r>
            <w:r>
              <w:rPr>
                <w:rFonts w:ascii="Arial" w:hAnsi="Arial" w:cs="Arial"/>
                <w:sz w:val="20"/>
                <w:szCs w:val="20"/>
              </w:rPr>
              <w:t>.</w:t>
            </w:r>
            <w:r w:rsidRPr="00FC383C">
              <w:rPr>
                <w:rFonts w:ascii="Arial" w:hAnsi="Arial" w:cs="Arial"/>
                <w:sz w:val="20"/>
                <w:szCs w:val="20"/>
              </w:rPr>
              <w:t>5</w:t>
            </w:r>
          </w:p>
        </w:tc>
        <w:tc>
          <w:tcPr>
            <w:tcW w:w="1418" w:type="dxa"/>
            <w:tcBorders>
              <w:top w:val="nil"/>
              <w:left w:val="nil"/>
              <w:bottom w:val="nil"/>
              <w:right w:val="nil"/>
            </w:tcBorders>
            <w:shd w:val="clear" w:color="auto" w:fill="auto"/>
            <w:noWrap/>
            <w:vAlign w:val="center"/>
            <w:hideMark/>
          </w:tcPr>
          <w:p w14:paraId="5861791F"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11</w:t>
            </w:r>
            <w:r>
              <w:rPr>
                <w:rFonts w:ascii="Arial" w:hAnsi="Arial" w:cs="Arial"/>
                <w:sz w:val="20"/>
                <w:szCs w:val="20"/>
              </w:rPr>
              <w:t>.</w:t>
            </w:r>
            <w:r w:rsidRPr="00FC383C">
              <w:rPr>
                <w:rFonts w:ascii="Arial" w:hAnsi="Arial" w:cs="Arial"/>
                <w:sz w:val="20"/>
                <w:szCs w:val="20"/>
              </w:rPr>
              <w:t>8</w:t>
            </w:r>
          </w:p>
        </w:tc>
      </w:tr>
      <w:tr w:rsidR="00EC5D51" w:rsidRPr="00BB4D40" w14:paraId="18518EA3" w14:textId="77777777" w:rsidTr="00CA23A3">
        <w:trPr>
          <w:cantSplit/>
          <w:trHeight w:val="372"/>
        </w:trPr>
        <w:tc>
          <w:tcPr>
            <w:tcW w:w="1807" w:type="dxa"/>
            <w:tcBorders>
              <w:top w:val="nil"/>
              <w:left w:val="nil"/>
              <w:bottom w:val="single" w:sz="4" w:space="0" w:color="auto"/>
              <w:right w:val="nil"/>
            </w:tcBorders>
            <w:shd w:val="clear" w:color="auto" w:fill="auto"/>
            <w:noWrap/>
            <w:vAlign w:val="center"/>
            <w:hideMark/>
          </w:tcPr>
          <w:p w14:paraId="2CE906AF" w14:textId="77777777" w:rsidR="00EC5D51" w:rsidRPr="00BB4D40" w:rsidRDefault="00EC5D51" w:rsidP="00CA23A3">
            <w:pPr>
              <w:rPr>
                <w:rFonts w:ascii="Arial" w:hAnsi="Arial" w:cs="Arial"/>
                <w:color w:val="000000"/>
                <w:sz w:val="20"/>
                <w:szCs w:val="20"/>
              </w:rPr>
            </w:pPr>
            <w:r w:rsidRPr="00BB4D40">
              <w:rPr>
                <w:rFonts w:ascii="Arial" w:hAnsi="Arial" w:cs="Arial"/>
                <w:color w:val="000000"/>
                <w:sz w:val="20"/>
                <w:szCs w:val="20"/>
                <w:lang w:eastAsia="vi-VN"/>
              </w:rPr>
              <w:t xml:space="preserve">Airway </w:t>
            </w:r>
          </w:p>
        </w:tc>
        <w:tc>
          <w:tcPr>
            <w:tcW w:w="1437" w:type="dxa"/>
            <w:tcBorders>
              <w:top w:val="nil"/>
              <w:left w:val="nil"/>
              <w:bottom w:val="single" w:sz="4" w:space="0" w:color="auto"/>
              <w:right w:val="nil"/>
            </w:tcBorders>
            <w:shd w:val="clear" w:color="auto" w:fill="auto"/>
            <w:noWrap/>
            <w:vAlign w:val="center"/>
            <w:hideMark/>
          </w:tcPr>
          <w:p w14:paraId="02B24204"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0</w:t>
            </w:r>
            <w:r>
              <w:rPr>
                <w:rFonts w:ascii="Arial" w:hAnsi="Arial" w:cs="Arial"/>
                <w:sz w:val="20"/>
                <w:szCs w:val="20"/>
              </w:rPr>
              <w:t>.</w:t>
            </w:r>
            <w:r w:rsidRPr="00FC383C">
              <w:rPr>
                <w:rFonts w:ascii="Arial" w:hAnsi="Arial" w:cs="Arial"/>
                <w:sz w:val="20"/>
                <w:szCs w:val="20"/>
              </w:rPr>
              <w:t>3</w:t>
            </w:r>
          </w:p>
        </w:tc>
        <w:tc>
          <w:tcPr>
            <w:tcW w:w="1625" w:type="dxa"/>
            <w:tcBorders>
              <w:top w:val="nil"/>
              <w:left w:val="nil"/>
              <w:bottom w:val="single" w:sz="4" w:space="0" w:color="auto"/>
              <w:right w:val="nil"/>
            </w:tcBorders>
            <w:shd w:val="clear" w:color="auto" w:fill="auto"/>
            <w:noWrap/>
            <w:vAlign w:val="center"/>
            <w:hideMark/>
          </w:tcPr>
          <w:p w14:paraId="0B9B5026"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5</w:t>
            </w:r>
            <w:r>
              <w:rPr>
                <w:rFonts w:ascii="Arial" w:hAnsi="Arial" w:cs="Arial"/>
                <w:sz w:val="20"/>
                <w:szCs w:val="20"/>
              </w:rPr>
              <w:t>.</w:t>
            </w:r>
            <w:r w:rsidRPr="00FC383C">
              <w:rPr>
                <w:rFonts w:ascii="Arial" w:hAnsi="Arial" w:cs="Arial"/>
                <w:sz w:val="20"/>
                <w:szCs w:val="20"/>
              </w:rPr>
              <w:t>7</w:t>
            </w:r>
          </w:p>
        </w:tc>
        <w:tc>
          <w:tcPr>
            <w:tcW w:w="294" w:type="dxa"/>
            <w:tcBorders>
              <w:top w:val="nil"/>
              <w:left w:val="nil"/>
              <w:bottom w:val="single" w:sz="4" w:space="0" w:color="auto"/>
              <w:right w:val="nil"/>
            </w:tcBorders>
            <w:shd w:val="clear" w:color="auto" w:fill="auto"/>
            <w:noWrap/>
            <w:vAlign w:val="center"/>
          </w:tcPr>
          <w:p w14:paraId="605E7A3A" w14:textId="77777777" w:rsidR="00EC5D51" w:rsidRPr="00BB4D40" w:rsidRDefault="00EC5D51" w:rsidP="00CA23A3">
            <w:pPr>
              <w:jc w:val="center"/>
              <w:rPr>
                <w:rFonts w:ascii="Arial" w:hAnsi="Arial" w:cs="Arial"/>
                <w:color w:val="000000"/>
                <w:sz w:val="20"/>
                <w:szCs w:val="20"/>
              </w:rPr>
            </w:pPr>
          </w:p>
        </w:tc>
        <w:tc>
          <w:tcPr>
            <w:tcW w:w="1499" w:type="dxa"/>
            <w:tcBorders>
              <w:top w:val="nil"/>
              <w:left w:val="nil"/>
              <w:bottom w:val="single" w:sz="4" w:space="0" w:color="auto"/>
              <w:right w:val="nil"/>
            </w:tcBorders>
            <w:shd w:val="clear" w:color="auto" w:fill="auto"/>
            <w:noWrap/>
            <w:vAlign w:val="center"/>
          </w:tcPr>
          <w:p w14:paraId="2383EB4A"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45</w:t>
            </w:r>
            <w:r>
              <w:rPr>
                <w:rFonts w:ascii="Arial" w:hAnsi="Arial" w:cs="Arial"/>
                <w:sz w:val="20"/>
                <w:szCs w:val="20"/>
              </w:rPr>
              <w:t>.</w:t>
            </w:r>
            <w:r w:rsidRPr="00FC383C">
              <w:rPr>
                <w:rFonts w:ascii="Arial" w:hAnsi="Arial" w:cs="Arial"/>
                <w:sz w:val="20"/>
                <w:szCs w:val="20"/>
              </w:rPr>
              <w:t>0</w:t>
            </w:r>
          </w:p>
        </w:tc>
        <w:tc>
          <w:tcPr>
            <w:tcW w:w="1418" w:type="dxa"/>
            <w:tcBorders>
              <w:top w:val="nil"/>
              <w:left w:val="nil"/>
              <w:bottom w:val="single" w:sz="4" w:space="0" w:color="auto"/>
              <w:right w:val="nil"/>
            </w:tcBorders>
            <w:shd w:val="clear" w:color="auto" w:fill="auto"/>
            <w:noWrap/>
            <w:vAlign w:val="center"/>
            <w:hideMark/>
          </w:tcPr>
          <w:p w14:paraId="16E6337A" w14:textId="77777777" w:rsidR="00EC5D51" w:rsidRPr="00FC383C" w:rsidRDefault="00EC5D51" w:rsidP="00CA23A3">
            <w:pPr>
              <w:spacing w:beforeLines="40" w:before="96"/>
              <w:ind w:right="447"/>
              <w:jc w:val="right"/>
              <w:rPr>
                <w:rFonts w:ascii="Arial" w:hAnsi="Arial" w:cs="Arial"/>
                <w:sz w:val="20"/>
                <w:szCs w:val="20"/>
                <w14:ligatures w14:val="standardContextual"/>
              </w:rPr>
            </w:pPr>
            <w:r w:rsidRPr="00FC383C">
              <w:rPr>
                <w:rFonts w:ascii="Arial" w:hAnsi="Arial" w:cs="Arial"/>
                <w:sz w:val="20"/>
                <w:szCs w:val="20"/>
              </w:rPr>
              <w:t>23</w:t>
            </w:r>
            <w:r>
              <w:rPr>
                <w:rFonts w:ascii="Arial" w:hAnsi="Arial" w:cs="Arial"/>
                <w:sz w:val="20"/>
                <w:szCs w:val="20"/>
              </w:rPr>
              <w:t>.</w:t>
            </w:r>
            <w:r w:rsidRPr="00FC383C">
              <w:rPr>
                <w:rFonts w:ascii="Arial" w:hAnsi="Arial" w:cs="Arial"/>
                <w:sz w:val="20"/>
                <w:szCs w:val="20"/>
              </w:rPr>
              <w:t>1</w:t>
            </w:r>
          </w:p>
        </w:tc>
      </w:tr>
    </w:tbl>
    <w:p w14:paraId="0BD9C95A" w14:textId="77777777" w:rsidR="00EC5D51" w:rsidRPr="00BB4D40" w:rsidRDefault="00EC5D51" w:rsidP="00EC5D51">
      <w:pPr>
        <w:spacing w:beforeLines="40" w:before="96" w:afterLines="40" w:after="96" w:line="264" w:lineRule="auto"/>
        <w:ind w:firstLine="567"/>
        <w:jc w:val="center"/>
        <w:rPr>
          <w:rFonts w:ascii="Arial" w:hAnsi="Arial" w:cs="Arial"/>
          <w:b/>
          <w:bCs/>
          <w:sz w:val="2"/>
          <w:szCs w:val="24"/>
          <w:lang w:val="fr-FR"/>
        </w:rPr>
      </w:pPr>
    </w:p>
    <w:p w14:paraId="3D0E35C5" w14:textId="77777777" w:rsidR="00EC5D51" w:rsidRPr="00BB4D40" w:rsidRDefault="00EC5D51" w:rsidP="00EC5D51">
      <w:pPr>
        <w:spacing w:beforeLines="40" w:before="96" w:afterLines="40" w:after="96" w:line="293" w:lineRule="auto"/>
        <w:jc w:val="both"/>
        <w:rPr>
          <w:b/>
          <w:bCs/>
          <w:i/>
        </w:rPr>
      </w:pPr>
      <w:r w:rsidRPr="00BB4D40">
        <w:rPr>
          <w:b/>
          <w:bCs/>
          <w:i/>
          <w:iCs/>
          <w:lang w:val="pt-BR"/>
        </w:rPr>
        <w:t xml:space="preserve">đ) </w:t>
      </w:r>
      <w:r w:rsidRPr="00BB4D40">
        <w:rPr>
          <w:rFonts w:ascii="Times New Roman Bold Italic" w:hAnsi="Times New Roman Bold Italic"/>
          <w:b/>
          <w:i/>
          <w:iCs/>
          <w:lang w:val="fr-FR"/>
        </w:rPr>
        <w:t>International visitors to Viet Nam</w:t>
      </w:r>
      <w:r w:rsidRPr="00BB4D40">
        <w:rPr>
          <w:rStyle w:val="FootnoteReference"/>
          <w:rFonts w:ascii="Times New Roman Bold Italic" w:eastAsiaTheme="majorEastAsia" w:hAnsi="Times New Roman Bold Italic"/>
          <w:b/>
          <w:i/>
          <w:iCs/>
        </w:rPr>
        <w:footnoteReference w:id="30"/>
      </w:r>
    </w:p>
    <w:p w14:paraId="6531A99F" w14:textId="77777777" w:rsidR="00EC5D51" w:rsidRDefault="00EC5D51" w:rsidP="00EC5D51">
      <w:pPr>
        <w:shd w:val="clear" w:color="auto" w:fill="FFFFFF"/>
        <w:spacing w:beforeLines="40" w:before="96" w:afterLines="40" w:after="96" w:line="293" w:lineRule="auto"/>
        <w:ind w:firstLine="567"/>
        <w:jc w:val="both"/>
        <w:rPr>
          <w:i/>
          <w:iCs/>
          <w:lang w:val="fr-FR"/>
        </w:rPr>
      </w:pPr>
      <w:r w:rsidRPr="00BB4D40">
        <w:rPr>
          <w:i/>
          <w:iCs/>
          <w:lang w:val="fr-FR"/>
        </w:rPr>
        <w:t xml:space="preserve">Favorable visa policies and tourism promotion programs in 2024 have been promoted by localities across the country, attracting a high increase in international visitors to Vietnam compared to the same period last year. </w:t>
      </w:r>
    </w:p>
    <w:p w14:paraId="3D45178C" w14:textId="77777777" w:rsidR="00EC5D51" w:rsidRPr="003A2BF7" w:rsidRDefault="00EC5D51" w:rsidP="00EC5D51">
      <w:pPr>
        <w:shd w:val="clear" w:color="auto" w:fill="FFFFFF"/>
        <w:spacing w:beforeLines="40" w:before="96" w:afterLines="40" w:after="96" w:line="293" w:lineRule="auto"/>
        <w:ind w:firstLine="567"/>
        <w:jc w:val="both"/>
        <w:rPr>
          <w:lang w:val="fr-FR"/>
        </w:rPr>
      </w:pPr>
      <w:r w:rsidRPr="003A2BF7">
        <w:rPr>
          <w:lang w:val="fr-FR"/>
        </w:rPr>
        <w:t>In 7/2024</w:t>
      </w:r>
      <w:r w:rsidRPr="003A2BF7">
        <w:rPr>
          <w:rStyle w:val="FootnoteReference"/>
          <w:rFonts w:eastAsiaTheme="majorEastAsia"/>
          <w:lang w:val="fr-FR"/>
        </w:rPr>
        <w:footnoteReference w:id="31"/>
      </w:r>
      <w:r w:rsidRPr="003A2BF7">
        <w:rPr>
          <w:lang w:val="fr-FR"/>
        </w:rPr>
        <w:t>, the number of international visitors to Viet Nam reached 1.</w:t>
      </w:r>
      <w:r>
        <w:rPr>
          <w:lang w:val="fr-FR"/>
        </w:rPr>
        <w:t>15</w:t>
      </w:r>
      <w:r w:rsidRPr="003A2BF7">
        <w:rPr>
          <w:lang w:val="fr-FR"/>
        </w:rPr>
        <w:t xml:space="preserve"> million. </w:t>
      </w:r>
      <w:bookmarkStart w:id="12" w:name="_Hlk149633866"/>
      <w:proofErr w:type="gramStart"/>
      <w:r w:rsidRPr="003A2BF7">
        <w:rPr>
          <w:lang w:val="fr-FR"/>
        </w:rPr>
        <w:t>increased</w:t>
      </w:r>
      <w:proofErr w:type="gramEnd"/>
      <w:r w:rsidRPr="003A2BF7">
        <w:rPr>
          <w:lang w:val="fr-FR"/>
        </w:rPr>
        <w:t xml:space="preserve"> by </w:t>
      </w:r>
      <w:r>
        <w:rPr>
          <w:lang w:val="fr-FR"/>
        </w:rPr>
        <w:t>10.9</w:t>
      </w:r>
      <w:r w:rsidRPr="003A2BF7">
        <w:rPr>
          <w:lang w:val="fr-FR"/>
        </w:rPr>
        <w:t xml:space="preserve">% </w:t>
      </w:r>
      <w:bookmarkEnd w:id="12"/>
      <w:r w:rsidRPr="003A2BF7">
        <w:rPr>
          <w:lang w:val="fr-FR"/>
        </w:rPr>
        <w:t xml:space="preserve">compared to the same period last year. In seven months of </w:t>
      </w:r>
      <w:proofErr w:type="gramStart"/>
      <w:r w:rsidRPr="003A2BF7">
        <w:rPr>
          <w:lang w:val="fr-FR"/>
        </w:rPr>
        <w:t>2024,  international</w:t>
      </w:r>
      <w:proofErr w:type="gramEnd"/>
      <w:r w:rsidRPr="003A2BF7">
        <w:rPr>
          <w:lang w:val="fr-FR"/>
        </w:rPr>
        <w:t xml:space="preserve"> visitors to our country reached</w:t>
      </w:r>
      <w:bookmarkStart w:id="13" w:name="_Hlk149633887"/>
      <w:r w:rsidRPr="003A2BF7">
        <w:rPr>
          <w:lang w:val="fr-FR"/>
        </w:rPr>
        <w:t xml:space="preserve"> nearly </w:t>
      </w:r>
      <w:r>
        <w:rPr>
          <w:lang w:val="fr-FR"/>
        </w:rPr>
        <w:t>10</w:t>
      </w:r>
      <w:r w:rsidRPr="003A2BF7">
        <w:rPr>
          <w:lang w:val="fr-FR"/>
        </w:rPr>
        <w:t xml:space="preserve"> million arrivals</w:t>
      </w:r>
      <w:bookmarkEnd w:id="13"/>
      <w:r w:rsidRPr="003A2BF7">
        <w:rPr>
          <w:lang w:val="fr-FR"/>
        </w:rPr>
        <w:t xml:space="preserve">, up </w:t>
      </w:r>
      <w:r>
        <w:rPr>
          <w:lang w:val="fr-FR"/>
        </w:rPr>
        <w:t>51.0</w:t>
      </w:r>
      <w:r w:rsidRPr="003A2BF7">
        <w:rPr>
          <w:lang w:val="fr-FR"/>
        </w:rPr>
        <w:t xml:space="preserve">% compared to the same period last year and up </w:t>
      </w:r>
      <w:r>
        <w:rPr>
          <w:lang w:val="fr-FR"/>
        </w:rPr>
        <w:t>1</w:t>
      </w:r>
      <w:r w:rsidRPr="003A2BF7">
        <w:rPr>
          <w:lang w:val="fr-FR"/>
        </w:rPr>
        <w:t>.9% compared to the same period of 2019 - the year before the Covid-19 pandemic.</w:t>
      </w:r>
    </w:p>
    <w:p w14:paraId="1EA52716" w14:textId="77777777" w:rsidR="00EC5D51" w:rsidRPr="00BB4D40" w:rsidRDefault="00EC5D51" w:rsidP="00EC5D51">
      <w:pPr>
        <w:shd w:val="clear" w:color="auto" w:fill="FFFFFF"/>
        <w:spacing w:beforeLines="40" w:before="96" w:afterLines="40" w:after="96" w:line="300" w:lineRule="auto"/>
        <w:ind w:firstLine="567"/>
        <w:jc w:val="both"/>
        <w:rPr>
          <w:lang w:val="fr-FR"/>
        </w:rPr>
      </w:pPr>
      <w:r w:rsidRPr="00BB4D40">
        <w:rPr>
          <w:lang w:val="fr-FR"/>
        </w:rPr>
        <w:t xml:space="preserve">Out of a total of </w:t>
      </w:r>
      <w:r>
        <w:rPr>
          <w:lang w:val="fr-FR"/>
        </w:rPr>
        <w:t>nearly 10</w:t>
      </w:r>
      <w:r w:rsidRPr="00BB4D40">
        <w:rPr>
          <w:lang w:val="fr-FR"/>
        </w:rPr>
        <w:t xml:space="preserve"> million international arrivals to Viet Nam in </w:t>
      </w:r>
      <w:r>
        <w:rPr>
          <w:lang w:val="fr-FR"/>
        </w:rPr>
        <w:t>seven</w:t>
      </w:r>
      <w:r w:rsidRPr="00BB4D40">
        <w:rPr>
          <w:lang w:val="fr-FR"/>
        </w:rPr>
        <w:t xml:space="preserve"> months of this year, arrivals by air reached nearly </w:t>
      </w:r>
      <w:r>
        <w:rPr>
          <w:lang w:val="fr-FR"/>
        </w:rPr>
        <w:t>8.4</w:t>
      </w:r>
      <w:r w:rsidRPr="00BB4D40">
        <w:rPr>
          <w:lang w:val="fr-FR"/>
        </w:rPr>
        <w:t xml:space="preserve"> million arrivals, accounting </w:t>
      </w:r>
      <w:r w:rsidRPr="00BB4D40">
        <w:rPr>
          <w:lang w:val="fr-FR"/>
        </w:rPr>
        <w:lastRenderedPageBreak/>
        <w:t xml:space="preserve">for </w:t>
      </w:r>
      <w:r>
        <w:rPr>
          <w:lang w:val="fr-FR"/>
        </w:rPr>
        <w:t>84.2</w:t>
      </w:r>
      <w:r w:rsidRPr="00BB4D40">
        <w:rPr>
          <w:lang w:val="fr-FR"/>
        </w:rPr>
        <w:t xml:space="preserve">% of international arrivals to Viet Nam and </w:t>
      </w:r>
      <w:r>
        <w:rPr>
          <w:lang w:val="fr-FR"/>
        </w:rPr>
        <w:t xml:space="preserve">up 45.1% over </w:t>
      </w:r>
      <w:r w:rsidRPr="00BB4D40">
        <w:rPr>
          <w:lang w:val="fr-FR"/>
        </w:rPr>
        <w:t xml:space="preserve">the same period last </w:t>
      </w:r>
      <w:proofErr w:type="gramStart"/>
      <w:r w:rsidRPr="00BB4D40">
        <w:rPr>
          <w:lang w:val="fr-FR"/>
        </w:rPr>
        <w:t>year;</w:t>
      </w:r>
      <w:proofErr w:type="gramEnd"/>
      <w:r w:rsidRPr="00BB4D40">
        <w:rPr>
          <w:lang w:val="fr-FR"/>
        </w:rPr>
        <w:t xml:space="preserve"> by road reached 1.</w:t>
      </w:r>
      <w:r>
        <w:rPr>
          <w:lang w:val="fr-FR"/>
        </w:rPr>
        <w:t>4</w:t>
      </w:r>
      <w:r w:rsidRPr="00BB4D40">
        <w:rPr>
          <w:bCs/>
          <w:lang w:val="pt-BR" w:eastAsia="en-GB"/>
        </w:rPr>
        <w:t xml:space="preserve"> </w:t>
      </w:r>
      <w:r w:rsidRPr="00BB4D40">
        <w:rPr>
          <w:lang w:val="fr-FR"/>
        </w:rPr>
        <w:t>million arrivals, accounting for 14.</w:t>
      </w:r>
      <w:r>
        <w:rPr>
          <w:lang w:val="fr-FR"/>
        </w:rPr>
        <w:t>1</w:t>
      </w:r>
      <w:r w:rsidRPr="00BB4D40">
        <w:rPr>
          <w:lang w:val="fr-FR"/>
        </w:rPr>
        <w:t xml:space="preserve">% and </w:t>
      </w:r>
      <w:r>
        <w:rPr>
          <w:lang w:val="fr-FR"/>
        </w:rPr>
        <w:t xml:space="preserve">up 84.2% ; </w:t>
      </w:r>
      <w:r w:rsidRPr="00BB4D40">
        <w:rPr>
          <w:lang w:val="fr-FR"/>
        </w:rPr>
        <w:t xml:space="preserve">by sea reached </w:t>
      </w:r>
      <w:r>
        <w:rPr>
          <w:bCs/>
          <w:lang w:val="pt-BR" w:eastAsia="en-GB"/>
        </w:rPr>
        <w:t>165.5</w:t>
      </w:r>
      <w:r w:rsidRPr="00BB4D40">
        <w:rPr>
          <w:bCs/>
          <w:lang w:val="pt-BR" w:eastAsia="en-GB"/>
        </w:rPr>
        <w:t xml:space="preserve"> </w:t>
      </w:r>
      <w:r w:rsidRPr="00BB4D40">
        <w:rPr>
          <w:lang w:val="fr-FR"/>
        </w:rPr>
        <w:t xml:space="preserve">thousand arrivals, accounting for </w:t>
      </w:r>
      <w:r>
        <w:rPr>
          <w:lang w:val="fr-FR"/>
        </w:rPr>
        <w:t>1.7</w:t>
      </w:r>
      <w:r w:rsidRPr="00BB4D40">
        <w:rPr>
          <w:lang w:val="fr-FR"/>
        </w:rPr>
        <w:t xml:space="preserve">% and </w:t>
      </w:r>
      <w:r w:rsidRPr="00BB4D40">
        <w:rPr>
          <w:bCs/>
          <w:lang w:val="pt-BR" w:eastAsia="en-GB"/>
        </w:rPr>
        <w:t>3.</w:t>
      </w:r>
      <w:r>
        <w:rPr>
          <w:bCs/>
          <w:lang w:val="pt-BR" w:eastAsia="en-GB"/>
        </w:rPr>
        <w:t>0</w:t>
      </w:r>
      <w:r w:rsidRPr="00BB4D40">
        <w:rPr>
          <w:bCs/>
          <w:lang w:val="pt-BR" w:eastAsia="en-GB"/>
        </w:rPr>
        <w:t xml:space="preserve"> </w:t>
      </w:r>
      <w:r w:rsidRPr="00BB4D40">
        <w:rPr>
          <w:lang w:val="fr-FR"/>
        </w:rPr>
        <w:t>times higher.</w:t>
      </w:r>
    </w:p>
    <w:p w14:paraId="40D92692" w14:textId="77777777" w:rsidR="00EC5D51" w:rsidRPr="00BB4D40" w:rsidRDefault="00EC5D51" w:rsidP="00EC5D51">
      <w:pPr>
        <w:spacing w:beforeLines="40" w:before="96" w:afterLines="40" w:after="96" w:line="264" w:lineRule="auto"/>
        <w:jc w:val="center"/>
        <w:rPr>
          <w:rFonts w:ascii="Arial" w:hAnsi="Arial" w:cs="Arial"/>
          <w:b/>
          <w:bCs/>
          <w:iCs/>
          <w:sz w:val="24"/>
          <w:szCs w:val="24"/>
          <w:lang w:val="fr-FR"/>
        </w:rPr>
      </w:pPr>
      <w:r w:rsidRPr="00BB4D40">
        <w:rPr>
          <w:rFonts w:ascii="Arial" w:hAnsi="Arial" w:cs="Arial"/>
          <w:b/>
          <w:bCs/>
          <w:iCs/>
          <w:sz w:val="24"/>
          <w:szCs w:val="24"/>
          <w:lang w:val="fr-FR"/>
        </w:rPr>
        <w:t xml:space="preserve">Figure 17. International visitors to Viet Nam in </w:t>
      </w:r>
      <w:r>
        <w:rPr>
          <w:rFonts w:ascii="Arial" w:hAnsi="Arial" w:cs="Arial"/>
          <w:b/>
          <w:bCs/>
          <w:iCs/>
          <w:sz w:val="24"/>
          <w:szCs w:val="24"/>
          <w:lang w:val="fr-FR"/>
        </w:rPr>
        <w:t>7</w:t>
      </w:r>
      <w:r w:rsidRPr="00BB4D40">
        <w:rPr>
          <w:rFonts w:ascii="Arial" w:hAnsi="Arial" w:cs="Arial"/>
          <w:b/>
          <w:bCs/>
          <w:iCs/>
          <w:sz w:val="24"/>
          <w:szCs w:val="24"/>
          <w:lang w:val="fr-FR"/>
        </w:rPr>
        <w:t xml:space="preserve"> months </w:t>
      </w:r>
      <w:r w:rsidRPr="00BB4D40">
        <w:rPr>
          <w:rFonts w:ascii="Arial" w:hAnsi="Arial" w:cs="Arial"/>
          <w:b/>
          <w:bCs/>
          <w:iCs/>
          <w:sz w:val="24"/>
          <w:szCs w:val="24"/>
          <w:lang w:val="fr-FR"/>
        </w:rPr>
        <w:br/>
        <w:t>of 2024 by territories</w:t>
      </w:r>
    </w:p>
    <w:p w14:paraId="65A995FD" w14:textId="77777777" w:rsidR="00EC5D51" w:rsidRDefault="00EC5D51" w:rsidP="00EC5D51">
      <w:pPr>
        <w:spacing w:beforeLines="40" w:before="96" w:afterLines="40" w:after="96" w:line="264" w:lineRule="auto"/>
        <w:ind w:firstLine="567"/>
        <w:jc w:val="both"/>
        <w:rPr>
          <w:b/>
          <w:bCs/>
          <w:lang w:val="pl-PL"/>
        </w:rPr>
      </w:pPr>
    </w:p>
    <w:p w14:paraId="3DA11391" w14:textId="46699E8B" w:rsidR="00881BAC" w:rsidRPr="00EC5D51" w:rsidRDefault="00EC5D51" w:rsidP="00EC5D51">
      <w:r>
        <w:rPr>
          <w:noProof/>
        </w:rPr>
        <w:drawing>
          <wp:inline distT="0" distB="0" distL="0" distR="0" wp14:anchorId="39008567" wp14:editId="69A3208D">
            <wp:extent cx="5972175" cy="2990850"/>
            <wp:effectExtent l="0" t="0" r="9525" b="0"/>
            <wp:docPr id="10835255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2552" name="Picture 1" descr="A screenshot of a graph&#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175" cy="2990850"/>
                    </a:xfrm>
                    <a:prstGeom prst="rect">
                      <a:avLst/>
                    </a:prstGeom>
                    <a:noFill/>
                    <a:ln>
                      <a:noFill/>
                    </a:ln>
                  </pic:spPr>
                </pic:pic>
              </a:graphicData>
            </a:graphic>
          </wp:inline>
        </w:drawing>
      </w:r>
    </w:p>
    <w:p w14:paraId="73D04772" w14:textId="77777777" w:rsidR="00EC5D51" w:rsidRPr="00CD1EC1" w:rsidRDefault="00EC5D51" w:rsidP="00EC5D51">
      <w:pPr>
        <w:spacing w:before="40" w:after="40" w:line="288" w:lineRule="auto"/>
        <w:ind w:firstLine="720"/>
        <w:jc w:val="both"/>
        <w:rPr>
          <w:b/>
        </w:rPr>
      </w:pPr>
      <w:r w:rsidRPr="00CD1EC1">
        <w:rPr>
          <w:b/>
        </w:rPr>
        <w:t>7. Some social situations</w:t>
      </w:r>
    </w:p>
    <w:p w14:paraId="1851D023" w14:textId="77777777" w:rsidR="00EC5D51" w:rsidRPr="00CD1EC1" w:rsidRDefault="00EC5D51" w:rsidP="00EC5D51">
      <w:pPr>
        <w:spacing w:before="40" w:after="40" w:line="288" w:lineRule="auto"/>
        <w:ind w:firstLine="720"/>
        <w:jc w:val="both"/>
        <w:rPr>
          <w:b/>
          <w:i/>
        </w:rPr>
      </w:pPr>
      <w:r w:rsidRPr="00CD1EC1">
        <w:rPr>
          <w:b/>
          <w:i/>
        </w:rPr>
        <w:t xml:space="preserve">a) Residential life </w:t>
      </w:r>
    </w:p>
    <w:p w14:paraId="15AA7B9A" w14:textId="77777777" w:rsidR="00EC5D51" w:rsidRPr="00CD1EC1" w:rsidRDefault="00EC5D51" w:rsidP="00EC5D51">
      <w:pPr>
        <w:spacing w:before="40" w:after="40" w:line="288" w:lineRule="auto"/>
        <w:ind w:firstLine="720"/>
        <w:jc w:val="both"/>
      </w:pPr>
      <w:r w:rsidRPr="00CD1EC1">
        <w:t>According to the survey on the life situation of households in July 2024, the proportion of households assessed to have income during the month remained unchanged and increased compared to the same period last year was 95.8% (an increase of 0.2 percentage points). percent compared to the June 2024 reporting period and increased by 1.3 percentage points compared to the same period last year); The proportion of households assessed to have reduced income and unknown compared to the same month in 2023 is 4.2%.</w:t>
      </w:r>
    </w:p>
    <w:p w14:paraId="48546EDA" w14:textId="77777777" w:rsidR="00EC5D51" w:rsidRPr="00CD1EC1" w:rsidRDefault="00EC5D51" w:rsidP="00EC5D51">
      <w:pPr>
        <w:spacing w:before="40" w:after="40" w:line="288" w:lineRule="auto"/>
        <w:ind w:firstLine="720"/>
        <w:jc w:val="both"/>
      </w:pPr>
      <w:r w:rsidRPr="00CD1EC1">
        <w:t>Households whose income in July decreased compared to the same period last year identified the main reasons as</w:t>
      </w:r>
      <w:r w:rsidRPr="00CD1EC1">
        <w:rPr>
          <w:rStyle w:val="FootnoteReference"/>
          <w:bCs/>
          <w:snapToGrid w:val="0"/>
          <w:lang w:val="nl-NL"/>
        </w:rPr>
        <w:footnoteReference w:id="32"/>
      </w:r>
      <w:r w:rsidRPr="00CD1EC1">
        <w:t>: Some household members lost their jobs or temporarily quit their jobs (rate of 41%); due to the decrease in the scale of household production and business activities (25.5%); due to increased input costs for household production and business activities (24%); due to the decrease in selling prices of products from household production and business activities (17.9%).</w:t>
      </w:r>
    </w:p>
    <w:p w14:paraId="6A2D8BF7" w14:textId="77777777" w:rsidR="00EC5D51" w:rsidRPr="00CD1EC1" w:rsidRDefault="00EC5D51" w:rsidP="00EC5D51">
      <w:pPr>
        <w:spacing w:before="40" w:after="40" w:line="288" w:lineRule="auto"/>
        <w:ind w:firstLine="720"/>
        <w:jc w:val="both"/>
      </w:pPr>
      <w:r w:rsidRPr="00CD1EC1">
        <w:lastRenderedPageBreak/>
        <w:t>In the seven months of 2024, 30.8% of households reported experiencing at least one event that negatively affected family life, this rate remained unchanged compared to the previous month and decreased by 1.4 percentage points. hundred compared to the same period last year. Among the households negatively affected by the events: 30.1% of households are suffering from the effects of rising prices of goods and services; 2.6% of households are negatively affected by epidemics on humans and 1.8% of households are negatively affected by epidemics on livestock and crops.</w:t>
      </w:r>
    </w:p>
    <w:p w14:paraId="705F7CB6" w14:textId="77777777" w:rsidR="00EC5D51" w:rsidRPr="00CD1EC1" w:rsidRDefault="00EC5D51" w:rsidP="00EC5D51">
      <w:pPr>
        <w:spacing w:before="40" w:after="40" w:line="288" w:lineRule="auto"/>
        <w:ind w:firstLine="720"/>
        <w:jc w:val="both"/>
      </w:pPr>
      <w:r w:rsidRPr="00CD1EC1">
        <w:t>In seven months of 2024, 12.4% of interviewed households received help from various support sources. Of which, the proportion of households receiving assistance from relatives is 8.4%; from local programs and policies is 4.5%; from national programs and general policies is 4.0%; from charitable activities of other organizations and individuals is 1.6% and from other sources is 0.02%.</w:t>
      </w:r>
    </w:p>
    <w:p w14:paraId="1A40473C" w14:textId="77777777" w:rsidR="00EC5D51" w:rsidRPr="00CD1EC1" w:rsidRDefault="00EC5D51" w:rsidP="00EC5D51">
      <w:pPr>
        <w:spacing w:before="40" w:after="40" w:line="288" w:lineRule="auto"/>
        <w:ind w:firstLine="720"/>
        <w:jc w:val="both"/>
      </w:pPr>
      <w:r w:rsidRPr="00CD1EC1">
        <w:t xml:space="preserve">The work of ensuring social security is always implemented promptly and effectively by all levels and sectors, notably the policy of increasing the base salary. The policy of giving gifts of gratitude </w:t>
      </w:r>
      <w:proofErr w:type="gramStart"/>
      <w:r w:rsidRPr="00CD1EC1">
        <w:t>on the occasion of</w:t>
      </w:r>
      <w:proofErr w:type="gramEnd"/>
      <w:r w:rsidRPr="00CD1EC1">
        <w:t xml:space="preserve"> the 77th anniversary of War Invalids and Martyrs' Day includes two gift levels of 600,000 VND and 300,000 VND depending on each specific object.</w:t>
      </w:r>
    </w:p>
    <w:p w14:paraId="2EF978AD" w14:textId="77777777" w:rsidR="00EC5D51" w:rsidRPr="00CD1EC1" w:rsidRDefault="00EC5D51" w:rsidP="00EC5D51">
      <w:pPr>
        <w:spacing w:before="40" w:after="40" w:line="288" w:lineRule="auto"/>
        <w:ind w:firstLine="720"/>
        <w:jc w:val="both"/>
      </w:pPr>
      <w:r w:rsidRPr="00CD1EC1">
        <w:t>Regarding rice support, according to a report from the Ministry of Labor, War Invalids and Social Affairs, in seven months of this year, the Government, ministries, branches and localities have supported people with more than 21.3 thousand tons of rice, in Accordingly: The Government supported 10.4 thousand tons of rice to relieve hunger on the occasion of the Lunar New Year Giap Thin for 693.4 thousand people; supporting more than 5.9 thousand tons of rice to relieve hunger in 2024 for 396.3 thousand people. Localities also developed plans and proactively allocated local budgets and socialization resources to support nearly 5 thousand tons of rice for poor, near-poor households and people in difficult circumstances.</w:t>
      </w:r>
    </w:p>
    <w:p w14:paraId="3397614F" w14:textId="77777777" w:rsidR="00EC5D51" w:rsidRPr="00CD1EC1" w:rsidRDefault="00EC5D51" w:rsidP="00EC5D51">
      <w:pPr>
        <w:spacing w:before="40" w:after="40" w:line="288" w:lineRule="auto"/>
        <w:ind w:firstLine="720"/>
        <w:jc w:val="both"/>
        <w:rPr>
          <w:b/>
          <w:i/>
        </w:rPr>
      </w:pPr>
      <w:r w:rsidRPr="00CD1EC1">
        <w:rPr>
          <w:b/>
          <w:i/>
        </w:rPr>
        <w:t>b) Disease situation and food poisoning</w:t>
      </w:r>
    </w:p>
    <w:p w14:paraId="517CF315" w14:textId="77777777" w:rsidR="00EC5D51" w:rsidRPr="00CD1EC1" w:rsidRDefault="00EC5D51" w:rsidP="00EC5D51">
      <w:pPr>
        <w:spacing w:before="40" w:after="40" w:line="288" w:lineRule="auto"/>
        <w:ind w:firstLine="720"/>
        <w:jc w:val="both"/>
      </w:pPr>
      <w:r w:rsidRPr="00CD1EC1">
        <w:t xml:space="preserve">According to a report from the Ministry of Health, in the month (from June 19 to July 18, 2024), the whole country had 10,434 cases of dengue fever (01 death); 6,057 cases of hand, foot and mouth disease; 437 cases of typhus suspected of measles; 09 deaths due to rabies; 48 cases of viral encephalitis; 01 case of meningococcal meningitis. In the seven months of 2024, the whole country has 35.3 thousand cases of dengue fever (04 deaths); 34.6 thousand cases of hand, foot and mouth disease; 887 cases of typhus suspected of measles; 53 </w:t>
      </w:r>
      <w:r w:rsidRPr="00CD1EC1">
        <w:lastRenderedPageBreak/>
        <w:t>deaths due to rabies; 256 cases of viral encephalitis (06 deaths); 12 cases of meningococcal meningitis; 01 case of influenza A and died.</w:t>
      </w:r>
    </w:p>
    <w:p w14:paraId="41864F3C" w14:textId="77777777" w:rsidR="00EC5D51" w:rsidRPr="00CD1EC1" w:rsidRDefault="00EC5D51" w:rsidP="00EC5D51">
      <w:pPr>
        <w:spacing w:before="40" w:after="40" w:line="288" w:lineRule="auto"/>
        <w:ind w:firstLine="720"/>
        <w:jc w:val="both"/>
      </w:pPr>
      <w:r w:rsidRPr="00CD1EC1">
        <w:t xml:space="preserve">The total number of people living with HIV in the country as of July 18, </w:t>
      </w:r>
      <w:proofErr w:type="gramStart"/>
      <w:r w:rsidRPr="00CD1EC1">
        <w:t>2024</w:t>
      </w:r>
      <w:proofErr w:type="gramEnd"/>
      <w:r w:rsidRPr="00CD1EC1">
        <w:t xml:space="preserve"> is more than 240.1 thousand people; The number of</w:t>
      </w:r>
      <w:r>
        <w:t xml:space="preserve"> deaths due to HIV/AIDS is 115 </w:t>
      </w:r>
      <w:r w:rsidRPr="00CD1EC1">
        <w:t>thousand people.</w:t>
      </w:r>
    </w:p>
    <w:p w14:paraId="589A8C22" w14:textId="77777777" w:rsidR="00EC5D51" w:rsidRPr="00CD1EC1" w:rsidRDefault="00EC5D51" w:rsidP="00EC5D51">
      <w:pPr>
        <w:spacing w:before="40" w:after="40" w:line="288" w:lineRule="auto"/>
        <w:ind w:firstLine="720"/>
        <w:jc w:val="both"/>
      </w:pPr>
      <w:r w:rsidRPr="00CD1EC1">
        <w:t xml:space="preserve">Regarding food poisoning, in July 2024, there were 07 cases with 264 people being poisoned and 03 people died. In the seven months of 2024 (from December 19, </w:t>
      </w:r>
      <w:proofErr w:type="gramStart"/>
      <w:r w:rsidRPr="00CD1EC1">
        <w:t>2023</w:t>
      </w:r>
      <w:proofErr w:type="gramEnd"/>
      <w:r w:rsidRPr="00CD1EC1">
        <w:t xml:space="preserve"> to July 18, 2024), there were 62 cases nationwide with 2,661 people being poisoned (9 people died).</w:t>
      </w:r>
    </w:p>
    <w:p w14:paraId="3BFEDE4D" w14:textId="77777777" w:rsidR="00EC5D51" w:rsidRPr="00CD1EC1" w:rsidRDefault="00EC5D51" w:rsidP="00EC5D51">
      <w:pPr>
        <w:spacing w:before="40" w:after="40" w:line="288" w:lineRule="auto"/>
        <w:ind w:firstLine="720"/>
        <w:jc w:val="both"/>
        <w:rPr>
          <w:b/>
          <w:i/>
        </w:rPr>
      </w:pPr>
      <w:r w:rsidRPr="00CD1EC1">
        <w:rPr>
          <w:b/>
          <w:i/>
        </w:rPr>
        <w:t>c) Cultural and sports activities</w:t>
      </w:r>
    </w:p>
    <w:p w14:paraId="3BA303AB" w14:textId="77777777" w:rsidR="00EC5D51" w:rsidRPr="00CD1EC1" w:rsidRDefault="00EC5D51" w:rsidP="00EC5D51">
      <w:pPr>
        <w:spacing w:before="40" w:after="40" w:line="288" w:lineRule="auto"/>
        <w:ind w:firstLine="720"/>
        <w:jc w:val="both"/>
      </w:pPr>
      <w:r w:rsidRPr="00CD1EC1">
        <w:t>During the seven months of 2024, cultural activities take place enthusiastically with many festivals after the Lunar New Year 2024, mainly from January to March at the beginning of the year. In addition to the festive activities, there are activities commemorating the 49th anniversary of the Complete Liberation of the South and reunification of the country (April 30, 1975 - April 30, 2024) and a series of activities commemorating the 70th anniversary of Victory. Dien Bien Phu (May 7, 1954-May 7, 2024), Da Nang International Fireworks Festival - DIFF 2024 (June 8-July 13, 2024).</w:t>
      </w:r>
    </w:p>
    <w:p w14:paraId="77D08CD6" w14:textId="77777777" w:rsidR="00EC5D51" w:rsidRPr="00CD1EC1" w:rsidRDefault="00EC5D51" w:rsidP="00EC5D51">
      <w:pPr>
        <w:spacing w:before="40" w:after="40" w:line="288" w:lineRule="auto"/>
        <w:ind w:firstLine="720"/>
        <w:jc w:val="both"/>
      </w:pPr>
      <w:r w:rsidRPr="00CD1EC1">
        <w:t>Regarding the mass sports movement, some outstanding activities taking place during the month include: Volleyball tournament for workers and civil servants in Lam Dong province taking place from July 18 to July 20, 2024; Vinh Long Provincial Taekwondo Open Tournament takes place on July 14, 2024; Swimming tournament for age groups in Khanh Hoa province on July 11, 2024; Vovinam - Karate Championship of Yen Bai province takes place from July 12 to July 14, 2024; Badminton tournament for workers, officials, labor and armed forces of Tuyen Quang province takes place from July 11 to July 14, 2024; The third Thanh Hoa Newspaper Cup Children's Football tournament takes place from July 6 to July 12, 2024. Regarding sports, Vietnamese people with disabilities have 8 athletes who won tickets to attend the 2024 Paris Paralympics.</w:t>
      </w:r>
    </w:p>
    <w:p w14:paraId="16B7E628" w14:textId="77777777" w:rsidR="00EC5D51" w:rsidRPr="00CD1EC1" w:rsidRDefault="00EC5D51" w:rsidP="00EC5D51">
      <w:pPr>
        <w:spacing w:before="40" w:after="40" w:line="288" w:lineRule="auto"/>
        <w:ind w:firstLine="720"/>
        <w:jc w:val="both"/>
      </w:pPr>
      <w:r w:rsidRPr="00CD1EC1">
        <w:t>Regarding high-performance sports, in July there are a number of outstanding events such as: Youth Archery Championship taking place from July 8 to July 13, 2024 in Hai Duong province; U20 Vietnam won tickets for the 2025 World U21 Women's Volleyball Championship for the first time; Rowing, Canoeing Youth Championship U19, U23 and Southeast Asia Championship taking place from June 26 to July 7, 2024 in Hai Phong; Vietnam's U16 football team won fourth place overall at the 2024 Southeast Asian U16 Championship from July 11-24, 2024 in Indonesia.</w:t>
      </w:r>
    </w:p>
    <w:p w14:paraId="28053C1D" w14:textId="77777777" w:rsidR="00EC5D51" w:rsidRPr="00CD1EC1" w:rsidRDefault="00EC5D51" w:rsidP="00EC5D51">
      <w:pPr>
        <w:spacing w:before="40" w:after="40" w:line="288" w:lineRule="auto"/>
        <w:ind w:firstLine="720"/>
        <w:jc w:val="both"/>
        <w:rPr>
          <w:b/>
          <w:i/>
          <w:lang w:val="nl-NL"/>
        </w:rPr>
      </w:pPr>
      <w:r w:rsidRPr="00CD1EC1">
        <w:rPr>
          <w:b/>
          <w:i/>
        </w:rPr>
        <w:lastRenderedPageBreak/>
        <w:t>d) Traffic accident</w:t>
      </w:r>
      <w:r w:rsidRPr="00CD1EC1">
        <w:rPr>
          <w:b/>
          <w:i/>
          <w:vertAlign w:val="superscript"/>
        </w:rPr>
        <w:footnoteReference w:id="33"/>
      </w:r>
      <w:r w:rsidRPr="00CD1EC1">
        <w:rPr>
          <w:b/>
          <w:i/>
        </w:rPr>
        <w:t xml:space="preserve"> </w:t>
      </w:r>
    </w:p>
    <w:p w14:paraId="6BDFE51F" w14:textId="77777777" w:rsidR="00EC5D51" w:rsidRPr="00CD1EC1" w:rsidRDefault="00EC5D51" w:rsidP="00EC5D51">
      <w:pPr>
        <w:spacing w:before="40" w:after="40" w:line="288" w:lineRule="auto"/>
        <w:ind w:firstLine="720"/>
        <w:jc w:val="both"/>
      </w:pPr>
      <w:r w:rsidRPr="00CD1EC1">
        <w:t>During the month (from June 15 to July 14, 2024), there were 1,889 traffic accidents nationwide, including 1,355 traffic accidents from less serious or more (causing 860 deaths, 837 deaths). injured people) and 534 traffic collisions caused 587 people with minor injuries. Compared to the previous month, the number of traffic accidents decreased by 0.3% (the number of traffic accidents from less serious or more decreased by 1% and the number of traffic collisions increased by 1.7%); number of deaths increased by 1.3%; The number of injured people increased by 2.6% and the number of people with minor injuries increased by 5.4%. Compared to the same period last year, the number of traffic accidents in July increased by 11.2% (the number of traffic accidents from less serious or more increased by 6.3% and the number of traffic collisions increased by 25.9%</w:t>
      </w:r>
      <w:proofErr w:type="gramStart"/>
      <w:r w:rsidRPr="00CD1EC1">
        <w:t>. )</w:t>
      </w:r>
      <w:proofErr w:type="gramEnd"/>
      <w:r w:rsidRPr="00CD1EC1">
        <w:t>; number of deaths decreased by 8.7%; The number of injured people increased by 18.2% and the number of people with minor injuries increased by 39.1%.</w:t>
      </w:r>
    </w:p>
    <w:p w14:paraId="0765C622" w14:textId="77777777" w:rsidR="00EC5D51" w:rsidRPr="00CD1EC1" w:rsidRDefault="00EC5D51" w:rsidP="00EC5D51">
      <w:pPr>
        <w:spacing w:before="40" w:after="40" w:line="288" w:lineRule="auto"/>
        <w:ind w:firstLine="720"/>
        <w:jc w:val="both"/>
      </w:pPr>
      <w:r w:rsidRPr="00CD1EC1">
        <w:t>In the seven months of this year, there were 14,242 traffic accidents nationwide, including 10,083 less serious traffic accidents and 4,159 traffic collisions, killing 6,203 people and 6,394 people. injured and 4,582 people suffered minor injuries. Compared to the same period last year, the number of traffic accidents in the seven months of this year increased by 15% (the number of traffic accidents from less serious or more increased by 7.3%; the number of traffic collisions increased by 39%</w:t>
      </w:r>
      <w:proofErr w:type="gramStart"/>
      <w:r w:rsidRPr="00CD1EC1">
        <w:t>) ;</w:t>
      </w:r>
      <w:proofErr w:type="gramEnd"/>
      <w:r w:rsidRPr="00CD1EC1">
        <w:t xml:space="preserve"> number of deaths decreased by 10.4%; The number of injured people increased by 22.6% and the number of people with minor injuries increased by 50.7%. On average, every day in seven months of this year, there were 67 traffic accidents nationwide, including 47 less serious traffic accidents and 20 traffic collisions, killing 29 people. 30 people were injured and 22 people suffered minor injuries.</w:t>
      </w:r>
    </w:p>
    <w:p w14:paraId="666EC12B" w14:textId="77777777" w:rsidR="00EC5D51" w:rsidRPr="00CD1EC1" w:rsidRDefault="00EC5D51" w:rsidP="00EC5D51">
      <w:pPr>
        <w:pStyle w:val="Normal11"/>
        <w:spacing w:before="40" w:beforeAutospacing="0" w:after="40" w:afterAutospacing="0" w:line="288" w:lineRule="auto"/>
        <w:ind w:firstLine="720"/>
        <w:jc w:val="both"/>
        <w:rPr>
          <w:rFonts w:ascii="Times New Roman" w:hAnsi="Times New Roman" w:cs="Times New Roman"/>
          <w:b/>
          <w:i/>
          <w:sz w:val="28"/>
          <w:szCs w:val="28"/>
          <w:lang w:val="pl-PL"/>
        </w:rPr>
      </w:pPr>
      <w:r w:rsidRPr="00CD1EC1">
        <w:rPr>
          <w:rFonts w:ascii="Times New Roman" w:hAnsi="Times New Roman" w:cs="Times New Roman"/>
          <w:b/>
          <w:i/>
          <w:sz w:val="28"/>
          <w:szCs w:val="28"/>
        </w:rPr>
        <w:t>d) Damage caused by natural disasters</w:t>
      </w:r>
      <w:r w:rsidRPr="00CD1EC1">
        <w:rPr>
          <w:rStyle w:val="FootnoteReference"/>
          <w:rFonts w:ascii="Times New Roman" w:eastAsia="Calibri" w:hAnsi="Times New Roman" w:cs="Times New Roman"/>
          <w:b/>
          <w:bCs/>
          <w:i/>
          <w:sz w:val="28"/>
          <w:szCs w:val="28"/>
          <w:lang w:val="pl-PL"/>
        </w:rPr>
        <w:footnoteReference w:id="34"/>
      </w:r>
      <w:r w:rsidRPr="00CD1EC1">
        <w:rPr>
          <w:rFonts w:ascii="Times New Roman" w:hAnsi="Times New Roman" w:cs="Times New Roman"/>
          <w:b/>
          <w:i/>
          <w:sz w:val="28"/>
          <w:szCs w:val="28"/>
        </w:rPr>
        <w:t xml:space="preserve"> </w:t>
      </w:r>
    </w:p>
    <w:p w14:paraId="41F57F04" w14:textId="77777777" w:rsidR="00EC5D51" w:rsidRPr="00CD1EC1" w:rsidRDefault="00EC5D51" w:rsidP="00EC5D51">
      <w:pPr>
        <w:spacing w:before="40" w:after="40" w:line="288" w:lineRule="auto"/>
        <w:ind w:firstLine="720"/>
        <w:jc w:val="both"/>
      </w:pPr>
      <w:r w:rsidRPr="00CD1EC1">
        <w:t xml:space="preserve">Damage caused by natural disasters in July was mainly due to the impact of heavy rains, floods, and inundation, killing 23 people and injuring 11 people; 789 houses collapsed, swept away and damaged; 53.2 thousand hectares of rice and crops were flooded and damaged; The total value of property damage caused by natural disasters in the month was 399.6 billion VND, an increase of 89.5% over the same period last year. In the seven months of this year, natural disasters </w:t>
      </w:r>
      <w:r w:rsidRPr="00CD1EC1">
        <w:lastRenderedPageBreak/>
        <w:t>left 91 people dead or missing, and 67 people injured; 28.9 thousand houses collapsed and damaged; 28.4 thousand cattle and poultry died; 25.7 thousand hectares of crops and 64.3 thousand hectares of rice were flooded and damaged; The total value of property damage is estimated at 2,122.9 billion VND, more than 2.3 times higher than the same period in 2023.</w:t>
      </w:r>
    </w:p>
    <w:p w14:paraId="0216819E" w14:textId="77777777" w:rsidR="00EC5D51" w:rsidRPr="00CD1EC1" w:rsidRDefault="00EC5D51" w:rsidP="00EC5D51">
      <w:pPr>
        <w:spacing w:before="40" w:after="40" w:line="288" w:lineRule="auto"/>
        <w:ind w:firstLine="720"/>
        <w:jc w:val="both"/>
        <w:rPr>
          <w:b/>
          <w:i/>
        </w:rPr>
      </w:pPr>
      <w:r w:rsidRPr="00CD1EC1">
        <w:rPr>
          <w:b/>
          <w:i/>
        </w:rPr>
        <w:t>e) Environmental protection and fire and explosion prevention</w:t>
      </w:r>
    </w:p>
    <w:p w14:paraId="3477309D" w14:textId="77777777" w:rsidR="00EC5D51" w:rsidRPr="00CD1EC1" w:rsidRDefault="00EC5D51" w:rsidP="00EC5D51">
      <w:pPr>
        <w:spacing w:before="40" w:after="40" w:line="288" w:lineRule="auto"/>
        <w:ind w:firstLine="720"/>
        <w:jc w:val="both"/>
      </w:pPr>
      <w:r w:rsidRPr="00CD1EC1">
        <w:t>During the month (from June 18 to July 17, 2024)</w:t>
      </w:r>
      <w:r w:rsidRPr="00CD1EC1">
        <w:rPr>
          <w:rStyle w:val="FootnoteReference"/>
          <w:lang w:val="de-DE"/>
        </w:rPr>
        <w:t xml:space="preserve"> </w:t>
      </w:r>
      <w:r w:rsidRPr="00CD1EC1">
        <w:rPr>
          <w:rStyle w:val="FootnoteReference"/>
          <w:lang w:val="de-DE"/>
        </w:rPr>
        <w:footnoteReference w:id="35"/>
      </w:r>
      <w:r w:rsidRPr="00CD1EC1">
        <w:t>, the authorities discovered 1,513 cases of environmental violations in 53/63 localities, of which 1,486 cases were handled with a total fine of 20.2 billion VND. VND, down 23.4% over the previous month and down 30.1% over the same period last year. In the seven months of this year, the authorities detected 14,163 cases of environmental violations, of which 12,977 cases were handled with a total fine of more than 177 billion VND, an increase of 0.2% over the same period last year.</w:t>
      </w:r>
    </w:p>
    <w:p w14:paraId="302A3D7D" w14:textId="0E955497" w:rsidR="0011054B" w:rsidRPr="00EC5D51" w:rsidRDefault="00EC5D51" w:rsidP="00EC5D51">
      <w:pPr>
        <w:spacing w:before="40" w:after="40" w:line="288" w:lineRule="auto"/>
        <w:ind w:firstLine="720"/>
        <w:jc w:val="both"/>
      </w:pPr>
      <w:r w:rsidRPr="00CD1EC1">
        <w:t>During the month</w:t>
      </w:r>
      <w:r w:rsidRPr="00CD1EC1">
        <w:rPr>
          <w:rStyle w:val="FootnoteReference"/>
          <w:lang w:val="de-DE"/>
        </w:rPr>
        <w:footnoteReference w:id="36"/>
      </w:r>
      <w:r w:rsidRPr="00CD1EC1">
        <w:t>, there were 308 fires and explosions nationwide, killing 20 people and injuring 13 people, with estimated damage of 11.1 billion VND, up 0.6% over the previous month and down 59.8% over the previous month. in the same period last year. In the seven months of this year, there were 2,539 fires and explosions nationwide, killing 75 people and injuring 65 people, with an estimated loss of 139 billion VND, down 39.3% over the same period last year. /.</w:t>
      </w:r>
    </w:p>
    <w:p w14:paraId="36E7D67E" w14:textId="2AC7057C" w:rsidR="0011054B" w:rsidRPr="00382F57" w:rsidRDefault="0011054B" w:rsidP="0011054B">
      <w:pPr>
        <w:tabs>
          <w:tab w:val="left" w:pos="426"/>
          <w:tab w:val="left" w:pos="900"/>
        </w:tabs>
        <w:spacing w:before="40"/>
        <w:ind w:firstLine="567"/>
        <w:jc w:val="center"/>
        <w:rPr>
          <w:b/>
          <w:bCs/>
          <w:lang w:val="en-US"/>
        </w:rPr>
      </w:pPr>
      <w:r w:rsidRPr="00382F57">
        <w:rPr>
          <w:b/>
          <w:bCs/>
          <w:iCs/>
          <w:lang w:val="nl-NL"/>
        </w:rPr>
        <w:t>GENERAL STATISTICS OFFICE</w:t>
      </w:r>
    </w:p>
    <w:p w14:paraId="5BE68E24" w14:textId="77777777" w:rsidR="0011054B" w:rsidRPr="003D1613" w:rsidRDefault="0011054B" w:rsidP="00D77A3A">
      <w:pPr>
        <w:tabs>
          <w:tab w:val="left" w:pos="426"/>
          <w:tab w:val="left" w:pos="900"/>
        </w:tabs>
        <w:spacing w:after="40" w:line="276" w:lineRule="auto"/>
        <w:ind w:firstLine="567"/>
        <w:jc w:val="both"/>
        <w:rPr>
          <w:rFonts w:eastAsia="Calibri"/>
          <w:b/>
          <w:i/>
          <w:lang w:val="de-DE"/>
        </w:rPr>
      </w:pPr>
    </w:p>
    <w:sectPr w:rsidR="0011054B" w:rsidRPr="003D1613" w:rsidSect="00552702">
      <w:headerReference w:type="default" r:id="rId30"/>
      <w:pgSz w:w="11907" w:h="16840" w:code="9"/>
      <w:pgMar w:top="1077" w:right="1134" w:bottom="1134" w:left="1797" w:header="50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6CCE8" w14:textId="77777777" w:rsidR="000B19FB" w:rsidRDefault="000B19FB" w:rsidP="001A07A9">
      <w:r>
        <w:separator/>
      </w:r>
    </w:p>
  </w:endnote>
  <w:endnote w:type="continuationSeparator" w:id="0">
    <w:p w14:paraId="5DC9480B" w14:textId="77777777" w:rsidR="000B19FB" w:rsidRDefault="000B19FB" w:rsidP="001A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Italic">
    <w:altName w:val="Snell Roundhand"/>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panose1 w:val="00000000000000000000"/>
    <w:charset w:val="00"/>
    <w:family w:val="roman"/>
    <w:notTrueType/>
    <w:pitch w:val="default"/>
  </w:font>
  <w:font w:name="Times New Roman Bold 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40400" w14:textId="77777777" w:rsidR="000B19FB" w:rsidRDefault="000B19FB" w:rsidP="001A07A9">
      <w:r>
        <w:separator/>
      </w:r>
    </w:p>
  </w:footnote>
  <w:footnote w:type="continuationSeparator" w:id="0">
    <w:p w14:paraId="5C351384" w14:textId="77777777" w:rsidR="000B19FB" w:rsidRDefault="000B19FB" w:rsidP="001A07A9">
      <w:r>
        <w:continuationSeparator/>
      </w:r>
    </w:p>
  </w:footnote>
  <w:footnote w:id="1">
    <w:p w14:paraId="584966D5" w14:textId="77777777" w:rsidR="00C15289" w:rsidRPr="00FC383C" w:rsidRDefault="00C15289" w:rsidP="00C15289">
      <w:pPr>
        <w:pStyle w:val="FootnoteText"/>
        <w:spacing w:after="60"/>
        <w:ind w:left="142" w:hanging="142"/>
        <w:jc w:val="both"/>
        <w:rPr>
          <w:lang w:val="en-US"/>
        </w:rPr>
      </w:pPr>
      <w:r w:rsidRPr="00FC383C">
        <w:rPr>
          <w:rStyle w:val="FootnoteReference"/>
        </w:rPr>
        <w:footnoteRef/>
      </w:r>
      <w:r w:rsidRPr="00FC383C">
        <w:t xml:space="preserve"> </w:t>
      </w:r>
      <w:r w:rsidRPr="00E45A88">
        <w:t xml:space="preserve">Raising buffaloes and cows for meat has decreased mainly due to difficult farming conditions, high farming costs, and low profits, leading to a decrease in the number of animals. However, the dairy herd </w:t>
      </w:r>
      <w:r>
        <w:rPr>
          <w:lang w:val="en-US"/>
        </w:rPr>
        <w:t>wa</w:t>
      </w:r>
      <w:r w:rsidRPr="00E45A88">
        <w:t>s still growing steadily.</w:t>
      </w:r>
    </w:p>
  </w:footnote>
  <w:footnote w:id="2">
    <w:p w14:paraId="12FAE0DC" w14:textId="77777777" w:rsidR="00C15289" w:rsidRPr="00FC383C" w:rsidRDefault="00C15289" w:rsidP="00C15289">
      <w:pPr>
        <w:pStyle w:val="FootnoteText"/>
        <w:ind w:left="142" w:hanging="142"/>
        <w:jc w:val="both"/>
      </w:pPr>
      <w:r w:rsidRPr="00FC383C">
        <w:rPr>
          <w:rStyle w:val="FootnoteReference"/>
        </w:rPr>
        <w:footnoteRef/>
      </w:r>
      <w:r w:rsidRPr="00FC383C">
        <w:t xml:space="preserve"> </w:t>
      </w:r>
      <w:r w:rsidRPr="00E45A88">
        <w:rPr>
          <w:lang w:val="pt-BR"/>
        </w:rPr>
        <w:t>The pork price index in July 2024 increased by 0.53% over the previous month and increased by 6.49% over the same period last year.</w:t>
      </w:r>
    </w:p>
  </w:footnote>
  <w:footnote w:id="3">
    <w:p w14:paraId="01F1E8EF" w14:textId="77777777" w:rsidR="0078584B" w:rsidRPr="00FC4ACE" w:rsidRDefault="0078584B" w:rsidP="0078584B">
      <w:pPr>
        <w:pStyle w:val="FootnoteText"/>
        <w:jc w:val="both"/>
        <w:rPr>
          <w:lang w:val="en-GB"/>
        </w:rPr>
      </w:pPr>
      <w:r>
        <w:rPr>
          <w:rStyle w:val="FootnoteReference"/>
        </w:rPr>
        <w:footnoteRef/>
      </w:r>
      <w:r>
        <w:t xml:space="preserve"> </w:t>
      </w:r>
      <w:r w:rsidRPr="00A57936">
        <w:t>Due to the dry weather in July 2023, Yen Bai and Phu Tho provinces proactively reduced the area and did not plant new forests.</w:t>
      </w:r>
    </w:p>
  </w:footnote>
  <w:footnote w:id="4">
    <w:p w14:paraId="3881C9B7" w14:textId="77777777" w:rsidR="0078584B" w:rsidRPr="004302EF" w:rsidRDefault="0078584B" w:rsidP="0078584B">
      <w:pPr>
        <w:pStyle w:val="FootnoteText"/>
        <w:spacing w:after="40"/>
        <w:ind w:left="198" w:hanging="198"/>
      </w:pPr>
      <w:r w:rsidRPr="004302EF">
        <w:rPr>
          <w:rStyle w:val="FootnoteReference"/>
        </w:rPr>
        <w:footnoteRef/>
      </w:r>
      <w:r w:rsidRPr="004302EF">
        <w:t xml:space="preserve"> </w:t>
      </w:r>
      <w:r w:rsidRPr="00A57936">
        <w:t xml:space="preserve">Data from the Ministry of Agriculture and Rural Development from June 16, </w:t>
      </w:r>
      <w:proofErr w:type="gramStart"/>
      <w:r w:rsidRPr="00A57936">
        <w:t>2024</w:t>
      </w:r>
      <w:proofErr w:type="gramEnd"/>
      <w:r w:rsidRPr="00A57936">
        <w:t xml:space="preserve"> to July 15, 2024.</w:t>
      </w:r>
    </w:p>
  </w:footnote>
  <w:footnote w:id="5">
    <w:p w14:paraId="66244C1B" w14:textId="77777777" w:rsidR="0078584B" w:rsidRPr="00FC4ACE" w:rsidRDefault="0078584B" w:rsidP="0078584B">
      <w:pPr>
        <w:pStyle w:val="FootnoteText"/>
        <w:rPr>
          <w:lang w:val="en-GB"/>
        </w:rPr>
      </w:pPr>
      <w:r>
        <w:rPr>
          <w:rStyle w:val="FootnoteReference"/>
        </w:rPr>
        <w:footnoteRef/>
      </w:r>
      <w:r>
        <w:t xml:space="preserve"> </w:t>
      </w:r>
      <w:r w:rsidRPr="00CA64CB">
        <w:t>http://agromonitor.vn/category/48/ca-tra</w:t>
      </w:r>
      <w:r w:rsidRPr="007369DF">
        <w:t>:</w:t>
      </w:r>
      <w:r w:rsidRPr="00FC4ACE">
        <w:t xml:space="preserve"> </w:t>
      </w:r>
      <w:r w:rsidRPr="0077163E">
        <w:t>The price of raw pangasius in July 2024 fluctuates from 26,200-26,600 VND/kg.</w:t>
      </w:r>
    </w:p>
  </w:footnote>
  <w:footnote w:id="6">
    <w:p w14:paraId="4B75642F" w14:textId="77777777" w:rsidR="005E3B18" w:rsidRPr="00FC383C" w:rsidRDefault="005E3B18" w:rsidP="005E3B18">
      <w:pPr>
        <w:pStyle w:val="FootnoteText"/>
        <w:spacing w:after="40"/>
        <w:jc w:val="both"/>
        <w:rPr>
          <w:lang w:val="en-US"/>
        </w:rPr>
      </w:pPr>
    </w:p>
  </w:footnote>
  <w:footnote w:id="7">
    <w:p w14:paraId="71914965" w14:textId="77777777" w:rsidR="005E3B18" w:rsidRPr="00023026" w:rsidRDefault="005E3B18" w:rsidP="005E3B18">
      <w:pPr>
        <w:pStyle w:val="FootnoteText"/>
        <w:jc w:val="both"/>
        <w:rPr>
          <w:lang w:val="en-US"/>
        </w:rPr>
      </w:pPr>
      <w:r>
        <w:rPr>
          <w:rStyle w:val="FootnoteReference"/>
        </w:rPr>
        <w:footnoteRef/>
      </w:r>
      <w:r>
        <w:t xml:space="preserve"> </w:t>
      </w:r>
      <w:r w:rsidRPr="00023026">
        <w:t>Localities with a high production index of the processing and manufacturing industry in the first seven months of 2024 compared to the same period last year are: Lai Chau increased by 43.1%; Phu Tho increased by 38.4%; Bac Giang increased by 27.5%; Binh Phuoc increased by 17.1%; Thanh Hoa increased by 15.1%; Dien Bien increased by 8.8%. Localities with high indicators of electricity production and distribution: Khanh Hoa increased by 258.5%; Lai Chau increased by 66.4%; Cao Bang increased by 62.1%; Dien Bien increased by 51.8%; Son La increased by 35.2%; Thanh Hoa increased by 33.0%; Phu Tho increased by 15.3%.</w:t>
      </w:r>
    </w:p>
  </w:footnote>
  <w:footnote w:id="8">
    <w:p w14:paraId="6DB99E3A" w14:textId="77777777" w:rsidR="005E3B18" w:rsidRPr="00FC383C" w:rsidRDefault="005E3B18" w:rsidP="005E3B18">
      <w:pPr>
        <w:pStyle w:val="FootnoteText"/>
        <w:ind w:left="142" w:hanging="142"/>
        <w:jc w:val="both"/>
        <w:rPr>
          <w:spacing w:val="-4"/>
          <w:lang w:val="en-GB"/>
        </w:rPr>
      </w:pPr>
      <w:r w:rsidRPr="00FC383C">
        <w:rPr>
          <w:rStyle w:val="FootnoteReference"/>
        </w:rPr>
        <w:footnoteRef/>
      </w:r>
      <w:r w:rsidRPr="00FC383C">
        <w:t xml:space="preserve"> </w:t>
      </w:r>
      <w:r w:rsidRPr="001C5CBB">
        <w:t>Localities with a low or decreased production index of the processing and manufacturing industry in the first seven months of 2024 compared to the same period last year are: Ca Mau increased by 1.5%; Gia Lai increased by 0.3%; Ha Tinh decreased by 8.0%; Quang Ngai decreased by 4.2%. Localities have low or decreased indicators of the electricity production and distribution industry in the first seven months of 2024 compared to the same period last year: Quang Tri increased by 1.7%; Quang Ngai decreased by 16.9%; Thua Thien - Hue decreased by 16.1%; Lang Son decreased by 15.5%; Lam Dong decreased by 5.6%; Gia Lai decreased by 3.6%. Localities with a decrease in the mining industry production index: Ba Ria - Vung Tau decreased by 14.3%; Lam Dong decreased by 8.6%; Quang Tri decreased by 4.7%; Lang Son decreased by 3.0%; Thua Thien - Hue decreased by 1.6%.</w:t>
      </w:r>
    </w:p>
  </w:footnote>
  <w:footnote w:id="9">
    <w:p w14:paraId="5C32AE40" w14:textId="77777777" w:rsidR="005E3B18" w:rsidRPr="00837379" w:rsidRDefault="005E3B18" w:rsidP="005E3B18">
      <w:pPr>
        <w:pStyle w:val="FootnoteText"/>
        <w:jc w:val="both"/>
        <w:rPr>
          <w:spacing w:val="-4"/>
          <w:lang w:val="vi-VN"/>
        </w:rPr>
      </w:pPr>
      <w:r w:rsidRPr="00837379">
        <w:rPr>
          <w:rStyle w:val="FootnoteReference"/>
        </w:rPr>
        <w:footnoteRef/>
      </w:r>
      <w:r w:rsidRPr="00837379">
        <w:rPr>
          <w:lang w:val="vi-VN"/>
        </w:rPr>
        <w:t xml:space="preserve"> </w:t>
      </w:r>
      <w:r w:rsidRPr="008417C7">
        <w:rPr>
          <w:spacing w:val="-4"/>
          <w:lang w:val="en-US"/>
        </w:rPr>
        <w:t xml:space="preserve">Source: National Enterprise Registration Information System, Business Registration Management Agency, Ministry of Planning and Investment on </w:t>
      </w:r>
      <w:r>
        <w:rPr>
          <w:spacing w:val="-4"/>
          <w:lang w:val="en-US"/>
        </w:rPr>
        <w:t>July</w:t>
      </w:r>
      <w:r w:rsidRPr="008417C7">
        <w:rPr>
          <w:spacing w:val="-4"/>
          <w:lang w:val="en-US"/>
        </w:rPr>
        <w:t xml:space="preserve"> 2</w:t>
      </w:r>
      <w:r>
        <w:rPr>
          <w:spacing w:val="-4"/>
          <w:lang w:val="en-US"/>
        </w:rPr>
        <w:t>5</w:t>
      </w:r>
      <w:r w:rsidRPr="008417C7">
        <w:rPr>
          <w:spacing w:val="-4"/>
          <w:lang w:val="en-US"/>
        </w:rPr>
        <w:t>th, 202</w:t>
      </w:r>
      <w:r>
        <w:rPr>
          <w:spacing w:val="-4"/>
          <w:lang w:val="en-US"/>
        </w:rPr>
        <w:t>4</w:t>
      </w:r>
      <w:r>
        <w:t>.</w:t>
      </w:r>
    </w:p>
  </w:footnote>
  <w:footnote w:id="10">
    <w:p w14:paraId="1F53BB52" w14:textId="77777777" w:rsidR="005E3B18" w:rsidRPr="00F9148F" w:rsidRDefault="005E3B18" w:rsidP="005E3B18">
      <w:pPr>
        <w:pStyle w:val="FootnoteText"/>
        <w:ind w:left="198" w:hanging="198"/>
        <w:jc w:val="both"/>
        <w:rPr>
          <w:lang w:val="vi-VN"/>
        </w:rPr>
      </w:pPr>
      <w:r w:rsidRPr="00F9148F">
        <w:rPr>
          <w:rStyle w:val="FootnoteReference"/>
        </w:rPr>
        <w:footnoteRef/>
      </w:r>
      <w:r w:rsidRPr="00F9148F">
        <w:rPr>
          <w:lang w:val="vi-VN"/>
        </w:rPr>
        <w:t xml:space="preserve"> </w:t>
      </w:r>
      <w:r w:rsidRPr="008122E8">
        <w:rPr>
          <w:lang w:val="vi-VN"/>
        </w:rPr>
        <w:t xml:space="preserve">Corresponding indexes of the </w:t>
      </w:r>
      <w:r>
        <w:t>first</w:t>
      </w:r>
      <w:r w:rsidRPr="008122E8">
        <w:rPr>
          <w:lang w:val="vi-VN"/>
        </w:rPr>
        <w:t xml:space="preserve"> quarter of 202</w:t>
      </w:r>
      <w:r>
        <w:rPr>
          <w:lang w:val="en-US"/>
        </w:rPr>
        <w:t>4</w:t>
      </w:r>
      <w:r w:rsidRPr="008122E8">
        <w:rPr>
          <w:lang w:val="vi-VN"/>
        </w:rPr>
        <w:t xml:space="preserve">: </w:t>
      </w:r>
      <w:r>
        <w:rPr>
          <w:lang w:val="en-US"/>
        </w:rPr>
        <w:t>22.1</w:t>
      </w:r>
      <w:r w:rsidRPr="00F9148F">
        <w:rPr>
          <w:lang w:val="vi-VN"/>
        </w:rPr>
        <w:t xml:space="preserve">% </w:t>
      </w:r>
      <w:r w:rsidRPr="008122E8">
        <w:rPr>
          <w:lang w:val="vi-VN"/>
        </w:rPr>
        <w:t>of enterprises rated that their</w:t>
      </w:r>
      <w:r>
        <w:t xml:space="preserve"> business</w:t>
      </w:r>
      <w:r w:rsidRPr="008122E8">
        <w:rPr>
          <w:lang w:val="vi-VN"/>
        </w:rPr>
        <w:t xml:space="preserve"> production </w:t>
      </w:r>
      <w:r>
        <w:t>situation</w:t>
      </w:r>
      <w:r w:rsidRPr="008122E8">
        <w:rPr>
          <w:lang w:val="vi-VN"/>
        </w:rPr>
        <w:t xml:space="preserve"> </w:t>
      </w:r>
      <w:r>
        <w:t>was better than</w:t>
      </w:r>
      <w:r w:rsidRPr="008122E8">
        <w:rPr>
          <w:lang w:val="vi-VN"/>
        </w:rPr>
        <w:t xml:space="preserve"> </w:t>
      </w:r>
      <w:r>
        <w:t>that in</w:t>
      </w:r>
      <w:r w:rsidRPr="008122E8">
        <w:rPr>
          <w:lang w:val="vi-VN"/>
        </w:rPr>
        <w:t xml:space="preserve"> the previous quarter;</w:t>
      </w:r>
      <w:r>
        <w:rPr>
          <w:lang w:val="en-US"/>
        </w:rPr>
        <w:t xml:space="preserve"> 42.8</w:t>
      </w:r>
      <w:r w:rsidRPr="00F9148F">
        <w:rPr>
          <w:lang w:val="vi-VN"/>
        </w:rPr>
        <w:t xml:space="preserve">% </w:t>
      </w:r>
      <w:r w:rsidRPr="008417C7">
        <w:rPr>
          <w:spacing w:val="-4"/>
          <w:lang w:val="en-US"/>
        </w:rPr>
        <w:t>of businesses thought it was stable and</w:t>
      </w:r>
      <w:r w:rsidRPr="00F9148F">
        <w:rPr>
          <w:lang w:val="vi-VN"/>
        </w:rPr>
        <w:t xml:space="preserve"> </w:t>
      </w:r>
      <w:r>
        <w:rPr>
          <w:lang w:val="en-US"/>
        </w:rPr>
        <w:t>35.1</w:t>
      </w:r>
      <w:r w:rsidRPr="00F9148F">
        <w:rPr>
          <w:lang w:val="vi-VN"/>
        </w:rPr>
        <w:t xml:space="preserve">% </w:t>
      </w:r>
      <w:r>
        <w:rPr>
          <w:spacing w:val="-4"/>
          <w:lang w:val="en-US"/>
        </w:rPr>
        <w:t>faced difficulties</w:t>
      </w:r>
      <w:r w:rsidRPr="008417C7">
        <w:rPr>
          <w:spacing w:val="-4"/>
          <w:lang w:val="en-US"/>
        </w:rPr>
        <w:t>.</w:t>
      </w:r>
    </w:p>
  </w:footnote>
  <w:footnote w:id="11">
    <w:p w14:paraId="6A460C1B" w14:textId="77777777" w:rsidR="005E3B18" w:rsidRPr="00F9148F" w:rsidRDefault="005E3B18" w:rsidP="005E3B18">
      <w:pPr>
        <w:pStyle w:val="FootnoteText"/>
        <w:tabs>
          <w:tab w:val="right" w:pos="8845"/>
        </w:tabs>
        <w:spacing w:before="40" w:after="40"/>
        <w:ind w:left="198" w:hanging="198"/>
        <w:jc w:val="both"/>
        <w:rPr>
          <w:spacing w:val="-2"/>
          <w:highlight w:val="yellow"/>
          <w:lang w:val="vi-VN"/>
        </w:rPr>
      </w:pPr>
      <w:r w:rsidRPr="00F9148F">
        <w:rPr>
          <w:rStyle w:val="FootnoteReference"/>
          <w:spacing w:val="-2"/>
        </w:rPr>
        <w:footnoteRef/>
      </w:r>
      <w:r w:rsidRPr="00F9148F">
        <w:rPr>
          <w:spacing w:val="-2"/>
          <w:lang w:val="vi-VN"/>
        </w:rPr>
        <w:t xml:space="preserve"> </w:t>
      </w:r>
      <w:r w:rsidRPr="008417C7">
        <w:rPr>
          <w:spacing w:val="-4"/>
          <w:lang w:val="en-US"/>
        </w:rPr>
        <w:t xml:space="preserve">Corresponding indexes of the </w:t>
      </w:r>
      <w:r>
        <w:rPr>
          <w:spacing w:val="-4"/>
          <w:lang w:val="en-US"/>
        </w:rPr>
        <w:t>first</w:t>
      </w:r>
      <w:r w:rsidRPr="008417C7">
        <w:rPr>
          <w:spacing w:val="-4"/>
          <w:lang w:val="en-US"/>
        </w:rPr>
        <w:t xml:space="preserve"> quarter of </w:t>
      </w:r>
      <w:r w:rsidRPr="00F9148F">
        <w:rPr>
          <w:spacing w:val="-2"/>
          <w:lang w:val="vi-VN"/>
        </w:rPr>
        <w:t>202</w:t>
      </w:r>
      <w:r>
        <w:rPr>
          <w:spacing w:val="-2"/>
        </w:rPr>
        <w:t>4</w:t>
      </w:r>
      <w:r w:rsidRPr="00F9148F">
        <w:rPr>
          <w:spacing w:val="-2"/>
          <w:lang w:val="vi-VN"/>
        </w:rPr>
        <w:t xml:space="preserve">: </w:t>
      </w:r>
      <w:r>
        <w:rPr>
          <w:spacing w:val="-2"/>
        </w:rPr>
        <w:t>22.3</w:t>
      </w:r>
      <w:r w:rsidRPr="00F9148F">
        <w:rPr>
          <w:spacing w:val="-2"/>
          <w:lang w:val="vi-VN"/>
        </w:rPr>
        <w:t xml:space="preserve">% </w:t>
      </w:r>
      <w:r w:rsidRPr="008417C7">
        <w:rPr>
          <w:spacing w:val="-4"/>
          <w:lang w:val="en-US"/>
        </w:rPr>
        <w:t xml:space="preserve">of enterprises </w:t>
      </w:r>
      <w:r>
        <w:rPr>
          <w:spacing w:val="-4"/>
          <w:lang w:val="en-US"/>
        </w:rPr>
        <w:t>considered the production volume</w:t>
      </w:r>
      <w:r w:rsidRPr="008417C7">
        <w:rPr>
          <w:spacing w:val="-4"/>
          <w:lang w:val="en-US"/>
        </w:rPr>
        <w:t xml:space="preserve"> </w:t>
      </w:r>
      <w:r>
        <w:rPr>
          <w:spacing w:val="-4"/>
          <w:lang w:val="en-US"/>
        </w:rPr>
        <w:t>increased</w:t>
      </w:r>
      <w:r w:rsidRPr="008417C7">
        <w:rPr>
          <w:spacing w:val="-4"/>
          <w:lang w:val="en-US"/>
        </w:rPr>
        <w:t xml:space="preserve"> compared to the previous quarter;</w:t>
      </w:r>
      <w:r w:rsidRPr="00F9148F">
        <w:rPr>
          <w:spacing w:val="-2"/>
          <w:lang w:val="vi-VN"/>
        </w:rPr>
        <w:t xml:space="preserve"> </w:t>
      </w:r>
      <w:r>
        <w:rPr>
          <w:spacing w:val="-2"/>
        </w:rPr>
        <w:t>38.9</w:t>
      </w:r>
      <w:r w:rsidRPr="00F9148F">
        <w:rPr>
          <w:spacing w:val="-2"/>
          <w:lang w:val="vi-VN"/>
        </w:rPr>
        <w:t xml:space="preserve">% </w:t>
      </w:r>
      <w:r w:rsidRPr="008417C7">
        <w:rPr>
          <w:spacing w:val="-4"/>
          <w:lang w:val="en-US"/>
        </w:rPr>
        <w:t xml:space="preserve">of businesses </w:t>
      </w:r>
      <w:r>
        <w:rPr>
          <w:spacing w:val="-4"/>
          <w:lang w:val="en-US"/>
        </w:rPr>
        <w:t>thought that it</w:t>
      </w:r>
      <w:r w:rsidRPr="008417C7">
        <w:rPr>
          <w:spacing w:val="-4"/>
          <w:lang w:val="en-US"/>
        </w:rPr>
        <w:t xml:space="preserve"> </w:t>
      </w:r>
      <w:r>
        <w:rPr>
          <w:spacing w:val="-4"/>
          <w:lang w:val="en-US"/>
        </w:rPr>
        <w:t xml:space="preserve">was </w:t>
      </w:r>
      <w:r w:rsidRPr="008417C7">
        <w:rPr>
          <w:spacing w:val="-4"/>
          <w:lang w:val="en-US"/>
        </w:rPr>
        <w:t xml:space="preserve">stable and </w:t>
      </w:r>
      <w:r>
        <w:rPr>
          <w:spacing w:val="-2"/>
        </w:rPr>
        <w:t>38.8</w:t>
      </w:r>
      <w:r w:rsidRPr="00F9148F">
        <w:rPr>
          <w:spacing w:val="-2"/>
          <w:lang w:val="vi-VN"/>
        </w:rPr>
        <w:t xml:space="preserve">% </w:t>
      </w:r>
      <w:r w:rsidRPr="008417C7">
        <w:rPr>
          <w:spacing w:val="-4"/>
          <w:lang w:val="en-US"/>
        </w:rPr>
        <w:t xml:space="preserve">of businesses </w:t>
      </w:r>
      <w:r>
        <w:rPr>
          <w:spacing w:val="-4"/>
          <w:lang w:val="en-US"/>
        </w:rPr>
        <w:t>assessed that it</w:t>
      </w:r>
      <w:r w:rsidRPr="008417C7">
        <w:rPr>
          <w:spacing w:val="-4"/>
          <w:lang w:val="en-US"/>
        </w:rPr>
        <w:t xml:space="preserve"> reduced.</w:t>
      </w:r>
    </w:p>
  </w:footnote>
  <w:footnote w:id="12">
    <w:p w14:paraId="1C4B676A" w14:textId="77777777" w:rsidR="005E3B18" w:rsidRPr="00F9148F" w:rsidRDefault="005E3B18" w:rsidP="005E3B18">
      <w:pPr>
        <w:pStyle w:val="FootnoteText"/>
        <w:spacing w:after="40"/>
        <w:ind w:left="198" w:hanging="198"/>
        <w:jc w:val="both"/>
        <w:rPr>
          <w:lang w:val="vi-VN"/>
        </w:rPr>
      </w:pPr>
      <w:r w:rsidRPr="00F9148F">
        <w:rPr>
          <w:rStyle w:val="FootnoteReference"/>
        </w:rPr>
        <w:footnoteRef/>
      </w:r>
      <w:r w:rsidRPr="00F9148F">
        <w:rPr>
          <w:lang w:val="vi-VN"/>
        </w:rPr>
        <w:t xml:space="preserve"> </w:t>
      </w:r>
      <w:r w:rsidRPr="008417C7">
        <w:rPr>
          <w:spacing w:val="-4"/>
          <w:lang w:val="en-US"/>
        </w:rPr>
        <w:t xml:space="preserve">Corresponding indexes of the </w:t>
      </w:r>
      <w:r>
        <w:rPr>
          <w:spacing w:val="-4"/>
          <w:lang w:val="en-US"/>
        </w:rPr>
        <w:t>first</w:t>
      </w:r>
      <w:r w:rsidRPr="008417C7">
        <w:rPr>
          <w:spacing w:val="-4"/>
          <w:lang w:val="en-US"/>
        </w:rPr>
        <w:t xml:space="preserve"> quarter of </w:t>
      </w:r>
      <w:r w:rsidRPr="00F9148F">
        <w:rPr>
          <w:lang w:val="vi-VN"/>
        </w:rPr>
        <w:t>202</w:t>
      </w:r>
      <w:r>
        <w:t>4</w:t>
      </w:r>
      <w:r>
        <w:rPr>
          <w:lang w:val="vi-VN"/>
        </w:rPr>
        <w:t>: 20.9</w:t>
      </w:r>
      <w:r w:rsidRPr="00F9148F">
        <w:rPr>
          <w:lang w:val="vi-VN"/>
        </w:rPr>
        <w:t xml:space="preserve">% </w:t>
      </w:r>
      <w:r w:rsidRPr="008417C7">
        <w:rPr>
          <w:spacing w:val="-4"/>
          <w:lang w:val="en-US"/>
        </w:rPr>
        <w:t>of enterprises had orders increasing compared to the previous quarter;</w:t>
      </w:r>
      <w:r w:rsidRPr="00F9148F">
        <w:rPr>
          <w:lang w:val="vi-VN"/>
        </w:rPr>
        <w:t xml:space="preserve"> </w:t>
      </w:r>
      <w:r>
        <w:t>42.6</w:t>
      </w:r>
      <w:r w:rsidRPr="00F9148F">
        <w:rPr>
          <w:lang w:val="vi-VN"/>
        </w:rPr>
        <w:t xml:space="preserve">% </w:t>
      </w:r>
      <w:r w:rsidRPr="008417C7">
        <w:rPr>
          <w:spacing w:val="-4"/>
          <w:lang w:val="en-US"/>
        </w:rPr>
        <w:t xml:space="preserve">of businesses had stable orders and </w:t>
      </w:r>
      <w:r>
        <w:t>36.5</w:t>
      </w:r>
      <w:r w:rsidRPr="00F9148F">
        <w:rPr>
          <w:lang w:val="vi-VN"/>
        </w:rPr>
        <w:t xml:space="preserve">% </w:t>
      </w:r>
      <w:r w:rsidRPr="008417C7">
        <w:rPr>
          <w:spacing w:val="-4"/>
          <w:lang w:val="en-US"/>
        </w:rPr>
        <w:t>of businesses had reduced orders.</w:t>
      </w:r>
    </w:p>
  </w:footnote>
  <w:footnote w:id="13">
    <w:p w14:paraId="39E85B73" w14:textId="77777777" w:rsidR="005E3B18" w:rsidRPr="00FC383C" w:rsidRDefault="005E3B18" w:rsidP="005E3B18">
      <w:pPr>
        <w:pStyle w:val="FootnoteText"/>
      </w:pPr>
      <w:r w:rsidRPr="00FC383C">
        <w:rPr>
          <w:rStyle w:val="FootnoteReference"/>
        </w:rPr>
        <w:footnoteRef/>
      </w:r>
      <w:r w:rsidRPr="00FC383C">
        <w:t xml:space="preserve">According to the report of the Foreign Investment Department, Ministry of Planning and Investment, received on </w:t>
      </w:r>
      <w:r w:rsidRPr="00FC383C">
        <w:rPr>
          <w:lang w:val="en-US"/>
        </w:rPr>
        <w:t xml:space="preserve">July 22, </w:t>
      </w:r>
      <w:r w:rsidRPr="00FC383C">
        <w:t>2024.</w:t>
      </w:r>
    </w:p>
  </w:footnote>
  <w:footnote w:id="14">
    <w:p w14:paraId="1A48A2F8" w14:textId="77777777" w:rsidR="005E3B18" w:rsidRPr="00FC383C" w:rsidRDefault="005E3B18" w:rsidP="005E3B18">
      <w:pPr>
        <w:pStyle w:val="FootnoteText"/>
        <w:ind w:left="198" w:hanging="198"/>
        <w:jc w:val="both"/>
        <w:rPr>
          <w:lang w:val="vi-VN"/>
        </w:rPr>
      </w:pPr>
      <w:r w:rsidRPr="00FC383C">
        <w:rPr>
          <w:rStyle w:val="FootnoteReference"/>
        </w:rPr>
        <w:footnoteRef/>
      </w:r>
      <w:r w:rsidRPr="00FC383C">
        <w:rPr>
          <w:lang w:val="vi-VN"/>
        </w:rPr>
        <w:t xml:space="preserve">According to the Report on the implementation of Resolution No. 01/NQ-CP of the Government in the field of finance - State budget in July </w:t>
      </w:r>
      <w:r w:rsidRPr="00FC383C">
        <w:rPr>
          <w:lang w:val="en-US"/>
        </w:rPr>
        <w:t xml:space="preserve">and </w:t>
      </w:r>
      <w:r w:rsidRPr="00FC383C">
        <w:rPr>
          <w:lang w:val="vi-VN"/>
        </w:rPr>
        <w:t xml:space="preserve">7 </w:t>
      </w:r>
      <w:r w:rsidRPr="00FC383C">
        <w:rPr>
          <w:lang w:val="en-US"/>
        </w:rPr>
        <w:t xml:space="preserve">months </w:t>
      </w:r>
      <w:r w:rsidRPr="00FC383C">
        <w:rPr>
          <w:lang w:val="vi-VN"/>
        </w:rPr>
        <w:t xml:space="preserve">of 2024 sent by the Ministry of Finance on </w:t>
      </w:r>
      <w:r w:rsidRPr="00FC383C">
        <w:rPr>
          <w:lang w:val="en-US"/>
        </w:rPr>
        <w:t xml:space="preserve">July 26 </w:t>
      </w:r>
      <w:r w:rsidRPr="00FC383C">
        <w:rPr>
          <w:lang w:val="vi-VN"/>
        </w:rPr>
        <w:t>, 2024.</w:t>
      </w:r>
    </w:p>
  </w:footnote>
  <w:footnote w:id="15">
    <w:p w14:paraId="2B9F803A" w14:textId="77777777" w:rsidR="00EC5D51" w:rsidRPr="00F351F4" w:rsidRDefault="00EC5D51" w:rsidP="00EC5D51">
      <w:pPr>
        <w:pStyle w:val="FootnoteText"/>
        <w:ind w:left="142" w:hanging="142"/>
        <w:jc w:val="both"/>
        <w:rPr>
          <w:lang w:val="en-US"/>
        </w:rPr>
      </w:pPr>
      <w:r>
        <w:rPr>
          <w:rStyle w:val="FootnoteReference"/>
        </w:rPr>
        <w:footnoteRef/>
      </w:r>
      <w:r>
        <w:t xml:space="preserve"> </w:t>
      </w:r>
      <w:r w:rsidRPr="009C5B6D">
        <w:t>The value of export</w:t>
      </w:r>
      <w:r w:rsidRPr="00F7354A">
        <w:t xml:space="preserve"> turnover is calculated at F.O.B price and import turnover is calculated at C.I.F price (including transportation and insurance costs of imported goods).</w:t>
      </w:r>
    </w:p>
  </w:footnote>
  <w:footnote w:id="16">
    <w:p w14:paraId="2107043E" w14:textId="77777777" w:rsidR="00EC5D51" w:rsidRPr="00A25D0E" w:rsidRDefault="00EC5D51" w:rsidP="00EC5D51">
      <w:pPr>
        <w:pStyle w:val="FootnoteText"/>
        <w:ind w:left="142" w:hanging="142"/>
        <w:jc w:val="both"/>
        <w:rPr>
          <w:lang w:val="en-US"/>
        </w:rPr>
      </w:pPr>
      <w:r>
        <w:rPr>
          <w:rStyle w:val="FootnoteReference"/>
        </w:rPr>
        <w:footnoteRef/>
      </w:r>
      <w:r>
        <w:t xml:space="preserve"> </w:t>
      </w:r>
      <w:r w:rsidRPr="002730D8">
        <w:t xml:space="preserve">Estimated total export and import value in </w:t>
      </w:r>
      <w:r>
        <w:t>July</w:t>
      </w:r>
      <w:r w:rsidRPr="002730D8">
        <w:t xml:space="preserve"> </w:t>
      </w:r>
      <w:r>
        <w:t>2024</w:t>
      </w:r>
      <w:r w:rsidRPr="002730D8">
        <w:t xml:space="preserve"> provided by the General Department of Customs on </w:t>
      </w:r>
      <w:r>
        <w:t>July</w:t>
      </w:r>
      <w:r w:rsidRPr="002730D8">
        <w:t xml:space="preserve"> 2</w:t>
      </w:r>
      <w:r>
        <w:t>6</w:t>
      </w:r>
      <w:r w:rsidRPr="002730D8">
        <w:t xml:space="preserve">, </w:t>
      </w:r>
      <w:r>
        <w:t>2024</w:t>
      </w:r>
      <w:r w:rsidRPr="002730D8">
        <w:t xml:space="preserve">. The General Statistics Office estimated the import and export value of key commodities in </w:t>
      </w:r>
      <w:r>
        <w:t>July</w:t>
      </w:r>
      <w:r w:rsidRPr="002730D8">
        <w:t xml:space="preserve"> </w:t>
      </w:r>
      <w:r>
        <w:t>2024</w:t>
      </w:r>
      <w:r w:rsidRPr="002730D8">
        <w:t xml:space="preserve"> based on preliminary data </w:t>
      </w:r>
      <w:r w:rsidRPr="00ED2F5A">
        <w:t xml:space="preserve">provided by the General Department of Customs </w:t>
      </w:r>
      <w:r w:rsidRPr="002730D8">
        <w:t xml:space="preserve">by </w:t>
      </w:r>
      <w:r>
        <w:t>July</w:t>
      </w:r>
      <w:r w:rsidRPr="002730D8">
        <w:t xml:space="preserve"> </w:t>
      </w:r>
      <w:r>
        <w:t>25</w:t>
      </w:r>
      <w:r w:rsidRPr="002730D8">
        <w:t xml:space="preserve">, </w:t>
      </w:r>
      <w:r>
        <w:t>2024</w:t>
      </w:r>
      <w:r w:rsidRPr="002730D8">
        <w:t>.</w:t>
      </w:r>
    </w:p>
  </w:footnote>
  <w:footnote w:id="17">
    <w:p w14:paraId="253A89D4" w14:textId="77777777" w:rsidR="00EC5D51" w:rsidRPr="00ED71AE" w:rsidRDefault="00EC5D51" w:rsidP="00EC5D51">
      <w:pPr>
        <w:pStyle w:val="FootnoteText"/>
        <w:ind w:left="142" w:hanging="142"/>
        <w:jc w:val="both"/>
      </w:pPr>
      <w:r>
        <w:rPr>
          <w:rStyle w:val="FootnoteReference"/>
        </w:rPr>
        <w:footnoteRef/>
      </w:r>
      <w:r>
        <w:t xml:space="preserve"> </w:t>
      </w:r>
      <w:r w:rsidRPr="00ED71AE">
        <w:t xml:space="preserve">Total import and export turnover of goods in </w:t>
      </w:r>
      <w:r>
        <w:t>seven</w:t>
      </w:r>
      <w:r w:rsidRPr="00ED71AE">
        <w:t xml:space="preserve"> months of 2023 reached 3</w:t>
      </w:r>
      <w:r>
        <w:t>75.8</w:t>
      </w:r>
      <w:r w:rsidRPr="00ED71AE">
        <w:t xml:space="preserve"> billion USD, down 1</w:t>
      </w:r>
      <w:r>
        <w:t>3.5</w:t>
      </w:r>
      <w:r w:rsidRPr="00ED71AE">
        <w:t>% over the same period last year, of which exports reached 1</w:t>
      </w:r>
      <w:r>
        <w:t>9</w:t>
      </w:r>
      <w:r w:rsidRPr="00ED71AE">
        <w:t>6</w:t>
      </w:r>
      <w:r>
        <w:t>.1</w:t>
      </w:r>
      <w:r w:rsidRPr="00ED71AE">
        <w:t xml:space="preserve"> billion USD, down 1</w:t>
      </w:r>
      <w:r>
        <w:t>0</w:t>
      </w:r>
      <w:r w:rsidRPr="00ED71AE">
        <w:t>%; imports reached 1</w:t>
      </w:r>
      <w:r>
        <w:t>79.7</w:t>
      </w:r>
      <w:r w:rsidRPr="00ED71AE">
        <w:t xml:space="preserve"> billion USD, down 1</w:t>
      </w:r>
      <w:r>
        <w:t>7.1</w:t>
      </w:r>
      <w:r w:rsidRPr="00ED71AE">
        <w:t>%.</w:t>
      </w:r>
    </w:p>
  </w:footnote>
  <w:footnote w:id="18">
    <w:p w14:paraId="51C6528C" w14:textId="77777777" w:rsidR="00EC5D51" w:rsidRPr="004C7CF5" w:rsidRDefault="00EC5D51" w:rsidP="00EC5D51">
      <w:pPr>
        <w:pStyle w:val="FootnoteText"/>
        <w:ind w:left="720" w:hanging="720"/>
        <w:jc w:val="both"/>
        <w:rPr>
          <w:lang w:val="vi-VN"/>
        </w:rPr>
      </w:pPr>
      <w:r w:rsidRPr="004C7CF5">
        <w:rPr>
          <w:rStyle w:val="FootnoteReference"/>
        </w:rPr>
        <w:footnoteRef/>
      </w:r>
      <w:r w:rsidRPr="004C7CF5">
        <w:rPr>
          <w:lang w:val="vi-VN"/>
        </w:rPr>
        <w:t xml:space="preserve"> </w:t>
      </w:r>
      <w:r w:rsidRPr="004C7CF5">
        <w:rPr>
          <w:lang w:val="en-US"/>
        </w:rPr>
        <w:t>June is estimated to have a trade surplus of 2.94 billion USD</w:t>
      </w:r>
      <w:r w:rsidRPr="004C7CF5">
        <w:rPr>
          <w:lang w:val="vi-VN"/>
        </w:rPr>
        <w:t>.</w:t>
      </w:r>
    </w:p>
  </w:footnote>
  <w:footnote w:id="19">
    <w:p w14:paraId="05FE53B6" w14:textId="77777777" w:rsidR="00EC5D51" w:rsidRPr="00F351F4" w:rsidRDefault="00EC5D51" w:rsidP="00EC5D51">
      <w:pPr>
        <w:pStyle w:val="FootnoteText"/>
        <w:ind w:left="142" w:hanging="142"/>
        <w:jc w:val="both"/>
        <w:rPr>
          <w:lang w:val="en-US"/>
        </w:rPr>
      </w:pPr>
      <w:r>
        <w:rPr>
          <w:rStyle w:val="FootnoteReference"/>
        </w:rPr>
        <w:footnoteRef/>
      </w:r>
      <w:r>
        <w:t xml:space="preserve"> </w:t>
      </w:r>
      <w:r w:rsidRPr="009C5B6D">
        <w:t>The value of export</w:t>
      </w:r>
      <w:r w:rsidRPr="00F7354A">
        <w:t xml:space="preserve"> turnover is calculated at F.O.B price and import turnover is calculated at C.I.F price (including transportation and insurance costs of imported goods).</w:t>
      </w:r>
    </w:p>
  </w:footnote>
  <w:footnote w:id="20">
    <w:p w14:paraId="08DE1EF3" w14:textId="77777777" w:rsidR="00EC5D51" w:rsidRPr="00A25D0E" w:rsidRDefault="00EC5D51" w:rsidP="00EC5D51">
      <w:pPr>
        <w:pStyle w:val="FootnoteText"/>
        <w:ind w:left="142" w:hanging="142"/>
        <w:jc w:val="both"/>
        <w:rPr>
          <w:lang w:val="en-US"/>
        </w:rPr>
      </w:pPr>
      <w:r>
        <w:rPr>
          <w:rStyle w:val="FootnoteReference"/>
        </w:rPr>
        <w:footnoteRef/>
      </w:r>
      <w:r>
        <w:t xml:space="preserve"> </w:t>
      </w:r>
      <w:r w:rsidRPr="002730D8">
        <w:t xml:space="preserve">Estimated total export and import value in </w:t>
      </w:r>
      <w:r>
        <w:t>July</w:t>
      </w:r>
      <w:r w:rsidRPr="002730D8">
        <w:t xml:space="preserve"> </w:t>
      </w:r>
      <w:r>
        <w:t>2024</w:t>
      </w:r>
      <w:r w:rsidRPr="002730D8">
        <w:t xml:space="preserve"> provided by the General Department of Customs on </w:t>
      </w:r>
      <w:r>
        <w:t>July</w:t>
      </w:r>
      <w:r w:rsidRPr="002730D8">
        <w:t xml:space="preserve"> 2</w:t>
      </w:r>
      <w:r>
        <w:t>6</w:t>
      </w:r>
      <w:r w:rsidRPr="002730D8">
        <w:t xml:space="preserve">, </w:t>
      </w:r>
      <w:r>
        <w:t>2024</w:t>
      </w:r>
      <w:r w:rsidRPr="002730D8">
        <w:t xml:space="preserve">. The General Statistics Office estimated the import and export value of key commodities in </w:t>
      </w:r>
      <w:r>
        <w:t>July</w:t>
      </w:r>
      <w:r w:rsidRPr="002730D8">
        <w:t xml:space="preserve"> </w:t>
      </w:r>
      <w:r>
        <w:t>2024</w:t>
      </w:r>
      <w:r w:rsidRPr="002730D8">
        <w:t xml:space="preserve"> based on preliminary data </w:t>
      </w:r>
      <w:r w:rsidRPr="00ED2F5A">
        <w:t xml:space="preserve">provided by the General Department of Customs </w:t>
      </w:r>
      <w:r w:rsidRPr="002730D8">
        <w:t xml:space="preserve">by </w:t>
      </w:r>
      <w:r>
        <w:t>July</w:t>
      </w:r>
      <w:r w:rsidRPr="002730D8">
        <w:t xml:space="preserve"> </w:t>
      </w:r>
      <w:r>
        <w:t>25</w:t>
      </w:r>
      <w:r w:rsidRPr="002730D8">
        <w:t xml:space="preserve">, </w:t>
      </w:r>
      <w:r>
        <w:t>2024</w:t>
      </w:r>
      <w:r w:rsidRPr="002730D8">
        <w:t>.</w:t>
      </w:r>
    </w:p>
  </w:footnote>
  <w:footnote w:id="21">
    <w:p w14:paraId="4C55FBBC" w14:textId="77777777" w:rsidR="00EC5D51" w:rsidRPr="00ED71AE" w:rsidRDefault="00EC5D51" w:rsidP="00EC5D51">
      <w:pPr>
        <w:pStyle w:val="FootnoteText"/>
        <w:ind w:left="142" w:hanging="142"/>
        <w:jc w:val="both"/>
      </w:pPr>
      <w:r>
        <w:rPr>
          <w:rStyle w:val="FootnoteReference"/>
        </w:rPr>
        <w:footnoteRef/>
      </w:r>
      <w:r>
        <w:t xml:space="preserve"> </w:t>
      </w:r>
      <w:r w:rsidRPr="00ED71AE">
        <w:t xml:space="preserve">Total import and export turnover of goods in </w:t>
      </w:r>
      <w:r>
        <w:t>seven</w:t>
      </w:r>
      <w:r w:rsidRPr="00ED71AE">
        <w:t xml:space="preserve"> months of 2023 reached 3</w:t>
      </w:r>
      <w:r>
        <w:t>75.8</w:t>
      </w:r>
      <w:r w:rsidRPr="00ED71AE">
        <w:t xml:space="preserve"> billion USD, down 1</w:t>
      </w:r>
      <w:r>
        <w:t>3.5</w:t>
      </w:r>
      <w:r w:rsidRPr="00ED71AE">
        <w:t>% over the same period last year, of which exports reached 1</w:t>
      </w:r>
      <w:r>
        <w:t>9</w:t>
      </w:r>
      <w:r w:rsidRPr="00ED71AE">
        <w:t>6</w:t>
      </w:r>
      <w:r>
        <w:t>.1</w:t>
      </w:r>
      <w:r w:rsidRPr="00ED71AE">
        <w:t xml:space="preserve"> billion USD, down 1</w:t>
      </w:r>
      <w:r>
        <w:t>0</w:t>
      </w:r>
      <w:r w:rsidRPr="00ED71AE">
        <w:t>%; imports reached 1</w:t>
      </w:r>
      <w:r>
        <w:t>79.7</w:t>
      </w:r>
      <w:r w:rsidRPr="00ED71AE">
        <w:t xml:space="preserve"> billion USD, down 1</w:t>
      </w:r>
      <w:r>
        <w:t>7.1</w:t>
      </w:r>
      <w:r w:rsidRPr="00ED71AE">
        <w:t>%.</w:t>
      </w:r>
    </w:p>
  </w:footnote>
  <w:footnote w:id="22">
    <w:p w14:paraId="19A742A0" w14:textId="77777777" w:rsidR="00EC5D51" w:rsidRPr="004C7CF5" w:rsidRDefault="00EC5D51" w:rsidP="00EC5D51">
      <w:pPr>
        <w:pStyle w:val="FootnoteText"/>
        <w:ind w:left="720" w:hanging="720"/>
        <w:jc w:val="both"/>
        <w:rPr>
          <w:lang w:val="vi-VN"/>
        </w:rPr>
      </w:pPr>
      <w:r w:rsidRPr="004C7CF5">
        <w:rPr>
          <w:rStyle w:val="FootnoteReference"/>
        </w:rPr>
        <w:footnoteRef/>
      </w:r>
      <w:r w:rsidRPr="004C7CF5">
        <w:rPr>
          <w:lang w:val="vi-VN"/>
        </w:rPr>
        <w:t xml:space="preserve"> </w:t>
      </w:r>
      <w:r w:rsidRPr="004C7CF5">
        <w:rPr>
          <w:lang w:val="en-US"/>
        </w:rPr>
        <w:t>June is estimated to have a trade surplus of 2.94 billion USD</w:t>
      </w:r>
      <w:r w:rsidRPr="004C7CF5">
        <w:rPr>
          <w:lang w:val="vi-VN"/>
        </w:rPr>
        <w:t>.</w:t>
      </w:r>
    </w:p>
  </w:footnote>
  <w:footnote w:id="23">
    <w:p w14:paraId="7897E26B" w14:textId="77777777" w:rsidR="00EC5D51" w:rsidRPr="00FC383C" w:rsidRDefault="00EC5D51" w:rsidP="00EC5D51">
      <w:pPr>
        <w:pStyle w:val="FootnoteText"/>
        <w:ind w:left="198" w:hanging="198"/>
        <w:jc w:val="both"/>
        <w:rPr>
          <w:lang w:val="vi-VN"/>
        </w:rPr>
      </w:pPr>
      <w:r w:rsidRPr="00FC383C">
        <w:rPr>
          <w:rStyle w:val="FootnoteReference"/>
        </w:rPr>
        <w:footnoteRef/>
      </w:r>
      <w:r>
        <w:rPr>
          <w:lang w:val="en-US"/>
        </w:rPr>
        <w:t xml:space="preserve"> O</w:t>
      </w:r>
      <w:r w:rsidRPr="00FC383C">
        <w:rPr>
          <w:lang w:val="vi-VN"/>
        </w:rPr>
        <w:t xml:space="preserve">ther </w:t>
      </w:r>
      <w:r w:rsidRPr="00FC383C">
        <w:t>products because it is calculated based on revenue and consumption output of June 2024.</w:t>
      </w:r>
    </w:p>
  </w:footnote>
  <w:footnote w:id="24">
    <w:p w14:paraId="75D612E3" w14:textId="77777777" w:rsidR="00EC5D51" w:rsidRPr="00FC383C" w:rsidRDefault="00EC5D51" w:rsidP="00EC5D51">
      <w:pPr>
        <w:pStyle w:val="FootnoteText"/>
        <w:spacing w:before="20" w:after="20"/>
        <w:ind w:left="198" w:hanging="198"/>
        <w:jc w:val="both"/>
        <w:rPr>
          <w:lang w:val="en-US"/>
        </w:rPr>
      </w:pPr>
      <w:r w:rsidRPr="00FC383C">
        <w:rPr>
          <w:rStyle w:val="FootnoteReference"/>
        </w:rPr>
        <w:footnoteRef/>
      </w:r>
      <w:r w:rsidRPr="00FC383C">
        <w:rPr>
          <w:lang w:val="vi-VN"/>
        </w:rPr>
        <w:t xml:space="preserve"> </w:t>
      </w:r>
      <w:r w:rsidRPr="00FC383C">
        <w:rPr>
          <w:lang w:val="vi-VN"/>
        </w:rPr>
        <w:t xml:space="preserve">The price </w:t>
      </w:r>
      <w:r w:rsidRPr="00FC383C">
        <w:rPr>
          <w:lang w:val="en-US"/>
        </w:rPr>
        <w:t xml:space="preserve">index </w:t>
      </w:r>
      <w:r w:rsidRPr="00FC383C">
        <w:rPr>
          <w:lang w:val="vi-VN"/>
        </w:rPr>
        <w:t xml:space="preserve">of the rice group decreased by 0.27% (Regular rice decreased by 0.27%; Delicious ordinary rice decreased by 0.28%; Sticky rice decreased by 0.12%) </w:t>
      </w:r>
      <w:r w:rsidRPr="00FC383C">
        <w:rPr>
          <w:lang w:val="en-US"/>
        </w:rPr>
        <w:t>. On the contrary, some food items increased in July such as potato prices increased by 2.63%; corn increased by 1.68%; Wheat flour and noodles, noodles, pho, and instant porridge all increased by 0.42%; vermicelli increased by 0.32%; cornstarch increased by 0.27%; ready-to-eat cereals increased by 0.26%.</w:t>
      </w:r>
    </w:p>
  </w:footnote>
  <w:footnote w:id="25">
    <w:p w14:paraId="309F7D96" w14:textId="77777777" w:rsidR="00EC5D51" w:rsidRPr="00FC383C" w:rsidRDefault="00EC5D51" w:rsidP="00EC5D51">
      <w:pPr>
        <w:pStyle w:val="FootnoteText"/>
        <w:spacing w:before="20" w:after="20"/>
        <w:ind w:left="198" w:hanging="198"/>
        <w:jc w:val="both"/>
      </w:pPr>
      <w:r w:rsidRPr="00FC383C">
        <w:rPr>
          <w:rStyle w:val="FootnoteReference"/>
        </w:rPr>
        <w:footnoteRef/>
      </w:r>
      <w:r>
        <w:t xml:space="preserve"> </w:t>
      </w:r>
      <w:r w:rsidRPr="00FC383C">
        <w:t>Pork prices increased by 0.79%, accordingly, animal fat prices increased by 1.45%; Roasted meat and sausage increased by 0.49%; animal organs increased by 0.39%. Prices of fresh, dried and processed vegetables increased by 0.32%; fresh and dried herbs and spices increased by 1.19%; kohlrabi increased by 1.02%; Fresh and processed fruit prices increased by 0.33%; Prices of fresh eggs of all kinds increased by 1.99% and processed eggs increased by 0.31%; Spice prices increased by 0.5%; tea, coffee, cocoa increased by 0.42%; sugar and bile increased by 0.24%; cakes, jams, and candy increased by 0.12%; milk, butter, cheese increased by 0.11%. In addition to price increasing items, the price of fresh seafood in July 2024 decreased by 0.02% compared to the previous month, of which the price of fresh or chilled shrimp decreased by 0.84% due to shrimp being harvested and supply. cornucopia.</w:t>
      </w:r>
    </w:p>
  </w:footnote>
  <w:footnote w:id="26">
    <w:p w14:paraId="71A1A55A" w14:textId="77777777" w:rsidR="00EC5D51" w:rsidRPr="00FC383C" w:rsidRDefault="00EC5D51" w:rsidP="00EC5D51">
      <w:pPr>
        <w:pStyle w:val="FootnoteText"/>
        <w:spacing w:before="20" w:after="20"/>
        <w:ind w:left="198" w:hanging="198"/>
        <w:jc w:val="both"/>
        <w:rPr>
          <w:lang w:val="vi-VN"/>
        </w:rPr>
      </w:pPr>
      <w:r w:rsidRPr="00FC383C">
        <w:rPr>
          <w:rStyle w:val="FootnoteReference"/>
        </w:rPr>
        <w:footnoteRef/>
      </w:r>
      <w:r w:rsidRPr="00FC383C">
        <w:t xml:space="preserve"> </w:t>
      </w:r>
      <w:r>
        <w:t xml:space="preserve"> </w:t>
      </w:r>
      <w:r w:rsidRPr="00FC383C">
        <w:rPr>
          <w:lang w:val="vi-VN"/>
        </w:rPr>
        <w:t>Due</w:t>
      </w:r>
      <w:r w:rsidRPr="00FC383C">
        <w:rPr>
          <w:lang w:val="en-US"/>
        </w:rPr>
        <w:t xml:space="preserve"> </w:t>
      </w:r>
      <w:r w:rsidRPr="00FC383C">
        <w:rPr>
          <w:lang w:val="vi-VN"/>
        </w:rPr>
        <w:t>During the peak tourist month, many localities organize activities and programs to attract tourists, increasing the demand for eating out at home. In particular, the price of drinks outside the home increased by 0.32%; Eating out at home increased by 0.26%; takeaway fast food increased by 0.12%.</w:t>
      </w:r>
    </w:p>
  </w:footnote>
  <w:footnote w:id="27">
    <w:p w14:paraId="615160EF" w14:textId="77777777" w:rsidR="00EC5D51" w:rsidRPr="00FC383C" w:rsidRDefault="00EC5D51" w:rsidP="00EC5D51">
      <w:pPr>
        <w:pStyle w:val="FootnoteText"/>
        <w:spacing w:before="20" w:after="20"/>
        <w:ind w:left="142" w:hanging="142"/>
        <w:jc w:val="both"/>
      </w:pPr>
      <w:r w:rsidRPr="00FC383C">
        <w:rPr>
          <w:rStyle w:val="FootnoteReference"/>
        </w:rPr>
        <w:footnoteRef/>
      </w:r>
      <w:r>
        <w:t xml:space="preserve"> </w:t>
      </w:r>
      <w:r w:rsidRPr="00FC383C">
        <w:t>CPI after excluding food, fresh food, energy and State-managed goods including health services and education.</w:t>
      </w:r>
    </w:p>
  </w:footnote>
  <w:footnote w:id="28">
    <w:p w14:paraId="7F20884F" w14:textId="77777777" w:rsidR="00881BAC" w:rsidRPr="00ED7B15" w:rsidRDefault="00881BAC" w:rsidP="00881BAC">
      <w:pPr>
        <w:pStyle w:val="FootnoteText"/>
        <w:jc w:val="both"/>
        <w:rPr>
          <w:sz w:val="18"/>
          <w:szCs w:val="18"/>
        </w:rPr>
      </w:pPr>
      <w:r w:rsidRPr="00ED7B15">
        <w:rPr>
          <w:rStyle w:val="FootnoteReference"/>
        </w:rPr>
        <w:footnoteRef/>
      </w:r>
      <w:r w:rsidRPr="00ED7B15">
        <w:rPr>
          <w:spacing w:val="2"/>
        </w:rPr>
        <w:t xml:space="preserve"> According to the report of the Border Gate Department, the Border Guard Command, the Ministry of National Defense and the Immigration Department.</w:t>
      </w:r>
    </w:p>
  </w:footnote>
  <w:footnote w:id="29">
    <w:p w14:paraId="1E1A3769" w14:textId="77777777" w:rsidR="00881BAC" w:rsidRPr="00ED7B15" w:rsidRDefault="00881BAC" w:rsidP="00881BAC">
      <w:pPr>
        <w:pStyle w:val="FootnoteText"/>
        <w:jc w:val="both"/>
        <w:rPr>
          <w:sz w:val="18"/>
          <w:szCs w:val="18"/>
          <w:lang w:val="vi-VN"/>
        </w:rPr>
      </w:pPr>
      <w:r w:rsidRPr="00ED7B15">
        <w:rPr>
          <w:rStyle w:val="FootnoteReference"/>
          <w:sz w:val="18"/>
          <w:szCs w:val="18"/>
        </w:rPr>
        <w:footnoteRef/>
      </w:r>
      <w:r w:rsidRPr="00ED7B15">
        <w:rPr>
          <w:sz w:val="18"/>
          <w:szCs w:val="18"/>
          <w:lang w:val="vi-VN"/>
        </w:rPr>
        <w:t xml:space="preserve"> </w:t>
      </w:r>
      <w:r w:rsidRPr="00ED7B15">
        <w:rPr>
          <w:spacing w:val="2"/>
        </w:rPr>
        <w:t xml:space="preserve">The reporting period was from </w:t>
      </w:r>
      <w:r>
        <w:rPr>
          <w:spacing w:val="2"/>
        </w:rPr>
        <w:t>June</w:t>
      </w:r>
      <w:r w:rsidRPr="00ED7B15">
        <w:rPr>
          <w:spacing w:val="2"/>
        </w:rPr>
        <w:t xml:space="preserve"> 21, 202</w:t>
      </w:r>
      <w:r>
        <w:rPr>
          <w:spacing w:val="2"/>
        </w:rPr>
        <w:t>3</w:t>
      </w:r>
      <w:r w:rsidRPr="00ED7B15">
        <w:rPr>
          <w:spacing w:val="2"/>
        </w:rPr>
        <w:t xml:space="preserve"> to Ju</w:t>
      </w:r>
      <w:r>
        <w:rPr>
          <w:spacing w:val="2"/>
        </w:rPr>
        <w:t>ly</w:t>
      </w:r>
      <w:r w:rsidRPr="00ED7B15">
        <w:rPr>
          <w:spacing w:val="2"/>
        </w:rPr>
        <w:t xml:space="preserve"> 20, 2023.</w:t>
      </w:r>
    </w:p>
  </w:footnote>
  <w:footnote w:id="30">
    <w:p w14:paraId="0262CEF8" w14:textId="77777777" w:rsidR="00EC5D51" w:rsidRDefault="00EC5D51" w:rsidP="00EC5D51">
      <w:pPr>
        <w:pStyle w:val="FootnoteText"/>
        <w:jc w:val="both"/>
        <w:rPr>
          <w:sz w:val="18"/>
          <w:szCs w:val="18"/>
        </w:rPr>
      </w:pPr>
      <w:r>
        <w:rPr>
          <w:rStyle w:val="FootnoteReference"/>
        </w:rPr>
        <w:footnoteRef/>
      </w:r>
      <w:r>
        <w:rPr>
          <w:spacing w:val="2"/>
        </w:rPr>
        <w:t xml:space="preserve"> According to the report of the Border Gate Department, the Border Guard Command, the Ministry of National Defense and the Immigration Department.</w:t>
      </w:r>
    </w:p>
  </w:footnote>
  <w:footnote w:id="31">
    <w:p w14:paraId="23AAA5EF" w14:textId="77777777" w:rsidR="00EC5D51" w:rsidRPr="00672651" w:rsidRDefault="00EC5D51" w:rsidP="00EC5D51">
      <w:pPr>
        <w:pStyle w:val="FootnoteText"/>
        <w:rPr>
          <w:lang w:val="en-US"/>
        </w:rPr>
      </w:pPr>
      <w:r>
        <w:rPr>
          <w:rStyle w:val="FootnoteReference"/>
        </w:rPr>
        <w:footnoteRef/>
      </w:r>
      <w:r>
        <w:t xml:space="preserve"> </w:t>
      </w:r>
      <w:r>
        <w:rPr>
          <w:lang w:val="en-US"/>
        </w:rPr>
        <w:t>T</w:t>
      </w:r>
      <w:r>
        <w:rPr>
          <w:lang w:val="nl-NL"/>
        </w:rPr>
        <w:t xml:space="preserve">he reporting period was from June 21, </w:t>
      </w:r>
      <w:proofErr w:type="gramStart"/>
      <w:r>
        <w:rPr>
          <w:lang w:val="nl-NL"/>
        </w:rPr>
        <w:t>2024</w:t>
      </w:r>
      <w:proofErr w:type="gramEnd"/>
      <w:r>
        <w:rPr>
          <w:lang w:val="nl-NL"/>
        </w:rPr>
        <w:t xml:space="preserve"> to July 20, 2024.</w:t>
      </w:r>
    </w:p>
  </w:footnote>
  <w:footnote w:id="32">
    <w:p w14:paraId="40277562" w14:textId="77777777" w:rsidR="00EC5D51" w:rsidRPr="00FC383C" w:rsidRDefault="00EC5D51" w:rsidP="00EC5D51">
      <w:pPr>
        <w:pStyle w:val="FootnoteText"/>
        <w:rPr>
          <w:lang w:val="nl-NL"/>
        </w:rPr>
      </w:pPr>
      <w:r w:rsidRPr="00FC383C">
        <w:rPr>
          <w:rStyle w:val="FootnoteReference"/>
        </w:rPr>
        <w:footnoteRef/>
      </w:r>
      <w:r w:rsidRPr="00FC383C">
        <w:t xml:space="preserve"> </w:t>
      </w:r>
      <w:r w:rsidRPr="00CD1EC1">
        <w:t>A household can choose many reasons to reduce income.</w:t>
      </w:r>
    </w:p>
  </w:footnote>
  <w:footnote w:id="33">
    <w:p w14:paraId="44CF06B2" w14:textId="77777777" w:rsidR="00EC5D51" w:rsidRPr="00FC383C" w:rsidRDefault="00EC5D51" w:rsidP="00EC5D51">
      <w:pPr>
        <w:pStyle w:val="FootnoteText"/>
        <w:spacing w:after="40"/>
        <w:ind w:left="198" w:hanging="198"/>
        <w:jc w:val="both"/>
      </w:pPr>
      <w:r w:rsidRPr="00FC383C">
        <w:rPr>
          <w:rStyle w:val="FootnoteReference"/>
        </w:rPr>
        <w:footnoteRef/>
      </w:r>
      <w:r w:rsidRPr="00FC383C">
        <w:t xml:space="preserve"> </w:t>
      </w:r>
      <w:r w:rsidRPr="00CD1EC1">
        <w:t>According to a quick report from the Office of the Ministry of Public Security and the Vietnam Maritime Administration (Ministry of Transport) on July 23, 2024.</w:t>
      </w:r>
    </w:p>
  </w:footnote>
  <w:footnote w:id="34">
    <w:p w14:paraId="5540A930" w14:textId="77777777" w:rsidR="00EC5D51" w:rsidRPr="00FC383C" w:rsidRDefault="00EC5D51" w:rsidP="00EC5D51">
      <w:pPr>
        <w:pStyle w:val="FootnoteText"/>
        <w:spacing w:after="40"/>
        <w:ind w:left="198" w:hanging="198"/>
        <w:jc w:val="both"/>
        <w:rPr>
          <w:spacing w:val="-2"/>
        </w:rPr>
      </w:pPr>
      <w:r w:rsidRPr="00FC383C">
        <w:rPr>
          <w:rStyle w:val="FootnoteReference"/>
        </w:rPr>
        <w:footnoteRef/>
      </w:r>
      <w:r w:rsidRPr="00FC383C">
        <w:t xml:space="preserve"> </w:t>
      </w:r>
      <w:r w:rsidRPr="00CD1EC1">
        <w:t>Summary of reports from 63 Departments of Agriculture and Rural Development, reporting period from June 19 to July 18, 2024.</w:t>
      </w:r>
    </w:p>
  </w:footnote>
  <w:footnote w:id="35">
    <w:p w14:paraId="2CA77E11" w14:textId="77777777" w:rsidR="00EC5D51" w:rsidRPr="00CD1EC1" w:rsidRDefault="00EC5D51" w:rsidP="00EC5D51">
      <w:pPr>
        <w:pStyle w:val="FootnoteText"/>
        <w:spacing w:after="40"/>
        <w:ind w:left="198" w:hanging="198"/>
        <w:jc w:val="both"/>
      </w:pPr>
      <w:r w:rsidRPr="00FC383C">
        <w:rPr>
          <w:rStyle w:val="FootnoteReference"/>
        </w:rPr>
        <w:footnoteRef/>
      </w:r>
      <w:r w:rsidRPr="00FC383C">
        <w:t xml:space="preserve"> </w:t>
      </w:r>
      <w:r>
        <w:t>According to a report from the Department of Natural Resources and Environment, the Police of provinces and centrally run cities Department of General Statistics.</w:t>
      </w:r>
    </w:p>
  </w:footnote>
  <w:footnote w:id="36">
    <w:p w14:paraId="309C0DAC" w14:textId="77777777" w:rsidR="00EC5D51" w:rsidRPr="00FC383C" w:rsidRDefault="00EC5D51" w:rsidP="00EC5D51">
      <w:pPr>
        <w:pStyle w:val="FootnoteText"/>
        <w:spacing w:after="40"/>
        <w:ind w:left="198" w:hanging="198"/>
      </w:pPr>
      <w:r w:rsidRPr="00FC383C">
        <w:rPr>
          <w:rStyle w:val="FootnoteReference"/>
        </w:rPr>
        <w:footnoteRef/>
      </w:r>
      <w:r w:rsidRPr="00FC383C">
        <w:t xml:space="preserve"> </w:t>
      </w:r>
      <w:r w:rsidRPr="00CD1EC1">
        <w:t>According to a quick report from the Ministry of Public Security on July 23,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ED533" w14:textId="13CD2A05" w:rsidR="0074793C" w:rsidRPr="00AC7FFB" w:rsidRDefault="0074793C">
    <w:pPr>
      <w:pStyle w:val="Header"/>
      <w:jc w:val="center"/>
      <w:rPr>
        <w:sz w:val="26"/>
        <w:szCs w:val="26"/>
      </w:rPr>
    </w:pPr>
    <w:r w:rsidRPr="00AC7FFB">
      <w:rPr>
        <w:sz w:val="26"/>
        <w:szCs w:val="26"/>
      </w:rPr>
      <w:fldChar w:fldCharType="begin"/>
    </w:r>
    <w:r w:rsidRPr="00AC7FFB">
      <w:rPr>
        <w:sz w:val="26"/>
        <w:szCs w:val="26"/>
      </w:rPr>
      <w:instrText xml:space="preserve"> PAGE   \* MERGEFORMAT </w:instrText>
    </w:r>
    <w:r w:rsidRPr="00AC7FFB">
      <w:rPr>
        <w:sz w:val="26"/>
        <w:szCs w:val="26"/>
      </w:rPr>
      <w:fldChar w:fldCharType="separate"/>
    </w:r>
    <w:r w:rsidR="00861951">
      <w:rPr>
        <w:noProof/>
        <w:sz w:val="26"/>
        <w:szCs w:val="26"/>
      </w:rPr>
      <w:t>4</w:t>
    </w:r>
    <w:r w:rsidRPr="00AC7FFB">
      <w:rPr>
        <w:sz w:val="26"/>
        <w:szCs w:val="26"/>
      </w:rPr>
      <w:fldChar w:fldCharType="end"/>
    </w:r>
  </w:p>
  <w:p w14:paraId="1345E178" w14:textId="77777777" w:rsidR="0074793C" w:rsidRDefault="00747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27E2210"/>
    <w:multiLevelType w:val="hybridMultilevel"/>
    <w:tmpl w:val="5B5A25EE"/>
    <w:lvl w:ilvl="0" w:tplc="B7665A3E">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50047D20"/>
    <w:multiLevelType w:val="hybridMultilevel"/>
    <w:tmpl w:val="8B78EE34"/>
    <w:lvl w:ilvl="0" w:tplc="D43EE3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6"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783132AF"/>
    <w:multiLevelType w:val="hybridMultilevel"/>
    <w:tmpl w:val="9D263308"/>
    <w:lvl w:ilvl="0" w:tplc="5A664FD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39801681">
    <w:abstractNumId w:val="3"/>
  </w:num>
  <w:num w:numId="2" w16cid:durableId="741873254">
    <w:abstractNumId w:val="5"/>
  </w:num>
  <w:num w:numId="3" w16cid:durableId="1071349650">
    <w:abstractNumId w:val="6"/>
  </w:num>
  <w:num w:numId="4" w16cid:durableId="1479608808">
    <w:abstractNumId w:val="0"/>
  </w:num>
  <w:num w:numId="5" w16cid:durableId="1269697586">
    <w:abstractNumId w:val="1"/>
  </w:num>
  <w:num w:numId="6" w16cid:durableId="1342588607">
    <w:abstractNumId w:val="2"/>
  </w:num>
  <w:num w:numId="7" w16cid:durableId="1926646629">
    <w:abstractNumId w:val="7"/>
  </w:num>
  <w:num w:numId="8" w16cid:durableId="1327199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grammar="clean"/>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68"/>
    <w:rsid w:val="0000060A"/>
    <w:rsid w:val="0000106D"/>
    <w:rsid w:val="00001111"/>
    <w:rsid w:val="00001C22"/>
    <w:rsid w:val="000036C2"/>
    <w:rsid w:val="00003C5E"/>
    <w:rsid w:val="000043CF"/>
    <w:rsid w:val="0000461D"/>
    <w:rsid w:val="00005622"/>
    <w:rsid w:val="0000631B"/>
    <w:rsid w:val="000071F9"/>
    <w:rsid w:val="00010A81"/>
    <w:rsid w:val="000111B7"/>
    <w:rsid w:val="00011FBD"/>
    <w:rsid w:val="00012187"/>
    <w:rsid w:val="00012590"/>
    <w:rsid w:val="00012976"/>
    <w:rsid w:val="00012C2C"/>
    <w:rsid w:val="00013D33"/>
    <w:rsid w:val="00014846"/>
    <w:rsid w:val="00014AB2"/>
    <w:rsid w:val="000154AA"/>
    <w:rsid w:val="00016203"/>
    <w:rsid w:val="000169D6"/>
    <w:rsid w:val="0001752D"/>
    <w:rsid w:val="00020671"/>
    <w:rsid w:val="000209B1"/>
    <w:rsid w:val="000229F8"/>
    <w:rsid w:val="00022A03"/>
    <w:rsid w:val="00023714"/>
    <w:rsid w:val="00024AC9"/>
    <w:rsid w:val="00025359"/>
    <w:rsid w:val="0002579C"/>
    <w:rsid w:val="0002736B"/>
    <w:rsid w:val="000277B8"/>
    <w:rsid w:val="0003027A"/>
    <w:rsid w:val="000308C7"/>
    <w:rsid w:val="00030AF3"/>
    <w:rsid w:val="00030D8A"/>
    <w:rsid w:val="000319D7"/>
    <w:rsid w:val="0003230D"/>
    <w:rsid w:val="00033E21"/>
    <w:rsid w:val="00034406"/>
    <w:rsid w:val="00036452"/>
    <w:rsid w:val="00040137"/>
    <w:rsid w:val="000420D5"/>
    <w:rsid w:val="00042223"/>
    <w:rsid w:val="00042EB9"/>
    <w:rsid w:val="000447D4"/>
    <w:rsid w:val="00044A7D"/>
    <w:rsid w:val="00045745"/>
    <w:rsid w:val="000461E1"/>
    <w:rsid w:val="000463F1"/>
    <w:rsid w:val="00046AD8"/>
    <w:rsid w:val="00046EB2"/>
    <w:rsid w:val="00047933"/>
    <w:rsid w:val="000506B5"/>
    <w:rsid w:val="00050839"/>
    <w:rsid w:val="00050A08"/>
    <w:rsid w:val="00051916"/>
    <w:rsid w:val="00052DD5"/>
    <w:rsid w:val="000536A2"/>
    <w:rsid w:val="00055398"/>
    <w:rsid w:val="0005565B"/>
    <w:rsid w:val="00055C58"/>
    <w:rsid w:val="000564ED"/>
    <w:rsid w:val="00056734"/>
    <w:rsid w:val="000577DB"/>
    <w:rsid w:val="000601AD"/>
    <w:rsid w:val="00060A18"/>
    <w:rsid w:val="00060D9F"/>
    <w:rsid w:val="00060EF3"/>
    <w:rsid w:val="00061C45"/>
    <w:rsid w:val="00061DBA"/>
    <w:rsid w:val="00062BEB"/>
    <w:rsid w:val="00062D3D"/>
    <w:rsid w:val="00062EB5"/>
    <w:rsid w:val="00062FE7"/>
    <w:rsid w:val="00063317"/>
    <w:rsid w:val="00063509"/>
    <w:rsid w:val="0006483F"/>
    <w:rsid w:val="0006495B"/>
    <w:rsid w:val="00065158"/>
    <w:rsid w:val="0006555A"/>
    <w:rsid w:val="000658A7"/>
    <w:rsid w:val="00065A13"/>
    <w:rsid w:val="00065CCF"/>
    <w:rsid w:val="00070B2D"/>
    <w:rsid w:val="00070C81"/>
    <w:rsid w:val="000712EE"/>
    <w:rsid w:val="00072295"/>
    <w:rsid w:val="00072810"/>
    <w:rsid w:val="00072A12"/>
    <w:rsid w:val="000730C0"/>
    <w:rsid w:val="00074861"/>
    <w:rsid w:val="0007509B"/>
    <w:rsid w:val="0007526A"/>
    <w:rsid w:val="0007626A"/>
    <w:rsid w:val="00076466"/>
    <w:rsid w:val="0007684A"/>
    <w:rsid w:val="00076D5E"/>
    <w:rsid w:val="00076F40"/>
    <w:rsid w:val="0007721A"/>
    <w:rsid w:val="00077553"/>
    <w:rsid w:val="00077737"/>
    <w:rsid w:val="0007787D"/>
    <w:rsid w:val="00077957"/>
    <w:rsid w:val="000809AB"/>
    <w:rsid w:val="00083330"/>
    <w:rsid w:val="00083FA5"/>
    <w:rsid w:val="000851C7"/>
    <w:rsid w:val="00086FF3"/>
    <w:rsid w:val="000906F5"/>
    <w:rsid w:val="000909CE"/>
    <w:rsid w:val="0009196E"/>
    <w:rsid w:val="00092656"/>
    <w:rsid w:val="00092A06"/>
    <w:rsid w:val="00092C77"/>
    <w:rsid w:val="00092E0E"/>
    <w:rsid w:val="000930DA"/>
    <w:rsid w:val="000937B1"/>
    <w:rsid w:val="00094645"/>
    <w:rsid w:val="00095257"/>
    <w:rsid w:val="00095F89"/>
    <w:rsid w:val="0009679C"/>
    <w:rsid w:val="00096C40"/>
    <w:rsid w:val="00097180"/>
    <w:rsid w:val="00097770"/>
    <w:rsid w:val="000A0827"/>
    <w:rsid w:val="000A0849"/>
    <w:rsid w:val="000A1186"/>
    <w:rsid w:val="000A173F"/>
    <w:rsid w:val="000A192B"/>
    <w:rsid w:val="000A1CCE"/>
    <w:rsid w:val="000A3467"/>
    <w:rsid w:val="000A39E0"/>
    <w:rsid w:val="000A42A0"/>
    <w:rsid w:val="000A4465"/>
    <w:rsid w:val="000A4A08"/>
    <w:rsid w:val="000A58E0"/>
    <w:rsid w:val="000A5F10"/>
    <w:rsid w:val="000A6278"/>
    <w:rsid w:val="000A64CA"/>
    <w:rsid w:val="000A68DF"/>
    <w:rsid w:val="000B19FB"/>
    <w:rsid w:val="000B1DBB"/>
    <w:rsid w:val="000B2181"/>
    <w:rsid w:val="000B3A76"/>
    <w:rsid w:val="000B3B84"/>
    <w:rsid w:val="000B4674"/>
    <w:rsid w:val="000B46CF"/>
    <w:rsid w:val="000B481F"/>
    <w:rsid w:val="000B49D3"/>
    <w:rsid w:val="000B56FF"/>
    <w:rsid w:val="000B5B1D"/>
    <w:rsid w:val="000B630A"/>
    <w:rsid w:val="000B720A"/>
    <w:rsid w:val="000B775B"/>
    <w:rsid w:val="000C006C"/>
    <w:rsid w:val="000C0548"/>
    <w:rsid w:val="000C1A58"/>
    <w:rsid w:val="000C1AEE"/>
    <w:rsid w:val="000C27E6"/>
    <w:rsid w:val="000C4772"/>
    <w:rsid w:val="000C5209"/>
    <w:rsid w:val="000C53E9"/>
    <w:rsid w:val="000C5737"/>
    <w:rsid w:val="000C5829"/>
    <w:rsid w:val="000C65E4"/>
    <w:rsid w:val="000C68DD"/>
    <w:rsid w:val="000C6AB4"/>
    <w:rsid w:val="000C6F18"/>
    <w:rsid w:val="000C74A9"/>
    <w:rsid w:val="000C7688"/>
    <w:rsid w:val="000C7F9F"/>
    <w:rsid w:val="000D0051"/>
    <w:rsid w:val="000D1ED4"/>
    <w:rsid w:val="000D26EE"/>
    <w:rsid w:val="000D26EF"/>
    <w:rsid w:val="000D2FA0"/>
    <w:rsid w:val="000D3A06"/>
    <w:rsid w:val="000D4AFF"/>
    <w:rsid w:val="000D4CC8"/>
    <w:rsid w:val="000D4F5D"/>
    <w:rsid w:val="000D52DC"/>
    <w:rsid w:val="000D53AB"/>
    <w:rsid w:val="000D573D"/>
    <w:rsid w:val="000D58AA"/>
    <w:rsid w:val="000D60C2"/>
    <w:rsid w:val="000D6F2D"/>
    <w:rsid w:val="000D713B"/>
    <w:rsid w:val="000D71B7"/>
    <w:rsid w:val="000D76D0"/>
    <w:rsid w:val="000D78C2"/>
    <w:rsid w:val="000E0006"/>
    <w:rsid w:val="000E0C6F"/>
    <w:rsid w:val="000E2AD5"/>
    <w:rsid w:val="000E3289"/>
    <w:rsid w:val="000E4B18"/>
    <w:rsid w:val="000E4E3C"/>
    <w:rsid w:val="000E535D"/>
    <w:rsid w:val="000E6165"/>
    <w:rsid w:val="000E689F"/>
    <w:rsid w:val="000E6961"/>
    <w:rsid w:val="000E780A"/>
    <w:rsid w:val="000F0084"/>
    <w:rsid w:val="000F0EA1"/>
    <w:rsid w:val="000F394F"/>
    <w:rsid w:val="000F3CA3"/>
    <w:rsid w:val="000F423F"/>
    <w:rsid w:val="000F4742"/>
    <w:rsid w:val="000F4AC9"/>
    <w:rsid w:val="000F4DEC"/>
    <w:rsid w:val="000F5913"/>
    <w:rsid w:val="000F6092"/>
    <w:rsid w:val="000F6482"/>
    <w:rsid w:val="000F74AD"/>
    <w:rsid w:val="000F78C7"/>
    <w:rsid w:val="000F7BC2"/>
    <w:rsid w:val="00100DF0"/>
    <w:rsid w:val="00100E88"/>
    <w:rsid w:val="00100EB4"/>
    <w:rsid w:val="00101826"/>
    <w:rsid w:val="0010196B"/>
    <w:rsid w:val="0010267B"/>
    <w:rsid w:val="00103A80"/>
    <w:rsid w:val="00103B7E"/>
    <w:rsid w:val="001053C0"/>
    <w:rsid w:val="001067DB"/>
    <w:rsid w:val="00107927"/>
    <w:rsid w:val="0011054B"/>
    <w:rsid w:val="00110D03"/>
    <w:rsid w:val="00110D60"/>
    <w:rsid w:val="001111A4"/>
    <w:rsid w:val="00111673"/>
    <w:rsid w:val="00112582"/>
    <w:rsid w:val="0011328C"/>
    <w:rsid w:val="00113542"/>
    <w:rsid w:val="00114299"/>
    <w:rsid w:val="0011450B"/>
    <w:rsid w:val="001145F4"/>
    <w:rsid w:val="00114759"/>
    <w:rsid w:val="001156CE"/>
    <w:rsid w:val="001163E2"/>
    <w:rsid w:val="00117119"/>
    <w:rsid w:val="0011728C"/>
    <w:rsid w:val="00117732"/>
    <w:rsid w:val="00117781"/>
    <w:rsid w:val="0012078A"/>
    <w:rsid w:val="001208B8"/>
    <w:rsid w:val="001208F7"/>
    <w:rsid w:val="00120AA1"/>
    <w:rsid w:val="00120DCB"/>
    <w:rsid w:val="001219F9"/>
    <w:rsid w:val="001221E5"/>
    <w:rsid w:val="00123F60"/>
    <w:rsid w:val="00124496"/>
    <w:rsid w:val="00124520"/>
    <w:rsid w:val="00124AE1"/>
    <w:rsid w:val="00124D0A"/>
    <w:rsid w:val="00124E9B"/>
    <w:rsid w:val="00124F5E"/>
    <w:rsid w:val="00125D1A"/>
    <w:rsid w:val="001261B4"/>
    <w:rsid w:val="00126B64"/>
    <w:rsid w:val="00126BCD"/>
    <w:rsid w:val="00127476"/>
    <w:rsid w:val="00127893"/>
    <w:rsid w:val="00130530"/>
    <w:rsid w:val="00130CD2"/>
    <w:rsid w:val="0013106B"/>
    <w:rsid w:val="00132327"/>
    <w:rsid w:val="00132AB4"/>
    <w:rsid w:val="00132C6D"/>
    <w:rsid w:val="00132DA3"/>
    <w:rsid w:val="00132F80"/>
    <w:rsid w:val="0013362F"/>
    <w:rsid w:val="00134829"/>
    <w:rsid w:val="0013560B"/>
    <w:rsid w:val="00135708"/>
    <w:rsid w:val="00135F41"/>
    <w:rsid w:val="00136657"/>
    <w:rsid w:val="00137F3E"/>
    <w:rsid w:val="00140121"/>
    <w:rsid w:val="0014056F"/>
    <w:rsid w:val="001405CB"/>
    <w:rsid w:val="001409C2"/>
    <w:rsid w:val="00141006"/>
    <w:rsid w:val="001413DD"/>
    <w:rsid w:val="00141744"/>
    <w:rsid w:val="00141BCE"/>
    <w:rsid w:val="00142019"/>
    <w:rsid w:val="001426FE"/>
    <w:rsid w:val="00142D28"/>
    <w:rsid w:val="00143D58"/>
    <w:rsid w:val="0014472B"/>
    <w:rsid w:val="00144921"/>
    <w:rsid w:val="00145BC9"/>
    <w:rsid w:val="001465E7"/>
    <w:rsid w:val="00147998"/>
    <w:rsid w:val="00150717"/>
    <w:rsid w:val="001507DD"/>
    <w:rsid w:val="00150E8C"/>
    <w:rsid w:val="00151028"/>
    <w:rsid w:val="0015190E"/>
    <w:rsid w:val="0015299C"/>
    <w:rsid w:val="0015336C"/>
    <w:rsid w:val="00155547"/>
    <w:rsid w:val="00155DE1"/>
    <w:rsid w:val="00156974"/>
    <w:rsid w:val="001573FD"/>
    <w:rsid w:val="00160722"/>
    <w:rsid w:val="0016093E"/>
    <w:rsid w:val="0016098B"/>
    <w:rsid w:val="001609D3"/>
    <w:rsid w:val="00161BCD"/>
    <w:rsid w:val="0016207C"/>
    <w:rsid w:val="00162689"/>
    <w:rsid w:val="001631CA"/>
    <w:rsid w:val="00163BF0"/>
    <w:rsid w:val="00164709"/>
    <w:rsid w:val="00164CDE"/>
    <w:rsid w:val="001655F8"/>
    <w:rsid w:val="001665C1"/>
    <w:rsid w:val="00166711"/>
    <w:rsid w:val="00166F19"/>
    <w:rsid w:val="00170E86"/>
    <w:rsid w:val="00171A4B"/>
    <w:rsid w:val="001724C7"/>
    <w:rsid w:val="001727A5"/>
    <w:rsid w:val="00173C75"/>
    <w:rsid w:val="00174088"/>
    <w:rsid w:val="001744B6"/>
    <w:rsid w:val="00174CD4"/>
    <w:rsid w:val="00175126"/>
    <w:rsid w:val="0017608F"/>
    <w:rsid w:val="00176E13"/>
    <w:rsid w:val="0017716A"/>
    <w:rsid w:val="00177248"/>
    <w:rsid w:val="00180A37"/>
    <w:rsid w:val="00180D47"/>
    <w:rsid w:val="0018111D"/>
    <w:rsid w:val="0018214D"/>
    <w:rsid w:val="0018298C"/>
    <w:rsid w:val="00182AE3"/>
    <w:rsid w:val="001842C2"/>
    <w:rsid w:val="00184CDD"/>
    <w:rsid w:val="00185B08"/>
    <w:rsid w:val="00185C7C"/>
    <w:rsid w:val="00185CEB"/>
    <w:rsid w:val="001867C2"/>
    <w:rsid w:val="0018688D"/>
    <w:rsid w:val="001879CD"/>
    <w:rsid w:val="00187FE2"/>
    <w:rsid w:val="001909BC"/>
    <w:rsid w:val="00190AEB"/>
    <w:rsid w:val="00190D41"/>
    <w:rsid w:val="00190EEF"/>
    <w:rsid w:val="00191B9D"/>
    <w:rsid w:val="00193B56"/>
    <w:rsid w:val="0019426B"/>
    <w:rsid w:val="00194ABE"/>
    <w:rsid w:val="00194B8D"/>
    <w:rsid w:val="00195284"/>
    <w:rsid w:val="0019559C"/>
    <w:rsid w:val="0019657C"/>
    <w:rsid w:val="0019666F"/>
    <w:rsid w:val="001967B1"/>
    <w:rsid w:val="00196951"/>
    <w:rsid w:val="00197B4A"/>
    <w:rsid w:val="001A02E3"/>
    <w:rsid w:val="001A07A9"/>
    <w:rsid w:val="001A0BF1"/>
    <w:rsid w:val="001A1D48"/>
    <w:rsid w:val="001A1DE3"/>
    <w:rsid w:val="001A1F71"/>
    <w:rsid w:val="001A24A0"/>
    <w:rsid w:val="001A307B"/>
    <w:rsid w:val="001A5466"/>
    <w:rsid w:val="001A5739"/>
    <w:rsid w:val="001A6265"/>
    <w:rsid w:val="001A632D"/>
    <w:rsid w:val="001A6CE3"/>
    <w:rsid w:val="001A767A"/>
    <w:rsid w:val="001A7B87"/>
    <w:rsid w:val="001A7D38"/>
    <w:rsid w:val="001B0377"/>
    <w:rsid w:val="001B05F7"/>
    <w:rsid w:val="001B0A32"/>
    <w:rsid w:val="001B1245"/>
    <w:rsid w:val="001B17CD"/>
    <w:rsid w:val="001B1F8B"/>
    <w:rsid w:val="001B2DC9"/>
    <w:rsid w:val="001B31A8"/>
    <w:rsid w:val="001B34BB"/>
    <w:rsid w:val="001B37A2"/>
    <w:rsid w:val="001B3974"/>
    <w:rsid w:val="001B4565"/>
    <w:rsid w:val="001B46A1"/>
    <w:rsid w:val="001B471E"/>
    <w:rsid w:val="001B47EE"/>
    <w:rsid w:val="001B5C7F"/>
    <w:rsid w:val="001B5F6C"/>
    <w:rsid w:val="001B7A79"/>
    <w:rsid w:val="001B7CA1"/>
    <w:rsid w:val="001B7D2D"/>
    <w:rsid w:val="001B7F65"/>
    <w:rsid w:val="001C07D6"/>
    <w:rsid w:val="001C0EAD"/>
    <w:rsid w:val="001C1AB7"/>
    <w:rsid w:val="001C1B98"/>
    <w:rsid w:val="001C2530"/>
    <w:rsid w:val="001C26B0"/>
    <w:rsid w:val="001C2E28"/>
    <w:rsid w:val="001C3319"/>
    <w:rsid w:val="001C3C77"/>
    <w:rsid w:val="001C43F7"/>
    <w:rsid w:val="001C4575"/>
    <w:rsid w:val="001C48AB"/>
    <w:rsid w:val="001C76B1"/>
    <w:rsid w:val="001C7ADA"/>
    <w:rsid w:val="001D13CD"/>
    <w:rsid w:val="001D2988"/>
    <w:rsid w:val="001D3772"/>
    <w:rsid w:val="001D4738"/>
    <w:rsid w:val="001D49F4"/>
    <w:rsid w:val="001D4C5F"/>
    <w:rsid w:val="001D5CA2"/>
    <w:rsid w:val="001D6579"/>
    <w:rsid w:val="001D7D68"/>
    <w:rsid w:val="001E014E"/>
    <w:rsid w:val="001E07EA"/>
    <w:rsid w:val="001E0EF9"/>
    <w:rsid w:val="001E2999"/>
    <w:rsid w:val="001E2ADB"/>
    <w:rsid w:val="001E342B"/>
    <w:rsid w:val="001E3544"/>
    <w:rsid w:val="001E375D"/>
    <w:rsid w:val="001E39D0"/>
    <w:rsid w:val="001E4032"/>
    <w:rsid w:val="001E4A2C"/>
    <w:rsid w:val="001E5C74"/>
    <w:rsid w:val="001E6570"/>
    <w:rsid w:val="001E6760"/>
    <w:rsid w:val="001E6957"/>
    <w:rsid w:val="001E6C19"/>
    <w:rsid w:val="001E76A4"/>
    <w:rsid w:val="001E7B07"/>
    <w:rsid w:val="001F00E2"/>
    <w:rsid w:val="001F016A"/>
    <w:rsid w:val="001F0A9F"/>
    <w:rsid w:val="001F16CD"/>
    <w:rsid w:val="001F1CBC"/>
    <w:rsid w:val="001F2C37"/>
    <w:rsid w:val="001F37AF"/>
    <w:rsid w:val="001F39ED"/>
    <w:rsid w:val="001F3C7C"/>
    <w:rsid w:val="001F402B"/>
    <w:rsid w:val="001F4845"/>
    <w:rsid w:val="001F4A1C"/>
    <w:rsid w:val="001F508E"/>
    <w:rsid w:val="001F55D6"/>
    <w:rsid w:val="001F6365"/>
    <w:rsid w:val="001F65EC"/>
    <w:rsid w:val="001F716C"/>
    <w:rsid w:val="001F76F2"/>
    <w:rsid w:val="002001DC"/>
    <w:rsid w:val="00201470"/>
    <w:rsid w:val="0020207F"/>
    <w:rsid w:val="00202A30"/>
    <w:rsid w:val="00202F58"/>
    <w:rsid w:val="00203D38"/>
    <w:rsid w:val="00204E46"/>
    <w:rsid w:val="00205351"/>
    <w:rsid w:val="00205E9D"/>
    <w:rsid w:val="0020639D"/>
    <w:rsid w:val="00206E2F"/>
    <w:rsid w:val="00207B86"/>
    <w:rsid w:val="002109E7"/>
    <w:rsid w:val="002111F1"/>
    <w:rsid w:val="002119D4"/>
    <w:rsid w:val="00212E20"/>
    <w:rsid w:val="0021331F"/>
    <w:rsid w:val="00213504"/>
    <w:rsid w:val="00213741"/>
    <w:rsid w:val="00214BD5"/>
    <w:rsid w:val="00215A08"/>
    <w:rsid w:val="00216288"/>
    <w:rsid w:val="00216820"/>
    <w:rsid w:val="00216F88"/>
    <w:rsid w:val="00217082"/>
    <w:rsid w:val="0022111F"/>
    <w:rsid w:val="00222054"/>
    <w:rsid w:val="00222603"/>
    <w:rsid w:val="00222E67"/>
    <w:rsid w:val="0022390D"/>
    <w:rsid w:val="002248A1"/>
    <w:rsid w:val="00224B8D"/>
    <w:rsid w:val="00225018"/>
    <w:rsid w:val="002254DC"/>
    <w:rsid w:val="002255B4"/>
    <w:rsid w:val="002260F3"/>
    <w:rsid w:val="0022663B"/>
    <w:rsid w:val="0022689D"/>
    <w:rsid w:val="00226983"/>
    <w:rsid w:val="00227769"/>
    <w:rsid w:val="00227FAD"/>
    <w:rsid w:val="00230997"/>
    <w:rsid w:val="00230D3B"/>
    <w:rsid w:val="00231368"/>
    <w:rsid w:val="00232402"/>
    <w:rsid w:val="0023258A"/>
    <w:rsid w:val="00232811"/>
    <w:rsid w:val="002331DD"/>
    <w:rsid w:val="00233480"/>
    <w:rsid w:val="00233CFF"/>
    <w:rsid w:val="00234AEA"/>
    <w:rsid w:val="00234E05"/>
    <w:rsid w:val="00234FB7"/>
    <w:rsid w:val="00235F70"/>
    <w:rsid w:val="00235F8C"/>
    <w:rsid w:val="002360BA"/>
    <w:rsid w:val="002362A4"/>
    <w:rsid w:val="00236B3F"/>
    <w:rsid w:val="00237434"/>
    <w:rsid w:val="002374E8"/>
    <w:rsid w:val="00237CFC"/>
    <w:rsid w:val="00240415"/>
    <w:rsid w:val="00240EE0"/>
    <w:rsid w:val="002410E5"/>
    <w:rsid w:val="002411CF"/>
    <w:rsid w:val="00241982"/>
    <w:rsid w:val="00241FA7"/>
    <w:rsid w:val="002424B1"/>
    <w:rsid w:val="002428EB"/>
    <w:rsid w:val="002430F5"/>
    <w:rsid w:val="00244001"/>
    <w:rsid w:val="002443F6"/>
    <w:rsid w:val="002447BD"/>
    <w:rsid w:val="00245678"/>
    <w:rsid w:val="00245B4B"/>
    <w:rsid w:val="002460EF"/>
    <w:rsid w:val="002462D2"/>
    <w:rsid w:val="00246895"/>
    <w:rsid w:val="00246DB4"/>
    <w:rsid w:val="00246E11"/>
    <w:rsid w:val="002473DA"/>
    <w:rsid w:val="00250DF8"/>
    <w:rsid w:val="00252237"/>
    <w:rsid w:val="00255176"/>
    <w:rsid w:val="00255261"/>
    <w:rsid w:val="0025599D"/>
    <w:rsid w:val="00255B1E"/>
    <w:rsid w:val="0025706F"/>
    <w:rsid w:val="0026046F"/>
    <w:rsid w:val="002606E1"/>
    <w:rsid w:val="00260DDA"/>
    <w:rsid w:val="00260F60"/>
    <w:rsid w:val="0026129F"/>
    <w:rsid w:val="002613FE"/>
    <w:rsid w:val="00261489"/>
    <w:rsid w:val="002618D5"/>
    <w:rsid w:val="00261A90"/>
    <w:rsid w:val="00262BD6"/>
    <w:rsid w:val="002646C7"/>
    <w:rsid w:val="002678A7"/>
    <w:rsid w:val="00267FE6"/>
    <w:rsid w:val="002700EC"/>
    <w:rsid w:val="002703FD"/>
    <w:rsid w:val="00270CB2"/>
    <w:rsid w:val="00270F84"/>
    <w:rsid w:val="00271A36"/>
    <w:rsid w:val="00272057"/>
    <w:rsid w:val="00272C69"/>
    <w:rsid w:val="00272F35"/>
    <w:rsid w:val="00272FD8"/>
    <w:rsid w:val="002746F6"/>
    <w:rsid w:val="00274903"/>
    <w:rsid w:val="00276597"/>
    <w:rsid w:val="00276AEF"/>
    <w:rsid w:val="00276BBB"/>
    <w:rsid w:val="00277396"/>
    <w:rsid w:val="00277A2F"/>
    <w:rsid w:val="00277D53"/>
    <w:rsid w:val="0028025F"/>
    <w:rsid w:val="00280560"/>
    <w:rsid w:val="00280A50"/>
    <w:rsid w:val="00281200"/>
    <w:rsid w:val="002817E5"/>
    <w:rsid w:val="00281B8E"/>
    <w:rsid w:val="00281CE7"/>
    <w:rsid w:val="00282EF0"/>
    <w:rsid w:val="00283199"/>
    <w:rsid w:val="002833E3"/>
    <w:rsid w:val="00284578"/>
    <w:rsid w:val="002845AF"/>
    <w:rsid w:val="00284E9E"/>
    <w:rsid w:val="00284F23"/>
    <w:rsid w:val="00285772"/>
    <w:rsid w:val="00286623"/>
    <w:rsid w:val="0028764F"/>
    <w:rsid w:val="00287AD9"/>
    <w:rsid w:val="0029123C"/>
    <w:rsid w:val="00292F96"/>
    <w:rsid w:val="002931B4"/>
    <w:rsid w:val="00294043"/>
    <w:rsid w:val="00294BF0"/>
    <w:rsid w:val="00294F82"/>
    <w:rsid w:val="0029538F"/>
    <w:rsid w:val="0029679B"/>
    <w:rsid w:val="002967BE"/>
    <w:rsid w:val="002978A7"/>
    <w:rsid w:val="002978B4"/>
    <w:rsid w:val="002A06B7"/>
    <w:rsid w:val="002A0FB3"/>
    <w:rsid w:val="002A1098"/>
    <w:rsid w:val="002A19A2"/>
    <w:rsid w:val="002A1D7F"/>
    <w:rsid w:val="002A1F3F"/>
    <w:rsid w:val="002A20F4"/>
    <w:rsid w:val="002A2190"/>
    <w:rsid w:val="002A2D5D"/>
    <w:rsid w:val="002A5269"/>
    <w:rsid w:val="002A564D"/>
    <w:rsid w:val="002A58CB"/>
    <w:rsid w:val="002A5F08"/>
    <w:rsid w:val="002A64AF"/>
    <w:rsid w:val="002A693B"/>
    <w:rsid w:val="002A6C59"/>
    <w:rsid w:val="002A6D5C"/>
    <w:rsid w:val="002A7813"/>
    <w:rsid w:val="002B0104"/>
    <w:rsid w:val="002B0D6E"/>
    <w:rsid w:val="002B1778"/>
    <w:rsid w:val="002B20B1"/>
    <w:rsid w:val="002B4DB3"/>
    <w:rsid w:val="002B651E"/>
    <w:rsid w:val="002B705E"/>
    <w:rsid w:val="002B79F2"/>
    <w:rsid w:val="002B7AF8"/>
    <w:rsid w:val="002C04CF"/>
    <w:rsid w:val="002C055E"/>
    <w:rsid w:val="002C0DFE"/>
    <w:rsid w:val="002C0EC1"/>
    <w:rsid w:val="002C1136"/>
    <w:rsid w:val="002C324A"/>
    <w:rsid w:val="002C34D5"/>
    <w:rsid w:val="002C3749"/>
    <w:rsid w:val="002C3B32"/>
    <w:rsid w:val="002C443A"/>
    <w:rsid w:val="002C4F8A"/>
    <w:rsid w:val="002C547D"/>
    <w:rsid w:val="002C593B"/>
    <w:rsid w:val="002C5ADF"/>
    <w:rsid w:val="002C5CAB"/>
    <w:rsid w:val="002C5DF7"/>
    <w:rsid w:val="002C5FC9"/>
    <w:rsid w:val="002C642A"/>
    <w:rsid w:val="002C6A9B"/>
    <w:rsid w:val="002D1706"/>
    <w:rsid w:val="002D1E1E"/>
    <w:rsid w:val="002D549B"/>
    <w:rsid w:val="002D591D"/>
    <w:rsid w:val="002D5980"/>
    <w:rsid w:val="002D5AA3"/>
    <w:rsid w:val="002D6554"/>
    <w:rsid w:val="002D6A3D"/>
    <w:rsid w:val="002D6E24"/>
    <w:rsid w:val="002D7E9A"/>
    <w:rsid w:val="002E01CF"/>
    <w:rsid w:val="002E02A4"/>
    <w:rsid w:val="002E172E"/>
    <w:rsid w:val="002E2E79"/>
    <w:rsid w:val="002E34C4"/>
    <w:rsid w:val="002E52FC"/>
    <w:rsid w:val="002E5AA0"/>
    <w:rsid w:val="002E716D"/>
    <w:rsid w:val="002E746D"/>
    <w:rsid w:val="002E76FF"/>
    <w:rsid w:val="002E7AC4"/>
    <w:rsid w:val="002F217A"/>
    <w:rsid w:val="002F2967"/>
    <w:rsid w:val="002F2CE1"/>
    <w:rsid w:val="002F322F"/>
    <w:rsid w:val="002F35DF"/>
    <w:rsid w:val="002F39FD"/>
    <w:rsid w:val="002F3DF2"/>
    <w:rsid w:val="002F455A"/>
    <w:rsid w:val="002F5491"/>
    <w:rsid w:val="002F6257"/>
    <w:rsid w:val="002F6316"/>
    <w:rsid w:val="002F6EA9"/>
    <w:rsid w:val="002F6F31"/>
    <w:rsid w:val="002F6F8F"/>
    <w:rsid w:val="002F7C5C"/>
    <w:rsid w:val="002F7F0F"/>
    <w:rsid w:val="00301C19"/>
    <w:rsid w:val="00301E3E"/>
    <w:rsid w:val="0030244C"/>
    <w:rsid w:val="003030A7"/>
    <w:rsid w:val="003034DF"/>
    <w:rsid w:val="0030372C"/>
    <w:rsid w:val="003038A9"/>
    <w:rsid w:val="00304BCC"/>
    <w:rsid w:val="003050B9"/>
    <w:rsid w:val="003053FB"/>
    <w:rsid w:val="00305768"/>
    <w:rsid w:val="00305DFC"/>
    <w:rsid w:val="0030747B"/>
    <w:rsid w:val="00310425"/>
    <w:rsid w:val="0031084F"/>
    <w:rsid w:val="0031098C"/>
    <w:rsid w:val="00310CC5"/>
    <w:rsid w:val="003115FD"/>
    <w:rsid w:val="00311735"/>
    <w:rsid w:val="00311A4E"/>
    <w:rsid w:val="003123BF"/>
    <w:rsid w:val="003124D8"/>
    <w:rsid w:val="0031295B"/>
    <w:rsid w:val="00312F96"/>
    <w:rsid w:val="00314F72"/>
    <w:rsid w:val="0031572E"/>
    <w:rsid w:val="0031609F"/>
    <w:rsid w:val="003164EB"/>
    <w:rsid w:val="00317259"/>
    <w:rsid w:val="00324857"/>
    <w:rsid w:val="003259F5"/>
    <w:rsid w:val="003300AC"/>
    <w:rsid w:val="0033017B"/>
    <w:rsid w:val="003303B3"/>
    <w:rsid w:val="00330865"/>
    <w:rsid w:val="00330EDD"/>
    <w:rsid w:val="00331023"/>
    <w:rsid w:val="00333314"/>
    <w:rsid w:val="00333A1D"/>
    <w:rsid w:val="00333B83"/>
    <w:rsid w:val="00333CC2"/>
    <w:rsid w:val="00333E6A"/>
    <w:rsid w:val="00333FCB"/>
    <w:rsid w:val="00334421"/>
    <w:rsid w:val="00335BEB"/>
    <w:rsid w:val="00335C3A"/>
    <w:rsid w:val="00336285"/>
    <w:rsid w:val="003369FF"/>
    <w:rsid w:val="00337C63"/>
    <w:rsid w:val="00337EF8"/>
    <w:rsid w:val="00340654"/>
    <w:rsid w:val="00342138"/>
    <w:rsid w:val="00343E99"/>
    <w:rsid w:val="00343FEC"/>
    <w:rsid w:val="00344066"/>
    <w:rsid w:val="00344A45"/>
    <w:rsid w:val="00344C94"/>
    <w:rsid w:val="00344EAF"/>
    <w:rsid w:val="0034570B"/>
    <w:rsid w:val="00345E7A"/>
    <w:rsid w:val="00346802"/>
    <w:rsid w:val="003503F9"/>
    <w:rsid w:val="0035061B"/>
    <w:rsid w:val="003508ED"/>
    <w:rsid w:val="00350F5B"/>
    <w:rsid w:val="00351ACE"/>
    <w:rsid w:val="00351B4C"/>
    <w:rsid w:val="00351BCA"/>
    <w:rsid w:val="00353826"/>
    <w:rsid w:val="0035460D"/>
    <w:rsid w:val="00354AC6"/>
    <w:rsid w:val="00356186"/>
    <w:rsid w:val="003573E1"/>
    <w:rsid w:val="00360006"/>
    <w:rsid w:val="0036078D"/>
    <w:rsid w:val="00360AC9"/>
    <w:rsid w:val="003613D8"/>
    <w:rsid w:val="0036195D"/>
    <w:rsid w:val="00362576"/>
    <w:rsid w:val="00362821"/>
    <w:rsid w:val="003630BA"/>
    <w:rsid w:val="003641CE"/>
    <w:rsid w:val="003646D3"/>
    <w:rsid w:val="00365F85"/>
    <w:rsid w:val="00367639"/>
    <w:rsid w:val="003707C8"/>
    <w:rsid w:val="00371200"/>
    <w:rsid w:val="00371714"/>
    <w:rsid w:val="003720CF"/>
    <w:rsid w:val="00372772"/>
    <w:rsid w:val="003730D0"/>
    <w:rsid w:val="00373E5D"/>
    <w:rsid w:val="00374525"/>
    <w:rsid w:val="00374627"/>
    <w:rsid w:val="00374EC0"/>
    <w:rsid w:val="00374EE1"/>
    <w:rsid w:val="003754CE"/>
    <w:rsid w:val="00375819"/>
    <w:rsid w:val="00375ADA"/>
    <w:rsid w:val="00376242"/>
    <w:rsid w:val="003772E4"/>
    <w:rsid w:val="00377414"/>
    <w:rsid w:val="00377428"/>
    <w:rsid w:val="00377437"/>
    <w:rsid w:val="00377C6F"/>
    <w:rsid w:val="00380875"/>
    <w:rsid w:val="00380C91"/>
    <w:rsid w:val="00381426"/>
    <w:rsid w:val="00381CF0"/>
    <w:rsid w:val="00382C10"/>
    <w:rsid w:val="003846E8"/>
    <w:rsid w:val="00384978"/>
    <w:rsid w:val="00384C8B"/>
    <w:rsid w:val="00384D1F"/>
    <w:rsid w:val="00385852"/>
    <w:rsid w:val="003860A9"/>
    <w:rsid w:val="003864A3"/>
    <w:rsid w:val="00386775"/>
    <w:rsid w:val="00386782"/>
    <w:rsid w:val="0038699B"/>
    <w:rsid w:val="00390782"/>
    <w:rsid w:val="00391153"/>
    <w:rsid w:val="0039142A"/>
    <w:rsid w:val="00392005"/>
    <w:rsid w:val="003921AB"/>
    <w:rsid w:val="00393310"/>
    <w:rsid w:val="00394017"/>
    <w:rsid w:val="00394184"/>
    <w:rsid w:val="003948C3"/>
    <w:rsid w:val="00394B3E"/>
    <w:rsid w:val="0039524D"/>
    <w:rsid w:val="00395A4E"/>
    <w:rsid w:val="00395AE7"/>
    <w:rsid w:val="003962FA"/>
    <w:rsid w:val="00396456"/>
    <w:rsid w:val="00396735"/>
    <w:rsid w:val="00396D19"/>
    <w:rsid w:val="0039734B"/>
    <w:rsid w:val="00397A90"/>
    <w:rsid w:val="003A032D"/>
    <w:rsid w:val="003A0469"/>
    <w:rsid w:val="003A20D9"/>
    <w:rsid w:val="003A35EA"/>
    <w:rsid w:val="003A43B6"/>
    <w:rsid w:val="003A5AB4"/>
    <w:rsid w:val="003A60C9"/>
    <w:rsid w:val="003A6648"/>
    <w:rsid w:val="003A6F32"/>
    <w:rsid w:val="003A71BE"/>
    <w:rsid w:val="003A7DD3"/>
    <w:rsid w:val="003B0FBF"/>
    <w:rsid w:val="003B13C6"/>
    <w:rsid w:val="003B19AB"/>
    <w:rsid w:val="003B219A"/>
    <w:rsid w:val="003B3AF1"/>
    <w:rsid w:val="003B48CA"/>
    <w:rsid w:val="003B4F22"/>
    <w:rsid w:val="003B59E4"/>
    <w:rsid w:val="003B5E50"/>
    <w:rsid w:val="003B5F91"/>
    <w:rsid w:val="003B6025"/>
    <w:rsid w:val="003B61F2"/>
    <w:rsid w:val="003B6797"/>
    <w:rsid w:val="003B681E"/>
    <w:rsid w:val="003C0AC8"/>
    <w:rsid w:val="003C2153"/>
    <w:rsid w:val="003C2361"/>
    <w:rsid w:val="003C2541"/>
    <w:rsid w:val="003C25F5"/>
    <w:rsid w:val="003C2625"/>
    <w:rsid w:val="003C290E"/>
    <w:rsid w:val="003C38A5"/>
    <w:rsid w:val="003C3B1A"/>
    <w:rsid w:val="003C5032"/>
    <w:rsid w:val="003C573B"/>
    <w:rsid w:val="003C62B6"/>
    <w:rsid w:val="003C6B83"/>
    <w:rsid w:val="003C74EA"/>
    <w:rsid w:val="003C7FC2"/>
    <w:rsid w:val="003D0D09"/>
    <w:rsid w:val="003D11FA"/>
    <w:rsid w:val="003D1613"/>
    <w:rsid w:val="003D1C6F"/>
    <w:rsid w:val="003D2415"/>
    <w:rsid w:val="003D3017"/>
    <w:rsid w:val="003D3666"/>
    <w:rsid w:val="003D3798"/>
    <w:rsid w:val="003D3A33"/>
    <w:rsid w:val="003D3A69"/>
    <w:rsid w:val="003D46E1"/>
    <w:rsid w:val="003D4E92"/>
    <w:rsid w:val="003D528E"/>
    <w:rsid w:val="003D56F2"/>
    <w:rsid w:val="003D5902"/>
    <w:rsid w:val="003D6D60"/>
    <w:rsid w:val="003D7231"/>
    <w:rsid w:val="003E02F4"/>
    <w:rsid w:val="003E038D"/>
    <w:rsid w:val="003E04D7"/>
    <w:rsid w:val="003E12E4"/>
    <w:rsid w:val="003E1FF6"/>
    <w:rsid w:val="003E20B1"/>
    <w:rsid w:val="003E2930"/>
    <w:rsid w:val="003E2BC6"/>
    <w:rsid w:val="003E2CFA"/>
    <w:rsid w:val="003E314E"/>
    <w:rsid w:val="003E3C04"/>
    <w:rsid w:val="003E464B"/>
    <w:rsid w:val="003E4B8B"/>
    <w:rsid w:val="003E5310"/>
    <w:rsid w:val="003E5459"/>
    <w:rsid w:val="003E7967"/>
    <w:rsid w:val="003E79D5"/>
    <w:rsid w:val="003F0288"/>
    <w:rsid w:val="003F0E35"/>
    <w:rsid w:val="003F0E91"/>
    <w:rsid w:val="003F1828"/>
    <w:rsid w:val="003F1B11"/>
    <w:rsid w:val="003F1C0F"/>
    <w:rsid w:val="003F374A"/>
    <w:rsid w:val="003F436B"/>
    <w:rsid w:val="003F55B3"/>
    <w:rsid w:val="003F613E"/>
    <w:rsid w:val="003F6605"/>
    <w:rsid w:val="003F6B51"/>
    <w:rsid w:val="003F75DC"/>
    <w:rsid w:val="00400EFE"/>
    <w:rsid w:val="00401746"/>
    <w:rsid w:val="00401A24"/>
    <w:rsid w:val="00401B5D"/>
    <w:rsid w:val="00402123"/>
    <w:rsid w:val="00402AF1"/>
    <w:rsid w:val="00403340"/>
    <w:rsid w:val="0040343C"/>
    <w:rsid w:val="004049DE"/>
    <w:rsid w:val="00405F81"/>
    <w:rsid w:val="004061A5"/>
    <w:rsid w:val="0040664D"/>
    <w:rsid w:val="004073AE"/>
    <w:rsid w:val="00407DC9"/>
    <w:rsid w:val="004101A7"/>
    <w:rsid w:val="00410F17"/>
    <w:rsid w:val="00411DFA"/>
    <w:rsid w:val="004127B5"/>
    <w:rsid w:val="00412CB5"/>
    <w:rsid w:val="00413672"/>
    <w:rsid w:val="00414597"/>
    <w:rsid w:val="00415915"/>
    <w:rsid w:val="00416570"/>
    <w:rsid w:val="00416BAE"/>
    <w:rsid w:val="00417404"/>
    <w:rsid w:val="0041742B"/>
    <w:rsid w:val="004201C3"/>
    <w:rsid w:val="004208E5"/>
    <w:rsid w:val="00420BA5"/>
    <w:rsid w:val="00420ED8"/>
    <w:rsid w:val="00421023"/>
    <w:rsid w:val="00421AA1"/>
    <w:rsid w:val="0042245B"/>
    <w:rsid w:val="004224C1"/>
    <w:rsid w:val="00422B6A"/>
    <w:rsid w:val="00422E90"/>
    <w:rsid w:val="00423DEB"/>
    <w:rsid w:val="0042400D"/>
    <w:rsid w:val="004243E2"/>
    <w:rsid w:val="00424496"/>
    <w:rsid w:val="00424772"/>
    <w:rsid w:val="00425889"/>
    <w:rsid w:val="00425B7A"/>
    <w:rsid w:val="004266CF"/>
    <w:rsid w:val="00426894"/>
    <w:rsid w:val="00427015"/>
    <w:rsid w:val="00427E4F"/>
    <w:rsid w:val="00430628"/>
    <w:rsid w:val="00430B5F"/>
    <w:rsid w:val="0043112F"/>
    <w:rsid w:val="00431ECB"/>
    <w:rsid w:val="00434668"/>
    <w:rsid w:val="004347CF"/>
    <w:rsid w:val="00434904"/>
    <w:rsid w:val="00434946"/>
    <w:rsid w:val="00435A2C"/>
    <w:rsid w:val="00437B94"/>
    <w:rsid w:val="0044006F"/>
    <w:rsid w:val="00441659"/>
    <w:rsid w:val="004419D3"/>
    <w:rsid w:val="00442443"/>
    <w:rsid w:val="00442806"/>
    <w:rsid w:val="00443644"/>
    <w:rsid w:val="00443BE8"/>
    <w:rsid w:val="00443F6F"/>
    <w:rsid w:val="00444D4C"/>
    <w:rsid w:val="00444F57"/>
    <w:rsid w:val="004453F0"/>
    <w:rsid w:val="00445783"/>
    <w:rsid w:val="00445A08"/>
    <w:rsid w:val="00446B19"/>
    <w:rsid w:val="00446E10"/>
    <w:rsid w:val="00447723"/>
    <w:rsid w:val="00447E45"/>
    <w:rsid w:val="0045127B"/>
    <w:rsid w:val="00452C21"/>
    <w:rsid w:val="00452EDA"/>
    <w:rsid w:val="004535F6"/>
    <w:rsid w:val="0045657A"/>
    <w:rsid w:val="00457074"/>
    <w:rsid w:val="00457EB6"/>
    <w:rsid w:val="0046080A"/>
    <w:rsid w:val="00461375"/>
    <w:rsid w:val="00462080"/>
    <w:rsid w:val="00462431"/>
    <w:rsid w:val="00462AE3"/>
    <w:rsid w:val="00462C66"/>
    <w:rsid w:val="004637EA"/>
    <w:rsid w:val="00463FD1"/>
    <w:rsid w:val="0046414A"/>
    <w:rsid w:val="00464B71"/>
    <w:rsid w:val="004662EB"/>
    <w:rsid w:val="0046723B"/>
    <w:rsid w:val="004674D9"/>
    <w:rsid w:val="00467556"/>
    <w:rsid w:val="00467716"/>
    <w:rsid w:val="00467FDC"/>
    <w:rsid w:val="00470251"/>
    <w:rsid w:val="004711B3"/>
    <w:rsid w:val="004717A5"/>
    <w:rsid w:val="00471A25"/>
    <w:rsid w:val="00471EFD"/>
    <w:rsid w:val="004720F0"/>
    <w:rsid w:val="00472148"/>
    <w:rsid w:val="004722F7"/>
    <w:rsid w:val="00473A9B"/>
    <w:rsid w:val="00474541"/>
    <w:rsid w:val="00474E3C"/>
    <w:rsid w:val="0047502D"/>
    <w:rsid w:val="00475629"/>
    <w:rsid w:val="00475BE3"/>
    <w:rsid w:val="00475C6A"/>
    <w:rsid w:val="00475D80"/>
    <w:rsid w:val="004760EC"/>
    <w:rsid w:val="0047644C"/>
    <w:rsid w:val="00476E50"/>
    <w:rsid w:val="0048016F"/>
    <w:rsid w:val="00480DFC"/>
    <w:rsid w:val="004811C2"/>
    <w:rsid w:val="004815EC"/>
    <w:rsid w:val="004820F1"/>
    <w:rsid w:val="0048210B"/>
    <w:rsid w:val="004821CF"/>
    <w:rsid w:val="00482AD6"/>
    <w:rsid w:val="004836C2"/>
    <w:rsid w:val="00484212"/>
    <w:rsid w:val="00484583"/>
    <w:rsid w:val="00484754"/>
    <w:rsid w:val="004857EB"/>
    <w:rsid w:val="00485881"/>
    <w:rsid w:val="004859DF"/>
    <w:rsid w:val="00486294"/>
    <w:rsid w:val="00486A1C"/>
    <w:rsid w:val="00486BA5"/>
    <w:rsid w:val="004872D8"/>
    <w:rsid w:val="00487872"/>
    <w:rsid w:val="00487E32"/>
    <w:rsid w:val="00490207"/>
    <w:rsid w:val="004911CB"/>
    <w:rsid w:val="00491993"/>
    <w:rsid w:val="004923BA"/>
    <w:rsid w:val="00492F48"/>
    <w:rsid w:val="00493200"/>
    <w:rsid w:val="00493CB0"/>
    <w:rsid w:val="00495364"/>
    <w:rsid w:val="0049579E"/>
    <w:rsid w:val="00495B24"/>
    <w:rsid w:val="00495C1C"/>
    <w:rsid w:val="0049648C"/>
    <w:rsid w:val="00496963"/>
    <w:rsid w:val="0049756D"/>
    <w:rsid w:val="004A0435"/>
    <w:rsid w:val="004A08A3"/>
    <w:rsid w:val="004A0CBC"/>
    <w:rsid w:val="004A0CFB"/>
    <w:rsid w:val="004A107C"/>
    <w:rsid w:val="004A1889"/>
    <w:rsid w:val="004A1C4A"/>
    <w:rsid w:val="004A28D5"/>
    <w:rsid w:val="004A2B69"/>
    <w:rsid w:val="004A2B72"/>
    <w:rsid w:val="004A37E8"/>
    <w:rsid w:val="004A4924"/>
    <w:rsid w:val="004A4BCE"/>
    <w:rsid w:val="004A4C06"/>
    <w:rsid w:val="004A572E"/>
    <w:rsid w:val="004A5C2F"/>
    <w:rsid w:val="004A6E79"/>
    <w:rsid w:val="004B0889"/>
    <w:rsid w:val="004B08BD"/>
    <w:rsid w:val="004B143F"/>
    <w:rsid w:val="004B1981"/>
    <w:rsid w:val="004B2D92"/>
    <w:rsid w:val="004B3698"/>
    <w:rsid w:val="004B36A3"/>
    <w:rsid w:val="004B3C45"/>
    <w:rsid w:val="004B5DCF"/>
    <w:rsid w:val="004B7E7F"/>
    <w:rsid w:val="004C075B"/>
    <w:rsid w:val="004C0D70"/>
    <w:rsid w:val="004C12B9"/>
    <w:rsid w:val="004C1B99"/>
    <w:rsid w:val="004C1C66"/>
    <w:rsid w:val="004C2162"/>
    <w:rsid w:val="004C2737"/>
    <w:rsid w:val="004C2A87"/>
    <w:rsid w:val="004C3102"/>
    <w:rsid w:val="004C3D22"/>
    <w:rsid w:val="004C4EB5"/>
    <w:rsid w:val="004C6435"/>
    <w:rsid w:val="004C7323"/>
    <w:rsid w:val="004C7696"/>
    <w:rsid w:val="004D0148"/>
    <w:rsid w:val="004D04CF"/>
    <w:rsid w:val="004D1996"/>
    <w:rsid w:val="004D1BEF"/>
    <w:rsid w:val="004D1DFA"/>
    <w:rsid w:val="004D2772"/>
    <w:rsid w:val="004D4553"/>
    <w:rsid w:val="004D4976"/>
    <w:rsid w:val="004D6563"/>
    <w:rsid w:val="004D76A6"/>
    <w:rsid w:val="004D76BC"/>
    <w:rsid w:val="004D7D08"/>
    <w:rsid w:val="004E05DA"/>
    <w:rsid w:val="004E1177"/>
    <w:rsid w:val="004E1566"/>
    <w:rsid w:val="004E1BF1"/>
    <w:rsid w:val="004E2443"/>
    <w:rsid w:val="004E2C9D"/>
    <w:rsid w:val="004E2E80"/>
    <w:rsid w:val="004E4906"/>
    <w:rsid w:val="004E58F1"/>
    <w:rsid w:val="004E59E6"/>
    <w:rsid w:val="004E6050"/>
    <w:rsid w:val="004E60C1"/>
    <w:rsid w:val="004E693F"/>
    <w:rsid w:val="004E7A71"/>
    <w:rsid w:val="004E7CD6"/>
    <w:rsid w:val="004E7F32"/>
    <w:rsid w:val="004F0182"/>
    <w:rsid w:val="004F0C3E"/>
    <w:rsid w:val="004F197F"/>
    <w:rsid w:val="004F1E9F"/>
    <w:rsid w:val="004F24F7"/>
    <w:rsid w:val="004F342F"/>
    <w:rsid w:val="004F4D2C"/>
    <w:rsid w:val="004F4E31"/>
    <w:rsid w:val="004F5B5C"/>
    <w:rsid w:val="004F5EB3"/>
    <w:rsid w:val="004F60D2"/>
    <w:rsid w:val="004F6430"/>
    <w:rsid w:val="004F721B"/>
    <w:rsid w:val="004F75CE"/>
    <w:rsid w:val="0050016C"/>
    <w:rsid w:val="00501259"/>
    <w:rsid w:val="0050142F"/>
    <w:rsid w:val="0050156D"/>
    <w:rsid w:val="005021C3"/>
    <w:rsid w:val="00502C6D"/>
    <w:rsid w:val="0050315D"/>
    <w:rsid w:val="005037C5"/>
    <w:rsid w:val="005040EF"/>
    <w:rsid w:val="005048DD"/>
    <w:rsid w:val="005048E9"/>
    <w:rsid w:val="005049BA"/>
    <w:rsid w:val="005054F4"/>
    <w:rsid w:val="00505976"/>
    <w:rsid w:val="00505C15"/>
    <w:rsid w:val="00506501"/>
    <w:rsid w:val="00506888"/>
    <w:rsid w:val="00507297"/>
    <w:rsid w:val="00507D89"/>
    <w:rsid w:val="00510318"/>
    <w:rsid w:val="005103CA"/>
    <w:rsid w:val="00510750"/>
    <w:rsid w:val="0051116C"/>
    <w:rsid w:val="005116CF"/>
    <w:rsid w:val="005119B9"/>
    <w:rsid w:val="00512510"/>
    <w:rsid w:val="00512EEE"/>
    <w:rsid w:val="00512F85"/>
    <w:rsid w:val="00513C6B"/>
    <w:rsid w:val="005153C3"/>
    <w:rsid w:val="005155A0"/>
    <w:rsid w:val="00515C56"/>
    <w:rsid w:val="00515FFC"/>
    <w:rsid w:val="005160B7"/>
    <w:rsid w:val="0051638F"/>
    <w:rsid w:val="005178D4"/>
    <w:rsid w:val="00520D37"/>
    <w:rsid w:val="00520FA1"/>
    <w:rsid w:val="00521890"/>
    <w:rsid w:val="005218DD"/>
    <w:rsid w:val="00521B67"/>
    <w:rsid w:val="005222A3"/>
    <w:rsid w:val="005225DA"/>
    <w:rsid w:val="00522FB2"/>
    <w:rsid w:val="0052363D"/>
    <w:rsid w:val="0052399A"/>
    <w:rsid w:val="00523AE7"/>
    <w:rsid w:val="00524B6C"/>
    <w:rsid w:val="00525131"/>
    <w:rsid w:val="005260D5"/>
    <w:rsid w:val="00526C09"/>
    <w:rsid w:val="00527C77"/>
    <w:rsid w:val="005307E2"/>
    <w:rsid w:val="00530DC4"/>
    <w:rsid w:val="00531764"/>
    <w:rsid w:val="00531CC2"/>
    <w:rsid w:val="00531FBA"/>
    <w:rsid w:val="0053213A"/>
    <w:rsid w:val="00532BA1"/>
    <w:rsid w:val="00533B03"/>
    <w:rsid w:val="00534241"/>
    <w:rsid w:val="00534AD9"/>
    <w:rsid w:val="00534F89"/>
    <w:rsid w:val="00535297"/>
    <w:rsid w:val="005363A9"/>
    <w:rsid w:val="00536D67"/>
    <w:rsid w:val="00536DC1"/>
    <w:rsid w:val="0053717E"/>
    <w:rsid w:val="00537705"/>
    <w:rsid w:val="00537AA7"/>
    <w:rsid w:val="00537EF3"/>
    <w:rsid w:val="0054023E"/>
    <w:rsid w:val="005402DE"/>
    <w:rsid w:val="005410D2"/>
    <w:rsid w:val="0054138F"/>
    <w:rsid w:val="005413B5"/>
    <w:rsid w:val="005417C8"/>
    <w:rsid w:val="00542015"/>
    <w:rsid w:val="0054210B"/>
    <w:rsid w:val="005422F7"/>
    <w:rsid w:val="0054231F"/>
    <w:rsid w:val="005430CA"/>
    <w:rsid w:val="00543730"/>
    <w:rsid w:val="00543D37"/>
    <w:rsid w:val="005447CC"/>
    <w:rsid w:val="00544B44"/>
    <w:rsid w:val="00545366"/>
    <w:rsid w:val="00545514"/>
    <w:rsid w:val="005462CF"/>
    <w:rsid w:val="00547082"/>
    <w:rsid w:val="0054773E"/>
    <w:rsid w:val="00550E31"/>
    <w:rsid w:val="00551275"/>
    <w:rsid w:val="00551592"/>
    <w:rsid w:val="00552702"/>
    <w:rsid w:val="00552A61"/>
    <w:rsid w:val="00553379"/>
    <w:rsid w:val="00553972"/>
    <w:rsid w:val="00553CCA"/>
    <w:rsid w:val="005540B3"/>
    <w:rsid w:val="005545B9"/>
    <w:rsid w:val="00554896"/>
    <w:rsid w:val="00554A3A"/>
    <w:rsid w:val="0055518C"/>
    <w:rsid w:val="00555697"/>
    <w:rsid w:val="0055664D"/>
    <w:rsid w:val="005574E1"/>
    <w:rsid w:val="00560DBB"/>
    <w:rsid w:val="00562AF4"/>
    <w:rsid w:val="005654CF"/>
    <w:rsid w:val="00565EE6"/>
    <w:rsid w:val="0056605B"/>
    <w:rsid w:val="00566BB4"/>
    <w:rsid w:val="00566C77"/>
    <w:rsid w:val="00567985"/>
    <w:rsid w:val="005679DE"/>
    <w:rsid w:val="005724F5"/>
    <w:rsid w:val="00573D4F"/>
    <w:rsid w:val="005749EA"/>
    <w:rsid w:val="00574DB7"/>
    <w:rsid w:val="005755C5"/>
    <w:rsid w:val="00575674"/>
    <w:rsid w:val="00575969"/>
    <w:rsid w:val="00576263"/>
    <w:rsid w:val="005765A9"/>
    <w:rsid w:val="005767A5"/>
    <w:rsid w:val="00577AEC"/>
    <w:rsid w:val="0058047C"/>
    <w:rsid w:val="00581863"/>
    <w:rsid w:val="00582601"/>
    <w:rsid w:val="005827A9"/>
    <w:rsid w:val="005845FF"/>
    <w:rsid w:val="00584B5A"/>
    <w:rsid w:val="00585C21"/>
    <w:rsid w:val="005861DD"/>
    <w:rsid w:val="00587538"/>
    <w:rsid w:val="00587CC5"/>
    <w:rsid w:val="00590379"/>
    <w:rsid w:val="00591015"/>
    <w:rsid w:val="00591556"/>
    <w:rsid w:val="00591C09"/>
    <w:rsid w:val="00592381"/>
    <w:rsid w:val="00593052"/>
    <w:rsid w:val="005933B1"/>
    <w:rsid w:val="00594D82"/>
    <w:rsid w:val="00594FB6"/>
    <w:rsid w:val="005957B9"/>
    <w:rsid w:val="005957C6"/>
    <w:rsid w:val="005962C7"/>
    <w:rsid w:val="00596527"/>
    <w:rsid w:val="0059662F"/>
    <w:rsid w:val="005975DA"/>
    <w:rsid w:val="00597E98"/>
    <w:rsid w:val="005A02B1"/>
    <w:rsid w:val="005A0A82"/>
    <w:rsid w:val="005A0B2B"/>
    <w:rsid w:val="005A1DCE"/>
    <w:rsid w:val="005A1E6F"/>
    <w:rsid w:val="005A2490"/>
    <w:rsid w:val="005A2D13"/>
    <w:rsid w:val="005A4145"/>
    <w:rsid w:val="005A4EDC"/>
    <w:rsid w:val="005A6770"/>
    <w:rsid w:val="005A75BF"/>
    <w:rsid w:val="005B015D"/>
    <w:rsid w:val="005B027B"/>
    <w:rsid w:val="005B03DF"/>
    <w:rsid w:val="005B1317"/>
    <w:rsid w:val="005B1763"/>
    <w:rsid w:val="005B2113"/>
    <w:rsid w:val="005B2470"/>
    <w:rsid w:val="005B3950"/>
    <w:rsid w:val="005B3AE3"/>
    <w:rsid w:val="005B43D0"/>
    <w:rsid w:val="005B43FA"/>
    <w:rsid w:val="005B4A75"/>
    <w:rsid w:val="005B5BB5"/>
    <w:rsid w:val="005B64DA"/>
    <w:rsid w:val="005B738B"/>
    <w:rsid w:val="005B748E"/>
    <w:rsid w:val="005C0004"/>
    <w:rsid w:val="005C0C96"/>
    <w:rsid w:val="005C14A0"/>
    <w:rsid w:val="005C1F5C"/>
    <w:rsid w:val="005C644F"/>
    <w:rsid w:val="005C6AC9"/>
    <w:rsid w:val="005C7094"/>
    <w:rsid w:val="005C7340"/>
    <w:rsid w:val="005C7D30"/>
    <w:rsid w:val="005D0080"/>
    <w:rsid w:val="005D029B"/>
    <w:rsid w:val="005D0720"/>
    <w:rsid w:val="005D08AD"/>
    <w:rsid w:val="005D15EB"/>
    <w:rsid w:val="005D16E2"/>
    <w:rsid w:val="005D194A"/>
    <w:rsid w:val="005D234A"/>
    <w:rsid w:val="005D292E"/>
    <w:rsid w:val="005D2DF7"/>
    <w:rsid w:val="005D2E6A"/>
    <w:rsid w:val="005D350C"/>
    <w:rsid w:val="005D4F5E"/>
    <w:rsid w:val="005D5AC7"/>
    <w:rsid w:val="005D5E3F"/>
    <w:rsid w:val="005D6082"/>
    <w:rsid w:val="005D658A"/>
    <w:rsid w:val="005D67ED"/>
    <w:rsid w:val="005D6DB3"/>
    <w:rsid w:val="005D6EEE"/>
    <w:rsid w:val="005E07B3"/>
    <w:rsid w:val="005E0AF1"/>
    <w:rsid w:val="005E0E5D"/>
    <w:rsid w:val="005E113F"/>
    <w:rsid w:val="005E1CA7"/>
    <w:rsid w:val="005E2339"/>
    <w:rsid w:val="005E2793"/>
    <w:rsid w:val="005E33B2"/>
    <w:rsid w:val="005E3871"/>
    <w:rsid w:val="005E3B18"/>
    <w:rsid w:val="005E3C96"/>
    <w:rsid w:val="005E47CC"/>
    <w:rsid w:val="005E4F2C"/>
    <w:rsid w:val="005E6550"/>
    <w:rsid w:val="005E7719"/>
    <w:rsid w:val="005E7EF6"/>
    <w:rsid w:val="005F021A"/>
    <w:rsid w:val="005F0A29"/>
    <w:rsid w:val="005F149F"/>
    <w:rsid w:val="005F1CEE"/>
    <w:rsid w:val="005F2199"/>
    <w:rsid w:val="005F231B"/>
    <w:rsid w:val="005F2AA9"/>
    <w:rsid w:val="005F3D4E"/>
    <w:rsid w:val="005F3E59"/>
    <w:rsid w:val="005F4387"/>
    <w:rsid w:val="005F4438"/>
    <w:rsid w:val="005F470F"/>
    <w:rsid w:val="005F5A83"/>
    <w:rsid w:val="005F7316"/>
    <w:rsid w:val="005F7A3D"/>
    <w:rsid w:val="00600233"/>
    <w:rsid w:val="006012DA"/>
    <w:rsid w:val="006012E5"/>
    <w:rsid w:val="00603898"/>
    <w:rsid w:val="0060421C"/>
    <w:rsid w:val="006044B9"/>
    <w:rsid w:val="006050D9"/>
    <w:rsid w:val="0060651F"/>
    <w:rsid w:val="00610535"/>
    <w:rsid w:val="006107E7"/>
    <w:rsid w:val="00611090"/>
    <w:rsid w:val="006115E9"/>
    <w:rsid w:val="00611F07"/>
    <w:rsid w:val="00611FB3"/>
    <w:rsid w:val="00612744"/>
    <w:rsid w:val="0061286E"/>
    <w:rsid w:val="00612AD1"/>
    <w:rsid w:val="00612F02"/>
    <w:rsid w:val="00613872"/>
    <w:rsid w:val="00613D91"/>
    <w:rsid w:val="00615CC5"/>
    <w:rsid w:val="00616178"/>
    <w:rsid w:val="006178A2"/>
    <w:rsid w:val="00617DFD"/>
    <w:rsid w:val="00621C75"/>
    <w:rsid w:val="00621F52"/>
    <w:rsid w:val="00621FD6"/>
    <w:rsid w:val="006232DC"/>
    <w:rsid w:val="006233C2"/>
    <w:rsid w:val="00623A26"/>
    <w:rsid w:val="00624C04"/>
    <w:rsid w:val="00624FD7"/>
    <w:rsid w:val="006253B3"/>
    <w:rsid w:val="006254D3"/>
    <w:rsid w:val="00630E22"/>
    <w:rsid w:val="00631415"/>
    <w:rsid w:val="00631C06"/>
    <w:rsid w:val="00632116"/>
    <w:rsid w:val="00632366"/>
    <w:rsid w:val="006350FE"/>
    <w:rsid w:val="00635BB1"/>
    <w:rsid w:val="00635D72"/>
    <w:rsid w:val="00635E7A"/>
    <w:rsid w:val="00636C65"/>
    <w:rsid w:val="0063786F"/>
    <w:rsid w:val="006379FB"/>
    <w:rsid w:val="006428DB"/>
    <w:rsid w:val="00644250"/>
    <w:rsid w:val="00645F3B"/>
    <w:rsid w:val="00647C00"/>
    <w:rsid w:val="0065072E"/>
    <w:rsid w:val="00651CA2"/>
    <w:rsid w:val="0065278B"/>
    <w:rsid w:val="00653555"/>
    <w:rsid w:val="00653776"/>
    <w:rsid w:val="0065379C"/>
    <w:rsid w:val="00654009"/>
    <w:rsid w:val="0065516B"/>
    <w:rsid w:val="00655C8A"/>
    <w:rsid w:val="0065628F"/>
    <w:rsid w:val="0066247C"/>
    <w:rsid w:val="00662AE7"/>
    <w:rsid w:val="00663097"/>
    <w:rsid w:val="0066486E"/>
    <w:rsid w:val="006648A4"/>
    <w:rsid w:val="00664CDE"/>
    <w:rsid w:val="00664EC5"/>
    <w:rsid w:val="00664F00"/>
    <w:rsid w:val="00665070"/>
    <w:rsid w:val="00665110"/>
    <w:rsid w:val="00665133"/>
    <w:rsid w:val="00665140"/>
    <w:rsid w:val="006662B3"/>
    <w:rsid w:val="006665E3"/>
    <w:rsid w:val="00666959"/>
    <w:rsid w:val="00667394"/>
    <w:rsid w:val="006677E6"/>
    <w:rsid w:val="006716B9"/>
    <w:rsid w:val="00672242"/>
    <w:rsid w:val="0067234E"/>
    <w:rsid w:val="0067242E"/>
    <w:rsid w:val="00672AE8"/>
    <w:rsid w:val="00673BF5"/>
    <w:rsid w:val="00674261"/>
    <w:rsid w:val="006742E3"/>
    <w:rsid w:val="0067478E"/>
    <w:rsid w:val="0067483E"/>
    <w:rsid w:val="00674A9B"/>
    <w:rsid w:val="00675797"/>
    <w:rsid w:val="0067586F"/>
    <w:rsid w:val="006758E3"/>
    <w:rsid w:val="00676219"/>
    <w:rsid w:val="00676968"/>
    <w:rsid w:val="006779C4"/>
    <w:rsid w:val="00677AB7"/>
    <w:rsid w:val="00680048"/>
    <w:rsid w:val="00680ED9"/>
    <w:rsid w:val="006825A8"/>
    <w:rsid w:val="00682749"/>
    <w:rsid w:val="0068376A"/>
    <w:rsid w:val="00683C58"/>
    <w:rsid w:val="006849E4"/>
    <w:rsid w:val="006856A9"/>
    <w:rsid w:val="006857AF"/>
    <w:rsid w:val="0068602C"/>
    <w:rsid w:val="0068603A"/>
    <w:rsid w:val="00686051"/>
    <w:rsid w:val="00686D1D"/>
    <w:rsid w:val="00686FB1"/>
    <w:rsid w:val="006902C7"/>
    <w:rsid w:val="006909D4"/>
    <w:rsid w:val="00690A0F"/>
    <w:rsid w:val="00691566"/>
    <w:rsid w:val="006916F3"/>
    <w:rsid w:val="0069209E"/>
    <w:rsid w:val="0069243E"/>
    <w:rsid w:val="006925C1"/>
    <w:rsid w:val="00692BAC"/>
    <w:rsid w:val="00693983"/>
    <w:rsid w:val="006939CC"/>
    <w:rsid w:val="00693B1B"/>
    <w:rsid w:val="00694188"/>
    <w:rsid w:val="00695E4A"/>
    <w:rsid w:val="0069726E"/>
    <w:rsid w:val="006973ED"/>
    <w:rsid w:val="006A0136"/>
    <w:rsid w:val="006A075C"/>
    <w:rsid w:val="006A08B2"/>
    <w:rsid w:val="006A18AB"/>
    <w:rsid w:val="006A1998"/>
    <w:rsid w:val="006A2E6D"/>
    <w:rsid w:val="006A3250"/>
    <w:rsid w:val="006A3732"/>
    <w:rsid w:val="006A39A7"/>
    <w:rsid w:val="006A45D3"/>
    <w:rsid w:val="006A4B7A"/>
    <w:rsid w:val="006A4BE4"/>
    <w:rsid w:val="006A50CB"/>
    <w:rsid w:val="006A5850"/>
    <w:rsid w:val="006A5EAC"/>
    <w:rsid w:val="006A64FE"/>
    <w:rsid w:val="006A68F5"/>
    <w:rsid w:val="006A6FF3"/>
    <w:rsid w:val="006A70CD"/>
    <w:rsid w:val="006A75C8"/>
    <w:rsid w:val="006B0854"/>
    <w:rsid w:val="006B10DD"/>
    <w:rsid w:val="006B11BC"/>
    <w:rsid w:val="006B1BE4"/>
    <w:rsid w:val="006B1CCB"/>
    <w:rsid w:val="006B1EB1"/>
    <w:rsid w:val="006B2F89"/>
    <w:rsid w:val="006B3797"/>
    <w:rsid w:val="006B3E32"/>
    <w:rsid w:val="006B455A"/>
    <w:rsid w:val="006B4DCE"/>
    <w:rsid w:val="006B5400"/>
    <w:rsid w:val="006B5B6D"/>
    <w:rsid w:val="006B65D4"/>
    <w:rsid w:val="006B676A"/>
    <w:rsid w:val="006B73CF"/>
    <w:rsid w:val="006B7524"/>
    <w:rsid w:val="006B78B8"/>
    <w:rsid w:val="006B7C8E"/>
    <w:rsid w:val="006B7F2E"/>
    <w:rsid w:val="006C01CB"/>
    <w:rsid w:val="006C0B92"/>
    <w:rsid w:val="006C0D2E"/>
    <w:rsid w:val="006C12B9"/>
    <w:rsid w:val="006C1DCE"/>
    <w:rsid w:val="006C2691"/>
    <w:rsid w:val="006C2A70"/>
    <w:rsid w:val="006C2B78"/>
    <w:rsid w:val="006C2F23"/>
    <w:rsid w:val="006C2FDE"/>
    <w:rsid w:val="006C3892"/>
    <w:rsid w:val="006C51F7"/>
    <w:rsid w:val="006C5855"/>
    <w:rsid w:val="006C65FE"/>
    <w:rsid w:val="006C6631"/>
    <w:rsid w:val="006C67B0"/>
    <w:rsid w:val="006C6EB0"/>
    <w:rsid w:val="006C7D52"/>
    <w:rsid w:val="006C7FF8"/>
    <w:rsid w:val="006D02A0"/>
    <w:rsid w:val="006D03DA"/>
    <w:rsid w:val="006D267C"/>
    <w:rsid w:val="006D3FDB"/>
    <w:rsid w:val="006D4066"/>
    <w:rsid w:val="006D4161"/>
    <w:rsid w:val="006D479A"/>
    <w:rsid w:val="006D4C2D"/>
    <w:rsid w:val="006D63EA"/>
    <w:rsid w:val="006D6FA3"/>
    <w:rsid w:val="006D7146"/>
    <w:rsid w:val="006D7B3A"/>
    <w:rsid w:val="006E0C56"/>
    <w:rsid w:val="006E2097"/>
    <w:rsid w:val="006E2671"/>
    <w:rsid w:val="006E2C2D"/>
    <w:rsid w:val="006E31A9"/>
    <w:rsid w:val="006E3F96"/>
    <w:rsid w:val="006E4A0D"/>
    <w:rsid w:val="006E54B2"/>
    <w:rsid w:val="006E7295"/>
    <w:rsid w:val="006E77E9"/>
    <w:rsid w:val="006E798C"/>
    <w:rsid w:val="006F0149"/>
    <w:rsid w:val="006F0711"/>
    <w:rsid w:val="006F1A2C"/>
    <w:rsid w:val="006F1CDE"/>
    <w:rsid w:val="006F2CC0"/>
    <w:rsid w:val="006F2EE5"/>
    <w:rsid w:val="006F2F5B"/>
    <w:rsid w:val="006F36C8"/>
    <w:rsid w:val="006F3E32"/>
    <w:rsid w:val="006F4684"/>
    <w:rsid w:val="006F5DAE"/>
    <w:rsid w:val="006F6568"/>
    <w:rsid w:val="006F6890"/>
    <w:rsid w:val="006F765E"/>
    <w:rsid w:val="006F7BD2"/>
    <w:rsid w:val="00700F0C"/>
    <w:rsid w:val="0070102C"/>
    <w:rsid w:val="007018F4"/>
    <w:rsid w:val="0070388E"/>
    <w:rsid w:val="00704A55"/>
    <w:rsid w:val="007057CB"/>
    <w:rsid w:val="00706683"/>
    <w:rsid w:val="00710239"/>
    <w:rsid w:val="00710A24"/>
    <w:rsid w:val="00712FDC"/>
    <w:rsid w:val="0071307C"/>
    <w:rsid w:val="00714249"/>
    <w:rsid w:val="00714C15"/>
    <w:rsid w:val="00716C15"/>
    <w:rsid w:val="00716EF8"/>
    <w:rsid w:val="00717128"/>
    <w:rsid w:val="00717C12"/>
    <w:rsid w:val="00720F7C"/>
    <w:rsid w:val="00721124"/>
    <w:rsid w:val="007212B6"/>
    <w:rsid w:val="007226EF"/>
    <w:rsid w:val="007228EF"/>
    <w:rsid w:val="007264D4"/>
    <w:rsid w:val="0072676D"/>
    <w:rsid w:val="00726E9E"/>
    <w:rsid w:val="007271BC"/>
    <w:rsid w:val="0072754F"/>
    <w:rsid w:val="00727D9C"/>
    <w:rsid w:val="00730172"/>
    <w:rsid w:val="007301AD"/>
    <w:rsid w:val="007307AD"/>
    <w:rsid w:val="007311B1"/>
    <w:rsid w:val="00732BCC"/>
    <w:rsid w:val="00733631"/>
    <w:rsid w:val="007340AC"/>
    <w:rsid w:val="0073439F"/>
    <w:rsid w:val="00734583"/>
    <w:rsid w:val="00734BF6"/>
    <w:rsid w:val="00735017"/>
    <w:rsid w:val="00735A2D"/>
    <w:rsid w:val="00736030"/>
    <w:rsid w:val="007369DF"/>
    <w:rsid w:val="00736F2E"/>
    <w:rsid w:val="007372E4"/>
    <w:rsid w:val="007407C1"/>
    <w:rsid w:val="007413BA"/>
    <w:rsid w:val="00742C11"/>
    <w:rsid w:val="0074341B"/>
    <w:rsid w:val="00743426"/>
    <w:rsid w:val="0074452B"/>
    <w:rsid w:val="007448C4"/>
    <w:rsid w:val="0074555E"/>
    <w:rsid w:val="00745974"/>
    <w:rsid w:val="00745A63"/>
    <w:rsid w:val="00745F67"/>
    <w:rsid w:val="007464B9"/>
    <w:rsid w:val="0074697A"/>
    <w:rsid w:val="0074700D"/>
    <w:rsid w:val="0074741D"/>
    <w:rsid w:val="007474C5"/>
    <w:rsid w:val="0074793C"/>
    <w:rsid w:val="007504B9"/>
    <w:rsid w:val="00751464"/>
    <w:rsid w:val="0075162B"/>
    <w:rsid w:val="00751B39"/>
    <w:rsid w:val="00752FED"/>
    <w:rsid w:val="0075389D"/>
    <w:rsid w:val="00753C2F"/>
    <w:rsid w:val="0075474B"/>
    <w:rsid w:val="00755AA8"/>
    <w:rsid w:val="00755C7F"/>
    <w:rsid w:val="00755F1C"/>
    <w:rsid w:val="007568FE"/>
    <w:rsid w:val="00756CC4"/>
    <w:rsid w:val="007605D7"/>
    <w:rsid w:val="0076113B"/>
    <w:rsid w:val="007617D9"/>
    <w:rsid w:val="00761B6E"/>
    <w:rsid w:val="0076337C"/>
    <w:rsid w:val="00763744"/>
    <w:rsid w:val="007645A8"/>
    <w:rsid w:val="00765BF5"/>
    <w:rsid w:val="007664A2"/>
    <w:rsid w:val="00766FB1"/>
    <w:rsid w:val="00767678"/>
    <w:rsid w:val="007678A6"/>
    <w:rsid w:val="007678D8"/>
    <w:rsid w:val="0077102C"/>
    <w:rsid w:val="00771D64"/>
    <w:rsid w:val="00771EAD"/>
    <w:rsid w:val="007725AD"/>
    <w:rsid w:val="00774DDF"/>
    <w:rsid w:val="007751F3"/>
    <w:rsid w:val="00775487"/>
    <w:rsid w:val="007762C6"/>
    <w:rsid w:val="0077767B"/>
    <w:rsid w:val="00777D3D"/>
    <w:rsid w:val="007800A6"/>
    <w:rsid w:val="00780BA1"/>
    <w:rsid w:val="00780F86"/>
    <w:rsid w:val="007823B7"/>
    <w:rsid w:val="0078357C"/>
    <w:rsid w:val="00783AFE"/>
    <w:rsid w:val="00783EA5"/>
    <w:rsid w:val="0078484C"/>
    <w:rsid w:val="0078584B"/>
    <w:rsid w:val="00787C39"/>
    <w:rsid w:val="00787E50"/>
    <w:rsid w:val="00787F31"/>
    <w:rsid w:val="00790614"/>
    <w:rsid w:val="0079322E"/>
    <w:rsid w:val="007953C7"/>
    <w:rsid w:val="00795AA3"/>
    <w:rsid w:val="00795E9A"/>
    <w:rsid w:val="007979E8"/>
    <w:rsid w:val="007A0948"/>
    <w:rsid w:val="007A171F"/>
    <w:rsid w:val="007A2649"/>
    <w:rsid w:val="007A3468"/>
    <w:rsid w:val="007A4389"/>
    <w:rsid w:val="007A4523"/>
    <w:rsid w:val="007A4661"/>
    <w:rsid w:val="007A47FE"/>
    <w:rsid w:val="007A5672"/>
    <w:rsid w:val="007A6202"/>
    <w:rsid w:val="007A6A4A"/>
    <w:rsid w:val="007A77EB"/>
    <w:rsid w:val="007B1378"/>
    <w:rsid w:val="007B1F9B"/>
    <w:rsid w:val="007B2402"/>
    <w:rsid w:val="007B276E"/>
    <w:rsid w:val="007B38A7"/>
    <w:rsid w:val="007B39E0"/>
    <w:rsid w:val="007B3DD0"/>
    <w:rsid w:val="007B3E9B"/>
    <w:rsid w:val="007B4E70"/>
    <w:rsid w:val="007B50AA"/>
    <w:rsid w:val="007B59CF"/>
    <w:rsid w:val="007B5C25"/>
    <w:rsid w:val="007B6548"/>
    <w:rsid w:val="007B7662"/>
    <w:rsid w:val="007B78F4"/>
    <w:rsid w:val="007B7FA2"/>
    <w:rsid w:val="007C08F7"/>
    <w:rsid w:val="007C12B8"/>
    <w:rsid w:val="007C1488"/>
    <w:rsid w:val="007C1675"/>
    <w:rsid w:val="007C25AE"/>
    <w:rsid w:val="007C2867"/>
    <w:rsid w:val="007C4023"/>
    <w:rsid w:val="007C4DE8"/>
    <w:rsid w:val="007C5E3D"/>
    <w:rsid w:val="007C6684"/>
    <w:rsid w:val="007C69B9"/>
    <w:rsid w:val="007C6A81"/>
    <w:rsid w:val="007C77AA"/>
    <w:rsid w:val="007C7F4B"/>
    <w:rsid w:val="007D03EE"/>
    <w:rsid w:val="007D0AD7"/>
    <w:rsid w:val="007D1D1E"/>
    <w:rsid w:val="007D3B10"/>
    <w:rsid w:val="007D462D"/>
    <w:rsid w:val="007D46FC"/>
    <w:rsid w:val="007D4903"/>
    <w:rsid w:val="007D5537"/>
    <w:rsid w:val="007D5963"/>
    <w:rsid w:val="007D5C66"/>
    <w:rsid w:val="007D5FE7"/>
    <w:rsid w:val="007D69E5"/>
    <w:rsid w:val="007D7772"/>
    <w:rsid w:val="007E01BC"/>
    <w:rsid w:val="007E05CA"/>
    <w:rsid w:val="007E0BDA"/>
    <w:rsid w:val="007E25AD"/>
    <w:rsid w:val="007E25EB"/>
    <w:rsid w:val="007E312D"/>
    <w:rsid w:val="007E3AF4"/>
    <w:rsid w:val="007E3B08"/>
    <w:rsid w:val="007E4880"/>
    <w:rsid w:val="007E4EFC"/>
    <w:rsid w:val="007E5594"/>
    <w:rsid w:val="007E5BA9"/>
    <w:rsid w:val="007E637C"/>
    <w:rsid w:val="007E6918"/>
    <w:rsid w:val="007E6A18"/>
    <w:rsid w:val="007E72DE"/>
    <w:rsid w:val="007E75D7"/>
    <w:rsid w:val="007F09F4"/>
    <w:rsid w:val="007F0D0D"/>
    <w:rsid w:val="007F1364"/>
    <w:rsid w:val="007F24D1"/>
    <w:rsid w:val="007F29F6"/>
    <w:rsid w:val="007F37C6"/>
    <w:rsid w:val="007F3BAA"/>
    <w:rsid w:val="007F47C9"/>
    <w:rsid w:val="007F4A04"/>
    <w:rsid w:val="007F5BDF"/>
    <w:rsid w:val="007F6475"/>
    <w:rsid w:val="007F647C"/>
    <w:rsid w:val="007F693F"/>
    <w:rsid w:val="007F7893"/>
    <w:rsid w:val="0080041B"/>
    <w:rsid w:val="00800A0B"/>
    <w:rsid w:val="00801E14"/>
    <w:rsid w:val="00802101"/>
    <w:rsid w:val="008025AC"/>
    <w:rsid w:val="00802BD8"/>
    <w:rsid w:val="00802F81"/>
    <w:rsid w:val="00803E05"/>
    <w:rsid w:val="00803FAC"/>
    <w:rsid w:val="00804E3D"/>
    <w:rsid w:val="00804F0A"/>
    <w:rsid w:val="00804F0F"/>
    <w:rsid w:val="00805079"/>
    <w:rsid w:val="008062BE"/>
    <w:rsid w:val="0080689A"/>
    <w:rsid w:val="00806F39"/>
    <w:rsid w:val="00807661"/>
    <w:rsid w:val="00807C6E"/>
    <w:rsid w:val="00810F42"/>
    <w:rsid w:val="00810FD1"/>
    <w:rsid w:val="00811308"/>
    <w:rsid w:val="00811581"/>
    <w:rsid w:val="00812759"/>
    <w:rsid w:val="00813446"/>
    <w:rsid w:val="008138A9"/>
    <w:rsid w:val="008141D7"/>
    <w:rsid w:val="00814574"/>
    <w:rsid w:val="0081496C"/>
    <w:rsid w:val="00816211"/>
    <w:rsid w:val="00820378"/>
    <w:rsid w:val="00820F90"/>
    <w:rsid w:val="008228B8"/>
    <w:rsid w:val="00824DDF"/>
    <w:rsid w:val="00825299"/>
    <w:rsid w:val="00825E42"/>
    <w:rsid w:val="00826219"/>
    <w:rsid w:val="00827233"/>
    <w:rsid w:val="0082768B"/>
    <w:rsid w:val="00827C3A"/>
    <w:rsid w:val="0083084D"/>
    <w:rsid w:val="008310E9"/>
    <w:rsid w:val="0083222F"/>
    <w:rsid w:val="008334C2"/>
    <w:rsid w:val="00833FF1"/>
    <w:rsid w:val="00834C65"/>
    <w:rsid w:val="00835348"/>
    <w:rsid w:val="0083541D"/>
    <w:rsid w:val="00835F09"/>
    <w:rsid w:val="0083634B"/>
    <w:rsid w:val="00840116"/>
    <w:rsid w:val="00840D3F"/>
    <w:rsid w:val="00842B64"/>
    <w:rsid w:val="00843168"/>
    <w:rsid w:val="00844186"/>
    <w:rsid w:val="00844ECF"/>
    <w:rsid w:val="00845A92"/>
    <w:rsid w:val="00846541"/>
    <w:rsid w:val="00846DE6"/>
    <w:rsid w:val="00847523"/>
    <w:rsid w:val="00847652"/>
    <w:rsid w:val="0085005E"/>
    <w:rsid w:val="00850D45"/>
    <w:rsid w:val="0085217C"/>
    <w:rsid w:val="00852352"/>
    <w:rsid w:val="008523C2"/>
    <w:rsid w:val="0085269A"/>
    <w:rsid w:val="00852BA0"/>
    <w:rsid w:val="008539A7"/>
    <w:rsid w:val="00855077"/>
    <w:rsid w:val="008556E8"/>
    <w:rsid w:val="00856069"/>
    <w:rsid w:val="00857754"/>
    <w:rsid w:val="00857B0A"/>
    <w:rsid w:val="00857B3D"/>
    <w:rsid w:val="008603AC"/>
    <w:rsid w:val="00861375"/>
    <w:rsid w:val="00861951"/>
    <w:rsid w:val="00862123"/>
    <w:rsid w:val="00862276"/>
    <w:rsid w:val="008623F8"/>
    <w:rsid w:val="00862BEF"/>
    <w:rsid w:val="00863576"/>
    <w:rsid w:val="00863FC5"/>
    <w:rsid w:val="00863FF7"/>
    <w:rsid w:val="00864E69"/>
    <w:rsid w:val="00865165"/>
    <w:rsid w:val="0086637F"/>
    <w:rsid w:val="0086662D"/>
    <w:rsid w:val="008667AA"/>
    <w:rsid w:val="008669C1"/>
    <w:rsid w:val="00866B10"/>
    <w:rsid w:val="00866B98"/>
    <w:rsid w:val="0086787C"/>
    <w:rsid w:val="00867D42"/>
    <w:rsid w:val="008708D0"/>
    <w:rsid w:val="00872167"/>
    <w:rsid w:val="008726A6"/>
    <w:rsid w:val="00872B2C"/>
    <w:rsid w:val="00872B39"/>
    <w:rsid w:val="00872CFA"/>
    <w:rsid w:val="0087302C"/>
    <w:rsid w:val="0087367C"/>
    <w:rsid w:val="00874271"/>
    <w:rsid w:val="008742E2"/>
    <w:rsid w:val="0087527D"/>
    <w:rsid w:val="00875885"/>
    <w:rsid w:val="008759C7"/>
    <w:rsid w:val="00876291"/>
    <w:rsid w:val="00876BC7"/>
    <w:rsid w:val="0087726B"/>
    <w:rsid w:val="008775A6"/>
    <w:rsid w:val="008776DA"/>
    <w:rsid w:val="00877A72"/>
    <w:rsid w:val="00877BBA"/>
    <w:rsid w:val="00877C31"/>
    <w:rsid w:val="00880C07"/>
    <w:rsid w:val="00880D9A"/>
    <w:rsid w:val="008814CC"/>
    <w:rsid w:val="00881BAC"/>
    <w:rsid w:val="00884336"/>
    <w:rsid w:val="008849EF"/>
    <w:rsid w:val="00885A90"/>
    <w:rsid w:val="00885D68"/>
    <w:rsid w:val="00886773"/>
    <w:rsid w:val="00887103"/>
    <w:rsid w:val="00887597"/>
    <w:rsid w:val="00887959"/>
    <w:rsid w:val="0089090A"/>
    <w:rsid w:val="00891A92"/>
    <w:rsid w:val="008923B8"/>
    <w:rsid w:val="0089318F"/>
    <w:rsid w:val="0089337C"/>
    <w:rsid w:val="00893528"/>
    <w:rsid w:val="008935F3"/>
    <w:rsid w:val="008945F4"/>
    <w:rsid w:val="008945FB"/>
    <w:rsid w:val="0089468A"/>
    <w:rsid w:val="00895235"/>
    <w:rsid w:val="0089555C"/>
    <w:rsid w:val="008966BC"/>
    <w:rsid w:val="008969AF"/>
    <w:rsid w:val="008A1575"/>
    <w:rsid w:val="008A175C"/>
    <w:rsid w:val="008A1A4E"/>
    <w:rsid w:val="008A259A"/>
    <w:rsid w:val="008A39CC"/>
    <w:rsid w:val="008A3AF4"/>
    <w:rsid w:val="008A3F11"/>
    <w:rsid w:val="008A4131"/>
    <w:rsid w:val="008A4280"/>
    <w:rsid w:val="008A4ACD"/>
    <w:rsid w:val="008A4F3E"/>
    <w:rsid w:val="008A5455"/>
    <w:rsid w:val="008A7B33"/>
    <w:rsid w:val="008A7D7F"/>
    <w:rsid w:val="008B048D"/>
    <w:rsid w:val="008B0F31"/>
    <w:rsid w:val="008B138D"/>
    <w:rsid w:val="008B238C"/>
    <w:rsid w:val="008B3D24"/>
    <w:rsid w:val="008B4E45"/>
    <w:rsid w:val="008B5BAF"/>
    <w:rsid w:val="008B6477"/>
    <w:rsid w:val="008B6E1E"/>
    <w:rsid w:val="008B7F46"/>
    <w:rsid w:val="008C00A1"/>
    <w:rsid w:val="008C06BD"/>
    <w:rsid w:val="008C0C48"/>
    <w:rsid w:val="008C0E27"/>
    <w:rsid w:val="008C110C"/>
    <w:rsid w:val="008C111A"/>
    <w:rsid w:val="008C11AE"/>
    <w:rsid w:val="008C1ECD"/>
    <w:rsid w:val="008C1F9A"/>
    <w:rsid w:val="008C28E6"/>
    <w:rsid w:val="008C3034"/>
    <w:rsid w:val="008C366B"/>
    <w:rsid w:val="008C3DCF"/>
    <w:rsid w:val="008C5308"/>
    <w:rsid w:val="008C55F5"/>
    <w:rsid w:val="008C5B46"/>
    <w:rsid w:val="008C63D6"/>
    <w:rsid w:val="008C6B5D"/>
    <w:rsid w:val="008C7071"/>
    <w:rsid w:val="008C70A1"/>
    <w:rsid w:val="008D0705"/>
    <w:rsid w:val="008D0CE5"/>
    <w:rsid w:val="008D143A"/>
    <w:rsid w:val="008D230C"/>
    <w:rsid w:val="008D2DF1"/>
    <w:rsid w:val="008D4094"/>
    <w:rsid w:val="008D46D2"/>
    <w:rsid w:val="008D4B4F"/>
    <w:rsid w:val="008D6246"/>
    <w:rsid w:val="008D7072"/>
    <w:rsid w:val="008D7304"/>
    <w:rsid w:val="008D7F41"/>
    <w:rsid w:val="008E05B0"/>
    <w:rsid w:val="008E0C3D"/>
    <w:rsid w:val="008E0D8D"/>
    <w:rsid w:val="008E2295"/>
    <w:rsid w:val="008E24E4"/>
    <w:rsid w:val="008E2D1D"/>
    <w:rsid w:val="008E33D2"/>
    <w:rsid w:val="008E3926"/>
    <w:rsid w:val="008E463A"/>
    <w:rsid w:val="008E6109"/>
    <w:rsid w:val="008E667F"/>
    <w:rsid w:val="008E6D4B"/>
    <w:rsid w:val="008F0E80"/>
    <w:rsid w:val="008F1343"/>
    <w:rsid w:val="008F151F"/>
    <w:rsid w:val="008F1AA4"/>
    <w:rsid w:val="008F1AFF"/>
    <w:rsid w:val="008F1C17"/>
    <w:rsid w:val="008F2B40"/>
    <w:rsid w:val="008F2C43"/>
    <w:rsid w:val="008F2D02"/>
    <w:rsid w:val="008F2FD6"/>
    <w:rsid w:val="008F31DC"/>
    <w:rsid w:val="008F435A"/>
    <w:rsid w:val="008F4564"/>
    <w:rsid w:val="008F5353"/>
    <w:rsid w:val="008F6291"/>
    <w:rsid w:val="008F62C9"/>
    <w:rsid w:val="008F63B2"/>
    <w:rsid w:val="008F6CDF"/>
    <w:rsid w:val="008F6D39"/>
    <w:rsid w:val="008F7BEE"/>
    <w:rsid w:val="008F7BF9"/>
    <w:rsid w:val="009006D0"/>
    <w:rsid w:val="0090084D"/>
    <w:rsid w:val="00900CDB"/>
    <w:rsid w:val="00900FCB"/>
    <w:rsid w:val="00901AB5"/>
    <w:rsid w:val="009023F1"/>
    <w:rsid w:val="00902DDB"/>
    <w:rsid w:val="009035A4"/>
    <w:rsid w:val="00904AAD"/>
    <w:rsid w:val="009059E0"/>
    <w:rsid w:val="00906159"/>
    <w:rsid w:val="0090769B"/>
    <w:rsid w:val="00907B98"/>
    <w:rsid w:val="00907C6B"/>
    <w:rsid w:val="00910195"/>
    <w:rsid w:val="009106A5"/>
    <w:rsid w:val="009124A4"/>
    <w:rsid w:val="00912CAD"/>
    <w:rsid w:val="0091302A"/>
    <w:rsid w:val="00913134"/>
    <w:rsid w:val="00913879"/>
    <w:rsid w:val="00913B2D"/>
    <w:rsid w:val="009140A9"/>
    <w:rsid w:val="009158EE"/>
    <w:rsid w:val="009164A3"/>
    <w:rsid w:val="00916646"/>
    <w:rsid w:val="009167DC"/>
    <w:rsid w:val="00916FD4"/>
    <w:rsid w:val="0092008F"/>
    <w:rsid w:val="0092094B"/>
    <w:rsid w:val="009217A2"/>
    <w:rsid w:val="009226DE"/>
    <w:rsid w:val="009228D4"/>
    <w:rsid w:val="00922B37"/>
    <w:rsid w:val="009233BF"/>
    <w:rsid w:val="009234A3"/>
    <w:rsid w:val="00923626"/>
    <w:rsid w:val="0092403D"/>
    <w:rsid w:val="009241D2"/>
    <w:rsid w:val="00924539"/>
    <w:rsid w:val="00925407"/>
    <w:rsid w:val="00925E64"/>
    <w:rsid w:val="009269C3"/>
    <w:rsid w:val="009276A6"/>
    <w:rsid w:val="00927DB9"/>
    <w:rsid w:val="00930D73"/>
    <w:rsid w:val="00931A53"/>
    <w:rsid w:val="009333AF"/>
    <w:rsid w:val="00933E07"/>
    <w:rsid w:val="00934204"/>
    <w:rsid w:val="009344AD"/>
    <w:rsid w:val="00934DDC"/>
    <w:rsid w:val="00935551"/>
    <w:rsid w:val="009359A7"/>
    <w:rsid w:val="00936B1C"/>
    <w:rsid w:val="00936D98"/>
    <w:rsid w:val="0093739E"/>
    <w:rsid w:val="00940A41"/>
    <w:rsid w:val="00941B7D"/>
    <w:rsid w:val="00941C8F"/>
    <w:rsid w:val="0094380E"/>
    <w:rsid w:val="009444D6"/>
    <w:rsid w:val="0094454B"/>
    <w:rsid w:val="00944B45"/>
    <w:rsid w:val="0094509E"/>
    <w:rsid w:val="009459BB"/>
    <w:rsid w:val="009464A1"/>
    <w:rsid w:val="009502F8"/>
    <w:rsid w:val="00950743"/>
    <w:rsid w:val="00952322"/>
    <w:rsid w:val="00953157"/>
    <w:rsid w:val="00953EE8"/>
    <w:rsid w:val="00954441"/>
    <w:rsid w:val="009550E9"/>
    <w:rsid w:val="0095647F"/>
    <w:rsid w:val="0095677C"/>
    <w:rsid w:val="00956A94"/>
    <w:rsid w:val="00956F29"/>
    <w:rsid w:val="009572FF"/>
    <w:rsid w:val="0095733B"/>
    <w:rsid w:val="009604D1"/>
    <w:rsid w:val="00960550"/>
    <w:rsid w:val="00961197"/>
    <w:rsid w:val="0096179E"/>
    <w:rsid w:val="00962A97"/>
    <w:rsid w:val="00962D26"/>
    <w:rsid w:val="009630EE"/>
    <w:rsid w:val="00963125"/>
    <w:rsid w:val="009635F0"/>
    <w:rsid w:val="009637BF"/>
    <w:rsid w:val="009640EF"/>
    <w:rsid w:val="00965447"/>
    <w:rsid w:val="00967E39"/>
    <w:rsid w:val="0097190B"/>
    <w:rsid w:val="00971ABA"/>
    <w:rsid w:val="00971E05"/>
    <w:rsid w:val="00972103"/>
    <w:rsid w:val="0097348C"/>
    <w:rsid w:val="00973A8C"/>
    <w:rsid w:val="009743BF"/>
    <w:rsid w:val="009749D5"/>
    <w:rsid w:val="00975937"/>
    <w:rsid w:val="00975A61"/>
    <w:rsid w:val="00976241"/>
    <w:rsid w:val="0097656D"/>
    <w:rsid w:val="009777B5"/>
    <w:rsid w:val="009777FF"/>
    <w:rsid w:val="00977EAE"/>
    <w:rsid w:val="00981633"/>
    <w:rsid w:val="00981A96"/>
    <w:rsid w:val="00981E56"/>
    <w:rsid w:val="00982A2D"/>
    <w:rsid w:val="00982BB3"/>
    <w:rsid w:val="0098315B"/>
    <w:rsid w:val="00983602"/>
    <w:rsid w:val="00983924"/>
    <w:rsid w:val="00984B96"/>
    <w:rsid w:val="00985175"/>
    <w:rsid w:val="00985EAF"/>
    <w:rsid w:val="0098755F"/>
    <w:rsid w:val="0099088E"/>
    <w:rsid w:val="00990C0A"/>
    <w:rsid w:val="009921D7"/>
    <w:rsid w:val="0099260E"/>
    <w:rsid w:val="009931D8"/>
    <w:rsid w:val="00993215"/>
    <w:rsid w:val="00993807"/>
    <w:rsid w:val="00993A28"/>
    <w:rsid w:val="0099434E"/>
    <w:rsid w:val="00994F94"/>
    <w:rsid w:val="009950CF"/>
    <w:rsid w:val="00995228"/>
    <w:rsid w:val="00997A27"/>
    <w:rsid w:val="009A0F10"/>
    <w:rsid w:val="009A28D0"/>
    <w:rsid w:val="009A3EAE"/>
    <w:rsid w:val="009A418E"/>
    <w:rsid w:val="009A41E8"/>
    <w:rsid w:val="009A4801"/>
    <w:rsid w:val="009A498B"/>
    <w:rsid w:val="009A4BF3"/>
    <w:rsid w:val="009A50E4"/>
    <w:rsid w:val="009A523A"/>
    <w:rsid w:val="009A536A"/>
    <w:rsid w:val="009A5801"/>
    <w:rsid w:val="009A5E55"/>
    <w:rsid w:val="009A6FCF"/>
    <w:rsid w:val="009A7778"/>
    <w:rsid w:val="009B020A"/>
    <w:rsid w:val="009B2F77"/>
    <w:rsid w:val="009B3602"/>
    <w:rsid w:val="009B3BAA"/>
    <w:rsid w:val="009B5B49"/>
    <w:rsid w:val="009B66F4"/>
    <w:rsid w:val="009B6929"/>
    <w:rsid w:val="009B6ABE"/>
    <w:rsid w:val="009B6F24"/>
    <w:rsid w:val="009B712C"/>
    <w:rsid w:val="009B7216"/>
    <w:rsid w:val="009B7F98"/>
    <w:rsid w:val="009C0FEB"/>
    <w:rsid w:val="009C1FEB"/>
    <w:rsid w:val="009C21CE"/>
    <w:rsid w:val="009C25D6"/>
    <w:rsid w:val="009C3CBF"/>
    <w:rsid w:val="009C3F89"/>
    <w:rsid w:val="009C4ABF"/>
    <w:rsid w:val="009C4BC7"/>
    <w:rsid w:val="009C6439"/>
    <w:rsid w:val="009C686C"/>
    <w:rsid w:val="009C6AF8"/>
    <w:rsid w:val="009D038D"/>
    <w:rsid w:val="009D0C54"/>
    <w:rsid w:val="009D0D05"/>
    <w:rsid w:val="009D132C"/>
    <w:rsid w:val="009D1745"/>
    <w:rsid w:val="009D1974"/>
    <w:rsid w:val="009D236B"/>
    <w:rsid w:val="009D29B9"/>
    <w:rsid w:val="009D2B9C"/>
    <w:rsid w:val="009D2EFB"/>
    <w:rsid w:val="009D42CF"/>
    <w:rsid w:val="009D48F9"/>
    <w:rsid w:val="009D4986"/>
    <w:rsid w:val="009D586B"/>
    <w:rsid w:val="009D5B3F"/>
    <w:rsid w:val="009E037F"/>
    <w:rsid w:val="009E0718"/>
    <w:rsid w:val="009E1007"/>
    <w:rsid w:val="009E11DA"/>
    <w:rsid w:val="009E18AD"/>
    <w:rsid w:val="009E1EBE"/>
    <w:rsid w:val="009E2156"/>
    <w:rsid w:val="009E25CE"/>
    <w:rsid w:val="009E2DFB"/>
    <w:rsid w:val="009E3139"/>
    <w:rsid w:val="009E31AF"/>
    <w:rsid w:val="009E3377"/>
    <w:rsid w:val="009E4120"/>
    <w:rsid w:val="009E41DB"/>
    <w:rsid w:val="009E4425"/>
    <w:rsid w:val="009E488E"/>
    <w:rsid w:val="009E48B7"/>
    <w:rsid w:val="009E49E3"/>
    <w:rsid w:val="009E50F3"/>
    <w:rsid w:val="009E5914"/>
    <w:rsid w:val="009E5AAA"/>
    <w:rsid w:val="009E5B06"/>
    <w:rsid w:val="009E5CA4"/>
    <w:rsid w:val="009E5DA0"/>
    <w:rsid w:val="009E6E7E"/>
    <w:rsid w:val="009E72B3"/>
    <w:rsid w:val="009F0D9B"/>
    <w:rsid w:val="009F0DC1"/>
    <w:rsid w:val="009F297D"/>
    <w:rsid w:val="009F29BF"/>
    <w:rsid w:val="009F2CA0"/>
    <w:rsid w:val="009F2EE2"/>
    <w:rsid w:val="009F366F"/>
    <w:rsid w:val="009F4693"/>
    <w:rsid w:val="009F64F9"/>
    <w:rsid w:val="009F6C1F"/>
    <w:rsid w:val="009F6E24"/>
    <w:rsid w:val="009F6E57"/>
    <w:rsid w:val="009F71C4"/>
    <w:rsid w:val="009F7401"/>
    <w:rsid w:val="009F7679"/>
    <w:rsid w:val="009F76FF"/>
    <w:rsid w:val="009F79E6"/>
    <w:rsid w:val="009F7E4E"/>
    <w:rsid w:val="00A000DE"/>
    <w:rsid w:val="00A007C7"/>
    <w:rsid w:val="00A00D8D"/>
    <w:rsid w:val="00A01109"/>
    <w:rsid w:val="00A021F9"/>
    <w:rsid w:val="00A032BE"/>
    <w:rsid w:val="00A03334"/>
    <w:rsid w:val="00A03FB6"/>
    <w:rsid w:val="00A05680"/>
    <w:rsid w:val="00A05B75"/>
    <w:rsid w:val="00A0793B"/>
    <w:rsid w:val="00A11891"/>
    <w:rsid w:val="00A119D5"/>
    <w:rsid w:val="00A11B1D"/>
    <w:rsid w:val="00A120EB"/>
    <w:rsid w:val="00A12AF1"/>
    <w:rsid w:val="00A13F42"/>
    <w:rsid w:val="00A14EFB"/>
    <w:rsid w:val="00A1528B"/>
    <w:rsid w:val="00A16199"/>
    <w:rsid w:val="00A16520"/>
    <w:rsid w:val="00A17999"/>
    <w:rsid w:val="00A17AA6"/>
    <w:rsid w:val="00A17BA4"/>
    <w:rsid w:val="00A17C84"/>
    <w:rsid w:val="00A2190B"/>
    <w:rsid w:val="00A219D8"/>
    <w:rsid w:val="00A22DD2"/>
    <w:rsid w:val="00A22F99"/>
    <w:rsid w:val="00A2373F"/>
    <w:rsid w:val="00A24B31"/>
    <w:rsid w:val="00A25E39"/>
    <w:rsid w:val="00A26D12"/>
    <w:rsid w:val="00A27640"/>
    <w:rsid w:val="00A27C84"/>
    <w:rsid w:val="00A27EF5"/>
    <w:rsid w:val="00A30001"/>
    <w:rsid w:val="00A309DB"/>
    <w:rsid w:val="00A31568"/>
    <w:rsid w:val="00A3199B"/>
    <w:rsid w:val="00A32F48"/>
    <w:rsid w:val="00A33464"/>
    <w:rsid w:val="00A3353B"/>
    <w:rsid w:val="00A33B93"/>
    <w:rsid w:val="00A360C3"/>
    <w:rsid w:val="00A365DA"/>
    <w:rsid w:val="00A3663C"/>
    <w:rsid w:val="00A36A9D"/>
    <w:rsid w:val="00A36CA5"/>
    <w:rsid w:val="00A37309"/>
    <w:rsid w:val="00A37FCB"/>
    <w:rsid w:val="00A40060"/>
    <w:rsid w:val="00A400F2"/>
    <w:rsid w:val="00A40285"/>
    <w:rsid w:val="00A40FC6"/>
    <w:rsid w:val="00A41BBA"/>
    <w:rsid w:val="00A41C17"/>
    <w:rsid w:val="00A4212D"/>
    <w:rsid w:val="00A429F9"/>
    <w:rsid w:val="00A43442"/>
    <w:rsid w:val="00A43BF1"/>
    <w:rsid w:val="00A44689"/>
    <w:rsid w:val="00A44A41"/>
    <w:rsid w:val="00A44B4E"/>
    <w:rsid w:val="00A456A8"/>
    <w:rsid w:val="00A45F71"/>
    <w:rsid w:val="00A46722"/>
    <w:rsid w:val="00A46FF9"/>
    <w:rsid w:val="00A471E8"/>
    <w:rsid w:val="00A5003F"/>
    <w:rsid w:val="00A5054F"/>
    <w:rsid w:val="00A507F9"/>
    <w:rsid w:val="00A50E1E"/>
    <w:rsid w:val="00A510D2"/>
    <w:rsid w:val="00A51141"/>
    <w:rsid w:val="00A51C69"/>
    <w:rsid w:val="00A51EA3"/>
    <w:rsid w:val="00A52D4B"/>
    <w:rsid w:val="00A5349B"/>
    <w:rsid w:val="00A53DED"/>
    <w:rsid w:val="00A54A32"/>
    <w:rsid w:val="00A54D2B"/>
    <w:rsid w:val="00A553A7"/>
    <w:rsid w:val="00A556E5"/>
    <w:rsid w:val="00A558FB"/>
    <w:rsid w:val="00A56B3D"/>
    <w:rsid w:val="00A600C3"/>
    <w:rsid w:val="00A607A9"/>
    <w:rsid w:val="00A61F9A"/>
    <w:rsid w:val="00A624D3"/>
    <w:rsid w:val="00A62C08"/>
    <w:rsid w:val="00A6347E"/>
    <w:rsid w:val="00A63B4C"/>
    <w:rsid w:val="00A63DF6"/>
    <w:rsid w:val="00A63E37"/>
    <w:rsid w:val="00A64AE7"/>
    <w:rsid w:val="00A651D4"/>
    <w:rsid w:val="00A65D6C"/>
    <w:rsid w:val="00A65FE6"/>
    <w:rsid w:val="00A66AF2"/>
    <w:rsid w:val="00A66D92"/>
    <w:rsid w:val="00A67352"/>
    <w:rsid w:val="00A6767D"/>
    <w:rsid w:val="00A67A1E"/>
    <w:rsid w:val="00A71C97"/>
    <w:rsid w:val="00A73AAD"/>
    <w:rsid w:val="00A76468"/>
    <w:rsid w:val="00A80335"/>
    <w:rsid w:val="00A80373"/>
    <w:rsid w:val="00A82E1A"/>
    <w:rsid w:val="00A83B49"/>
    <w:rsid w:val="00A83BAF"/>
    <w:rsid w:val="00A83FBC"/>
    <w:rsid w:val="00A8516A"/>
    <w:rsid w:val="00A868DE"/>
    <w:rsid w:val="00A86E31"/>
    <w:rsid w:val="00A86F15"/>
    <w:rsid w:val="00A872A7"/>
    <w:rsid w:val="00A87808"/>
    <w:rsid w:val="00A908D0"/>
    <w:rsid w:val="00A91406"/>
    <w:rsid w:val="00A92223"/>
    <w:rsid w:val="00A92F45"/>
    <w:rsid w:val="00A9396C"/>
    <w:rsid w:val="00A939EF"/>
    <w:rsid w:val="00A941BD"/>
    <w:rsid w:val="00A95AF7"/>
    <w:rsid w:val="00A9683D"/>
    <w:rsid w:val="00A968F9"/>
    <w:rsid w:val="00A96EE8"/>
    <w:rsid w:val="00A97A97"/>
    <w:rsid w:val="00AA102B"/>
    <w:rsid w:val="00AA1EDE"/>
    <w:rsid w:val="00AA1EF9"/>
    <w:rsid w:val="00AA2642"/>
    <w:rsid w:val="00AA34D3"/>
    <w:rsid w:val="00AA459C"/>
    <w:rsid w:val="00AA464B"/>
    <w:rsid w:val="00AA5055"/>
    <w:rsid w:val="00AA5D42"/>
    <w:rsid w:val="00AA5F1E"/>
    <w:rsid w:val="00AA6973"/>
    <w:rsid w:val="00AA6B04"/>
    <w:rsid w:val="00AA6B7F"/>
    <w:rsid w:val="00AB0547"/>
    <w:rsid w:val="00AB1140"/>
    <w:rsid w:val="00AB2819"/>
    <w:rsid w:val="00AB2B43"/>
    <w:rsid w:val="00AB358E"/>
    <w:rsid w:val="00AB367D"/>
    <w:rsid w:val="00AB4540"/>
    <w:rsid w:val="00AB4719"/>
    <w:rsid w:val="00AB4B6A"/>
    <w:rsid w:val="00AB52F4"/>
    <w:rsid w:val="00AB550C"/>
    <w:rsid w:val="00AB6AD0"/>
    <w:rsid w:val="00AB75A8"/>
    <w:rsid w:val="00AB7A1E"/>
    <w:rsid w:val="00AC050E"/>
    <w:rsid w:val="00AC0C74"/>
    <w:rsid w:val="00AC0FAE"/>
    <w:rsid w:val="00AC1820"/>
    <w:rsid w:val="00AC194B"/>
    <w:rsid w:val="00AC21DD"/>
    <w:rsid w:val="00AC2EC1"/>
    <w:rsid w:val="00AC37BA"/>
    <w:rsid w:val="00AC3D25"/>
    <w:rsid w:val="00AC40A3"/>
    <w:rsid w:val="00AC5744"/>
    <w:rsid w:val="00AC65AD"/>
    <w:rsid w:val="00AC6D83"/>
    <w:rsid w:val="00AC788C"/>
    <w:rsid w:val="00AC7FFB"/>
    <w:rsid w:val="00AD0135"/>
    <w:rsid w:val="00AD14FC"/>
    <w:rsid w:val="00AD1D64"/>
    <w:rsid w:val="00AD2601"/>
    <w:rsid w:val="00AD27B7"/>
    <w:rsid w:val="00AD2C73"/>
    <w:rsid w:val="00AD332A"/>
    <w:rsid w:val="00AD4374"/>
    <w:rsid w:val="00AD4502"/>
    <w:rsid w:val="00AD4873"/>
    <w:rsid w:val="00AD5489"/>
    <w:rsid w:val="00AD5872"/>
    <w:rsid w:val="00AD6969"/>
    <w:rsid w:val="00AD6A00"/>
    <w:rsid w:val="00AD7963"/>
    <w:rsid w:val="00AD7CC0"/>
    <w:rsid w:val="00AE19DB"/>
    <w:rsid w:val="00AE346E"/>
    <w:rsid w:val="00AE3E71"/>
    <w:rsid w:val="00AE410D"/>
    <w:rsid w:val="00AE4171"/>
    <w:rsid w:val="00AE45F6"/>
    <w:rsid w:val="00AE4968"/>
    <w:rsid w:val="00AE4A21"/>
    <w:rsid w:val="00AE5B71"/>
    <w:rsid w:val="00AE6695"/>
    <w:rsid w:val="00AE7650"/>
    <w:rsid w:val="00AF098D"/>
    <w:rsid w:val="00AF1FDC"/>
    <w:rsid w:val="00AF324A"/>
    <w:rsid w:val="00AF44FD"/>
    <w:rsid w:val="00AF4B41"/>
    <w:rsid w:val="00AF52A3"/>
    <w:rsid w:val="00AF6993"/>
    <w:rsid w:val="00AF7386"/>
    <w:rsid w:val="00AF7786"/>
    <w:rsid w:val="00B0078E"/>
    <w:rsid w:val="00B00CF7"/>
    <w:rsid w:val="00B024E7"/>
    <w:rsid w:val="00B02B42"/>
    <w:rsid w:val="00B03D7F"/>
    <w:rsid w:val="00B0402F"/>
    <w:rsid w:val="00B041CF"/>
    <w:rsid w:val="00B04C0F"/>
    <w:rsid w:val="00B04E3A"/>
    <w:rsid w:val="00B04FB1"/>
    <w:rsid w:val="00B05336"/>
    <w:rsid w:val="00B05544"/>
    <w:rsid w:val="00B05C7C"/>
    <w:rsid w:val="00B05CC4"/>
    <w:rsid w:val="00B05FEF"/>
    <w:rsid w:val="00B0687F"/>
    <w:rsid w:val="00B0724D"/>
    <w:rsid w:val="00B07ADD"/>
    <w:rsid w:val="00B10489"/>
    <w:rsid w:val="00B1130E"/>
    <w:rsid w:val="00B113EF"/>
    <w:rsid w:val="00B11706"/>
    <w:rsid w:val="00B11BB2"/>
    <w:rsid w:val="00B12792"/>
    <w:rsid w:val="00B12A1C"/>
    <w:rsid w:val="00B12B40"/>
    <w:rsid w:val="00B13AC9"/>
    <w:rsid w:val="00B13EB8"/>
    <w:rsid w:val="00B153C4"/>
    <w:rsid w:val="00B1568A"/>
    <w:rsid w:val="00B15789"/>
    <w:rsid w:val="00B15F75"/>
    <w:rsid w:val="00B161AB"/>
    <w:rsid w:val="00B163B9"/>
    <w:rsid w:val="00B16BB7"/>
    <w:rsid w:val="00B2003B"/>
    <w:rsid w:val="00B20A29"/>
    <w:rsid w:val="00B2156F"/>
    <w:rsid w:val="00B2192D"/>
    <w:rsid w:val="00B2196D"/>
    <w:rsid w:val="00B21EA8"/>
    <w:rsid w:val="00B223A3"/>
    <w:rsid w:val="00B257B5"/>
    <w:rsid w:val="00B268BF"/>
    <w:rsid w:val="00B269A4"/>
    <w:rsid w:val="00B26C22"/>
    <w:rsid w:val="00B26CA2"/>
    <w:rsid w:val="00B27EE6"/>
    <w:rsid w:val="00B310AB"/>
    <w:rsid w:val="00B3119D"/>
    <w:rsid w:val="00B311E5"/>
    <w:rsid w:val="00B31697"/>
    <w:rsid w:val="00B32435"/>
    <w:rsid w:val="00B33D58"/>
    <w:rsid w:val="00B3419C"/>
    <w:rsid w:val="00B34B94"/>
    <w:rsid w:val="00B362BA"/>
    <w:rsid w:val="00B36F4E"/>
    <w:rsid w:val="00B37F34"/>
    <w:rsid w:val="00B401BC"/>
    <w:rsid w:val="00B4030F"/>
    <w:rsid w:val="00B404CC"/>
    <w:rsid w:val="00B4063E"/>
    <w:rsid w:val="00B41669"/>
    <w:rsid w:val="00B41AB2"/>
    <w:rsid w:val="00B41D02"/>
    <w:rsid w:val="00B4232A"/>
    <w:rsid w:val="00B42817"/>
    <w:rsid w:val="00B43442"/>
    <w:rsid w:val="00B43F99"/>
    <w:rsid w:val="00B442D5"/>
    <w:rsid w:val="00B44E55"/>
    <w:rsid w:val="00B44F6C"/>
    <w:rsid w:val="00B4516C"/>
    <w:rsid w:val="00B45484"/>
    <w:rsid w:val="00B4594E"/>
    <w:rsid w:val="00B45E71"/>
    <w:rsid w:val="00B47B9C"/>
    <w:rsid w:val="00B47F5D"/>
    <w:rsid w:val="00B5114D"/>
    <w:rsid w:val="00B515F4"/>
    <w:rsid w:val="00B516C7"/>
    <w:rsid w:val="00B51CF6"/>
    <w:rsid w:val="00B52C06"/>
    <w:rsid w:val="00B541A0"/>
    <w:rsid w:val="00B56438"/>
    <w:rsid w:val="00B569D7"/>
    <w:rsid w:val="00B56A44"/>
    <w:rsid w:val="00B57704"/>
    <w:rsid w:val="00B61EBD"/>
    <w:rsid w:val="00B62479"/>
    <w:rsid w:val="00B6349B"/>
    <w:rsid w:val="00B63B46"/>
    <w:rsid w:val="00B649BA"/>
    <w:rsid w:val="00B64DF8"/>
    <w:rsid w:val="00B66165"/>
    <w:rsid w:val="00B66332"/>
    <w:rsid w:val="00B676EA"/>
    <w:rsid w:val="00B67BAF"/>
    <w:rsid w:val="00B67F1E"/>
    <w:rsid w:val="00B70F5A"/>
    <w:rsid w:val="00B711CC"/>
    <w:rsid w:val="00B714E2"/>
    <w:rsid w:val="00B7190C"/>
    <w:rsid w:val="00B71B55"/>
    <w:rsid w:val="00B71EB6"/>
    <w:rsid w:val="00B7238E"/>
    <w:rsid w:val="00B72458"/>
    <w:rsid w:val="00B72471"/>
    <w:rsid w:val="00B72813"/>
    <w:rsid w:val="00B72F28"/>
    <w:rsid w:val="00B736EA"/>
    <w:rsid w:val="00B73C17"/>
    <w:rsid w:val="00B74328"/>
    <w:rsid w:val="00B744F1"/>
    <w:rsid w:val="00B74BC5"/>
    <w:rsid w:val="00B75242"/>
    <w:rsid w:val="00B75F07"/>
    <w:rsid w:val="00B75F5D"/>
    <w:rsid w:val="00B76E14"/>
    <w:rsid w:val="00B776D7"/>
    <w:rsid w:val="00B776E6"/>
    <w:rsid w:val="00B779C4"/>
    <w:rsid w:val="00B77CAC"/>
    <w:rsid w:val="00B77D16"/>
    <w:rsid w:val="00B8088D"/>
    <w:rsid w:val="00B81B8A"/>
    <w:rsid w:val="00B81C2E"/>
    <w:rsid w:val="00B81E14"/>
    <w:rsid w:val="00B822A1"/>
    <w:rsid w:val="00B82745"/>
    <w:rsid w:val="00B82CCB"/>
    <w:rsid w:val="00B848F9"/>
    <w:rsid w:val="00B84B53"/>
    <w:rsid w:val="00B854AD"/>
    <w:rsid w:val="00B854E5"/>
    <w:rsid w:val="00B85BEE"/>
    <w:rsid w:val="00B8602C"/>
    <w:rsid w:val="00B86BA3"/>
    <w:rsid w:val="00B86E3B"/>
    <w:rsid w:val="00B87451"/>
    <w:rsid w:val="00B8750D"/>
    <w:rsid w:val="00B90902"/>
    <w:rsid w:val="00B909C2"/>
    <w:rsid w:val="00B90BF6"/>
    <w:rsid w:val="00B91C95"/>
    <w:rsid w:val="00B922FB"/>
    <w:rsid w:val="00B94447"/>
    <w:rsid w:val="00B948AA"/>
    <w:rsid w:val="00B950EB"/>
    <w:rsid w:val="00B951ED"/>
    <w:rsid w:val="00B953F0"/>
    <w:rsid w:val="00B95948"/>
    <w:rsid w:val="00B96122"/>
    <w:rsid w:val="00B96458"/>
    <w:rsid w:val="00B97571"/>
    <w:rsid w:val="00BA1A17"/>
    <w:rsid w:val="00BA1FC2"/>
    <w:rsid w:val="00BA28EF"/>
    <w:rsid w:val="00BA3BAD"/>
    <w:rsid w:val="00BA3DB3"/>
    <w:rsid w:val="00BA4065"/>
    <w:rsid w:val="00BA425B"/>
    <w:rsid w:val="00BA4A7B"/>
    <w:rsid w:val="00BA6358"/>
    <w:rsid w:val="00BA6CF3"/>
    <w:rsid w:val="00BA6D32"/>
    <w:rsid w:val="00BA6FE7"/>
    <w:rsid w:val="00BA7510"/>
    <w:rsid w:val="00BA79D9"/>
    <w:rsid w:val="00BA7CD1"/>
    <w:rsid w:val="00BB08D8"/>
    <w:rsid w:val="00BB0BAC"/>
    <w:rsid w:val="00BB0FD7"/>
    <w:rsid w:val="00BB10B0"/>
    <w:rsid w:val="00BB2BDC"/>
    <w:rsid w:val="00BB407A"/>
    <w:rsid w:val="00BB4642"/>
    <w:rsid w:val="00BB4A9E"/>
    <w:rsid w:val="00BB5344"/>
    <w:rsid w:val="00BB58AF"/>
    <w:rsid w:val="00BB600E"/>
    <w:rsid w:val="00BB6B6F"/>
    <w:rsid w:val="00BB7CA6"/>
    <w:rsid w:val="00BC0C9C"/>
    <w:rsid w:val="00BC179C"/>
    <w:rsid w:val="00BC187D"/>
    <w:rsid w:val="00BC1A32"/>
    <w:rsid w:val="00BC29C4"/>
    <w:rsid w:val="00BC34E2"/>
    <w:rsid w:val="00BC3C18"/>
    <w:rsid w:val="00BC3C52"/>
    <w:rsid w:val="00BC3FDA"/>
    <w:rsid w:val="00BC57BD"/>
    <w:rsid w:val="00BC6377"/>
    <w:rsid w:val="00BD034A"/>
    <w:rsid w:val="00BD0C21"/>
    <w:rsid w:val="00BD2379"/>
    <w:rsid w:val="00BD2969"/>
    <w:rsid w:val="00BD2EBC"/>
    <w:rsid w:val="00BD3305"/>
    <w:rsid w:val="00BD34BD"/>
    <w:rsid w:val="00BD3E2A"/>
    <w:rsid w:val="00BD473C"/>
    <w:rsid w:val="00BD4835"/>
    <w:rsid w:val="00BD52DD"/>
    <w:rsid w:val="00BD55B0"/>
    <w:rsid w:val="00BD759C"/>
    <w:rsid w:val="00BD75F1"/>
    <w:rsid w:val="00BD77B2"/>
    <w:rsid w:val="00BD7BA9"/>
    <w:rsid w:val="00BD7C09"/>
    <w:rsid w:val="00BE05AE"/>
    <w:rsid w:val="00BE0739"/>
    <w:rsid w:val="00BE220D"/>
    <w:rsid w:val="00BE2268"/>
    <w:rsid w:val="00BE25FE"/>
    <w:rsid w:val="00BE26DB"/>
    <w:rsid w:val="00BE2D11"/>
    <w:rsid w:val="00BE345F"/>
    <w:rsid w:val="00BE3DE9"/>
    <w:rsid w:val="00BE4FEB"/>
    <w:rsid w:val="00BE561B"/>
    <w:rsid w:val="00BE596D"/>
    <w:rsid w:val="00BE5D64"/>
    <w:rsid w:val="00BE5EBB"/>
    <w:rsid w:val="00BE6A53"/>
    <w:rsid w:val="00BF17F8"/>
    <w:rsid w:val="00BF1935"/>
    <w:rsid w:val="00BF37F3"/>
    <w:rsid w:val="00BF4517"/>
    <w:rsid w:val="00BF4C93"/>
    <w:rsid w:val="00BF60C1"/>
    <w:rsid w:val="00BF7B07"/>
    <w:rsid w:val="00C002ED"/>
    <w:rsid w:val="00C010DE"/>
    <w:rsid w:val="00C0234F"/>
    <w:rsid w:val="00C02C4A"/>
    <w:rsid w:val="00C031A9"/>
    <w:rsid w:val="00C03581"/>
    <w:rsid w:val="00C03EC5"/>
    <w:rsid w:val="00C04DCB"/>
    <w:rsid w:val="00C054B2"/>
    <w:rsid w:val="00C0560B"/>
    <w:rsid w:val="00C05D09"/>
    <w:rsid w:val="00C07159"/>
    <w:rsid w:val="00C075CA"/>
    <w:rsid w:val="00C104FE"/>
    <w:rsid w:val="00C10660"/>
    <w:rsid w:val="00C1084D"/>
    <w:rsid w:val="00C10A0A"/>
    <w:rsid w:val="00C10DF0"/>
    <w:rsid w:val="00C11266"/>
    <w:rsid w:val="00C1130D"/>
    <w:rsid w:val="00C1358B"/>
    <w:rsid w:val="00C1451D"/>
    <w:rsid w:val="00C14780"/>
    <w:rsid w:val="00C15289"/>
    <w:rsid w:val="00C15413"/>
    <w:rsid w:val="00C15ABB"/>
    <w:rsid w:val="00C15E13"/>
    <w:rsid w:val="00C174C9"/>
    <w:rsid w:val="00C177EF"/>
    <w:rsid w:val="00C17C7C"/>
    <w:rsid w:val="00C201C3"/>
    <w:rsid w:val="00C2081A"/>
    <w:rsid w:val="00C208AD"/>
    <w:rsid w:val="00C21383"/>
    <w:rsid w:val="00C230C3"/>
    <w:rsid w:val="00C23E95"/>
    <w:rsid w:val="00C24D3A"/>
    <w:rsid w:val="00C25640"/>
    <w:rsid w:val="00C26F53"/>
    <w:rsid w:val="00C270EA"/>
    <w:rsid w:val="00C30551"/>
    <w:rsid w:val="00C312CF"/>
    <w:rsid w:val="00C328C1"/>
    <w:rsid w:val="00C33352"/>
    <w:rsid w:val="00C34525"/>
    <w:rsid w:val="00C35ED8"/>
    <w:rsid w:val="00C36AE4"/>
    <w:rsid w:val="00C372B5"/>
    <w:rsid w:val="00C379C2"/>
    <w:rsid w:val="00C37BF0"/>
    <w:rsid w:val="00C40F6F"/>
    <w:rsid w:val="00C413F3"/>
    <w:rsid w:val="00C41FFD"/>
    <w:rsid w:val="00C429D1"/>
    <w:rsid w:val="00C4364D"/>
    <w:rsid w:val="00C44497"/>
    <w:rsid w:val="00C44580"/>
    <w:rsid w:val="00C44AD6"/>
    <w:rsid w:val="00C45690"/>
    <w:rsid w:val="00C47B08"/>
    <w:rsid w:val="00C50E52"/>
    <w:rsid w:val="00C51481"/>
    <w:rsid w:val="00C51DAA"/>
    <w:rsid w:val="00C51F14"/>
    <w:rsid w:val="00C52129"/>
    <w:rsid w:val="00C528E3"/>
    <w:rsid w:val="00C52D45"/>
    <w:rsid w:val="00C53438"/>
    <w:rsid w:val="00C53A1D"/>
    <w:rsid w:val="00C53E6A"/>
    <w:rsid w:val="00C5449F"/>
    <w:rsid w:val="00C5512A"/>
    <w:rsid w:val="00C55D37"/>
    <w:rsid w:val="00C561D9"/>
    <w:rsid w:val="00C5733B"/>
    <w:rsid w:val="00C600E3"/>
    <w:rsid w:val="00C60BD7"/>
    <w:rsid w:val="00C61283"/>
    <w:rsid w:val="00C61AF3"/>
    <w:rsid w:val="00C6262C"/>
    <w:rsid w:val="00C645F2"/>
    <w:rsid w:val="00C64AC3"/>
    <w:rsid w:val="00C6575B"/>
    <w:rsid w:val="00C66A06"/>
    <w:rsid w:val="00C6723F"/>
    <w:rsid w:val="00C67B3B"/>
    <w:rsid w:val="00C7087E"/>
    <w:rsid w:val="00C71215"/>
    <w:rsid w:val="00C7151E"/>
    <w:rsid w:val="00C718A1"/>
    <w:rsid w:val="00C71F96"/>
    <w:rsid w:val="00C72295"/>
    <w:rsid w:val="00C725FC"/>
    <w:rsid w:val="00C74651"/>
    <w:rsid w:val="00C755C9"/>
    <w:rsid w:val="00C756F4"/>
    <w:rsid w:val="00C75848"/>
    <w:rsid w:val="00C7672D"/>
    <w:rsid w:val="00C771AB"/>
    <w:rsid w:val="00C77792"/>
    <w:rsid w:val="00C77A60"/>
    <w:rsid w:val="00C81769"/>
    <w:rsid w:val="00C824B0"/>
    <w:rsid w:val="00C82512"/>
    <w:rsid w:val="00C82791"/>
    <w:rsid w:val="00C85027"/>
    <w:rsid w:val="00C8612B"/>
    <w:rsid w:val="00C874C1"/>
    <w:rsid w:val="00C90C9E"/>
    <w:rsid w:val="00C911A3"/>
    <w:rsid w:val="00C91AEB"/>
    <w:rsid w:val="00C91C52"/>
    <w:rsid w:val="00C923B6"/>
    <w:rsid w:val="00C932AB"/>
    <w:rsid w:val="00C93A69"/>
    <w:rsid w:val="00C9546A"/>
    <w:rsid w:val="00C954E7"/>
    <w:rsid w:val="00C97109"/>
    <w:rsid w:val="00C97CE7"/>
    <w:rsid w:val="00CA003F"/>
    <w:rsid w:val="00CA080A"/>
    <w:rsid w:val="00CA1CFE"/>
    <w:rsid w:val="00CA2733"/>
    <w:rsid w:val="00CA2950"/>
    <w:rsid w:val="00CA4CF8"/>
    <w:rsid w:val="00CA4EF2"/>
    <w:rsid w:val="00CA5854"/>
    <w:rsid w:val="00CA5AB8"/>
    <w:rsid w:val="00CA699C"/>
    <w:rsid w:val="00CA6A31"/>
    <w:rsid w:val="00CA7378"/>
    <w:rsid w:val="00CB09DC"/>
    <w:rsid w:val="00CB1E15"/>
    <w:rsid w:val="00CB441B"/>
    <w:rsid w:val="00CB471C"/>
    <w:rsid w:val="00CB4B08"/>
    <w:rsid w:val="00CB510E"/>
    <w:rsid w:val="00CB6202"/>
    <w:rsid w:val="00CB73F4"/>
    <w:rsid w:val="00CB7FF8"/>
    <w:rsid w:val="00CC1CDC"/>
    <w:rsid w:val="00CC2EE1"/>
    <w:rsid w:val="00CC311D"/>
    <w:rsid w:val="00CC3647"/>
    <w:rsid w:val="00CC3996"/>
    <w:rsid w:val="00CC3CA9"/>
    <w:rsid w:val="00CC43DE"/>
    <w:rsid w:val="00CC50BF"/>
    <w:rsid w:val="00CC6599"/>
    <w:rsid w:val="00CC7316"/>
    <w:rsid w:val="00CC760E"/>
    <w:rsid w:val="00CC79EB"/>
    <w:rsid w:val="00CC7A2C"/>
    <w:rsid w:val="00CC7B47"/>
    <w:rsid w:val="00CC7E85"/>
    <w:rsid w:val="00CD2079"/>
    <w:rsid w:val="00CD2605"/>
    <w:rsid w:val="00CD3BFB"/>
    <w:rsid w:val="00CD477B"/>
    <w:rsid w:val="00CD4EC7"/>
    <w:rsid w:val="00CD5782"/>
    <w:rsid w:val="00CD5F40"/>
    <w:rsid w:val="00CD687F"/>
    <w:rsid w:val="00CD6F95"/>
    <w:rsid w:val="00CD7BD4"/>
    <w:rsid w:val="00CD7D6B"/>
    <w:rsid w:val="00CE1B4E"/>
    <w:rsid w:val="00CE1B72"/>
    <w:rsid w:val="00CE1EDD"/>
    <w:rsid w:val="00CE228A"/>
    <w:rsid w:val="00CE2D82"/>
    <w:rsid w:val="00CE4E8C"/>
    <w:rsid w:val="00CE5880"/>
    <w:rsid w:val="00CE5B07"/>
    <w:rsid w:val="00CE60C4"/>
    <w:rsid w:val="00CE654A"/>
    <w:rsid w:val="00CE7433"/>
    <w:rsid w:val="00CE7DBF"/>
    <w:rsid w:val="00CE7FB0"/>
    <w:rsid w:val="00CF158E"/>
    <w:rsid w:val="00CF1732"/>
    <w:rsid w:val="00CF1B54"/>
    <w:rsid w:val="00CF250B"/>
    <w:rsid w:val="00CF338D"/>
    <w:rsid w:val="00CF3B6B"/>
    <w:rsid w:val="00CF3D27"/>
    <w:rsid w:val="00CF3F4C"/>
    <w:rsid w:val="00CF4A7D"/>
    <w:rsid w:val="00CF4BA0"/>
    <w:rsid w:val="00CF51B3"/>
    <w:rsid w:val="00CF52F3"/>
    <w:rsid w:val="00CF582C"/>
    <w:rsid w:val="00CF5F97"/>
    <w:rsid w:val="00CF6256"/>
    <w:rsid w:val="00CF78D3"/>
    <w:rsid w:val="00CF7C76"/>
    <w:rsid w:val="00CF7E95"/>
    <w:rsid w:val="00CF7F2F"/>
    <w:rsid w:val="00CF7F4C"/>
    <w:rsid w:val="00CF7F7A"/>
    <w:rsid w:val="00D00674"/>
    <w:rsid w:val="00D00F9C"/>
    <w:rsid w:val="00D012F1"/>
    <w:rsid w:val="00D0161D"/>
    <w:rsid w:val="00D018E0"/>
    <w:rsid w:val="00D01A43"/>
    <w:rsid w:val="00D01B57"/>
    <w:rsid w:val="00D01EC7"/>
    <w:rsid w:val="00D029DA"/>
    <w:rsid w:val="00D02C50"/>
    <w:rsid w:val="00D03C60"/>
    <w:rsid w:val="00D04115"/>
    <w:rsid w:val="00D05CE4"/>
    <w:rsid w:val="00D06490"/>
    <w:rsid w:val="00D06744"/>
    <w:rsid w:val="00D0676B"/>
    <w:rsid w:val="00D06FF7"/>
    <w:rsid w:val="00D106C0"/>
    <w:rsid w:val="00D12488"/>
    <w:rsid w:val="00D14119"/>
    <w:rsid w:val="00D14950"/>
    <w:rsid w:val="00D150B5"/>
    <w:rsid w:val="00D1530E"/>
    <w:rsid w:val="00D15F99"/>
    <w:rsid w:val="00D175C6"/>
    <w:rsid w:val="00D1781D"/>
    <w:rsid w:val="00D17A5D"/>
    <w:rsid w:val="00D17E05"/>
    <w:rsid w:val="00D20594"/>
    <w:rsid w:val="00D21319"/>
    <w:rsid w:val="00D21322"/>
    <w:rsid w:val="00D2133A"/>
    <w:rsid w:val="00D2186E"/>
    <w:rsid w:val="00D22398"/>
    <w:rsid w:val="00D226F8"/>
    <w:rsid w:val="00D22A49"/>
    <w:rsid w:val="00D22C68"/>
    <w:rsid w:val="00D23114"/>
    <w:rsid w:val="00D23945"/>
    <w:rsid w:val="00D24594"/>
    <w:rsid w:val="00D245A1"/>
    <w:rsid w:val="00D24C1F"/>
    <w:rsid w:val="00D25F0E"/>
    <w:rsid w:val="00D25F14"/>
    <w:rsid w:val="00D2611D"/>
    <w:rsid w:val="00D26EFC"/>
    <w:rsid w:val="00D27529"/>
    <w:rsid w:val="00D27A83"/>
    <w:rsid w:val="00D300E6"/>
    <w:rsid w:val="00D30E1F"/>
    <w:rsid w:val="00D30EA9"/>
    <w:rsid w:val="00D312DD"/>
    <w:rsid w:val="00D31500"/>
    <w:rsid w:val="00D31980"/>
    <w:rsid w:val="00D32334"/>
    <w:rsid w:val="00D32CF5"/>
    <w:rsid w:val="00D3308E"/>
    <w:rsid w:val="00D33A18"/>
    <w:rsid w:val="00D3477A"/>
    <w:rsid w:val="00D3487D"/>
    <w:rsid w:val="00D34EF6"/>
    <w:rsid w:val="00D359D2"/>
    <w:rsid w:val="00D3676F"/>
    <w:rsid w:val="00D36E3E"/>
    <w:rsid w:val="00D3739F"/>
    <w:rsid w:val="00D37E87"/>
    <w:rsid w:val="00D4183D"/>
    <w:rsid w:val="00D41C3A"/>
    <w:rsid w:val="00D42730"/>
    <w:rsid w:val="00D43095"/>
    <w:rsid w:val="00D4313D"/>
    <w:rsid w:val="00D43803"/>
    <w:rsid w:val="00D43BE8"/>
    <w:rsid w:val="00D44ADA"/>
    <w:rsid w:val="00D4532D"/>
    <w:rsid w:val="00D45518"/>
    <w:rsid w:val="00D45C86"/>
    <w:rsid w:val="00D46625"/>
    <w:rsid w:val="00D46C2D"/>
    <w:rsid w:val="00D47509"/>
    <w:rsid w:val="00D476F6"/>
    <w:rsid w:val="00D47840"/>
    <w:rsid w:val="00D47BBA"/>
    <w:rsid w:val="00D50B20"/>
    <w:rsid w:val="00D5106F"/>
    <w:rsid w:val="00D518B2"/>
    <w:rsid w:val="00D51BEA"/>
    <w:rsid w:val="00D51D4A"/>
    <w:rsid w:val="00D52515"/>
    <w:rsid w:val="00D52705"/>
    <w:rsid w:val="00D52993"/>
    <w:rsid w:val="00D53422"/>
    <w:rsid w:val="00D53983"/>
    <w:rsid w:val="00D53B4F"/>
    <w:rsid w:val="00D53FCD"/>
    <w:rsid w:val="00D54688"/>
    <w:rsid w:val="00D5503C"/>
    <w:rsid w:val="00D550F3"/>
    <w:rsid w:val="00D55221"/>
    <w:rsid w:val="00D55DD7"/>
    <w:rsid w:val="00D5622B"/>
    <w:rsid w:val="00D566B3"/>
    <w:rsid w:val="00D56736"/>
    <w:rsid w:val="00D56E7F"/>
    <w:rsid w:val="00D56FF7"/>
    <w:rsid w:val="00D573F8"/>
    <w:rsid w:val="00D57A18"/>
    <w:rsid w:val="00D60C5A"/>
    <w:rsid w:val="00D60EC2"/>
    <w:rsid w:val="00D614EC"/>
    <w:rsid w:val="00D61892"/>
    <w:rsid w:val="00D62199"/>
    <w:rsid w:val="00D6227C"/>
    <w:rsid w:val="00D639EA"/>
    <w:rsid w:val="00D63AAD"/>
    <w:rsid w:val="00D63B2C"/>
    <w:rsid w:val="00D64E40"/>
    <w:rsid w:val="00D66284"/>
    <w:rsid w:val="00D66ACF"/>
    <w:rsid w:val="00D66AEB"/>
    <w:rsid w:val="00D671EC"/>
    <w:rsid w:val="00D67C70"/>
    <w:rsid w:val="00D700D5"/>
    <w:rsid w:val="00D70279"/>
    <w:rsid w:val="00D709F7"/>
    <w:rsid w:val="00D70DA7"/>
    <w:rsid w:val="00D714A5"/>
    <w:rsid w:val="00D7279E"/>
    <w:rsid w:val="00D72BD1"/>
    <w:rsid w:val="00D73548"/>
    <w:rsid w:val="00D73849"/>
    <w:rsid w:val="00D739F2"/>
    <w:rsid w:val="00D73EA7"/>
    <w:rsid w:val="00D73F3B"/>
    <w:rsid w:val="00D7410E"/>
    <w:rsid w:val="00D7468D"/>
    <w:rsid w:val="00D74E39"/>
    <w:rsid w:val="00D75387"/>
    <w:rsid w:val="00D762DF"/>
    <w:rsid w:val="00D77774"/>
    <w:rsid w:val="00D77941"/>
    <w:rsid w:val="00D77A3A"/>
    <w:rsid w:val="00D77B62"/>
    <w:rsid w:val="00D77B8F"/>
    <w:rsid w:val="00D80551"/>
    <w:rsid w:val="00D81612"/>
    <w:rsid w:val="00D818D4"/>
    <w:rsid w:val="00D81D51"/>
    <w:rsid w:val="00D82F31"/>
    <w:rsid w:val="00D8323F"/>
    <w:rsid w:val="00D83C2C"/>
    <w:rsid w:val="00D851EB"/>
    <w:rsid w:val="00D856D3"/>
    <w:rsid w:val="00D86217"/>
    <w:rsid w:val="00D8654D"/>
    <w:rsid w:val="00D86666"/>
    <w:rsid w:val="00D86FE9"/>
    <w:rsid w:val="00D8799F"/>
    <w:rsid w:val="00D87AAD"/>
    <w:rsid w:val="00D90B98"/>
    <w:rsid w:val="00D90F52"/>
    <w:rsid w:val="00D91777"/>
    <w:rsid w:val="00D91AE0"/>
    <w:rsid w:val="00D9216D"/>
    <w:rsid w:val="00D92402"/>
    <w:rsid w:val="00D9244F"/>
    <w:rsid w:val="00D926F8"/>
    <w:rsid w:val="00D92984"/>
    <w:rsid w:val="00D936A3"/>
    <w:rsid w:val="00D938D6"/>
    <w:rsid w:val="00D93948"/>
    <w:rsid w:val="00D93AA7"/>
    <w:rsid w:val="00D943D6"/>
    <w:rsid w:val="00D9479B"/>
    <w:rsid w:val="00D94F5E"/>
    <w:rsid w:val="00D9529F"/>
    <w:rsid w:val="00D9549C"/>
    <w:rsid w:val="00D956F0"/>
    <w:rsid w:val="00D963BF"/>
    <w:rsid w:val="00DA076E"/>
    <w:rsid w:val="00DA0EC0"/>
    <w:rsid w:val="00DA1A54"/>
    <w:rsid w:val="00DA2122"/>
    <w:rsid w:val="00DA319B"/>
    <w:rsid w:val="00DA60E8"/>
    <w:rsid w:val="00DA62BB"/>
    <w:rsid w:val="00DA72A3"/>
    <w:rsid w:val="00DB0764"/>
    <w:rsid w:val="00DB0DE8"/>
    <w:rsid w:val="00DB13E1"/>
    <w:rsid w:val="00DB1535"/>
    <w:rsid w:val="00DB1A2D"/>
    <w:rsid w:val="00DB1B67"/>
    <w:rsid w:val="00DB519F"/>
    <w:rsid w:val="00DB5D3D"/>
    <w:rsid w:val="00DB5E62"/>
    <w:rsid w:val="00DC1202"/>
    <w:rsid w:val="00DC172A"/>
    <w:rsid w:val="00DC290A"/>
    <w:rsid w:val="00DC2A6C"/>
    <w:rsid w:val="00DC3F3B"/>
    <w:rsid w:val="00DC6154"/>
    <w:rsid w:val="00DC6E6F"/>
    <w:rsid w:val="00DC7810"/>
    <w:rsid w:val="00DD1A4A"/>
    <w:rsid w:val="00DD1C46"/>
    <w:rsid w:val="00DD1F8F"/>
    <w:rsid w:val="00DD2CDD"/>
    <w:rsid w:val="00DD3001"/>
    <w:rsid w:val="00DD52B1"/>
    <w:rsid w:val="00DD6602"/>
    <w:rsid w:val="00DD671A"/>
    <w:rsid w:val="00DD685B"/>
    <w:rsid w:val="00DD7D16"/>
    <w:rsid w:val="00DD7E60"/>
    <w:rsid w:val="00DE0266"/>
    <w:rsid w:val="00DE212A"/>
    <w:rsid w:val="00DE267B"/>
    <w:rsid w:val="00DE2818"/>
    <w:rsid w:val="00DE32B4"/>
    <w:rsid w:val="00DE376A"/>
    <w:rsid w:val="00DE3D1D"/>
    <w:rsid w:val="00DE5146"/>
    <w:rsid w:val="00DE5535"/>
    <w:rsid w:val="00DE703B"/>
    <w:rsid w:val="00DF02F2"/>
    <w:rsid w:val="00DF0806"/>
    <w:rsid w:val="00DF2612"/>
    <w:rsid w:val="00DF28B3"/>
    <w:rsid w:val="00DF2EB7"/>
    <w:rsid w:val="00DF32FA"/>
    <w:rsid w:val="00DF3355"/>
    <w:rsid w:val="00DF385E"/>
    <w:rsid w:val="00DF39FB"/>
    <w:rsid w:val="00DF4AC5"/>
    <w:rsid w:val="00DF50CC"/>
    <w:rsid w:val="00DF748E"/>
    <w:rsid w:val="00DF7787"/>
    <w:rsid w:val="00E01736"/>
    <w:rsid w:val="00E03D5F"/>
    <w:rsid w:val="00E0406B"/>
    <w:rsid w:val="00E043B0"/>
    <w:rsid w:val="00E049E7"/>
    <w:rsid w:val="00E05038"/>
    <w:rsid w:val="00E052A6"/>
    <w:rsid w:val="00E06119"/>
    <w:rsid w:val="00E06283"/>
    <w:rsid w:val="00E06865"/>
    <w:rsid w:val="00E068CD"/>
    <w:rsid w:val="00E06A32"/>
    <w:rsid w:val="00E06B22"/>
    <w:rsid w:val="00E07D5A"/>
    <w:rsid w:val="00E107ED"/>
    <w:rsid w:val="00E11596"/>
    <w:rsid w:val="00E11CB6"/>
    <w:rsid w:val="00E11DA4"/>
    <w:rsid w:val="00E12ED0"/>
    <w:rsid w:val="00E15863"/>
    <w:rsid w:val="00E159FC"/>
    <w:rsid w:val="00E15B2E"/>
    <w:rsid w:val="00E15F43"/>
    <w:rsid w:val="00E164FE"/>
    <w:rsid w:val="00E17B74"/>
    <w:rsid w:val="00E2020A"/>
    <w:rsid w:val="00E20CC0"/>
    <w:rsid w:val="00E227DB"/>
    <w:rsid w:val="00E22AEF"/>
    <w:rsid w:val="00E2378F"/>
    <w:rsid w:val="00E24520"/>
    <w:rsid w:val="00E254DD"/>
    <w:rsid w:val="00E26CC4"/>
    <w:rsid w:val="00E271EC"/>
    <w:rsid w:val="00E27214"/>
    <w:rsid w:val="00E2740F"/>
    <w:rsid w:val="00E277F9"/>
    <w:rsid w:val="00E30119"/>
    <w:rsid w:val="00E3063E"/>
    <w:rsid w:val="00E3075A"/>
    <w:rsid w:val="00E32717"/>
    <w:rsid w:val="00E32BA5"/>
    <w:rsid w:val="00E33659"/>
    <w:rsid w:val="00E33832"/>
    <w:rsid w:val="00E3521D"/>
    <w:rsid w:val="00E35D59"/>
    <w:rsid w:val="00E40895"/>
    <w:rsid w:val="00E40C53"/>
    <w:rsid w:val="00E40D28"/>
    <w:rsid w:val="00E41A08"/>
    <w:rsid w:val="00E42F89"/>
    <w:rsid w:val="00E4320F"/>
    <w:rsid w:val="00E4380A"/>
    <w:rsid w:val="00E44078"/>
    <w:rsid w:val="00E442D9"/>
    <w:rsid w:val="00E4559F"/>
    <w:rsid w:val="00E456F5"/>
    <w:rsid w:val="00E46295"/>
    <w:rsid w:val="00E46EEB"/>
    <w:rsid w:val="00E475F5"/>
    <w:rsid w:val="00E5049E"/>
    <w:rsid w:val="00E515C7"/>
    <w:rsid w:val="00E53CF4"/>
    <w:rsid w:val="00E53EF8"/>
    <w:rsid w:val="00E54FB7"/>
    <w:rsid w:val="00E55111"/>
    <w:rsid w:val="00E56312"/>
    <w:rsid w:val="00E56B92"/>
    <w:rsid w:val="00E56E28"/>
    <w:rsid w:val="00E60391"/>
    <w:rsid w:val="00E60806"/>
    <w:rsid w:val="00E6323B"/>
    <w:rsid w:val="00E63B16"/>
    <w:rsid w:val="00E63D0F"/>
    <w:rsid w:val="00E64DEC"/>
    <w:rsid w:val="00E65288"/>
    <w:rsid w:val="00E65373"/>
    <w:rsid w:val="00E6647B"/>
    <w:rsid w:val="00E67593"/>
    <w:rsid w:val="00E6793A"/>
    <w:rsid w:val="00E70D54"/>
    <w:rsid w:val="00E71187"/>
    <w:rsid w:val="00E716DD"/>
    <w:rsid w:val="00E71D2C"/>
    <w:rsid w:val="00E73EB4"/>
    <w:rsid w:val="00E744C7"/>
    <w:rsid w:val="00E76815"/>
    <w:rsid w:val="00E76926"/>
    <w:rsid w:val="00E76BD2"/>
    <w:rsid w:val="00E76DD8"/>
    <w:rsid w:val="00E77633"/>
    <w:rsid w:val="00E77A47"/>
    <w:rsid w:val="00E80E34"/>
    <w:rsid w:val="00E81A95"/>
    <w:rsid w:val="00E81AC8"/>
    <w:rsid w:val="00E81E8E"/>
    <w:rsid w:val="00E831E8"/>
    <w:rsid w:val="00E83A34"/>
    <w:rsid w:val="00E83D63"/>
    <w:rsid w:val="00E8529A"/>
    <w:rsid w:val="00E85CCA"/>
    <w:rsid w:val="00E8686C"/>
    <w:rsid w:val="00E90836"/>
    <w:rsid w:val="00E90C17"/>
    <w:rsid w:val="00E91787"/>
    <w:rsid w:val="00E91994"/>
    <w:rsid w:val="00E91E0E"/>
    <w:rsid w:val="00E935A4"/>
    <w:rsid w:val="00E93FD4"/>
    <w:rsid w:val="00E949C1"/>
    <w:rsid w:val="00E94A80"/>
    <w:rsid w:val="00E957C9"/>
    <w:rsid w:val="00E958B2"/>
    <w:rsid w:val="00E95BB4"/>
    <w:rsid w:val="00E95C55"/>
    <w:rsid w:val="00E95D8A"/>
    <w:rsid w:val="00E96709"/>
    <w:rsid w:val="00E97FF4"/>
    <w:rsid w:val="00EA03BA"/>
    <w:rsid w:val="00EA10B2"/>
    <w:rsid w:val="00EA1942"/>
    <w:rsid w:val="00EA2709"/>
    <w:rsid w:val="00EA2E1A"/>
    <w:rsid w:val="00EA3E1F"/>
    <w:rsid w:val="00EA430E"/>
    <w:rsid w:val="00EA48C6"/>
    <w:rsid w:val="00EA5CEC"/>
    <w:rsid w:val="00EA608D"/>
    <w:rsid w:val="00EA6146"/>
    <w:rsid w:val="00EA7AD2"/>
    <w:rsid w:val="00EA7F0C"/>
    <w:rsid w:val="00EB030A"/>
    <w:rsid w:val="00EB0424"/>
    <w:rsid w:val="00EB070C"/>
    <w:rsid w:val="00EB164A"/>
    <w:rsid w:val="00EB1B16"/>
    <w:rsid w:val="00EB229B"/>
    <w:rsid w:val="00EB2FF4"/>
    <w:rsid w:val="00EB3F3E"/>
    <w:rsid w:val="00EB4DED"/>
    <w:rsid w:val="00EB558C"/>
    <w:rsid w:val="00EB5ED1"/>
    <w:rsid w:val="00EB6051"/>
    <w:rsid w:val="00EB65B6"/>
    <w:rsid w:val="00EB6838"/>
    <w:rsid w:val="00EB69CD"/>
    <w:rsid w:val="00EB75CD"/>
    <w:rsid w:val="00EC0A0E"/>
    <w:rsid w:val="00EC2A4E"/>
    <w:rsid w:val="00EC2B6C"/>
    <w:rsid w:val="00EC30AB"/>
    <w:rsid w:val="00EC42CC"/>
    <w:rsid w:val="00EC42E9"/>
    <w:rsid w:val="00EC46CB"/>
    <w:rsid w:val="00EC5A3D"/>
    <w:rsid w:val="00EC5D51"/>
    <w:rsid w:val="00EC5D69"/>
    <w:rsid w:val="00EC6AAE"/>
    <w:rsid w:val="00EC706B"/>
    <w:rsid w:val="00EC78D4"/>
    <w:rsid w:val="00ED0031"/>
    <w:rsid w:val="00ED1011"/>
    <w:rsid w:val="00ED13D7"/>
    <w:rsid w:val="00ED1418"/>
    <w:rsid w:val="00ED19DB"/>
    <w:rsid w:val="00ED273C"/>
    <w:rsid w:val="00ED29E1"/>
    <w:rsid w:val="00ED507A"/>
    <w:rsid w:val="00ED52C3"/>
    <w:rsid w:val="00ED6747"/>
    <w:rsid w:val="00ED702E"/>
    <w:rsid w:val="00ED7A58"/>
    <w:rsid w:val="00EE00F4"/>
    <w:rsid w:val="00EE11BE"/>
    <w:rsid w:val="00EE13BE"/>
    <w:rsid w:val="00EE1C4D"/>
    <w:rsid w:val="00EE2103"/>
    <w:rsid w:val="00EE2A58"/>
    <w:rsid w:val="00EE3ADF"/>
    <w:rsid w:val="00EE3EB3"/>
    <w:rsid w:val="00EE44A2"/>
    <w:rsid w:val="00EE4558"/>
    <w:rsid w:val="00EE490B"/>
    <w:rsid w:val="00EE534F"/>
    <w:rsid w:val="00EE57CB"/>
    <w:rsid w:val="00EE62DC"/>
    <w:rsid w:val="00EE7D93"/>
    <w:rsid w:val="00EF040C"/>
    <w:rsid w:val="00EF0AA3"/>
    <w:rsid w:val="00EF0D4E"/>
    <w:rsid w:val="00EF1114"/>
    <w:rsid w:val="00EF2957"/>
    <w:rsid w:val="00EF30A9"/>
    <w:rsid w:val="00EF4597"/>
    <w:rsid w:val="00EF5501"/>
    <w:rsid w:val="00EF5CDD"/>
    <w:rsid w:val="00EF5D27"/>
    <w:rsid w:val="00EF64DB"/>
    <w:rsid w:val="00EF650A"/>
    <w:rsid w:val="00F000F0"/>
    <w:rsid w:val="00F001A6"/>
    <w:rsid w:val="00F0248A"/>
    <w:rsid w:val="00F03236"/>
    <w:rsid w:val="00F03AB0"/>
    <w:rsid w:val="00F04E4D"/>
    <w:rsid w:val="00F05A60"/>
    <w:rsid w:val="00F069A7"/>
    <w:rsid w:val="00F06F1A"/>
    <w:rsid w:val="00F075D5"/>
    <w:rsid w:val="00F1015A"/>
    <w:rsid w:val="00F101A8"/>
    <w:rsid w:val="00F1068B"/>
    <w:rsid w:val="00F120ED"/>
    <w:rsid w:val="00F125A7"/>
    <w:rsid w:val="00F12C70"/>
    <w:rsid w:val="00F15BAC"/>
    <w:rsid w:val="00F16648"/>
    <w:rsid w:val="00F16912"/>
    <w:rsid w:val="00F16BDA"/>
    <w:rsid w:val="00F16C58"/>
    <w:rsid w:val="00F16C7A"/>
    <w:rsid w:val="00F16E73"/>
    <w:rsid w:val="00F1701D"/>
    <w:rsid w:val="00F17380"/>
    <w:rsid w:val="00F20B33"/>
    <w:rsid w:val="00F211A2"/>
    <w:rsid w:val="00F213F7"/>
    <w:rsid w:val="00F2173E"/>
    <w:rsid w:val="00F22398"/>
    <w:rsid w:val="00F223C1"/>
    <w:rsid w:val="00F2270B"/>
    <w:rsid w:val="00F22D55"/>
    <w:rsid w:val="00F2379B"/>
    <w:rsid w:val="00F259F0"/>
    <w:rsid w:val="00F26350"/>
    <w:rsid w:val="00F2744C"/>
    <w:rsid w:val="00F27C69"/>
    <w:rsid w:val="00F301D2"/>
    <w:rsid w:val="00F303B9"/>
    <w:rsid w:val="00F320FC"/>
    <w:rsid w:val="00F33045"/>
    <w:rsid w:val="00F33D25"/>
    <w:rsid w:val="00F33E4B"/>
    <w:rsid w:val="00F344E2"/>
    <w:rsid w:val="00F3474A"/>
    <w:rsid w:val="00F359E0"/>
    <w:rsid w:val="00F35C58"/>
    <w:rsid w:val="00F36554"/>
    <w:rsid w:val="00F370B3"/>
    <w:rsid w:val="00F41304"/>
    <w:rsid w:val="00F4137D"/>
    <w:rsid w:val="00F41416"/>
    <w:rsid w:val="00F42848"/>
    <w:rsid w:val="00F42E45"/>
    <w:rsid w:val="00F4333C"/>
    <w:rsid w:val="00F44893"/>
    <w:rsid w:val="00F44BF8"/>
    <w:rsid w:val="00F453BB"/>
    <w:rsid w:val="00F46124"/>
    <w:rsid w:val="00F47060"/>
    <w:rsid w:val="00F4759B"/>
    <w:rsid w:val="00F47F5B"/>
    <w:rsid w:val="00F50892"/>
    <w:rsid w:val="00F50DBF"/>
    <w:rsid w:val="00F50EFF"/>
    <w:rsid w:val="00F5190C"/>
    <w:rsid w:val="00F5215C"/>
    <w:rsid w:val="00F526B4"/>
    <w:rsid w:val="00F5427A"/>
    <w:rsid w:val="00F54BB3"/>
    <w:rsid w:val="00F56874"/>
    <w:rsid w:val="00F569C6"/>
    <w:rsid w:val="00F612CA"/>
    <w:rsid w:val="00F6165C"/>
    <w:rsid w:val="00F61B21"/>
    <w:rsid w:val="00F61C60"/>
    <w:rsid w:val="00F636ED"/>
    <w:rsid w:val="00F63D80"/>
    <w:rsid w:val="00F643EB"/>
    <w:rsid w:val="00F64885"/>
    <w:rsid w:val="00F649AE"/>
    <w:rsid w:val="00F652B2"/>
    <w:rsid w:val="00F65584"/>
    <w:rsid w:val="00F655BE"/>
    <w:rsid w:val="00F65F75"/>
    <w:rsid w:val="00F660F6"/>
    <w:rsid w:val="00F673B1"/>
    <w:rsid w:val="00F7034A"/>
    <w:rsid w:val="00F71440"/>
    <w:rsid w:val="00F72B6E"/>
    <w:rsid w:val="00F732F0"/>
    <w:rsid w:val="00F74820"/>
    <w:rsid w:val="00F751B7"/>
    <w:rsid w:val="00F75420"/>
    <w:rsid w:val="00F75436"/>
    <w:rsid w:val="00F761CC"/>
    <w:rsid w:val="00F7689C"/>
    <w:rsid w:val="00F76AC5"/>
    <w:rsid w:val="00F76E04"/>
    <w:rsid w:val="00F76E3C"/>
    <w:rsid w:val="00F770ED"/>
    <w:rsid w:val="00F80261"/>
    <w:rsid w:val="00F80EA3"/>
    <w:rsid w:val="00F81501"/>
    <w:rsid w:val="00F824C9"/>
    <w:rsid w:val="00F831EC"/>
    <w:rsid w:val="00F83730"/>
    <w:rsid w:val="00F84478"/>
    <w:rsid w:val="00F8580A"/>
    <w:rsid w:val="00F85B3B"/>
    <w:rsid w:val="00F86375"/>
    <w:rsid w:val="00F86382"/>
    <w:rsid w:val="00F8639A"/>
    <w:rsid w:val="00F864A0"/>
    <w:rsid w:val="00F86F11"/>
    <w:rsid w:val="00F9065D"/>
    <w:rsid w:val="00F90B1B"/>
    <w:rsid w:val="00F93FC8"/>
    <w:rsid w:val="00F95340"/>
    <w:rsid w:val="00F95C35"/>
    <w:rsid w:val="00F96330"/>
    <w:rsid w:val="00F96696"/>
    <w:rsid w:val="00F96841"/>
    <w:rsid w:val="00F96FD0"/>
    <w:rsid w:val="00FA0706"/>
    <w:rsid w:val="00FA12E7"/>
    <w:rsid w:val="00FA1AB1"/>
    <w:rsid w:val="00FA1C54"/>
    <w:rsid w:val="00FA254E"/>
    <w:rsid w:val="00FA26DF"/>
    <w:rsid w:val="00FA2DFE"/>
    <w:rsid w:val="00FA37E2"/>
    <w:rsid w:val="00FA45D8"/>
    <w:rsid w:val="00FA481A"/>
    <w:rsid w:val="00FA624A"/>
    <w:rsid w:val="00FA730C"/>
    <w:rsid w:val="00FA7614"/>
    <w:rsid w:val="00FB033E"/>
    <w:rsid w:val="00FB050B"/>
    <w:rsid w:val="00FB12B5"/>
    <w:rsid w:val="00FB17FE"/>
    <w:rsid w:val="00FB19AD"/>
    <w:rsid w:val="00FB219C"/>
    <w:rsid w:val="00FB2294"/>
    <w:rsid w:val="00FB2994"/>
    <w:rsid w:val="00FB4FA0"/>
    <w:rsid w:val="00FB50EF"/>
    <w:rsid w:val="00FB6211"/>
    <w:rsid w:val="00FB7147"/>
    <w:rsid w:val="00FB7D06"/>
    <w:rsid w:val="00FC064D"/>
    <w:rsid w:val="00FC2DF1"/>
    <w:rsid w:val="00FC3A8F"/>
    <w:rsid w:val="00FC402E"/>
    <w:rsid w:val="00FC4AD5"/>
    <w:rsid w:val="00FC4BF0"/>
    <w:rsid w:val="00FC5078"/>
    <w:rsid w:val="00FC5C7F"/>
    <w:rsid w:val="00FC680C"/>
    <w:rsid w:val="00FC707A"/>
    <w:rsid w:val="00FC76B9"/>
    <w:rsid w:val="00FD0B17"/>
    <w:rsid w:val="00FD1435"/>
    <w:rsid w:val="00FD1A63"/>
    <w:rsid w:val="00FD3097"/>
    <w:rsid w:val="00FD5FDF"/>
    <w:rsid w:val="00FD6428"/>
    <w:rsid w:val="00FD7FA7"/>
    <w:rsid w:val="00FE08E3"/>
    <w:rsid w:val="00FE08FD"/>
    <w:rsid w:val="00FE09FD"/>
    <w:rsid w:val="00FE1482"/>
    <w:rsid w:val="00FE1E42"/>
    <w:rsid w:val="00FE271C"/>
    <w:rsid w:val="00FE4275"/>
    <w:rsid w:val="00FE49E0"/>
    <w:rsid w:val="00FE5C76"/>
    <w:rsid w:val="00FE71B2"/>
    <w:rsid w:val="00FF03D2"/>
    <w:rsid w:val="00FF1CD8"/>
    <w:rsid w:val="00FF1F90"/>
    <w:rsid w:val="00FF215B"/>
    <w:rsid w:val="00FF2C47"/>
    <w:rsid w:val="00FF2F0D"/>
    <w:rsid w:val="00FF46C4"/>
    <w:rsid w:val="00FF4A50"/>
    <w:rsid w:val="00FF59EB"/>
    <w:rsid w:val="00FF5EE6"/>
    <w:rsid w:val="00FF5FBD"/>
    <w:rsid w:val="00FF6546"/>
    <w:rsid w:val="00FF734C"/>
    <w:rsid w:val="00FF7F5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75585D"/>
  <w15:docId w15:val="{D2C8A4D3-52A9-4E04-8BB8-CC9B3F3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468"/>
    <w:rPr>
      <w:rFonts w:ascii="Times New Roman" w:eastAsia="Times New Roman" w:hAnsi="Times New Roman"/>
      <w:sz w:val="28"/>
      <w:szCs w:val="28"/>
      <w:lang w:eastAsia="en-US"/>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lang w:eastAsia="en-US"/>
    </w:rPr>
  </w:style>
  <w:style w:type="paragraph" w:customStyle="1" w:styleId="Normal1">
    <w:name w:val="Normal1"/>
    <w:basedOn w:val="Normal"/>
    <w:qFormat/>
    <w:rsid w:val="0067242E"/>
    <w:pPr>
      <w:spacing w:before="100" w:beforeAutospacing="1" w:after="100" w:afterAutospacing="1"/>
    </w:pPr>
    <w:rPr>
      <w:sz w:val="24"/>
      <w:szCs w:val="24"/>
    </w:rPr>
  </w:style>
  <w:style w:type="character" w:customStyle="1" w:styleId="BodyTextChar1">
    <w:name w:val="Body Text Char1"/>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sz w:val="24"/>
      <w:szCs w:val="24"/>
      <w:lang w:eastAsia="x-none"/>
    </w:rPr>
  </w:style>
  <w:style w:type="character" w:customStyle="1" w:styleId="BodyTextChar">
    <w:name w:val="Body Text Char"/>
    <w:uiPriority w:val="99"/>
    <w:semiHidden/>
    <w:locked/>
    <w:rsid w:val="008D4094"/>
    <w:rPr>
      <w:rFonts w:ascii="Times New Roman" w:hAnsi="Times New Roman" w:cs="Times New Roman"/>
      <w:sz w:val="28"/>
      <w:szCs w:val="28"/>
    </w:rPr>
  </w:style>
  <w:style w:type="character" w:styleId="Strong">
    <w:name w:val="Strong"/>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A07A9"/>
    <w:rPr>
      <w:rFonts w:eastAsia="Calibri"/>
      <w:sz w:val="20"/>
      <w:szCs w:val="20"/>
      <w:lang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1A07A9"/>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B90BF6"/>
    <w:pPr>
      <w:spacing w:before="100" w:beforeAutospacing="1" w:after="100" w:afterAutospacing="1"/>
    </w:pPr>
    <w:rPr>
      <w:rFonts w:eastAsia="Calibri"/>
      <w:sz w:val="24"/>
      <w:szCs w:val="24"/>
      <w:lang w:eastAsia="x-none"/>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rPr>
      <w:rFonts w:eastAsia="Calibri"/>
      <w:lang w:eastAsia="x-none"/>
    </w:rPr>
  </w:style>
  <w:style w:type="character" w:customStyle="1" w:styleId="HeaderChar">
    <w:name w:val="Header Char"/>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rPr>
      <w:rFonts w:eastAsia="Calibri"/>
      <w:lang w:eastAsia="x-none"/>
    </w:rPr>
  </w:style>
  <w:style w:type="character" w:customStyle="1" w:styleId="FooterChar">
    <w:name w:val="Footer Char"/>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rFonts w:eastAsia="Calibri"/>
      <w:b/>
      <w:bCs/>
      <w:lang w:eastAsia="x-none"/>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CA6A31"/>
    <w:rPr>
      <w:rFonts w:ascii="Times New Roman" w:hAnsi="Times New Roman" w:cs="Times New Roman"/>
      <w:b/>
      <w:bCs/>
      <w:sz w:val="28"/>
      <w:szCs w:val="28"/>
      <w:lang w:val="en"/>
    </w:rPr>
  </w:style>
  <w:style w:type="paragraph" w:styleId="BalloonText">
    <w:name w:val="Balloon Text"/>
    <w:basedOn w:val="Normal"/>
    <w:link w:val="BalloonTextChar"/>
    <w:uiPriority w:val="99"/>
    <w:semiHidden/>
    <w:rsid w:val="006A70CD"/>
    <w:rPr>
      <w:rFonts w:eastAsia="Calibri"/>
      <w:sz w:val="2"/>
      <w:szCs w:val="2"/>
      <w:lang w:eastAsia="x-none"/>
    </w:rPr>
  </w:style>
  <w:style w:type="character" w:customStyle="1" w:styleId="BalloonTextChar">
    <w:name w:val="Balloon Text Char"/>
    <w:link w:val="BalloonText"/>
    <w:uiPriority w:val="99"/>
    <w:semiHidden/>
    <w:locked/>
    <w:rsid w:val="00B44F6C"/>
    <w:rPr>
      <w:rFonts w:ascii="Times New Roman" w:hAnsi="Times New Roman" w:cs="Times New Roman"/>
      <w:sz w:val="2"/>
      <w:szCs w:val="2"/>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lang w:eastAsia="x-none"/>
    </w:rPr>
  </w:style>
  <w:style w:type="character" w:customStyle="1" w:styleId="TitleChar">
    <w:name w:val="Title Char"/>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2">
    <w:name w:val="Normal12"/>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nhideWhenUsed/>
    <w:rsid w:val="005B43D0"/>
    <w:pPr>
      <w:spacing w:after="120"/>
      <w:ind w:left="360"/>
    </w:pPr>
    <w:rPr>
      <w:lang w:eastAsia="x-none"/>
    </w:rPr>
  </w:style>
  <w:style w:type="character" w:customStyle="1" w:styleId="BodyTextIndentChar">
    <w:name w:val="Body Text Indent Char"/>
    <w:link w:val="BodyTextIndent"/>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rPr>
      <w:lang w:eastAsia="x-none"/>
    </w:rPr>
  </w:style>
  <w:style w:type="character" w:customStyle="1" w:styleId="BodyTextIndent2Char">
    <w:name w:val="Body Text Indent 2 Char"/>
    <w:link w:val="BodyTextIndent2"/>
    <w:uiPriority w:val="99"/>
    <w:semiHidden/>
    <w:rsid w:val="00BB4A9E"/>
    <w:rPr>
      <w:rFonts w:ascii="Times New Roman" w:eastAsia="Times New Roman" w:hAnsi="Times New Roman"/>
      <w:sz w:val="28"/>
      <w:szCs w:val="28"/>
    </w:rPr>
  </w:style>
  <w:style w:type="character" w:styleId="Emphasis">
    <w:name w:val="Emphasis"/>
    <w:uiPriority w:val="20"/>
    <w:qFormat/>
    <w:locked/>
    <w:rsid w:val="00C372B5"/>
    <w:rPr>
      <w:i/>
      <w:iCs/>
    </w:rPr>
  </w:style>
  <w:style w:type="character" w:customStyle="1" w:styleId="body0020textchar">
    <w:name w:val="body_0020text__char"/>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lang w:eastAsia="x-none"/>
    </w:rPr>
  </w:style>
  <w:style w:type="character" w:customStyle="1" w:styleId="EndnoteTextChar">
    <w:name w:val="Endnote Text Char"/>
    <w:link w:val="EndnoteText"/>
    <w:uiPriority w:val="99"/>
    <w:semiHidden/>
    <w:rsid w:val="00416BAE"/>
    <w:rPr>
      <w:rFonts w:ascii="Calibri" w:eastAsia="Calibri" w:hAnsi="Calibri" w:cs="Times New Roman"/>
    </w:rPr>
  </w:style>
  <w:style w:type="character" w:styleId="EndnoteReference">
    <w:name w:val="endnote reference"/>
    <w:uiPriority w:val="99"/>
    <w:semiHidden/>
    <w:unhideWhenUsed/>
    <w:rsid w:val="00416BAE"/>
    <w:rPr>
      <w:vertAlign w:val="superscript"/>
    </w:rPr>
  </w:style>
  <w:style w:type="character" w:customStyle="1" w:styleId="Heading1Char">
    <w:name w:val="Heading 1 Char"/>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B0D6E"/>
    <w:pPr>
      <w:spacing w:after="160" w:line="240" w:lineRule="exact"/>
    </w:pPr>
    <w:rPr>
      <w:rFonts w:ascii="Calibri" w:eastAsia="Calibri" w:hAnsi="Calibri"/>
      <w:sz w:val="20"/>
      <w:szCs w:val="20"/>
      <w:vertAlign w:val="superscript"/>
      <w:lang w:eastAsia="x-none"/>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B0687F"/>
    <w:rPr>
      <w:rFonts w:ascii="Times New Roman" w:hAnsi="Times New Roman"/>
      <w:sz w:val="24"/>
      <w:szCs w:val="24"/>
    </w:rPr>
  </w:style>
  <w:style w:type="table" w:styleId="TableGrid">
    <w:name w:val="Table Grid"/>
    <w:basedOn w:val="TableNormal"/>
    <w:uiPriority w:val="39"/>
    <w:locked/>
    <w:rsid w:val="00DC781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437B94"/>
    <w:rPr>
      <w:rFonts w:ascii="Times New Roman" w:hAnsi="Times New Roman" w:cs="Times New Roman" w:hint="default"/>
      <w:color w:val="000000"/>
      <w:sz w:val="28"/>
    </w:rPr>
  </w:style>
  <w:style w:type="character" w:customStyle="1" w:styleId="fontstyle21">
    <w:name w:val="fontstyle21"/>
    <w:rsid w:val="00437B94"/>
    <w:rPr>
      <w:rFonts w:ascii="Times New Roman" w:hAnsi="Times New Roman" w:cs="Times New Roman" w:hint="default"/>
      <w:b/>
      <w:bCs w:val="0"/>
      <w:color w:val="000000"/>
      <w:sz w:val="28"/>
    </w:rPr>
  </w:style>
  <w:style w:type="character" w:styleId="CommentReference">
    <w:name w:val="annotation reference"/>
    <w:basedOn w:val="DefaultParagraphFont"/>
    <w:uiPriority w:val="99"/>
    <w:semiHidden/>
    <w:unhideWhenUsed/>
    <w:rsid w:val="00BF1935"/>
    <w:rPr>
      <w:sz w:val="16"/>
      <w:szCs w:val="16"/>
    </w:rPr>
  </w:style>
  <w:style w:type="paragraph" w:styleId="CommentText">
    <w:name w:val="annotation text"/>
    <w:basedOn w:val="Normal"/>
    <w:link w:val="CommentTextChar"/>
    <w:uiPriority w:val="99"/>
    <w:unhideWhenUsed/>
    <w:rsid w:val="00BF1935"/>
    <w:rPr>
      <w:sz w:val="20"/>
      <w:szCs w:val="20"/>
    </w:rPr>
  </w:style>
  <w:style w:type="character" w:customStyle="1" w:styleId="CommentTextChar">
    <w:name w:val="Comment Text Char"/>
    <w:basedOn w:val="DefaultParagraphFont"/>
    <w:link w:val="CommentText"/>
    <w:uiPriority w:val="99"/>
    <w:rsid w:val="00BF1935"/>
    <w:rPr>
      <w:rFonts w:ascii="Times New Roman" w:eastAsia="Times New Roman" w:hAnsi="Times New Roman"/>
      <w:lang w:val="en" w:eastAsia="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1E2ADB"/>
    <w:rPr>
      <w:rFonts w:ascii="Times New Roman" w:hAnsi="Times New Roman"/>
      <w:sz w:val="28"/>
      <w:szCs w:val="28"/>
      <w:lang w:val="en" w:eastAsia="en-US"/>
    </w:rPr>
  </w:style>
  <w:style w:type="character" w:styleId="Hyperlink">
    <w:name w:val="Hyperlink"/>
    <w:basedOn w:val="DefaultParagraphFont"/>
    <w:uiPriority w:val="99"/>
    <w:unhideWhenUsed/>
    <w:rsid w:val="005545B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E4F2C"/>
    <w:rPr>
      <w:b/>
      <w:bCs/>
    </w:rPr>
  </w:style>
  <w:style w:type="character" w:customStyle="1" w:styleId="CommentSubjectChar">
    <w:name w:val="Comment Subject Char"/>
    <w:basedOn w:val="CommentTextChar"/>
    <w:link w:val="CommentSubject"/>
    <w:uiPriority w:val="99"/>
    <w:semiHidden/>
    <w:rsid w:val="005E4F2C"/>
    <w:rPr>
      <w:rFonts w:ascii="Times New Roman" w:eastAsia="Times New Roman" w:hAnsi="Times New Roman"/>
      <w:b/>
      <w:bCs/>
      <w:lang w:val="en" w:eastAsia="en-US"/>
    </w:rPr>
  </w:style>
  <w:style w:type="paragraph" w:styleId="Revision">
    <w:name w:val="Revision"/>
    <w:hidden/>
    <w:uiPriority w:val="99"/>
    <w:semiHidden/>
    <w:rsid w:val="00EC2B6C"/>
    <w:rPr>
      <w:rFonts w:ascii="Times New Roman" w:eastAsia="Times New Roman" w:hAnsi="Times New Roman"/>
      <w:sz w:val="28"/>
      <w:szCs w:val="28"/>
      <w:lang w:eastAsia="en-US"/>
    </w:rPr>
  </w:style>
  <w:style w:type="paragraph" w:customStyle="1" w:styleId="Normal11">
    <w:name w:val="Normal11"/>
    <w:basedOn w:val="Normal"/>
    <w:rsid w:val="002B1778"/>
    <w:pPr>
      <w:spacing w:before="100" w:beforeAutospacing="1" w:after="100" w:afterAutospacing="1"/>
    </w:pPr>
    <w:rPr>
      <w:rFonts w:ascii="Calibri" w:hAnsi="Calibri" w:cs="Calibri"/>
      <w:sz w:val="24"/>
      <w:szCs w:val="24"/>
    </w:rPr>
  </w:style>
  <w:style w:type="character" w:customStyle="1" w:styleId="a21">
    <w:name w:val="a21"/>
    <w:rsid w:val="00EF5CDD"/>
    <w:rPr>
      <w:rFonts w:ascii="Arial" w:hAnsi="Arial" w:cs="Arial" w:hint="default"/>
      <w:strike w:val="0"/>
      <w:dstrike w:val="0"/>
      <w:sz w:val="20"/>
      <w:szCs w:val="20"/>
      <w:u w:val="none"/>
      <w:effect w:val="none"/>
    </w:rPr>
  </w:style>
  <w:style w:type="paragraph" w:customStyle="1" w:styleId="Normal2">
    <w:name w:val="Normal2"/>
    <w:basedOn w:val="Normal"/>
    <w:rsid w:val="00D938D6"/>
    <w:pPr>
      <w:spacing w:before="100" w:beforeAutospacing="1" w:after="100" w:afterAutospacing="1"/>
    </w:pPr>
    <w:rPr>
      <w:rFonts w:ascii="Calibri" w:hAnsi="Calibri" w:cs="Calibri"/>
      <w:sz w:val="24"/>
      <w:szCs w:val="24"/>
    </w:rPr>
  </w:style>
  <w:style w:type="character" w:customStyle="1" w:styleId="text">
    <w:name w:val="text"/>
    <w:basedOn w:val="DefaultParagraphFont"/>
    <w:rsid w:val="004A4BCE"/>
  </w:style>
  <w:style w:type="paragraph" w:styleId="HTMLPreformatted">
    <w:name w:val="HTML Preformatted"/>
    <w:basedOn w:val="Normal"/>
    <w:link w:val="HTMLPreformattedChar"/>
    <w:uiPriority w:val="99"/>
    <w:unhideWhenUsed/>
    <w:rsid w:val="00CE7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CE7DBF"/>
    <w:rPr>
      <w:rFonts w:ascii="Courier New" w:eastAsia="Times New Roman" w:hAnsi="Courier New" w:cs="Courier New"/>
      <w:lang w:val="en-US" w:eastAsia="en-US"/>
    </w:rPr>
  </w:style>
  <w:style w:type="character" w:customStyle="1" w:styleId="y2iqfc">
    <w:name w:val="y2iqfc"/>
    <w:basedOn w:val="DefaultParagraphFont"/>
    <w:rsid w:val="00E77A47"/>
  </w:style>
  <w:style w:type="table" w:customStyle="1" w:styleId="TableGrid1">
    <w:name w:val="Table Grid1"/>
    <w:basedOn w:val="TableNormal"/>
    <w:next w:val="TableGrid"/>
    <w:uiPriority w:val="39"/>
    <w:locked/>
    <w:rsid w:val="00EC5D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EC5D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32456">
      <w:bodyDiv w:val="1"/>
      <w:marLeft w:val="0"/>
      <w:marRight w:val="0"/>
      <w:marTop w:val="0"/>
      <w:marBottom w:val="0"/>
      <w:divBdr>
        <w:top w:val="none" w:sz="0" w:space="0" w:color="auto"/>
        <w:left w:val="none" w:sz="0" w:space="0" w:color="auto"/>
        <w:bottom w:val="none" w:sz="0" w:space="0" w:color="auto"/>
        <w:right w:val="none" w:sz="0" w:space="0" w:color="auto"/>
      </w:divBdr>
    </w:div>
    <w:div w:id="114762139">
      <w:bodyDiv w:val="1"/>
      <w:marLeft w:val="0"/>
      <w:marRight w:val="0"/>
      <w:marTop w:val="0"/>
      <w:marBottom w:val="0"/>
      <w:divBdr>
        <w:top w:val="none" w:sz="0" w:space="0" w:color="auto"/>
        <w:left w:val="none" w:sz="0" w:space="0" w:color="auto"/>
        <w:bottom w:val="none" w:sz="0" w:space="0" w:color="auto"/>
        <w:right w:val="none" w:sz="0" w:space="0" w:color="auto"/>
      </w:divBdr>
    </w:div>
    <w:div w:id="469565802">
      <w:bodyDiv w:val="1"/>
      <w:marLeft w:val="0"/>
      <w:marRight w:val="0"/>
      <w:marTop w:val="0"/>
      <w:marBottom w:val="0"/>
      <w:divBdr>
        <w:top w:val="none" w:sz="0" w:space="0" w:color="auto"/>
        <w:left w:val="none" w:sz="0" w:space="0" w:color="auto"/>
        <w:bottom w:val="none" w:sz="0" w:space="0" w:color="auto"/>
        <w:right w:val="none" w:sz="0" w:space="0" w:color="auto"/>
      </w:divBdr>
      <w:divsChild>
        <w:div w:id="1471558600">
          <w:marLeft w:val="0"/>
          <w:marRight w:val="0"/>
          <w:marTop w:val="280"/>
          <w:marBottom w:val="280"/>
          <w:divBdr>
            <w:top w:val="none" w:sz="0" w:space="0" w:color="auto"/>
            <w:left w:val="none" w:sz="0" w:space="0" w:color="auto"/>
            <w:bottom w:val="none" w:sz="0" w:space="0" w:color="auto"/>
            <w:right w:val="none" w:sz="0" w:space="0" w:color="auto"/>
          </w:divBdr>
        </w:div>
        <w:div w:id="2028411194">
          <w:marLeft w:val="0"/>
          <w:marRight w:val="0"/>
          <w:marTop w:val="280"/>
          <w:marBottom w:val="280"/>
          <w:divBdr>
            <w:top w:val="none" w:sz="0" w:space="0" w:color="auto"/>
            <w:left w:val="none" w:sz="0" w:space="0" w:color="auto"/>
            <w:bottom w:val="none" w:sz="0" w:space="0" w:color="auto"/>
            <w:right w:val="none" w:sz="0" w:space="0" w:color="auto"/>
          </w:divBdr>
        </w:div>
      </w:divsChild>
    </w:div>
    <w:div w:id="516308778">
      <w:bodyDiv w:val="1"/>
      <w:marLeft w:val="0"/>
      <w:marRight w:val="0"/>
      <w:marTop w:val="0"/>
      <w:marBottom w:val="0"/>
      <w:divBdr>
        <w:top w:val="none" w:sz="0" w:space="0" w:color="auto"/>
        <w:left w:val="none" w:sz="0" w:space="0" w:color="auto"/>
        <w:bottom w:val="none" w:sz="0" w:space="0" w:color="auto"/>
        <w:right w:val="none" w:sz="0" w:space="0" w:color="auto"/>
      </w:divBdr>
      <w:divsChild>
        <w:div w:id="1932083850">
          <w:marLeft w:val="0"/>
          <w:marRight w:val="0"/>
          <w:marTop w:val="0"/>
          <w:marBottom w:val="0"/>
          <w:divBdr>
            <w:top w:val="none" w:sz="0" w:space="0" w:color="auto"/>
            <w:left w:val="none" w:sz="0" w:space="0" w:color="auto"/>
            <w:bottom w:val="none" w:sz="0" w:space="0" w:color="auto"/>
            <w:right w:val="none" w:sz="0" w:space="0" w:color="auto"/>
          </w:divBdr>
          <w:divsChild>
            <w:div w:id="99112018">
              <w:marLeft w:val="0"/>
              <w:marRight w:val="0"/>
              <w:marTop w:val="0"/>
              <w:marBottom w:val="0"/>
              <w:divBdr>
                <w:top w:val="none" w:sz="0" w:space="0" w:color="auto"/>
                <w:left w:val="none" w:sz="0" w:space="0" w:color="auto"/>
                <w:bottom w:val="none" w:sz="0" w:space="0" w:color="auto"/>
                <w:right w:val="none" w:sz="0" w:space="0" w:color="auto"/>
              </w:divBdr>
              <w:divsChild>
                <w:div w:id="631904595">
                  <w:marLeft w:val="0"/>
                  <w:marRight w:val="-90"/>
                  <w:marTop w:val="0"/>
                  <w:marBottom w:val="0"/>
                  <w:divBdr>
                    <w:top w:val="none" w:sz="0" w:space="0" w:color="auto"/>
                    <w:left w:val="none" w:sz="0" w:space="0" w:color="auto"/>
                    <w:bottom w:val="none" w:sz="0" w:space="0" w:color="auto"/>
                    <w:right w:val="none" w:sz="0" w:space="0" w:color="auto"/>
                  </w:divBdr>
                  <w:divsChild>
                    <w:div w:id="734855856">
                      <w:marLeft w:val="0"/>
                      <w:marRight w:val="0"/>
                      <w:marTop w:val="0"/>
                      <w:marBottom w:val="420"/>
                      <w:divBdr>
                        <w:top w:val="none" w:sz="0" w:space="0" w:color="auto"/>
                        <w:left w:val="none" w:sz="0" w:space="0" w:color="auto"/>
                        <w:bottom w:val="none" w:sz="0" w:space="0" w:color="auto"/>
                        <w:right w:val="none" w:sz="0" w:space="0" w:color="auto"/>
                      </w:divBdr>
                      <w:divsChild>
                        <w:div w:id="514656591">
                          <w:marLeft w:val="240"/>
                          <w:marRight w:val="240"/>
                          <w:marTop w:val="0"/>
                          <w:marBottom w:val="165"/>
                          <w:divBdr>
                            <w:top w:val="none" w:sz="0" w:space="0" w:color="auto"/>
                            <w:left w:val="none" w:sz="0" w:space="0" w:color="auto"/>
                            <w:bottom w:val="none" w:sz="0" w:space="0" w:color="auto"/>
                            <w:right w:val="none" w:sz="0" w:space="0" w:color="auto"/>
                          </w:divBdr>
                          <w:divsChild>
                            <w:div w:id="1336223050">
                              <w:marLeft w:val="150"/>
                              <w:marRight w:val="0"/>
                              <w:marTop w:val="0"/>
                              <w:marBottom w:val="0"/>
                              <w:divBdr>
                                <w:top w:val="none" w:sz="0" w:space="0" w:color="auto"/>
                                <w:left w:val="none" w:sz="0" w:space="0" w:color="auto"/>
                                <w:bottom w:val="none" w:sz="0" w:space="0" w:color="auto"/>
                                <w:right w:val="none" w:sz="0" w:space="0" w:color="auto"/>
                              </w:divBdr>
                              <w:divsChild>
                                <w:div w:id="284118474">
                                  <w:marLeft w:val="0"/>
                                  <w:marRight w:val="0"/>
                                  <w:marTop w:val="0"/>
                                  <w:marBottom w:val="0"/>
                                  <w:divBdr>
                                    <w:top w:val="none" w:sz="0" w:space="0" w:color="auto"/>
                                    <w:left w:val="none" w:sz="0" w:space="0" w:color="auto"/>
                                    <w:bottom w:val="none" w:sz="0" w:space="0" w:color="auto"/>
                                    <w:right w:val="none" w:sz="0" w:space="0" w:color="auto"/>
                                  </w:divBdr>
                                  <w:divsChild>
                                    <w:div w:id="1849834460">
                                      <w:marLeft w:val="0"/>
                                      <w:marRight w:val="0"/>
                                      <w:marTop w:val="0"/>
                                      <w:marBottom w:val="0"/>
                                      <w:divBdr>
                                        <w:top w:val="none" w:sz="0" w:space="0" w:color="auto"/>
                                        <w:left w:val="none" w:sz="0" w:space="0" w:color="auto"/>
                                        <w:bottom w:val="none" w:sz="0" w:space="0" w:color="auto"/>
                                        <w:right w:val="none" w:sz="0" w:space="0" w:color="auto"/>
                                      </w:divBdr>
                                      <w:divsChild>
                                        <w:div w:id="2112385195">
                                          <w:marLeft w:val="0"/>
                                          <w:marRight w:val="0"/>
                                          <w:marTop w:val="0"/>
                                          <w:marBottom w:val="60"/>
                                          <w:divBdr>
                                            <w:top w:val="none" w:sz="0" w:space="0" w:color="auto"/>
                                            <w:left w:val="none" w:sz="0" w:space="0" w:color="auto"/>
                                            <w:bottom w:val="none" w:sz="0" w:space="0" w:color="auto"/>
                                            <w:right w:val="none" w:sz="0" w:space="0" w:color="auto"/>
                                          </w:divBdr>
                                          <w:divsChild>
                                            <w:div w:id="81343008">
                                              <w:marLeft w:val="0"/>
                                              <w:marRight w:val="0"/>
                                              <w:marTop w:val="150"/>
                                              <w:marBottom w:val="0"/>
                                              <w:divBdr>
                                                <w:top w:val="none" w:sz="0" w:space="0" w:color="auto"/>
                                                <w:left w:val="none" w:sz="0" w:space="0" w:color="auto"/>
                                                <w:bottom w:val="none" w:sz="0" w:space="0" w:color="auto"/>
                                                <w:right w:val="none" w:sz="0" w:space="0" w:color="auto"/>
                                              </w:divBdr>
                                            </w:div>
                                            <w:div w:id="57771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5288605">
      <w:bodyDiv w:val="1"/>
      <w:marLeft w:val="0"/>
      <w:marRight w:val="0"/>
      <w:marTop w:val="0"/>
      <w:marBottom w:val="0"/>
      <w:divBdr>
        <w:top w:val="none" w:sz="0" w:space="0" w:color="auto"/>
        <w:left w:val="none" w:sz="0" w:space="0" w:color="auto"/>
        <w:bottom w:val="none" w:sz="0" w:space="0" w:color="auto"/>
        <w:right w:val="none" w:sz="0" w:space="0" w:color="auto"/>
      </w:divBdr>
    </w:div>
    <w:div w:id="666905878">
      <w:bodyDiv w:val="1"/>
      <w:marLeft w:val="0"/>
      <w:marRight w:val="0"/>
      <w:marTop w:val="0"/>
      <w:marBottom w:val="0"/>
      <w:divBdr>
        <w:top w:val="none" w:sz="0" w:space="0" w:color="auto"/>
        <w:left w:val="none" w:sz="0" w:space="0" w:color="auto"/>
        <w:bottom w:val="none" w:sz="0" w:space="0" w:color="auto"/>
        <w:right w:val="none" w:sz="0" w:space="0" w:color="auto"/>
      </w:divBdr>
    </w:div>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960920856">
      <w:bodyDiv w:val="1"/>
      <w:marLeft w:val="0"/>
      <w:marRight w:val="0"/>
      <w:marTop w:val="0"/>
      <w:marBottom w:val="0"/>
      <w:divBdr>
        <w:top w:val="none" w:sz="0" w:space="0" w:color="auto"/>
        <w:left w:val="none" w:sz="0" w:space="0" w:color="auto"/>
        <w:bottom w:val="none" w:sz="0" w:space="0" w:color="auto"/>
        <w:right w:val="none" w:sz="0" w:space="0" w:color="auto"/>
      </w:divBdr>
    </w:div>
    <w:div w:id="1099525793">
      <w:bodyDiv w:val="1"/>
      <w:marLeft w:val="0"/>
      <w:marRight w:val="0"/>
      <w:marTop w:val="0"/>
      <w:marBottom w:val="0"/>
      <w:divBdr>
        <w:top w:val="none" w:sz="0" w:space="0" w:color="auto"/>
        <w:left w:val="none" w:sz="0" w:space="0" w:color="auto"/>
        <w:bottom w:val="none" w:sz="0" w:space="0" w:color="auto"/>
        <w:right w:val="none" w:sz="0" w:space="0" w:color="auto"/>
      </w:divBdr>
    </w:div>
    <w:div w:id="1310405739">
      <w:bodyDiv w:val="1"/>
      <w:marLeft w:val="0"/>
      <w:marRight w:val="0"/>
      <w:marTop w:val="0"/>
      <w:marBottom w:val="0"/>
      <w:divBdr>
        <w:top w:val="none" w:sz="0" w:space="0" w:color="auto"/>
        <w:left w:val="none" w:sz="0" w:space="0" w:color="auto"/>
        <w:bottom w:val="none" w:sz="0" w:space="0" w:color="auto"/>
        <w:right w:val="none" w:sz="0" w:space="0" w:color="auto"/>
      </w:divBdr>
    </w:div>
    <w:div w:id="1403914989">
      <w:bodyDiv w:val="1"/>
      <w:marLeft w:val="0"/>
      <w:marRight w:val="0"/>
      <w:marTop w:val="0"/>
      <w:marBottom w:val="0"/>
      <w:divBdr>
        <w:top w:val="none" w:sz="0" w:space="0" w:color="auto"/>
        <w:left w:val="none" w:sz="0" w:space="0" w:color="auto"/>
        <w:bottom w:val="none" w:sz="0" w:space="0" w:color="auto"/>
        <w:right w:val="none" w:sz="0" w:space="0" w:color="auto"/>
      </w:divBdr>
      <w:divsChild>
        <w:div w:id="742262723">
          <w:marLeft w:val="0"/>
          <w:marRight w:val="0"/>
          <w:marTop w:val="280"/>
          <w:marBottom w:val="280"/>
          <w:divBdr>
            <w:top w:val="none" w:sz="0" w:space="0" w:color="auto"/>
            <w:left w:val="none" w:sz="0" w:space="0" w:color="auto"/>
            <w:bottom w:val="none" w:sz="0" w:space="0" w:color="auto"/>
            <w:right w:val="none" w:sz="0" w:space="0" w:color="auto"/>
          </w:divBdr>
        </w:div>
        <w:div w:id="1116951390">
          <w:marLeft w:val="0"/>
          <w:marRight w:val="0"/>
          <w:marTop w:val="280"/>
          <w:marBottom w:val="280"/>
          <w:divBdr>
            <w:top w:val="none" w:sz="0" w:space="0" w:color="auto"/>
            <w:left w:val="none" w:sz="0" w:space="0" w:color="auto"/>
            <w:bottom w:val="none" w:sz="0" w:space="0" w:color="auto"/>
            <w:right w:val="none" w:sz="0" w:space="0" w:color="auto"/>
          </w:divBdr>
        </w:div>
      </w:divsChild>
    </w:div>
    <w:div w:id="1702391121">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10.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2.wmf"/><Relationship Id="rId28" Type="http://schemas.openxmlformats.org/officeDocument/2006/relationships/chart" Target="charts/chart9.xml"/><Relationship Id="rId10" Type="http://schemas.openxmlformats.org/officeDocument/2006/relationships/image" Target="media/image3.png"/><Relationship Id="rId19" Type="http://schemas.openxmlformats.org/officeDocument/2006/relationships/image" Target="media/image8.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wmf"/><Relationship Id="rId27" Type="http://schemas.openxmlformats.org/officeDocument/2006/relationships/chart" Target="charts/chart8.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btphuong\Desktop\Ph&#432;&#7907;ng%202024\B&#225;o%20c&#225;o%20th&#225;ng\T7%202024\Bi&#7875;u%20&#273;&#7891;%20th&#225;ng%20ti&#7871;ng%20T7%20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Ph&#432;&#7907;ng%202024\B&#225;o%20c&#225;o%20th&#225;ng\T7%202024\bi&#7875;u%20&#273;&#7891;%20FDI%20T7%202024.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btphuong\Desktop\Ph&#432;&#7907;ng%202024\B&#225;o%20c&#225;o%20th&#225;ng\T7%202024\bi&#7875;u%20&#273;&#7891;%20FDI%20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02%20BAO%20CAO\NAM2024\Th&#225;ng%207.2024\V&#7909;%20TH\Bi&#7875;u%20&#273;&#7891;%20XNK%20T7.2024.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4\Th&#225;ng%207.2024\V&#7909;%20TH\Bi&#7875;u%20&#273;&#7891;%20XNK%20T7.2024.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D:\02%20BAO%20CAO\NAM2024\Th&#225;ng%207.2024\V&#7909;%20TH\Bi&#7875;u%20&#273;&#7891;%20XNK%20T7.2024.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D:\02%20BAO%20CAO\NAM2024\Th&#225;ng%207.2024\V&#7909;%20TH\Bi&#7875;u%20&#273;&#7891;%20XNK%20T7.2024.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D:\BAO%20CAO%20THANG\Loi%20van\2024\T7\&#273;&#7891;%20th&#7883;%20gi&#225;%20CPI.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rgbClr val="FFC000"/>
            </a:solidFill>
            <a:ln w="9525">
              <a:solidFill>
                <a:schemeClr val="accent4">
                  <a:lumMod val="75000"/>
                </a:schemeClr>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Demand of domestic market was low</c:v>
                </c:pt>
                <c:pt idx="1">
                  <c:v>The competitiveness of domestic goods</c:v>
                </c:pt>
                <c:pt idx="2">
                  <c:v>Demand of international market was low</c:v>
                </c:pt>
                <c:pt idx="3">
                  <c:v>Financial difficulties</c:v>
                </c:pt>
                <c:pt idx="4">
                  <c:v>Interest at hight rates</c:v>
                </c:pt>
                <c:pt idx="5">
                  <c:v>High competitiveness of imported goods</c:v>
                </c:pt>
                <c:pt idx="6">
                  <c:v>Not recruiting qualified employees</c:v>
                </c:pt>
                <c:pt idx="7">
                  <c:v>Lack of raw materials, fuel and materials</c:v>
                </c:pt>
                <c:pt idx="8">
                  <c:v>Outdated technology equipment</c:v>
                </c:pt>
                <c:pt idx="9">
                  <c:v>Legal policy of the State</c:v>
                </c:pt>
                <c:pt idx="10">
                  <c:v>Inability to access loans</c:v>
                </c:pt>
                <c:pt idx="11">
                  <c:v>Lack of energy affect procuction and business</c:v>
                </c:pt>
              </c:strCache>
            </c:strRef>
          </c:cat>
          <c:val>
            <c:numRef>
              <c:f>Sheet1!$B$2:$B$13</c:f>
              <c:numCache>
                <c:formatCode>0.0%</c:formatCode>
                <c:ptCount val="12"/>
                <c:pt idx="0">
                  <c:v>0.53400000000000003</c:v>
                </c:pt>
                <c:pt idx="1">
                  <c:v>0.504</c:v>
                </c:pt>
                <c:pt idx="2">
                  <c:v>0.316</c:v>
                </c:pt>
                <c:pt idx="3">
                  <c:v>0.27900000000000003</c:v>
                </c:pt>
                <c:pt idx="4">
                  <c:v>0.223</c:v>
                </c:pt>
                <c:pt idx="5">
                  <c:v>0.21</c:v>
                </c:pt>
                <c:pt idx="6">
                  <c:v>0.20899999999999999</c:v>
                </c:pt>
                <c:pt idx="7">
                  <c:v>0.18099999999999999</c:v>
                </c:pt>
                <c:pt idx="8">
                  <c:v>0.14199999999999999</c:v>
                </c:pt>
                <c:pt idx="9">
                  <c:v>7.2999999999999995E-2</c:v>
                </c:pt>
                <c:pt idx="10">
                  <c:v>3.4000000000000002E-2</c:v>
                </c:pt>
                <c:pt idx="11">
                  <c:v>1.7000000000000001E-2</c:v>
                </c:pt>
              </c:numCache>
            </c:numRef>
          </c:val>
          <c:extLst>
            <c:ext xmlns:c16="http://schemas.microsoft.com/office/drawing/2014/chart" uri="{C3380CC4-5D6E-409C-BE32-E72D297353CC}">
              <c16:uniqueId val="{00000000-EE75-4A23-B909-71057747D160}"/>
            </c:ext>
          </c:extLst>
        </c:ser>
        <c:dLbls>
          <c:showLegendKey val="0"/>
          <c:showVal val="0"/>
          <c:showCatName val="0"/>
          <c:showSerName val="0"/>
          <c:showPercent val="0"/>
          <c:showBubbleSize val="0"/>
        </c:dLbls>
        <c:gapWidth val="77"/>
        <c:axId val="65987584"/>
        <c:axId val="68138048"/>
      </c:barChart>
      <c:catAx>
        <c:axId val="65987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8138048"/>
        <c:crosses val="autoZero"/>
        <c:auto val="1"/>
        <c:lblAlgn val="ctr"/>
        <c:lblOffset val="100"/>
        <c:noMultiLvlLbl val="0"/>
      </c:catAx>
      <c:valAx>
        <c:axId val="68138048"/>
        <c:scaling>
          <c:orientation val="minMax"/>
        </c:scaling>
        <c:delete val="1"/>
        <c:axPos val="t"/>
        <c:numFmt formatCode="0.0%" sourceLinked="1"/>
        <c:majorTickMark val="none"/>
        <c:minorTickMark val="none"/>
        <c:tickLblPos val="nextTo"/>
        <c:crossAx val="65987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FF9E7"/>
    </a:solidFill>
    <a:ln w="6350"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88066191141331E-2"/>
          <c:y val="7.8401720034694422E-2"/>
          <c:w val="0.89996767604437333"/>
          <c:h val="0.66574137320055682"/>
        </c:manualLayout>
      </c:layout>
      <c:barChart>
        <c:barDir val="col"/>
        <c:grouping val="clustered"/>
        <c:varyColors val="0"/>
        <c:ser>
          <c:idx val="0"/>
          <c:order val="0"/>
          <c:tx>
            <c:strRef>
              <c:f>'Hình 7. Địa phương'!$D$4</c:f>
              <c:strCache>
                <c:ptCount val="1"/>
                <c:pt idx="0">
                  <c:v> 7 months of 2023</c:v>
                </c:pt>
              </c:strCache>
            </c:strRef>
          </c:tx>
          <c:spPr>
            <a:solidFill>
              <a:srgbClr val="CFB09D"/>
            </a:solidFill>
            <a:ln>
              <a:noFill/>
            </a:ln>
            <a:effectLst/>
          </c:spPr>
          <c:invertIfNegative val="0"/>
          <c:cat>
            <c:strRef>
              <c:f>'Hình 7. Địa phương'!$C$5:$C$13</c:f>
              <c:strCache>
                <c:ptCount val="9"/>
                <c:pt idx="0">
                  <c:v>Hà Nội</c:v>
                </c:pt>
                <c:pt idx="1">
                  <c:v>TP. Hồ Chí Minh</c:v>
                </c:pt>
                <c:pt idx="2">
                  <c:v>Bình Dương</c:v>
                </c:pt>
                <c:pt idx="3">
                  <c:v>Bà Rịa - Vũng Tàu</c:v>
                </c:pt>
                <c:pt idx="4">
                  <c:v>Hải Phòng</c:v>
                </c:pt>
                <c:pt idx="5">
                  <c:v>Hưng Yên</c:v>
                </c:pt>
                <c:pt idx="6">
                  <c:v>Thanh Hóa</c:v>
                </c:pt>
                <c:pt idx="7">
                  <c:v>Quảng Ninh</c:v>
                </c:pt>
                <c:pt idx="8">
                  <c:v>Đồng Nai</c:v>
                </c:pt>
              </c:strCache>
            </c:strRef>
          </c:cat>
          <c:val>
            <c:numRef>
              <c:f>'Hình 7. Địa phương'!$D$5:$D$13</c:f>
              <c:numCache>
                <c:formatCode>0.0</c:formatCode>
                <c:ptCount val="9"/>
                <c:pt idx="0">
                  <c:v>23543.048999999999</c:v>
                </c:pt>
                <c:pt idx="1">
                  <c:v>19927.934000000001</c:v>
                </c:pt>
                <c:pt idx="2">
                  <c:v>9434.6990000000005</c:v>
                </c:pt>
                <c:pt idx="3">
                  <c:v>8392.4136999999992</c:v>
                </c:pt>
                <c:pt idx="4">
                  <c:v>8227.1560000000009</c:v>
                </c:pt>
                <c:pt idx="5">
                  <c:v>7030.8620000000001</c:v>
                </c:pt>
                <c:pt idx="6">
                  <c:v>5424.1509999999998</c:v>
                </c:pt>
                <c:pt idx="7">
                  <c:v>6644.2910000000002</c:v>
                </c:pt>
                <c:pt idx="8">
                  <c:v>5091.7439999999997</c:v>
                </c:pt>
              </c:numCache>
            </c:numRef>
          </c:val>
          <c:extLst>
            <c:ext xmlns:c16="http://schemas.microsoft.com/office/drawing/2014/chart" uri="{C3380CC4-5D6E-409C-BE32-E72D297353CC}">
              <c16:uniqueId val="{00000000-4506-41C5-8E01-03C589802963}"/>
            </c:ext>
          </c:extLst>
        </c:ser>
        <c:ser>
          <c:idx val="1"/>
          <c:order val="1"/>
          <c:tx>
            <c:strRef>
              <c:f>'Hình 7. Địa phương'!$E$4</c:f>
              <c:strCache>
                <c:ptCount val="1"/>
                <c:pt idx="0">
                  <c:v> 7 months of 2024</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06-41C5-8E01-03C589802963}"/>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Hà Nội</c:v>
                </c:pt>
                <c:pt idx="1">
                  <c:v>TP. Hồ Chí Minh</c:v>
                </c:pt>
                <c:pt idx="2">
                  <c:v>Bình Dương</c:v>
                </c:pt>
                <c:pt idx="3">
                  <c:v>Bà Rịa - Vũng Tàu</c:v>
                </c:pt>
                <c:pt idx="4">
                  <c:v>Hải Phòng</c:v>
                </c:pt>
                <c:pt idx="5">
                  <c:v>Hưng Yên</c:v>
                </c:pt>
                <c:pt idx="6">
                  <c:v>Thanh Hóa</c:v>
                </c:pt>
                <c:pt idx="7">
                  <c:v>Quảng Ninh</c:v>
                </c:pt>
                <c:pt idx="8">
                  <c:v>Đồng Nai</c:v>
                </c:pt>
              </c:strCache>
            </c:strRef>
          </c:cat>
          <c:val>
            <c:numRef>
              <c:f>'Hình 7. Địa phương'!$E$5:$E$13</c:f>
              <c:numCache>
                <c:formatCode>0.0</c:formatCode>
                <c:ptCount val="9"/>
                <c:pt idx="0">
                  <c:v>30653.673999999999</c:v>
                </c:pt>
                <c:pt idx="1">
                  <c:v>20744.349999999999</c:v>
                </c:pt>
                <c:pt idx="2">
                  <c:v>9973.1630000000005</c:v>
                </c:pt>
                <c:pt idx="3">
                  <c:v>9340.0965299999989</c:v>
                </c:pt>
                <c:pt idx="4">
                  <c:v>8120.826</c:v>
                </c:pt>
                <c:pt idx="5">
                  <c:v>7437.3729999999996</c:v>
                </c:pt>
                <c:pt idx="6">
                  <c:v>6703.4040000000005</c:v>
                </c:pt>
                <c:pt idx="7">
                  <c:v>6462.4939999999997</c:v>
                </c:pt>
                <c:pt idx="8">
                  <c:v>5868.3980000000001</c:v>
                </c:pt>
              </c:numCache>
            </c:numRef>
          </c:val>
          <c:extLst>
            <c:ext xmlns:c16="http://schemas.microsoft.com/office/drawing/2014/chart" uri="{C3380CC4-5D6E-409C-BE32-E72D297353CC}">
              <c16:uniqueId val="{00000002-4506-41C5-8E01-03C589802963}"/>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register capital</c:v>
                </c:pt>
              </c:strCache>
            </c:strRef>
          </c:tx>
          <c:invertIfNegative val="0"/>
          <c:dLbls>
            <c:dLbl>
              <c:idx val="0"/>
              <c:tx>
                <c:rich>
                  <a:bodyPr/>
                  <a:lstStyle/>
                  <a:p>
                    <a:r>
                      <a:rPr lang="en-US"/>
                      <a:t>9,46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B65-42F9-96D3-804BAA5A0881}"/>
                </c:ext>
              </c:extLst>
            </c:dLbl>
            <c:dLbl>
              <c:idx val="1"/>
              <c:tx>
                <c:rich>
                  <a:bodyPr/>
                  <a:lstStyle/>
                  <a:p>
                    <a:r>
                      <a:rPr lang="en-US"/>
                      <a:t>10,13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B65-42F9-96D3-804BAA5A0881}"/>
                </c:ext>
              </c:extLst>
            </c:dLbl>
            <c:dLbl>
              <c:idx val="2"/>
              <c:tx>
                <c:rich>
                  <a:bodyPr/>
                  <a:lstStyle/>
                  <a:p>
                    <a:r>
                      <a:rPr lang="en-US"/>
                      <a:t>5,72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B65-42F9-96D3-804BAA5A0881}"/>
                </c:ext>
              </c:extLst>
            </c:dLbl>
            <c:dLbl>
              <c:idx val="3"/>
              <c:tx>
                <c:rich>
                  <a:bodyPr/>
                  <a:lstStyle/>
                  <a:p>
                    <a:r>
                      <a:rPr lang="en-US"/>
                      <a:t>7,94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B65-42F9-96D3-804BAA5A0881}"/>
                </c:ext>
              </c:extLst>
            </c:dLbl>
            <c:dLbl>
              <c:idx val="4"/>
              <c:tx>
                <c:rich>
                  <a:bodyPr/>
                  <a:lstStyle/>
                  <a:p>
                    <a:r>
                      <a:rPr lang="en-US"/>
                      <a:t>10,76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B65-42F9-96D3-804BAA5A088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2020</c:v>
                </c:pt>
                <c:pt idx="1">
                  <c:v>2021</c:v>
                </c:pt>
                <c:pt idx="2">
                  <c:v>2022</c:v>
                </c:pt>
                <c:pt idx="3">
                  <c:v>2023</c:v>
                </c:pt>
                <c:pt idx="4">
                  <c:v>2024</c:v>
                </c:pt>
              </c:numCache>
            </c:numRef>
          </c:cat>
          <c:val>
            <c:numRef>
              <c:f>'04. FDI SO SANH '!$B$16:$F$16</c:f>
              <c:numCache>
                <c:formatCode>0.00</c:formatCode>
                <c:ptCount val="5"/>
                <c:pt idx="0">
                  <c:v>9.4623366879999988</c:v>
                </c:pt>
                <c:pt idx="1">
                  <c:v>10.128656247170001</c:v>
                </c:pt>
                <c:pt idx="2">
                  <c:v>5.7231274453400003</c:v>
                </c:pt>
                <c:pt idx="3">
                  <c:v>7.9351076316900011</c:v>
                </c:pt>
                <c:pt idx="4">
                  <c:v>10.763881721939997</c:v>
                </c:pt>
              </c:numCache>
            </c:numRef>
          </c:val>
          <c:extLst>
            <c:ext xmlns:c16="http://schemas.microsoft.com/office/drawing/2014/chart" uri="{C3380CC4-5D6E-409C-BE32-E72D297353CC}">
              <c16:uniqueId val="{00000005-4B65-42F9-96D3-804BAA5A0881}"/>
            </c:ext>
          </c:extLst>
        </c:ser>
        <c:ser>
          <c:idx val="1"/>
          <c:order val="1"/>
          <c:tx>
            <c:strRef>
              <c:f>'04. FDI SO SANH '!$A$17</c:f>
              <c:strCache>
                <c:ptCount val="1"/>
                <c:pt idx="0">
                  <c:v>Adjust register capital</c:v>
                </c:pt>
              </c:strCache>
            </c:strRef>
          </c:tx>
          <c:invertIfNegative val="0"/>
          <c:dLbls>
            <c:dLbl>
              <c:idx val="0"/>
              <c:tx>
                <c:rich>
                  <a:bodyPr/>
                  <a:lstStyle/>
                  <a:p>
                    <a:r>
                      <a:rPr lang="en-US"/>
                      <a:t>4,72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B65-42F9-96D3-804BAA5A0881}"/>
                </c:ext>
              </c:extLst>
            </c:dLbl>
            <c:dLbl>
              <c:idx val="1"/>
              <c:tx>
                <c:rich>
                  <a:bodyPr/>
                  <a:lstStyle/>
                  <a:p>
                    <a:r>
                      <a:rPr lang="en-US"/>
                      <a:t>4,54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B65-42F9-96D3-804BAA5A0881}"/>
                </c:ext>
              </c:extLst>
            </c:dLbl>
            <c:dLbl>
              <c:idx val="2"/>
              <c:tx>
                <c:rich>
                  <a:bodyPr wrap="square" lIns="38100" tIns="19050" rIns="38100" bIns="19050" anchor="ctr">
                    <a:noAutofit/>
                  </a:bodyPr>
                  <a:lstStyle/>
                  <a:p>
                    <a:pPr>
                      <a:defRPr/>
                    </a:pPr>
                    <a:r>
                      <a:rPr lang="en-US"/>
                      <a:t>7,24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4B65-42F9-96D3-804BAA5A0881}"/>
                </c:ext>
              </c:extLst>
            </c:dLbl>
            <c:dLbl>
              <c:idx val="3"/>
              <c:layout>
                <c:manualLayout>
                  <c:x val="7.207205843852202E-3"/>
                  <c:y val="0"/>
                </c:manualLayout>
              </c:layout>
              <c:tx>
                <c:rich>
                  <a:bodyPr/>
                  <a:lstStyle/>
                  <a:p>
                    <a:r>
                      <a:rPr lang="en-US"/>
                      <a:t>4,16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B65-42F9-96D3-804BAA5A0881}"/>
                </c:ext>
              </c:extLst>
            </c:dLbl>
            <c:dLbl>
              <c:idx val="4"/>
              <c:tx>
                <c:rich>
                  <a:bodyPr/>
                  <a:lstStyle/>
                  <a:p>
                    <a:r>
                      <a:rPr lang="en-US"/>
                      <a:t>4,97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B65-42F9-96D3-804BAA5A088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'!$B$17:$F$17</c:f>
              <c:numCache>
                <c:formatCode>0.00</c:formatCode>
                <c:ptCount val="5"/>
                <c:pt idx="0">
                  <c:v>4.7157804172890634</c:v>
                </c:pt>
                <c:pt idx="1">
                  <c:v>4.5435954089403134</c:v>
                </c:pt>
                <c:pt idx="2">
                  <c:v>7.2401363627898405</c:v>
                </c:pt>
                <c:pt idx="3">
                  <c:v>4.1595451423817176</c:v>
                </c:pt>
                <c:pt idx="4">
                  <c:v>4.967999645179944</c:v>
                </c:pt>
              </c:numCache>
            </c:numRef>
          </c:val>
          <c:extLst>
            <c:ext xmlns:c16="http://schemas.microsoft.com/office/drawing/2014/chart" uri="{C3380CC4-5D6E-409C-BE32-E72D297353CC}">
              <c16:uniqueId val="{0000000B-4B65-42F9-96D3-804BAA5A0881}"/>
            </c:ext>
          </c:extLst>
        </c:ser>
        <c:ser>
          <c:idx val="2"/>
          <c:order val="2"/>
          <c:tx>
            <c:strRef>
              <c:f>'04. FDI SO SANH '!$A$18</c:f>
              <c:strCache>
                <c:ptCount val="1"/>
                <c:pt idx="0">
                  <c:v>Total value of capital contribution and share purchases of foreign investor</c:v>
                </c:pt>
              </c:strCache>
            </c:strRef>
          </c:tx>
          <c:invertIfNegative val="0"/>
          <c:dLbls>
            <c:dLbl>
              <c:idx val="0"/>
              <c:tx>
                <c:rich>
                  <a:bodyPr/>
                  <a:lstStyle/>
                  <a:p>
                    <a:r>
                      <a:rPr lang="en-US"/>
                      <a:t>4,64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4B65-42F9-96D3-804BAA5A0881}"/>
                </c:ext>
              </c:extLst>
            </c:dLbl>
            <c:dLbl>
              <c:idx val="1"/>
              <c:tx>
                <c:rich>
                  <a:bodyPr/>
                  <a:lstStyle/>
                  <a:p>
                    <a:r>
                      <a:rPr lang="en-US" baseline="0"/>
                      <a:t>2,05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4B65-42F9-96D3-804BAA5A0881}"/>
                </c:ext>
              </c:extLst>
            </c:dLbl>
            <c:dLbl>
              <c:idx val="2"/>
              <c:tx>
                <c:rich>
                  <a:bodyPr/>
                  <a:lstStyle/>
                  <a:p>
                    <a:r>
                      <a:rPr lang="en-US"/>
                      <a:t>2,58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4B65-42F9-96D3-804BAA5A0881}"/>
                </c:ext>
              </c:extLst>
            </c:dLbl>
            <c:dLbl>
              <c:idx val="3"/>
              <c:tx>
                <c:rich>
                  <a:bodyPr wrap="square" lIns="38100" tIns="19050" rIns="38100" bIns="19050" anchor="ctr">
                    <a:noAutofit/>
                  </a:bodyPr>
                  <a:lstStyle/>
                  <a:p>
                    <a:pPr>
                      <a:defRPr/>
                    </a:pPr>
                    <a:r>
                      <a:rPr lang="en-US"/>
                      <a:t>4,14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4B65-42F9-96D3-804BAA5A0881}"/>
                </c:ext>
              </c:extLst>
            </c:dLbl>
            <c:dLbl>
              <c:idx val="4"/>
              <c:layout>
                <c:manualLayout>
                  <c:x val="2.4024019479507323E-2"/>
                  <c:y val="0"/>
                </c:manualLayout>
              </c:layout>
              <c:tx>
                <c:rich>
                  <a:bodyPr/>
                  <a:lstStyle/>
                  <a:p>
                    <a:r>
                      <a:rPr lang="en-US"/>
                      <a:t> 2.27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4B65-42F9-96D3-804BAA5A088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'!$B$18:$F$18</c:f>
              <c:numCache>
                <c:formatCode>0.00</c:formatCode>
                <c:ptCount val="5"/>
                <c:pt idx="0">
                  <c:v>4.6393258241947741</c:v>
                </c:pt>
                <c:pt idx="1">
                  <c:v>2.0512653665559628</c:v>
                </c:pt>
                <c:pt idx="2">
                  <c:v>2.5781297313499998</c:v>
                </c:pt>
                <c:pt idx="3">
                  <c:v>4.1441226404099982</c:v>
                </c:pt>
                <c:pt idx="4">
                  <c:v>2.2691780593799997</c:v>
                </c:pt>
              </c:numCache>
            </c:numRef>
          </c:val>
          <c:extLst>
            <c:ext xmlns:c16="http://schemas.microsoft.com/office/drawing/2014/chart" uri="{C3380CC4-5D6E-409C-BE32-E72D297353CC}">
              <c16:uniqueId val="{00000011-4B65-42F9-96D3-804BAA5A0881}"/>
            </c:ext>
          </c:extLst>
        </c:ser>
        <c:dLbls>
          <c:showLegendKey val="0"/>
          <c:showVal val="0"/>
          <c:showCatName val="0"/>
          <c:showSerName val="0"/>
          <c:showPercent val="0"/>
          <c:showBubbleSize val="0"/>
        </c:dLbls>
        <c:gapWidth val="150"/>
        <c:overlap val="100"/>
        <c:axId val="-1874218784"/>
        <c:axId val="-1874232928"/>
      </c:barChart>
      <c:catAx>
        <c:axId val="-1874218784"/>
        <c:scaling>
          <c:orientation val="minMax"/>
        </c:scaling>
        <c:delete val="0"/>
        <c:axPos val="l"/>
        <c:numFmt formatCode="General" sourceLinked="1"/>
        <c:majorTickMark val="out"/>
        <c:minorTickMark val="none"/>
        <c:tickLblPos val="nextTo"/>
        <c:crossAx val="-1874232928"/>
        <c:crosses val="autoZero"/>
        <c:auto val="1"/>
        <c:lblAlgn val="ctr"/>
        <c:lblOffset val="100"/>
        <c:noMultiLvlLbl val="0"/>
      </c:catAx>
      <c:valAx>
        <c:axId val="-1874232928"/>
        <c:scaling>
          <c:orientation val="minMax"/>
        </c:scaling>
        <c:delete val="0"/>
        <c:axPos val="b"/>
        <c:majorGridlines/>
        <c:numFmt formatCode="0.00" sourceLinked="1"/>
        <c:majorTickMark val="out"/>
        <c:minorTickMark val="none"/>
        <c:tickLblPos val="nextTo"/>
        <c:crossAx val="-1874218784"/>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2020</c:v>
                </c:pt>
                <c:pt idx="1">
                  <c:v>2021</c:v>
                </c:pt>
                <c:pt idx="2">
                  <c:v>2022</c:v>
                </c:pt>
                <c:pt idx="3">
                  <c:v>2023</c:v>
                </c:pt>
                <c:pt idx="4">
                  <c:v>2024</c:v>
                </c:pt>
              </c:numCache>
            </c:numRef>
          </c:cat>
          <c:val>
            <c:numRef>
              <c:f>Sheet1!$B$5:$F$5</c:f>
              <c:numCache>
                <c:formatCode>0.00</c:formatCode>
                <c:ptCount val="5"/>
                <c:pt idx="0">
                  <c:v>10.119999999999999</c:v>
                </c:pt>
                <c:pt idx="1">
                  <c:v>10.5</c:v>
                </c:pt>
                <c:pt idx="2">
                  <c:v>11.487</c:v>
                </c:pt>
                <c:pt idx="3">
                  <c:v>11.58</c:v>
                </c:pt>
                <c:pt idx="4">
                  <c:v>12.55</c:v>
                </c:pt>
              </c:numCache>
            </c:numRef>
          </c:val>
          <c:extLst>
            <c:ext xmlns:c16="http://schemas.microsoft.com/office/drawing/2014/chart" uri="{C3380CC4-5D6E-409C-BE32-E72D297353CC}">
              <c16:uniqueId val="{00000000-21E5-447F-9059-346BCA36D8EF}"/>
            </c:ext>
          </c:extLst>
        </c:ser>
        <c:dLbls>
          <c:showLegendKey val="0"/>
          <c:showVal val="0"/>
          <c:showCatName val="0"/>
          <c:showSerName val="0"/>
          <c:showPercent val="0"/>
          <c:showBubbleSize val="0"/>
        </c:dLbls>
        <c:gapWidth val="219"/>
        <c:overlap val="-27"/>
        <c:axId val="108849792"/>
        <c:axId val="108971136"/>
      </c:barChart>
      <c:catAx>
        <c:axId val="1088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971136"/>
        <c:crosses val="autoZero"/>
        <c:auto val="1"/>
        <c:lblAlgn val="ctr"/>
        <c:lblOffset val="100"/>
        <c:noMultiLvlLbl val="0"/>
      </c:catAx>
      <c:valAx>
        <c:axId val="108971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884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1"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33.4</c:v>
                </c:pt>
                <c:pt idx="1">
                  <c:v>66.099999999999994</c:v>
                </c:pt>
                <c:pt idx="2">
                  <c:v>21</c:v>
                </c:pt>
                <c:pt idx="3">
                  <c:v>14.4</c:v>
                </c:pt>
                <c:pt idx="4">
                  <c:v>29.3</c:v>
                </c:pt>
                <c:pt idx="5">
                  <c:v>13.5</c:v>
                </c:pt>
              </c:numCache>
            </c:numRef>
          </c:val>
          <c:extLst>
            <c:ext xmlns:c16="http://schemas.microsoft.com/office/drawing/2014/chart" uri="{C3380CC4-5D6E-409C-BE32-E72D297353CC}">
              <c16:uniqueId val="{00000000-F9E5-4D91-985B-909F3790C90A}"/>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E5-4D91-985B-909F3790C90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79.2</c:v>
                </c:pt>
                <c:pt idx="1">
                  <c:v>8.6</c:v>
                </c:pt>
                <c:pt idx="2">
                  <c:v>26.5</c:v>
                </c:pt>
                <c:pt idx="3">
                  <c:v>32.1</c:v>
                </c:pt>
                <c:pt idx="4">
                  <c:v>9.1999999999999993</c:v>
                </c:pt>
                <c:pt idx="5">
                  <c:v>12.4</c:v>
                </c:pt>
              </c:numCache>
            </c:numRef>
          </c:val>
          <c:extLst>
            <c:ext xmlns:c16="http://schemas.microsoft.com/office/drawing/2014/chart" uri="{C3380CC4-5D6E-409C-BE32-E72D297353CC}">
              <c16:uniqueId val="{00000002-F9E5-4D91-985B-909F3790C90A}"/>
            </c:ext>
          </c:extLst>
        </c:ser>
        <c:dLbls>
          <c:showLegendKey val="0"/>
          <c:showVal val="0"/>
          <c:showCatName val="0"/>
          <c:showSerName val="0"/>
          <c:showPercent val="0"/>
          <c:showBubbleSize val="0"/>
        </c:dLbls>
        <c:gapWidth val="75"/>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 </a:t>
            </a:r>
            <a:r>
              <a:rPr lang="en-US" sz="900" b="1" i="1" baseline="0">
                <a:solidFill>
                  <a:sysClr val="windowText" lastClr="000000"/>
                </a:solidFill>
                <a:effectLst/>
                <a:latin typeface="Arial" panose="020B0604020202020204" pitchFamily="34" charset="0"/>
                <a:cs typeface="Arial" panose="020B0604020202020204" pitchFamily="34" charset="0"/>
              </a:rPr>
              <a:t>(%)</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2"/>
              <c:layout>
                <c:manualLayout>
                  <c:x val="-8.9086859688195588E-3"/>
                  <c:y val="5.49148819330028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FC-4648-8AF1-2CB5F69F580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formatCode="General">
                  <c:v>7.6</c:v>
                </c:pt>
                <c:pt idx="1">
                  <c:v>24.4</c:v>
                </c:pt>
                <c:pt idx="2">
                  <c:v>11.5</c:v>
                </c:pt>
                <c:pt idx="3">
                  <c:v>9</c:v>
                </c:pt>
                <c:pt idx="4" formatCode="General">
                  <c:v>15.8</c:v>
                </c:pt>
                <c:pt idx="5">
                  <c:v>2.8</c:v>
                </c:pt>
              </c:numCache>
            </c:numRef>
          </c:val>
          <c:extLst>
            <c:ext xmlns:c16="http://schemas.microsoft.com/office/drawing/2014/chart" uri="{C3380CC4-5D6E-409C-BE32-E72D297353CC}">
              <c16:uniqueId val="{00000001-B9FC-4648-8AF1-2CB5F69F5802}"/>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3.5813458100346151E-4"/>
                  <c:y val="-3.786685755189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FC-4648-8AF1-2CB5F69F5802}"/>
                </c:ext>
              </c:extLst>
            </c:dLbl>
            <c:dLbl>
              <c:idx val="2"/>
              <c:layout>
                <c:manualLayout>
                  <c:x val="8.9086859688195172E-3"/>
                  <c:y val="5.49148819330038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FC-4648-8AF1-2CB5F69F5802}"/>
                </c:ext>
              </c:extLst>
            </c:dLbl>
            <c:dLbl>
              <c:idx val="4"/>
              <c:layout>
                <c:manualLayout>
                  <c:x val="7.6045627376424927E-3"/>
                  <c:y val="1.1364829396325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FC-4648-8AF1-2CB5F69F580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General</c:formatCode>
                <c:ptCount val="6"/>
                <c:pt idx="0" formatCode="0.0">
                  <c:v>34.9</c:v>
                </c:pt>
                <c:pt idx="1">
                  <c:v>6.2</c:v>
                </c:pt>
                <c:pt idx="2">
                  <c:v>13.3</c:v>
                </c:pt>
                <c:pt idx="3">
                  <c:v>12.6</c:v>
                </c:pt>
                <c:pt idx="4" formatCode="0.0">
                  <c:v>8.6999999999999993</c:v>
                </c:pt>
                <c:pt idx="5" formatCode="0.0">
                  <c:v>4.5999999999999996</c:v>
                </c:pt>
              </c:numCache>
            </c:numRef>
          </c:val>
          <c:extLst>
            <c:ext xmlns:c16="http://schemas.microsoft.com/office/drawing/2014/chart" uri="{C3380CC4-5D6E-409C-BE32-E72D297353CC}">
              <c16:uniqueId val="{00000005-B9FC-4648-8AF1-2CB5F69F5802}"/>
            </c:ext>
          </c:extLst>
        </c:ser>
        <c:dLbls>
          <c:showLegendKey val="0"/>
          <c:showVal val="0"/>
          <c:showCatName val="0"/>
          <c:showSerName val="0"/>
          <c:showPercent val="0"/>
          <c:showBubbleSize val="0"/>
        </c:dLbls>
        <c:gapWidth val="50"/>
        <c:overlap val="-27"/>
        <c:axId val="464358304"/>
        <c:axId val="464351232"/>
      </c:barChart>
      <c:catAx>
        <c:axId val="464358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1"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33.4</c:v>
                </c:pt>
                <c:pt idx="1">
                  <c:v>66.099999999999994</c:v>
                </c:pt>
                <c:pt idx="2">
                  <c:v>21</c:v>
                </c:pt>
                <c:pt idx="3">
                  <c:v>14.4</c:v>
                </c:pt>
                <c:pt idx="4">
                  <c:v>29.3</c:v>
                </c:pt>
                <c:pt idx="5">
                  <c:v>13.5</c:v>
                </c:pt>
              </c:numCache>
            </c:numRef>
          </c:val>
          <c:extLst>
            <c:ext xmlns:c16="http://schemas.microsoft.com/office/drawing/2014/chart" uri="{C3380CC4-5D6E-409C-BE32-E72D297353CC}">
              <c16:uniqueId val="{00000000-374D-4FB4-B38F-8EEB51C24F48}"/>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4D-4FB4-B38F-8EEB51C24F4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79.2</c:v>
                </c:pt>
                <c:pt idx="1">
                  <c:v>8.6</c:v>
                </c:pt>
                <c:pt idx="2">
                  <c:v>26.5</c:v>
                </c:pt>
                <c:pt idx="3">
                  <c:v>32.1</c:v>
                </c:pt>
                <c:pt idx="4">
                  <c:v>9.1999999999999993</c:v>
                </c:pt>
                <c:pt idx="5">
                  <c:v>12.4</c:v>
                </c:pt>
              </c:numCache>
            </c:numRef>
          </c:val>
          <c:extLst>
            <c:ext xmlns:c16="http://schemas.microsoft.com/office/drawing/2014/chart" uri="{C3380CC4-5D6E-409C-BE32-E72D297353CC}">
              <c16:uniqueId val="{00000002-374D-4FB4-B38F-8EEB51C24F48}"/>
            </c:ext>
          </c:extLst>
        </c:ser>
        <c:dLbls>
          <c:showLegendKey val="0"/>
          <c:showVal val="0"/>
          <c:showCatName val="0"/>
          <c:showSerName val="0"/>
          <c:showPercent val="0"/>
          <c:showBubbleSize val="0"/>
        </c:dLbls>
        <c:gapWidth val="75"/>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 </a:t>
            </a:r>
            <a:r>
              <a:rPr lang="en-US" sz="900" b="1" i="1" baseline="0">
                <a:solidFill>
                  <a:sysClr val="windowText" lastClr="000000"/>
                </a:solidFill>
                <a:effectLst/>
                <a:latin typeface="Arial" panose="020B0604020202020204" pitchFamily="34" charset="0"/>
                <a:cs typeface="Arial" panose="020B0604020202020204" pitchFamily="34" charset="0"/>
              </a:rPr>
              <a:t>(%)</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2"/>
              <c:layout>
                <c:manualLayout>
                  <c:x val="-8.9086859688195588E-3"/>
                  <c:y val="5.49148819330028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2A-4A65-9CAD-85A8FE9069A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formatCode="General">
                  <c:v>7.6</c:v>
                </c:pt>
                <c:pt idx="1">
                  <c:v>24.4</c:v>
                </c:pt>
                <c:pt idx="2">
                  <c:v>11.5</c:v>
                </c:pt>
                <c:pt idx="3">
                  <c:v>9</c:v>
                </c:pt>
                <c:pt idx="4" formatCode="General">
                  <c:v>15.8</c:v>
                </c:pt>
                <c:pt idx="5">
                  <c:v>2.8</c:v>
                </c:pt>
              </c:numCache>
            </c:numRef>
          </c:val>
          <c:extLst>
            <c:ext xmlns:c16="http://schemas.microsoft.com/office/drawing/2014/chart" uri="{C3380CC4-5D6E-409C-BE32-E72D297353CC}">
              <c16:uniqueId val="{00000001-032A-4A65-9CAD-85A8FE9069AD}"/>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3.5813458100346151E-4"/>
                  <c:y val="-3.786685755189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2A-4A65-9CAD-85A8FE9069AD}"/>
                </c:ext>
              </c:extLst>
            </c:dLbl>
            <c:dLbl>
              <c:idx val="2"/>
              <c:layout>
                <c:manualLayout>
                  <c:x val="8.9086859688195172E-3"/>
                  <c:y val="5.49148819330038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2A-4A65-9CAD-85A8FE9069AD}"/>
                </c:ext>
              </c:extLst>
            </c:dLbl>
            <c:dLbl>
              <c:idx val="4"/>
              <c:layout>
                <c:manualLayout>
                  <c:x val="7.6045627376424927E-3"/>
                  <c:y val="1.1364829396325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2A-4A65-9CAD-85A8FE9069A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General</c:formatCode>
                <c:ptCount val="6"/>
                <c:pt idx="0" formatCode="0.0">
                  <c:v>34.9</c:v>
                </c:pt>
                <c:pt idx="1">
                  <c:v>6.2</c:v>
                </c:pt>
                <c:pt idx="2">
                  <c:v>13.3</c:v>
                </c:pt>
                <c:pt idx="3">
                  <c:v>12.6</c:v>
                </c:pt>
                <c:pt idx="4" formatCode="0.0">
                  <c:v>8.6999999999999993</c:v>
                </c:pt>
                <c:pt idx="5" formatCode="0.0">
                  <c:v>4.5999999999999996</c:v>
                </c:pt>
              </c:numCache>
            </c:numRef>
          </c:val>
          <c:extLst>
            <c:ext xmlns:c16="http://schemas.microsoft.com/office/drawing/2014/chart" uri="{C3380CC4-5D6E-409C-BE32-E72D297353CC}">
              <c16:uniqueId val="{00000005-032A-4A65-9CAD-85A8FE9069AD}"/>
            </c:ext>
          </c:extLst>
        </c:ser>
        <c:dLbls>
          <c:showLegendKey val="0"/>
          <c:showVal val="0"/>
          <c:showCatName val="0"/>
          <c:showSerName val="0"/>
          <c:showPercent val="0"/>
          <c:showBubbleSize val="0"/>
        </c:dLbls>
        <c:gapWidth val="50"/>
        <c:overlap val="-27"/>
        <c:axId val="464358304"/>
        <c:axId val="464351232"/>
      </c:barChart>
      <c:catAx>
        <c:axId val="464358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9129165145748"/>
          <c:y val="2.4169503564529682E-2"/>
          <c:w val="0.85555161565069271"/>
          <c:h val="0.53272246909730347"/>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DB84-4B12-99EB-EA12A9BD5019}"/>
              </c:ext>
            </c:extLst>
          </c:dPt>
          <c:dPt>
            <c:idx val="1"/>
            <c:invertIfNegative val="0"/>
            <c:bubble3D val="0"/>
            <c:spPr>
              <a:solidFill>
                <a:srgbClr val="FF0000"/>
              </a:solidFill>
              <a:ln>
                <a:noFill/>
              </a:ln>
              <a:effectLst/>
            </c:spPr>
            <c:extLst>
              <c:ext xmlns:c16="http://schemas.microsoft.com/office/drawing/2014/chart" uri="{C3380CC4-5D6E-409C-BE32-E72D297353CC}">
                <c16:uniqueId val="{00000003-DB84-4B12-99EB-EA12A9BD5019}"/>
              </c:ext>
            </c:extLst>
          </c:dPt>
          <c:dPt>
            <c:idx val="2"/>
            <c:invertIfNegative val="0"/>
            <c:bubble3D val="0"/>
            <c:spPr>
              <a:solidFill>
                <a:srgbClr val="FF0000"/>
              </a:solidFill>
              <a:ln>
                <a:noFill/>
              </a:ln>
              <a:effectLst/>
            </c:spPr>
            <c:extLst>
              <c:ext xmlns:c16="http://schemas.microsoft.com/office/drawing/2014/chart" uri="{C3380CC4-5D6E-409C-BE32-E72D297353CC}">
                <c16:uniqueId val="{00000005-DB84-4B12-99EB-EA12A9BD5019}"/>
              </c:ext>
            </c:extLst>
          </c:dPt>
          <c:dPt>
            <c:idx val="3"/>
            <c:invertIfNegative val="0"/>
            <c:bubble3D val="0"/>
            <c:spPr>
              <a:solidFill>
                <a:srgbClr val="FF0000"/>
              </a:solidFill>
              <a:ln>
                <a:noFill/>
              </a:ln>
              <a:effectLst/>
            </c:spPr>
            <c:extLst>
              <c:ext xmlns:c16="http://schemas.microsoft.com/office/drawing/2014/chart" uri="{C3380CC4-5D6E-409C-BE32-E72D297353CC}">
                <c16:uniqueId val="{00000007-DB84-4B12-99EB-EA12A9BD5019}"/>
              </c:ext>
            </c:extLst>
          </c:dPt>
          <c:dPt>
            <c:idx val="4"/>
            <c:invertIfNegative val="0"/>
            <c:bubble3D val="0"/>
            <c:spPr>
              <a:solidFill>
                <a:srgbClr val="FF0000"/>
              </a:solidFill>
              <a:ln>
                <a:solidFill>
                  <a:srgbClr val="FF0000"/>
                </a:solidFill>
              </a:ln>
              <a:effectLst/>
            </c:spPr>
            <c:extLst>
              <c:ext xmlns:c16="http://schemas.microsoft.com/office/drawing/2014/chart" uri="{C3380CC4-5D6E-409C-BE32-E72D297353CC}">
                <c16:uniqueId val="{00000009-DB84-4B12-99EB-EA12A9BD5019}"/>
              </c:ext>
            </c:extLst>
          </c:dPt>
          <c:dPt>
            <c:idx val="6"/>
            <c:invertIfNegative val="0"/>
            <c:bubble3D val="0"/>
            <c:spPr>
              <a:solidFill>
                <a:srgbClr val="FF0000"/>
              </a:solidFill>
              <a:ln>
                <a:noFill/>
              </a:ln>
              <a:effectLst/>
            </c:spPr>
            <c:extLst>
              <c:ext xmlns:c16="http://schemas.microsoft.com/office/drawing/2014/chart" uri="{C3380CC4-5D6E-409C-BE32-E72D297353CC}">
                <c16:uniqueId val="{0000000B-DB84-4B12-99EB-EA12A9BD5019}"/>
              </c:ext>
            </c:extLst>
          </c:dPt>
          <c:dPt>
            <c:idx val="8"/>
            <c:invertIfNegative val="0"/>
            <c:bubble3D val="0"/>
            <c:spPr>
              <a:solidFill>
                <a:srgbClr val="FF0000"/>
              </a:solidFill>
              <a:ln>
                <a:noFill/>
              </a:ln>
              <a:effectLst/>
            </c:spPr>
            <c:extLst>
              <c:ext xmlns:c16="http://schemas.microsoft.com/office/drawing/2014/chart" uri="{C3380CC4-5D6E-409C-BE32-E72D297353CC}">
                <c16:uniqueId val="{0000000D-DB84-4B12-99EB-EA12A9BD5019}"/>
              </c:ext>
            </c:extLst>
          </c:dPt>
          <c:dPt>
            <c:idx val="9"/>
            <c:invertIfNegative val="0"/>
            <c:bubble3D val="0"/>
            <c:spPr>
              <a:solidFill>
                <a:srgbClr val="FF0000"/>
              </a:solidFill>
              <a:ln>
                <a:noFill/>
              </a:ln>
              <a:effectLst/>
            </c:spPr>
            <c:extLst>
              <c:ext xmlns:c16="http://schemas.microsoft.com/office/drawing/2014/chart" uri="{C3380CC4-5D6E-409C-BE32-E72D297353CC}">
                <c16:uniqueId val="{0000000F-DB84-4B12-99EB-EA12A9BD5019}"/>
              </c:ext>
            </c:extLst>
          </c:dPt>
          <c:dPt>
            <c:idx val="10"/>
            <c:invertIfNegative val="0"/>
            <c:bubble3D val="0"/>
            <c:spPr>
              <a:solidFill>
                <a:srgbClr val="FF0000"/>
              </a:solidFill>
              <a:ln>
                <a:noFill/>
              </a:ln>
              <a:effectLst/>
            </c:spPr>
            <c:extLst>
              <c:ext xmlns:c16="http://schemas.microsoft.com/office/drawing/2014/chart" uri="{C3380CC4-5D6E-409C-BE32-E72D297353CC}">
                <c16:uniqueId val="{00000011-DB84-4B12-99EB-EA12A9BD5019}"/>
              </c:ext>
            </c:extLst>
          </c:dPt>
          <c:dPt>
            <c:idx val="11"/>
            <c:invertIfNegative val="0"/>
            <c:bubble3D val="0"/>
            <c:spPr>
              <a:solidFill>
                <a:srgbClr val="FF0000"/>
              </a:solidFill>
              <a:ln>
                <a:noFill/>
              </a:ln>
              <a:effectLst/>
            </c:spPr>
            <c:extLst>
              <c:ext xmlns:c16="http://schemas.microsoft.com/office/drawing/2014/chart" uri="{C3380CC4-5D6E-409C-BE32-E72D297353CC}">
                <c16:uniqueId val="{00000013-DB84-4B12-99EB-EA12A9BD5019}"/>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Sheet2!$B$2:$B$13</c:f>
              <c:strCache>
                <c:ptCount val="12"/>
                <c:pt idx="0">
                  <c:v>Consumer price index</c:v>
                </c:pt>
                <c:pt idx="1">
                  <c:v>XI. Other consumer goods and services</c:v>
                </c:pt>
                <c:pt idx="2">
                  <c:v>VII. Transport</c:v>
                </c:pt>
                <c:pt idx="3">
                  <c:v>IV. Housing and construction materials</c:v>
                </c:pt>
                <c:pt idx="4">
                  <c:v>I. Food and foodstuff</c:v>
                </c:pt>
                <c:pt idx="5">
                  <c:v>X. Culture, entertainments and tourism</c:v>
                </c:pt>
                <c:pt idx="6">
                  <c:v>VI. Medicine and health care services</c:v>
                </c:pt>
                <c:pt idx="7">
                  <c:v>II. Beverage and cigarette</c:v>
                </c:pt>
                <c:pt idx="8">
                  <c:v>V. Household equipment and goods</c:v>
                </c:pt>
                <c:pt idx="9">
                  <c:v>III. Garment, hat, footwear</c:v>
                </c:pt>
                <c:pt idx="10">
                  <c:v>IX. Education </c:v>
                </c:pt>
                <c:pt idx="11">
                  <c:v>VIII. Post and communication</c:v>
                </c:pt>
              </c:strCache>
            </c:strRef>
          </c:cat>
          <c:val>
            <c:numRef>
              <c:f>Sheet2!$C$2:$C$13</c:f>
              <c:numCache>
                <c:formatCode>0.00%</c:formatCode>
                <c:ptCount val="12"/>
                <c:pt idx="0">
                  <c:v>4.7530000000000428E-3</c:v>
                </c:pt>
                <c:pt idx="1">
                  <c:v>3.7729000000000068E-2</c:v>
                </c:pt>
                <c:pt idx="2">
                  <c:v>1.4484999999999956E-2</c:v>
                </c:pt>
                <c:pt idx="3">
                  <c:v>4.9670000000000417E-3</c:v>
                </c:pt>
                <c:pt idx="4">
                  <c:v>2.5799999999999556E-3</c:v>
                </c:pt>
                <c:pt idx="5">
                  <c:v>1.384000000000043E-3</c:v>
                </c:pt>
                <c:pt idx="6">
                  <c:v>1.3339999999999463E-3</c:v>
                </c:pt>
                <c:pt idx="7">
                  <c:v>1.1369999999999436E-3</c:v>
                </c:pt>
                <c:pt idx="8">
                  <c:v>7.3700000000002323E-4</c:v>
                </c:pt>
                <c:pt idx="9">
                  <c:v>3.3600000000006959E-4</c:v>
                </c:pt>
                <c:pt idx="10">
                  <c:v>2.0799999999994158E-4</c:v>
                </c:pt>
                <c:pt idx="11">
                  <c:v>-2.4999999999977263E-5</c:v>
                </c:pt>
              </c:numCache>
            </c:numRef>
          </c:val>
          <c:extLst>
            <c:ext xmlns:c16="http://schemas.microsoft.com/office/drawing/2014/chart" uri="{C3380CC4-5D6E-409C-BE32-E72D297353CC}">
              <c16:uniqueId val="{00000014-DB84-4B12-99EB-EA12A9BD5019}"/>
            </c:ext>
          </c:extLst>
        </c:ser>
        <c:dLbls>
          <c:showLegendKey val="0"/>
          <c:showVal val="0"/>
          <c:showCatName val="0"/>
          <c:showSerName val="0"/>
          <c:showPercent val="0"/>
          <c:showBubbleSize val="0"/>
        </c:dLbls>
        <c:gapWidth val="112"/>
        <c:overlap val="-27"/>
        <c:axId val="124467008"/>
        <c:axId val="120957152"/>
      </c:barChart>
      <c:catAx>
        <c:axId val="1244670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0957152"/>
        <c:crosses val="autoZero"/>
        <c:auto val="1"/>
        <c:lblAlgn val="ctr"/>
        <c:lblOffset val="100"/>
        <c:noMultiLvlLbl val="0"/>
      </c:catAx>
      <c:valAx>
        <c:axId val="120957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6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0.15249</cdr:x>
      <cdr:y>0.11207</cdr:y>
    </cdr:from>
    <cdr:to>
      <cdr:x>0.23878</cdr:x>
      <cdr:y>0.16578</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06340" y="309066"/>
          <a:ext cx="512885" cy="14813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30,2%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0.72084</cdr:x>
      <cdr:y>0.45551</cdr:y>
    </cdr:from>
    <cdr:to>
      <cdr:x>0.80288</cdr:x>
      <cdr:y>0.53189</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84414" y="1256216"/>
          <a:ext cx="487611" cy="21063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Billions dong</a:t>
          </a:r>
        </a:p>
      </cdr:txBody>
    </cdr:sp>
  </cdr:relSizeAnchor>
  <cdr:relSizeAnchor xmlns:cdr="http://schemas.openxmlformats.org/drawingml/2006/chartDrawing">
    <cdr:from>
      <cdr:x>0.15658</cdr:x>
      <cdr:y>0.09795</cdr:y>
    </cdr:from>
    <cdr:to>
      <cdr:x>0.17576</cdr:x>
      <cdr:y>0.13336</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938839" y="261968"/>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0.42303</cdr:x>
      <cdr:y>0.44984</cdr:y>
    </cdr:from>
    <cdr:to>
      <cdr:x>0.44221</cdr:x>
      <cdr:y>0.48525</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2522493" y="1232395"/>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0.62954</cdr:x>
      <cdr:y>0.489</cdr:y>
    </cdr:from>
    <cdr:to>
      <cdr:x>0.64872</cdr:x>
      <cdr:y>0.52441</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3749877" y="1340408"/>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0.26356</cdr:x>
      <cdr:y>0.2694</cdr:y>
    </cdr:from>
    <cdr:to>
      <cdr:x>0.34427</cdr:x>
      <cdr:y>0.31645</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566495" y="742950"/>
          <a:ext cx="479708" cy="12975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0.34026</cdr:x>
      <cdr:y>0.41098</cdr:y>
    </cdr:from>
    <cdr:to>
      <cdr:x>0.43783</cdr:x>
      <cdr:y>0.5111</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022398" y="1133405"/>
          <a:ext cx="579917" cy="27611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0.43398</cdr:x>
      <cdr:y>0.43173</cdr:y>
    </cdr:from>
    <cdr:to>
      <cdr:x>0.53155</cdr:x>
      <cdr:y>0.50426</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579404" y="1190625"/>
          <a:ext cx="579917" cy="2000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11,3%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0.54095</cdr:x>
      <cdr:y>0.44209</cdr:y>
    </cdr:from>
    <cdr:to>
      <cdr:x>0.625</cdr:x>
      <cdr:y>0.49735</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215190" y="1219200"/>
          <a:ext cx="499560" cy="1524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1</a:t>
          </a:r>
          <a:r>
            <a:rPr lang="en-US" sz="800">
              <a:solidFill>
                <a:sysClr val="windowText" lastClr="000000"/>
              </a:solidFill>
              <a:latin typeface="Arial" panose="020B0604020202020204" pitchFamily="34" charset="0"/>
              <a:cs typeface="Arial" panose="020B0604020202020204" pitchFamily="34" charset="0"/>
            </a:rPr>
            <a:t>,3%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0.63421</cdr:x>
      <cdr:y>0.48354</cdr:y>
    </cdr:from>
    <cdr:to>
      <cdr:x>0.73178</cdr:x>
      <cdr:y>0.53189</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769491" y="1333501"/>
          <a:ext cx="579917" cy="1333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0.82412</cdr:x>
      <cdr:y>0.47291</cdr:y>
    </cdr:from>
    <cdr:to>
      <cdr:x>0.93213</cdr:x>
      <cdr:y>0.53379</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898223" y="1304190"/>
          <a:ext cx="641968" cy="16789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0.90705</cdr:x>
      <cdr:y>0.44554</cdr:y>
    </cdr:from>
    <cdr:to>
      <cdr:x>0.99519</cdr:x>
      <cdr:y>0.52993</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391150" y="1228726"/>
          <a:ext cx="523876" cy="23272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15,3%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0.33111</cdr:x>
      <cdr:y>0.42911</cdr:y>
    </cdr:from>
    <cdr:to>
      <cdr:x>0.35029</cdr:x>
      <cdr:y>0.46452</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1976159" y="1175233"/>
          <a:ext cx="97654"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0.25873</cdr:x>
      <cdr:y>0.28108</cdr:y>
    </cdr:from>
    <cdr:to>
      <cdr:x>0.27791</cdr:x>
      <cdr:y>0.31649</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545963" y="766988"/>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0.71065</cdr:x>
      <cdr:y>0.50031</cdr:y>
    </cdr:from>
    <cdr:to>
      <cdr:x>0.72983</cdr:x>
      <cdr:y>0.53572</cdr:y>
    </cdr:to>
    <cdr:sp macro="" textlink="">
      <cdr:nvSpPr>
        <cdr:cNvPr id="22"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231992" y="1371577"/>
          <a:ext cx="97653"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0.81802</cdr:x>
      <cdr:y>0.49431</cdr:y>
    </cdr:from>
    <cdr:to>
      <cdr:x>0.8372</cdr:x>
      <cdr:y>0.52972</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870185" y="1355033"/>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0.91211</cdr:x>
      <cdr:y>0.51956</cdr:y>
    </cdr:from>
    <cdr:to>
      <cdr:x>0.93129</cdr:x>
      <cdr:y>0.55497</cdr:y>
    </cdr:to>
    <cdr:sp macro="" textlink="">
      <cdr:nvSpPr>
        <cdr:cNvPr id="2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429389" y="1424681"/>
          <a:ext cx="97654"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0.52801</cdr:x>
      <cdr:y>0.47018</cdr:y>
    </cdr:from>
    <cdr:to>
      <cdr:x>0.54565</cdr:x>
      <cdr:y>0.51109</cdr:y>
    </cdr:to>
    <cdr:sp macro="" textlink="">
      <cdr:nvSpPr>
        <cdr:cNvPr id="23" name="Arrow: Right 7">
          <a:extLst xmlns:a="http://schemas.openxmlformats.org/drawingml/2006/main">
            <a:ext uri="{FF2B5EF4-FFF2-40B4-BE49-F238E27FC236}">
              <a16:creationId xmlns:a16="http://schemas.microsoft.com/office/drawing/2014/main" id="{8BB99AF5-FCD0-994D-69B8-2CDC4BC79AA2}"/>
            </a:ext>
          </a:extLst>
        </cdr:cNvPr>
        <cdr:cNvSpPr/>
      </cdr:nvSpPr>
      <cdr:spPr>
        <a:xfrm xmlns:a="http://schemas.openxmlformats.org/drawingml/2006/main" rot="5400000" flipV="1">
          <a:off x="3134292" y="1300615"/>
          <a:ext cx="112821" cy="104904"/>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0.84865</cdr:x>
      <cdr:y>0.05278</cdr:y>
    </cdr:from>
    <cdr:to>
      <cdr:x>0.96577</cdr:x>
      <cdr:y>0.13872</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486274" y="160873"/>
          <a:ext cx="619126"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18,00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0.7964</cdr:x>
      <cdr:y>0.19444</cdr:y>
    </cdr:from>
    <cdr:to>
      <cdr:x>0.95495</cdr:x>
      <cdr:y>0.28038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10050" y="592654"/>
          <a:ext cx="83819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16,24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0.81081</cdr:x>
      <cdr:y>0.32188</cdr:y>
    </cdr:from>
    <cdr:to>
      <cdr:x>0.91712</cdr:x>
      <cdr:y>0.40782</cdr:y>
    </cdr:to>
    <cdr:sp macro="" textlink="">
      <cdr:nvSpPr>
        <cdr:cNvPr id="4" name="Text Box 2"/>
        <cdr:cNvSpPr txBox="1">
          <a:spLocks xmlns:a="http://schemas.openxmlformats.org/drawingml/2006/main" noChangeArrowheads="1"/>
        </cdr:cNvSpPr>
      </cdr:nvSpPr>
      <cdr:spPr bwMode="auto">
        <a:xfrm xmlns:a="http://schemas.openxmlformats.org/drawingml/2006/main">
          <a:off x="4286246" y="981090"/>
          <a:ext cx="5619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15,54</a:t>
          </a:r>
        </a:p>
      </cdr:txBody>
    </cdr:sp>
  </cdr:relSizeAnchor>
  <cdr:relSizeAnchor xmlns:cdr="http://schemas.openxmlformats.org/drawingml/2006/chartDrawing">
    <cdr:from>
      <cdr:x>0.81441</cdr:x>
      <cdr:y>0.46367</cdr:y>
    </cdr:from>
    <cdr:to>
      <cdr:x>0.92613</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05301" y="1413266"/>
          <a:ext cx="590548"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0.89189</cdr:x>
      <cdr:y>0.60625</cdr:y>
    </cdr:from>
    <cdr:to>
      <cdr:x>1</cdr:x>
      <cdr:y>0.69219</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714876" y="1847851"/>
          <a:ext cx="57150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18,82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CFDB4-CBB5-445B-8FE0-ECE785D8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37</Pages>
  <Words>11120</Words>
  <Characters>58534</Characters>
  <Application>Microsoft Office Word</Application>
  <DocSecurity>0</DocSecurity>
  <Lines>487</Lines>
  <Paragraphs>139</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69515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Bùi Trâm Anh</cp:lastModifiedBy>
  <cp:revision>2</cp:revision>
  <cp:lastPrinted>2023-05-28T23:43:00Z</cp:lastPrinted>
  <dcterms:created xsi:type="dcterms:W3CDTF">2023-06-11T15:50:00Z</dcterms:created>
  <dcterms:modified xsi:type="dcterms:W3CDTF">2024-08-05T06:39:00Z</dcterms:modified>
</cp:coreProperties>
</file>